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1.50 on 7 August 2026 · study dated 9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no rating and no price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The first structural judgement — the consumption question. </w:t>
            </w:r>
            <w:r>
              <w:rPr>
                <w:color w:val="1C3A36"/>
                <w:sz w:val="19"/>
              </w:rPr>
              <w:t>Chilled-water consumption per connected refrigeration ton fell sharply in the first half of 2026, in a conflict year, and the shares fell with it. Whether that usage recovers is the single question this study turns on, and it is computed BOTH ways as full models: a recovery case and a case in which usage never recovers. The finding the reader should take away is quantitative: because roughly 76% of consumption revenue is electricity and water purchased from DEWA and passed through, permanent loss of the usage shock moves the discounted-cash-flow value by only 2.7%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2.182 against 2.027 on the primary lens, 1.901 against 1.807 on the weighted central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 the three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revenue compounded from AED 2,464mn (2021) to 3,419mn (2025), and net profit reached AED 1,004mn in 2025. Net debt was AED 2,991mn at 30 June 2026 (1.8× 2025 EBITDA) after the 2025 refinancing of both AED 2.75bn revolving facilities at a reduced margin. The dividend is committed at AED 875mn a year for 2025 and 2026 — 0.087 per share, a 5.8% yield at the anchor price — and free cash flow to equity runs almost exactly at the payout: covered, but not slack.</w:t>
      </w:r>
    </w:p>
    <w:p>
      <w:pPr>
        <w:spacing w:after="120" w:before="0"/>
      </w:pPr>
      <w:r>
        <w:rPr>
          <w:b w:val="0"/>
          <w:i w:val="0"/>
          <w:color w:val="1C3A36"/>
          <w:sz w:val="21"/>
        </w:rPr>
        <w:t>2026 is the conflict year. Iranian strikes hit UAE infrastructure between February and April; a ceasefire has held — fraying — since 8 April. The Dubai market index fell 21.9% peak to trough and the central bank cut its 2026 GDP growth guidance from 5.6% to 1.7%. Empower's first half showed the transmission mechanism: revenue grew +4.5%, but the second quarter standalone FELL 2.7% year on year as consumption dropped 42m ton-hours (equivalent full-load hours -9% to 698 hours), tied by the interim notes partly to conflict-hit hospitality occupancy. The shares closed the anchor session at 1.50, 23% below their 52-week high of 1.96, the last leg of the fall coming after the 5 August half-year release.</w:t>
      </w:r>
    </w:p>
    <w:p>
      <w:pPr>
        <w:spacing w:after="200" w:before="0"/>
      </w:pPr>
      <w:r>
        <w:rPr>
          <w:b w:val="0"/>
          <w:i w:val="0"/>
          <w:color w:val="1C3A36"/>
          <w:sz w:val="21"/>
        </w:rPr>
        <w:t>On the four lenses used here the fair-value field centres at AED 1.901 per share under the 9% tax framing and 1.807 under the 15% framing, inside a bear-to-bull field of 1.461 to 2.221, against a market price of 1.50. One disclosed transaction brackets the question from above: DEWA took its stake from 56% to 80% in February 2026 by buying Dubai Holding's 24% at AED 2.16 per share — a related-party CONTROL price, +44% above the anchor close, recorded here as a reference point and never as fair value.</w:t>
      </w: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the central estimate, the market price of 1.50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cost of capital 7.61%, terminal growth 2.5%. Terminal value = 77.6% of enterprise value (77.7% under the 15% framing) — disclosed here, in the bridge and in section 1.9</w:t>
            </w:r>
          </w:p>
        </w:tc>
        <w:tc>
          <w:tcPr>
            <w:tcW w:type="dxa" w:w="1368"/>
          </w:tcPr>
          <w:p>
            <w:pPr>
              <w:spacing w:after="20"/>
              <w:jc w:val="right"/>
            </w:pPr>
            <w:r>
              <w:rPr>
                <w:color w:val="1C3A36"/>
                <w:sz w:val="16"/>
              </w:rPr>
              <w:t>2.182</w:t>
            </w:r>
          </w:p>
        </w:tc>
        <w:tc>
          <w:tcPr>
            <w:tcW w:type="dxa" w:w="1368"/>
          </w:tcPr>
          <w:p>
            <w:pPr>
              <w:spacing w:after="20"/>
              <w:jc w:val="right"/>
            </w:pPr>
            <w:r>
              <w:rPr>
                <w:color w:val="1C3A36"/>
                <w:sz w:val="16"/>
              </w:rPr>
              <w:t>2.027</w:t>
            </w:r>
          </w:p>
        </w:tc>
        <w:tc>
          <w:tcPr>
            <w:tcW w:type="dxa" w:w="864"/>
          </w:tcPr>
          <w:p>
            <w:pPr>
              <w:spacing w:after="20"/>
              <w:jc w:val="right"/>
            </w:pPr>
            <w:r>
              <w:rPr>
                <w:color w:val="1C3A36"/>
                <w:sz w:val="16"/>
              </w:rPr>
              <w:t>+45%</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10.7× EV/EBITDA on 2026E EBITDA (gives 1.536); Tabreed 16.6× P/E on 2026E attributable profit (gives 1.701). Peers are themselves war-depressed — a market-regime reading, not an independent fundamental</w:t>
            </w:r>
          </w:p>
        </w:tc>
        <w:tc>
          <w:tcPr>
            <w:tcW w:type="dxa" w:w="1368"/>
          </w:tcPr>
          <w:p>
            <w:pPr>
              <w:spacing w:after="20"/>
              <w:jc w:val="right"/>
            </w:pPr>
            <w:r>
              <w:rPr>
                <w:color w:val="1C3A36"/>
                <w:sz w:val="16"/>
              </w:rPr>
              <w:t>1.536</w:t>
            </w:r>
          </w:p>
        </w:tc>
        <w:tc>
          <w:tcPr>
            <w:tcW w:type="dxa" w:w="1368"/>
          </w:tcPr>
          <w:p>
            <w:pPr>
              <w:spacing w:after="20"/>
              <w:jc w:val="right"/>
            </w:pPr>
            <w:r>
              <w:rPr>
                <w:color w:val="1C3A36"/>
                <w:sz w:val="16"/>
              </w:rPr>
              <w:t>1.536</w:t>
            </w:r>
          </w:p>
        </w:tc>
        <w:tc>
          <w:tcPr>
            <w:tcW w:type="dxa" w:w="864"/>
          </w:tcPr>
          <w:p>
            <w:pPr>
              <w:spacing w:after="20"/>
              <w:jc w:val="right"/>
            </w:pPr>
            <w:r>
              <w:rPr>
                <w:color w:val="1C3A36"/>
                <w:sz w:val="16"/>
              </w:rPr>
              <w:t>+2%</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justified multiple 16.4× from the sustainable return and the cost of equity</w:t>
            </w:r>
          </w:p>
        </w:tc>
        <w:tc>
          <w:tcPr>
            <w:tcW w:type="dxa" w:w="1368"/>
          </w:tcPr>
          <w:p>
            <w:pPr>
              <w:spacing w:after="20"/>
              <w:jc w:val="right"/>
            </w:pPr>
            <w:r>
              <w:rPr>
                <w:color w:val="1C3A36"/>
                <w:sz w:val="16"/>
              </w:rPr>
              <w:t>1.724</w:t>
            </w:r>
          </w:p>
        </w:tc>
        <w:tc>
          <w:tcPr>
            <w:tcW w:type="dxa" w:w="1368"/>
          </w:tcPr>
          <w:p>
            <w:pPr>
              <w:spacing w:after="20"/>
              <w:jc w:val="right"/>
            </w:pPr>
            <w:r>
              <w:rPr>
                <w:color w:val="1C3A36"/>
                <w:sz w:val="16"/>
              </w:rPr>
              <w:t>1.610</w:t>
            </w:r>
          </w:p>
        </w:tc>
        <w:tc>
          <w:tcPr>
            <w:tcW w:type="dxa" w:w="864"/>
          </w:tcPr>
          <w:p>
            <w:pPr>
              <w:spacing w:after="20"/>
              <w:jc w:val="right"/>
            </w:pPr>
            <w:r>
              <w:rPr>
                <w:color w:val="1C3A36"/>
                <w:sz w:val="16"/>
              </w:rPr>
              <w:t>+15%</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4.9× on book value of 0.334/share at a sustainable return on equity of 30.5%</w:t>
            </w:r>
          </w:p>
        </w:tc>
        <w:tc>
          <w:tcPr>
            <w:tcW w:type="dxa" w:w="1368"/>
          </w:tcPr>
          <w:p>
            <w:pPr>
              <w:spacing w:after="20"/>
              <w:jc w:val="right"/>
            </w:pPr>
            <w:r>
              <w:rPr>
                <w:color w:val="1C3A36"/>
                <w:sz w:val="16"/>
              </w:rPr>
              <w:t>1.630</w:t>
            </w:r>
          </w:p>
        </w:tc>
        <w:tc>
          <w:tcPr>
            <w:tcW w:type="dxa" w:w="1368"/>
          </w:tcPr>
          <w:p>
            <w:pPr>
              <w:spacing w:after="20"/>
              <w:jc w:val="right"/>
            </w:pPr>
            <w:r>
              <w:rPr>
                <w:color w:val="1C3A36"/>
                <w:sz w:val="16"/>
              </w:rPr>
              <w:t>1.630</w:t>
            </w:r>
          </w:p>
        </w:tc>
        <w:tc>
          <w:tcPr>
            <w:tcW w:type="dxa" w:w="864"/>
          </w:tcPr>
          <w:p>
            <w:pPr>
              <w:spacing w:after="20"/>
              <w:jc w:val="right"/>
            </w:pPr>
            <w:r>
              <w:rPr>
                <w:color w:val="1C3A36"/>
                <w:sz w:val="16"/>
              </w:rPr>
              <w:t>+9%</w:t>
            </w:r>
          </w:p>
        </w:tc>
      </w:tr>
      <w:tr>
        <w:tc>
          <w:tcPr>
            <w:tcW w:type="dxa" w:w="1872"/>
            <w:shd w:val="clear" w:color="auto" w:fill="F6F1E6"/>
          </w:tcPr>
          <w:p>
            <w:pPr>
              <w:spacing w:after="20"/>
            </w:pPr>
            <w:r>
              <w:rPr>
                <w:b/>
                <w:color w:val="1C3A36"/>
                <w:sz w:val="16"/>
              </w:rPr>
              <w:t>Weighted central</w:t>
            </w:r>
          </w:p>
        </w:tc>
        <w:tc>
          <w:tcPr>
            <w:tcW w:type="dxa" w:w="4320"/>
            <w:shd w:val="clear" w:color="auto" w:fill="F6F1E6"/>
          </w:tcPr>
          <w:p>
            <w:pPr>
              <w:spacing w:after="20"/>
              <w:jc w:val="right"/>
            </w:pPr>
            <w:r>
              <w:rPr>
                <w:b/>
                <w:color w:val="1C3A36"/>
                <w:sz w:val="16"/>
              </w:rPr>
              <w:t>cash flow 50% · relative 20% · normalised 15% · book 15%; the two tax columns are alternatives, never averaged</w:t>
            </w:r>
          </w:p>
        </w:tc>
        <w:tc>
          <w:tcPr>
            <w:tcW w:type="dxa" w:w="1368"/>
            <w:shd w:val="clear" w:color="auto" w:fill="F6F1E6"/>
          </w:tcPr>
          <w:p>
            <w:pPr>
              <w:spacing w:after="20"/>
              <w:jc w:val="right"/>
            </w:pPr>
            <w:r>
              <w:rPr>
                <w:b/>
                <w:color w:val="1C3A36"/>
                <w:sz w:val="16"/>
              </w:rPr>
              <w:t>1.901</w:t>
            </w:r>
          </w:p>
        </w:tc>
        <w:tc>
          <w:tcPr>
            <w:tcW w:type="dxa" w:w="1368"/>
            <w:shd w:val="clear" w:color="auto" w:fill="F6F1E6"/>
          </w:tcPr>
          <w:p>
            <w:pPr>
              <w:spacing w:after="20"/>
              <w:jc w:val="right"/>
            </w:pPr>
            <w:r>
              <w:rPr>
                <w:b/>
                <w:color w:val="1C3A36"/>
                <w:sz w:val="16"/>
              </w:rPr>
              <w:t>1.807</w:t>
            </w:r>
          </w:p>
        </w:tc>
        <w:tc>
          <w:tcPr>
            <w:tcW w:type="dxa" w:w="864"/>
            <w:shd w:val="clear" w:color="auto" w:fill="F6F1E6"/>
          </w:tcPr>
          <w:p>
            <w:pPr>
              <w:spacing w:after="20"/>
              <w:jc w:val="right"/>
            </w:pPr>
            <w:r>
              <w:rPr>
                <w:b/>
                <w:color w:val="1C3A36"/>
                <w:sz w:val="16"/>
              </w:rPr>
              <w:t>+27%</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1.461 (war re-escalation, usage never recovers, 15% tax, +100bp on the cost of equity) to bull 2.221 (full recovery, 110k RT/yr)</w:t>
            </w:r>
          </w:p>
        </w:tc>
        <w:tc>
          <w:tcPr>
            <w:tcW w:type="dxa" w:w="1368"/>
          </w:tcPr>
          <w:p>
            <w:pPr>
              <w:spacing w:after="20"/>
              <w:jc w:val="right"/>
            </w:pPr>
            <w:r>
              <w:rPr>
                <w:color w:val="1C3A36"/>
                <w:sz w:val="16"/>
              </w:rPr>
              <w:t>1.461 – 2.221</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1.563</w:t>
            </w:r>
          </w:p>
        </w:tc>
        <w:tc>
          <w:tcPr>
            <w:tcW w:type="dxa" w:w="1368"/>
          </w:tcPr>
          <w:p>
            <w:pPr>
              <w:spacing w:after="20"/>
              <w:jc w:val="right"/>
            </w:pPr>
            <w:r>
              <w:rPr>
                <w:color w:val="1C3A36"/>
                <w:sz w:val="16"/>
              </w:rPr>
              <w:t>1.563</w:t>
            </w:r>
          </w:p>
        </w:tc>
        <w:tc>
          <w:tcPr>
            <w:tcW w:type="dxa" w:w="864"/>
          </w:tcPr>
          <w:p>
            <w:pPr>
              <w:spacing w:after="20"/>
              <w:jc w:val="right"/>
            </w:pPr>
            <w:r>
              <w:rPr>
                <w:color w:val="1C3A36"/>
                <w:sz w:val="16"/>
              </w:rPr>
              <w:t>+4%</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+44%</w:t>
            </w:r>
          </w:p>
        </w:tc>
      </w:tr>
    </w:tbl>
    <w:p>
      <w:pPr>
        <w:spacing w:after="40"/>
      </w:pPr>
    </w:p>
    <w:p>
      <w:pPr>
        <w:spacing w:after="200" w:before="0"/>
      </w:pPr>
      <w:r>
        <w:rPr>
          <w:b w:val="0"/>
          <w:i/>
          <w:color w:val="6E7B77"/>
          <w:sz w:val="17"/>
        </w:rPr>
        <w:t>Fair values are ranges and distributions, never a target. The two tax columns are the study's central contested judgement published in full: 9% is the audited 2025 effective rate, 15% is the domestic minimum top-up rate that would apply if consolidation into the DEWA group sweeps Empower into the OECD minimum-tax regime. Neither is averaged into the other anywhere in this document. The terminal-value share of enterprise value (77.6%)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16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70%-owned subsidiary (DXB CoolCo, a 35-year concession acquired in 2023,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tariffs require approval by the Regulatory and Supervisory Bureau. This study holds the tariff FLAT in nominal AED throughout — no real escalation is assumed anywhere</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15,000mn at the anchor price of 1.50</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facilities, fully refinanced in 2025 at a reduced margin over EIBOR,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5.8%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waterfall below runs the base case at the 9% audited tax rate; the 15% minimum-tax framing follows it, in full, immediately after.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EBITDA</w:t>
            </w:r>
          </w:p>
        </w:tc>
        <w:tc>
          <w:tcPr>
            <w:tcW w:type="dxa" w:w="1354"/>
          </w:tcPr>
          <w:p>
            <w:pPr>
              <w:spacing w:after="20"/>
              <w:jc w:val="right"/>
            </w:pPr>
            <w:r>
              <w:rPr>
                <w:color w:val="1C3A36"/>
                <w:sz w:val="17"/>
              </w:rPr>
              <w:t>1,702</w:t>
            </w:r>
          </w:p>
        </w:tc>
        <w:tc>
          <w:tcPr>
            <w:tcW w:type="dxa" w:w="1354"/>
          </w:tcPr>
          <w:p>
            <w:pPr>
              <w:spacing w:after="20"/>
              <w:jc w:val="right"/>
            </w:pPr>
            <w:r>
              <w:rPr>
                <w:color w:val="1C3A36"/>
                <w:sz w:val="17"/>
              </w:rPr>
              <w:t>1,843</w:t>
            </w:r>
          </w:p>
        </w:tc>
        <w:tc>
          <w:tcPr>
            <w:tcW w:type="dxa" w:w="1354"/>
          </w:tcPr>
          <w:p>
            <w:pPr>
              <w:spacing w:after="20"/>
              <w:jc w:val="right"/>
            </w:pPr>
            <w:r>
              <w:rPr>
                <w:color w:val="1C3A36"/>
                <w:sz w:val="17"/>
              </w:rPr>
              <w:t>1,945</w:t>
            </w:r>
          </w:p>
        </w:tc>
        <w:tc>
          <w:tcPr>
            <w:tcW w:type="dxa" w:w="1354"/>
          </w:tcPr>
          <w:p>
            <w:pPr>
              <w:spacing w:after="20"/>
              <w:jc w:val="right"/>
            </w:pPr>
            <w:r>
              <w:rPr>
                <w:color w:val="1C3A36"/>
                <w:sz w:val="17"/>
              </w:rPr>
              <w:t>2,034</w:t>
            </w:r>
          </w:p>
        </w:tc>
        <w:tc>
          <w:tcPr>
            <w:tcW w:type="dxa" w:w="1354"/>
          </w:tcPr>
          <w:p>
            <w:pPr>
              <w:spacing w:after="20"/>
              <w:jc w:val="right"/>
            </w:pPr>
            <w:r>
              <w:rPr>
                <w:color w:val="1C3A36"/>
                <w:sz w:val="17"/>
              </w:rPr>
              <w:t>2,112</w:t>
            </w:r>
          </w:p>
        </w:tc>
      </w:tr>
      <w:tr>
        <w:tc>
          <w:tcPr>
            <w:tcW w:type="dxa" w:w="3312"/>
          </w:tcPr>
          <w:p>
            <w:pPr>
              <w:spacing w:after="20"/>
            </w:pPr>
            <w:r>
              <w:rPr>
                <w:color w:val="1C3A36"/>
                <w:sz w:val="17"/>
              </w:rPr>
              <w:t>EBITDA margin</w:t>
            </w:r>
          </w:p>
        </w:tc>
        <w:tc>
          <w:tcPr>
            <w:tcW w:type="dxa" w:w="1354"/>
          </w:tcPr>
          <w:p>
            <w:pPr>
              <w:spacing w:after="20"/>
              <w:jc w:val="right"/>
            </w:pPr>
            <w:r>
              <w:rPr>
                <w:color w:val="1C3A36"/>
                <w:sz w:val="17"/>
              </w:rPr>
              <w:t>48.6%</w:t>
            </w:r>
          </w:p>
        </w:tc>
        <w:tc>
          <w:tcPr>
            <w:tcW w:type="dxa" w:w="1354"/>
          </w:tcPr>
          <w:p>
            <w:pPr>
              <w:spacing w:after="20"/>
              <w:jc w:val="right"/>
            </w:pPr>
            <w:r>
              <w:rPr>
                <w:color w:val="1C3A36"/>
                <w:sz w:val="17"/>
              </w:rPr>
              <w:t>48.0%</w:t>
            </w:r>
          </w:p>
        </w:tc>
        <w:tc>
          <w:tcPr>
            <w:tcW w:type="dxa" w:w="1354"/>
          </w:tcPr>
          <w:p>
            <w:pPr>
              <w:spacing w:after="20"/>
              <w:jc w:val="right"/>
            </w:pPr>
            <w:r>
              <w:rPr>
                <w:color w:val="1C3A36"/>
                <w:sz w:val="17"/>
              </w:rPr>
              <w:t>48.1%</w:t>
            </w:r>
          </w:p>
        </w:tc>
        <w:tc>
          <w:tcPr>
            <w:tcW w:type="dxa" w:w="1354"/>
          </w:tcPr>
          <w:p>
            <w:pPr>
              <w:spacing w:after="20"/>
              <w:jc w:val="right"/>
            </w:pPr>
            <w:r>
              <w:rPr>
                <w:color w:val="1C3A36"/>
                <w:sz w:val="17"/>
              </w:rPr>
              <w:t>48.2%</w:t>
            </w:r>
          </w:p>
        </w:tc>
        <w:tc>
          <w:tcPr>
            <w:tcW w:type="dxa" w:w="1354"/>
          </w:tcPr>
          <w:p>
            <w:pPr>
              <w:spacing w:after="20"/>
              <w:jc w:val="right"/>
            </w:pPr>
            <w:r>
              <w:rPr>
                <w:color w:val="1C3A36"/>
                <w:sz w:val="17"/>
              </w:rPr>
              <w:t>48.2%</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1,323</w:t>
            </w:r>
          </w:p>
        </w:tc>
        <w:tc>
          <w:tcPr>
            <w:tcW w:type="dxa" w:w="1354"/>
          </w:tcPr>
          <w:p>
            <w:pPr>
              <w:spacing w:after="20"/>
              <w:jc w:val="right"/>
            </w:pPr>
            <w:r>
              <w:rPr>
                <w:color w:val="1C3A36"/>
                <w:sz w:val="17"/>
              </w:rPr>
              <w:t>1,452</w:t>
            </w:r>
          </w:p>
        </w:tc>
        <w:tc>
          <w:tcPr>
            <w:tcW w:type="dxa" w:w="1354"/>
          </w:tcPr>
          <w:p>
            <w:pPr>
              <w:spacing w:after="20"/>
              <w:jc w:val="right"/>
            </w:pPr>
            <w:r>
              <w:rPr>
                <w:color w:val="1C3A36"/>
                <w:sz w:val="17"/>
              </w:rPr>
              <w:t>1,545</w:t>
            </w:r>
          </w:p>
        </w:tc>
        <w:tc>
          <w:tcPr>
            <w:tcW w:type="dxa" w:w="1354"/>
          </w:tcPr>
          <w:p>
            <w:pPr>
              <w:spacing w:after="20"/>
              <w:jc w:val="right"/>
            </w:pPr>
            <w:r>
              <w:rPr>
                <w:color w:val="1C3A36"/>
                <w:sz w:val="17"/>
              </w:rPr>
              <w:t>1,629</w:t>
            </w:r>
          </w:p>
        </w:tc>
        <w:tc>
          <w:tcPr>
            <w:tcW w:type="dxa" w:w="1354"/>
          </w:tcPr>
          <w:p>
            <w:pPr>
              <w:spacing w:after="20"/>
              <w:jc w:val="right"/>
            </w:pPr>
            <w:r>
              <w:rPr>
                <w:color w:val="1C3A36"/>
                <w:sz w:val="17"/>
              </w:rPr>
              <w:t>1,703</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1,204</w:t>
            </w:r>
          </w:p>
        </w:tc>
        <w:tc>
          <w:tcPr>
            <w:tcW w:type="dxa" w:w="1354"/>
          </w:tcPr>
          <w:p>
            <w:pPr>
              <w:spacing w:after="20"/>
              <w:jc w:val="right"/>
            </w:pPr>
            <w:r>
              <w:rPr>
                <w:color w:val="1C3A36"/>
                <w:sz w:val="17"/>
              </w:rPr>
              <w:t>1,322</w:t>
            </w:r>
          </w:p>
        </w:tc>
        <w:tc>
          <w:tcPr>
            <w:tcW w:type="dxa" w:w="1354"/>
          </w:tcPr>
          <w:p>
            <w:pPr>
              <w:spacing w:after="20"/>
              <w:jc w:val="right"/>
            </w:pPr>
            <w:r>
              <w:rPr>
                <w:color w:val="1C3A36"/>
                <w:sz w:val="17"/>
              </w:rPr>
              <w:t>1,406</w:t>
            </w:r>
          </w:p>
        </w:tc>
        <w:tc>
          <w:tcPr>
            <w:tcW w:type="dxa" w:w="1354"/>
          </w:tcPr>
          <w:p>
            <w:pPr>
              <w:spacing w:after="20"/>
              <w:jc w:val="right"/>
            </w:pPr>
            <w:r>
              <w:rPr>
                <w:color w:val="1C3A36"/>
                <w:sz w:val="17"/>
              </w:rPr>
              <w:t>1,483</w:t>
            </w:r>
          </w:p>
        </w:tc>
        <w:tc>
          <w:tcPr>
            <w:tcW w:type="dxa" w:w="1354"/>
          </w:tcPr>
          <w:p>
            <w:pPr>
              <w:spacing w:after="20"/>
              <w:jc w:val="right"/>
            </w:pPr>
            <w:r>
              <w:rPr>
                <w:color w:val="1C3A36"/>
                <w:sz w:val="17"/>
              </w:rPr>
              <w:t>1,550</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1,055</w:t>
            </w:r>
          </w:p>
        </w:tc>
        <w:tc>
          <w:tcPr>
            <w:tcW w:type="dxa" w:w="1354"/>
            <w:shd w:val="clear" w:color="auto" w:fill="F6F1E6"/>
          </w:tcPr>
          <w:p>
            <w:pPr>
              <w:spacing w:after="20"/>
              <w:jc w:val="right"/>
            </w:pPr>
            <w:r>
              <w:rPr>
                <w:b/>
                <w:color w:val="1C3A36"/>
                <w:sz w:val="17"/>
              </w:rPr>
              <w:t>1,338</w:t>
            </w:r>
          </w:p>
        </w:tc>
        <w:tc>
          <w:tcPr>
            <w:tcW w:type="dxa" w:w="1354"/>
            <w:shd w:val="clear" w:color="auto" w:fill="F6F1E6"/>
          </w:tcPr>
          <w:p>
            <w:pPr>
              <w:spacing w:after="20"/>
              <w:jc w:val="right"/>
            </w:pPr>
            <w:r>
              <w:rPr>
                <w:b/>
                <w:color w:val="1C3A36"/>
                <w:sz w:val="17"/>
              </w:rPr>
              <w:t>1,408</w:t>
            </w:r>
          </w:p>
        </w:tc>
        <w:tc>
          <w:tcPr>
            <w:tcW w:type="dxa" w:w="1354"/>
            <w:shd w:val="clear" w:color="auto" w:fill="F6F1E6"/>
          </w:tcPr>
          <w:p>
            <w:pPr>
              <w:spacing w:after="20"/>
              <w:jc w:val="right"/>
            </w:pPr>
            <w:r>
              <w:rPr>
                <w:b/>
                <w:color w:val="1C3A36"/>
                <w:sz w:val="17"/>
              </w:rPr>
              <w:t>1,527</w:t>
            </w:r>
          </w:p>
        </w:tc>
        <w:tc>
          <w:tcPr>
            <w:tcW w:type="dxa" w:w="1354"/>
            <w:shd w:val="clear" w:color="auto" w:fill="F6F1E6"/>
          </w:tcPr>
          <w:p>
            <w:pPr>
              <w:spacing w:after="20"/>
              <w:jc w:val="right"/>
            </w:pPr>
            <w:r>
              <w:rPr>
                <w:b/>
                <w:color w:val="1C3A36"/>
                <w:sz w:val="17"/>
              </w:rPr>
              <w:t>1,636</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0.9293</w:t>
            </w:r>
          </w:p>
        </w:tc>
        <w:tc>
          <w:tcPr>
            <w:tcW w:type="dxa" w:w="1354"/>
          </w:tcPr>
          <w:p>
            <w:pPr>
              <w:spacing w:after="20"/>
              <w:jc w:val="right"/>
            </w:pPr>
            <w:r>
              <w:rPr>
                <w:color w:val="1C3A36"/>
                <w:sz w:val="17"/>
              </w:rPr>
              <w:t>0.8635</w:t>
            </w:r>
          </w:p>
        </w:tc>
        <w:tc>
          <w:tcPr>
            <w:tcW w:type="dxa" w:w="1354"/>
          </w:tcPr>
          <w:p>
            <w:pPr>
              <w:spacing w:after="20"/>
              <w:jc w:val="right"/>
            </w:pPr>
            <w:r>
              <w:rPr>
                <w:color w:val="1C3A36"/>
                <w:sz w:val="17"/>
              </w:rPr>
              <w:t>0.8024</w:t>
            </w:r>
          </w:p>
        </w:tc>
        <w:tc>
          <w:tcPr>
            <w:tcW w:type="dxa" w:w="1354"/>
          </w:tcPr>
          <w:p>
            <w:pPr>
              <w:spacing w:after="20"/>
              <w:jc w:val="right"/>
            </w:pPr>
            <w:r>
              <w:rPr>
                <w:color w:val="1C3A36"/>
                <w:sz w:val="17"/>
              </w:rPr>
              <w:t>0.7456</w:t>
            </w:r>
          </w:p>
        </w:tc>
        <w:tc>
          <w:tcPr>
            <w:tcW w:type="dxa" w:w="1354"/>
          </w:tcPr>
          <w:p>
            <w:pPr>
              <w:spacing w:after="20"/>
              <w:jc w:val="right"/>
            </w:pPr>
            <w:r>
              <w:rPr>
                <w:color w:val="1C3A36"/>
                <w:sz w:val="17"/>
              </w:rPr>
              <w:t>0.6929</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981</w:t>
            </w:r>
          </w:p>
        </w:tc>
        <w:tc>
          <w:tcPr>
            <w:tcW w:type="dxa" w:w="1354"/>
            <w:shd w:val="clear" w:color="auto" w:fill="F6F1E6"/>
          </w:tcPr>
          <w:p>
            <w:pPr>
              <w:spacing w:after="20"/>
              <w:jc w:val="right"/>
            </w:pPr>
            <w:r>
              <w:rPr>
                <w:b/>
                <w:color w:val="1C3A36"/>
                <w:sz w:val="17"/>
              </w:rPr>
              <w:t>1,155</w:t>
            </w:r>
          </w:p>
        </w:tc>
        <w:tc>
          <w:tcPr>
            <w:tcW w:type="dxa" w:w="1354"/>
            <w:shd w:val="clear" w:color="auto" w:fill="F6F1E6"/>
          </w:tcPr>
          <w:p>
            <w:pPr>
              <w:spacing w:after="20"/>
              <w:jc w:val="right"/>
            </w:pPr>
            <w:r>
              <w:rPr>
                <w:b/>
                <w:color w:val="1C3A36"/>
                <w:sz w:val="17"/>
              </w:rPr>
              <w:t>1,130</w:t>
            </w:r>
          </w:p>
        </w:tc>
        <w:tc>
          <w:tcPr>
            <w:tcW w:type="dxa" w:w="1354"/>
            <w:shd w:val="clear" w:color="auto" w:fill="F6F1E6"/>
          </w:tcPr>
          <w:p>
            <w:pPr>
              <w:spacing w:after="20"/>
              <w:jc w:val="right"/>
            </w:pPr>
            <w:r>
              <w:rPr>
                <w:b/>
                <w:color w:val="1C3A36"/>
                <w:sz w:val="17"/>
              </w:rPr>
              <w:t>1,139</w:t>
            </w:r>
          </w:p>
        </w:tc>
        <w:tc>
          <w:tcPr>
            <w:tcW w:type="dxa" w:w="1354"/>
            <w:shd w:val="clear" w:color="auto" w:fill="F6F1E6"/>
          </w:tcPr>
          <w:p>
            <w:pPr>
              <w:spacing w:after="20"/>
              <w:jc w:val="right"/>
            </w:pPr>
            <w:r>
              <w:rPr>
                <w:b/>
                <w:color w:val="1C3A36"/>
                <w:sz w:val="17"/>
              </w:rPr>
              <w:t>1,133</w:t>
            </w:r>
          </w:p>
        </w:tc>
      </w:tr>
    </w:tbl>
    <w:p>
      <w:pPr>
        <w:spacing w:after="40"/>
      </w:pPr>
    </w:p>
    <w:p>
      <w:pPr>
        <w:spacing w:after="200" w:before="0"/>
      </w:pPr>
      <w:r>
        <w:rPr>
          <w:b w:val="0"/>
          <w:i/>
          <w:color w:val="6E7B77"/>
          <w:sz w:val="17"/>
        </w:rPr>
        <w:t>Every line is computed, not typed.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1,124</w:t>
            </w:r>
          </w:p>
        </w:tc>
        <w:tc>
          <w:tcPr>
            <w:tcW w:type="dxa" w:w="1138"/>
          </w:tcPr>
          <w:p>
            <w:pPr>
              <w:spacing w:after="20"/>
              <w:jc w:val="right"/>
            </w:pPr>
            <w:r>
              <w:rPr>
                <w:color w:val="1C3A36"/>
                <w:sz w:val="17"/>
              </w:rPr>
              <w:t>1,234</w:t>
            </w:r>
          </w:p>
        </w:tc>
        <w:tc>
          <w:tcPr>
            <w:tcW w:type="dxa" w:w="1138"/>
          </w:tcPr>
          <w:p>
            <w:pPr>
              <w:spacing w:after="20"/>
              <w:jc w:val="right"/>
            </w:pPr>
            <w:r>
              <w:rPr>
                <w:color w:val="1C3A36"/>
                <w:sz w:val="17"/>
              </w:rPr>
              <w:t>1,314</w:t>
            </w:r>
          </w:p>
        </w:tc>
        <w:tc>
          <w:tcPr>
            <w:tcW w:type="dxa" w:w="1138"/>
          </w:tcPr>
          <w:p>
            <w:pPr>
              <w:spacing w:after="20"/>
              <w:jc w:val="right"/>
            </w:pPr>
            <w:r>
              <w:rPr>
                <w:color w:val="1C3A36"/>
                <w:sz w:val="17"/>
              </w:rPr>
              <w:t>1,385</w:t>
            </w:r>
          </w:p>
        </w:tc>
        <w:tc>
          <w:tcPr>
            <w:tcW w:type="dxa" w:w="1138"/>
          </w:tcPr>
          <w:p>
            <w:pPr>
              <w:spacing w:after="20"/>
              <w:jc w:val="right"/>
            </w:pPr>
            <w:r>
              <w:rPr>
                <w:color w:val="1C3A36"/>
                <w:sz w:val="17"/>
              </w:rPr>
              <w:t>1,448</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976</w:t>
            </w:r>
          </w:p>
        </w:tc>
        <w:tc>
          <w:tcPr>
            <w:tcW w:type="dxa" w:w="1138"/>
            <w:shd w:val="clear" w:color="auto" w:fill="F6F1E6"/>
          </w:tcPr>
          <w:p>
            <w:pPr>
              <w:spacing w:after="20"/>
              <w:jc w:val="right"/>
            </w:pPr>
            <w:r>
              <w:rPr>
                <w:b/>
                <w:color w:val="1C3A36"/>
                <w:sz w:val="17"/>
              </w:rPr>
              <w:t>1,251</w:t>
            </w:r>
          </w:p>
        </w:tc>
        <w:tc>
          <w:tcPr>
            <w:tcW w:type="dxa" w:w="1138"/>
            <w:shd w:val="clear" w:color="auto" w:fill="F6F1E6"/>
          </w:tcPr>
          <w:p>
            <w:pPr>
              <w:spacing w:after="20"/>
              <w:jc w:val="right"/>
            </w:pPr>
            <w:r>
              <w:rPr>
                <w:b/>
                <w:color w:val="1C3A36"/>
                <w:sz w:val="17"/>
              </w:rPr>
              <w:t>1,315</w:t>
            </w:r>
          </w:p>
        </w:tc>
        <w:tc>
          <w:tcPr>
            <w:tcW w:type="dxa" w:w="1138"/>
            <w:shd w:val="clear" w:color="auto" w:fill="F6F1E6"/>
          </w:tcPr>
          <w:p>
            <w:pPr>
              <w:spacing w:after="20"/>
              <w:jc w:val="right"/>
            </w:pPr>
            <w:r>
              <w:rPr>
                <w:b/>
                <w:color w:val="1C3A36"/>
                <w:sz w:val="17"/>
              </w:rPr>
              <w:t>1,429</w:t>
            </w:r>
          </w:p>
        </w:tc>
        <w:tc>
          <w:tcPr>
            <w:tcW w:type="dxa" w:w="1138"/>
            <w:shd w:val="clear" w:color="auto" w:fill="F6F1E6"/>
          </w:tcPr>
          <w:p>
            <w:pPr>
              <w:spacing w:after="20"/>
              <w:jc w:val="right"/>
            </w:pPr>
            <w:r>
              <w:rPr>
                <w:b/>
                <w:color w:val="1C3A36"/>
                <w:sz w:val="17"/>
              </w:rPr>
              <w:t>1,533</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907</w:t>
            </w:r>
          </w:p>
        </w:tc>
        <w:tc>
          <w:tcPr>
            <w:tcW w:type="dxa" w:w="1138"/>
          </w:tcPr>
          <w:p>
            <w:pPr>
              <w:spacing w:after="20"/>
              <w:jc w:val="right"/>
            </w:pPr>
            <w:r>
              <w:rPr>
                <w:color w:val="1C3A36"/>
                <w:sz w:val="17"/>
              </w:rPr>
              <w:t>1,081</w:t>
            </w:r>
          </w:p>
        </w:tc>
        <w:tc>
          <w:tcPr>
            <w:tcW w:type="dxa" w:w="1138"/>
          </w:tcPr>
          <w:p>
            <w:pPr>
              <w:spacing w:after="20"/>
              <w:jc w:val="right"/>
            </w:pPr>
            <w:r>
              <w:rPr>
                <w:color w:val="1C3A36"/>
                <w:sz w:val="17"/>
              </w:rPr>
              <w:t>1,057</w:t>
            </w:r>
          </w:p>
        </w:tc>
        <w:tc>
          <w:tcPr>
            <w:tcW w:type="dxa" w:w="1138"/>
          </w:tcPr>
          <w:p>
            <w:pPr>
              <w:spacing w:after="20"/>
              <w:jc w:val="right"/>
            </w:pPr>
            <w:r>
              <w:rPr>
                <w:color w:val="1C3A36"/>
                <w:sz w:val="17"/>
              </w:rPr>
              <w:t>1,068</w:t>
            </w:r>
          </w:p>
        </w:tc>
        <w:tc>
          <w:tcPr>
            <w:tcW w:type="dxa" w:w="1138"/>
          </w:tcPr>
          <w:p>
            <w:pPr>
              <w:spacing w:after="20"/>
              <w:jc w:val="right"/>
            </w:pPr>
            <w:r>
              <w:rPr>
                <w:color w:val="1C3A36"/>
                <w:sz w:val="17"/>
              </w:rPr>
              <w:t>1,065</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5,538</w:t>
            </w:r>
          </w:p>
        </w:tc>
        <w:tc>
          <w:tcPr>
            <w:tcW w:type="dxa" w:w="1368"/>
          </w:tcPr>
          <w:p>
            <w:pPr>
              <w:spacing w:after="20"/>
              <w:jc w:val="right"/>
            </w:pPr>
            <w:r>
              <w:rPr>
                <w:color w:val="1C3A36"/>
                <w:sz w:val="16"/>
              </w:rPr>
              <w:t>5,178</w:t>
            </w:r>
          </w:p>
        </w:tc>
        <w:tc>
          <w:tcPr>
            <w:tcW w:type="dxa" w:w="4176"/>
          </w:tcPr>
          <w:p>
            <w:pPr>
              <w:spacing w:after="20"/>
              <w:jc w:val="right"/>
            </w:pPr>
            <w:r>
              <w:rPr>
                <w:color w:val="1C3A36"/>
                <w:sz w:val="16"/>
              </w:rPr>
              <w:t>sum of the present-value rows above</w:t>
            </w:r>
          </w:p>
        </w:tc>
      </w:tr>
      <w:tr>
        <w:tc>
          <w:tcPr>
            <w:tcW w:type="dxa" w:w="3168"/>
          </w:tcPr>
          <w:p>
            <w:pPr>
              <w:spacing w:after="20"/>
            </w:pPr>
            <w:r>
              <w:rPr>
                <w:color w:val="1C3A36"/>
                <w:sz w:val="16"/>
              </w:rPr>
              <w:t>Terminal value</w:t>
            </w:r>
          </w:p>
        </w:tc>
        <w:tc>
          <w:tcPr>
            <w:tcW w:type="dxa" w:w="1368"/>
          </w:tcPr>
          <w:p>
            <w:pPr>
              <w:spacing w:after="20"/>
              <w:jc w:val="right"/>
            </w:pPr>
            <w:r>
              <w:rPr>
                <w:color w:val="1C3A36"/>
                <w:sz w:val="16"/>
              </w:rPr>
              <w:t>27,727</w:t>
            </w:r>
          </w:p>
        </w:tc>
        <w:tc>
          <w:tcPr>
            <w:tcW w:type="dxa" w:w="1368"/>
          </w:tcPr>
          <w:p>
            <w:pPr>
              <w:spacing w:after="20"/>
              <w:jc w:val="right"/>
            </w:pPr>
            <w:r>
              <w:rPr>
                <w:color w:val="1C3A36"/>
                <w:sz w:val="16"/>
              </w:rPr>
              <w:t>25,927</w:t>
            </w:r>
          </w:p>
        </w:tc>
        <w:tc>
          <w:tcPr>
            <w:tcW w:type="dxa" w:w="4176"/>
          </w:tcPr>
          <w:p>
            <w:pPr>
              <w:spacing w:after="20"/>
              <w:jc w:val="right"/>
            </w:pPr>
            <w:r>
              <w:rPr>
                <w:color w:val="1C3A36"/>
                <w:sz w:val="16"/>
              </w:rPr>
              <w:t>final-year NOPAT grown 2.5% × (1 − reinvestment rate 10.8%), capitalised at 7.61% − 2.5%. The reinvestment rate is forced to growth ÷ terminal return on capital (23.2%) so growth is paid for</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19,212</w:t>
            </w:r>
          </w:p>
        </w:tc>
        <w:tc>
          <w:tcPr>
            <w:tcW w:type="dxa" w:w="1368"/>
          </w:tcPr>
          <w:p>
            <w:pPr>
              <w:spacing w:after="20"/>
              <w:jc w:val="right"/>
            </w:pPr>
            <w:r>
              <w:rPr>
                <w:color w:val="1C3A36"/>
                <w:sz w:val="16"/>
              </w:rPr>
              <w:t>18,006</w:t>
            </w:r>
          </w:p>
        </w:tc>
        <w:tc>
          <w:tcPr>
            <w:tcW w:type="dxa" w:w="4176"/>
          </w:tcPr>
          <w:p>
            <w:pPr>
              <w:spacing w:after="20"/>
              <w:jc w:val="right"/>
            </w:pPr>
            <w:r>
              <w:rPr>
                <w:color w:val="1C3A36"/>
                <w:sz w:val="16"/>
              </w:rPr>
              <w:t>discounted at the year-5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24,750</w:t>
            </w:r>
          </w:p>
        </w:tc>
        <w:tc>
          <w:tcPr>
            <w:tcW w:type="dxa" w:w="1368"/>
            <w:shd w:val="clear" w:color="auto" w:fill="F6F1E6"/>
          </w:tcPr>
          <w:p>
            <w:pPr>
              <w:spacing w:after="20"/>
              <w:jc w:val="right"/>
            </w:pPr>
            <w:r>
              <w:rPr>
                <w:b/>
                <w:color w:val="1C3A36"/>
                <w:sz w:val="16"/>
              </w:rPr>
              <w:t>23,184</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77.6%</w:t>
            </w:r>
          </w:p>
        </w:tc>
        <w:tc>
          <w:tcPr>
            <w:tcW w:type="dxa" w:w="1368"/>
          </w:tcPr>
          <w:p>
            <w:pPr>
              <w:spacing w:after="20"/>
              <w:jc w:val="right"/>
            </w:pPr>
            <w:r>
              <w:rPr>
                <w:color w:val="1C3A36"/>
                <w:sz w:val="16"/>
              </w:rPr>
              <w:t>77.7%</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is excluded from the operating model for the same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(234)</w:t>
            </w:r>
          </w:p>
        </w:tc>
        <w:tc>
          <w:tcPr>
            <w:tcW w:type="dxa" w:w="1368"/>
          </w:tcPr>
          <w:p>
            <w:pPr>
              <w:spacing w:after="20"/>
              <w:jc w:val="right"/>
            </w:pPr>
            <w:r>
              <w:rPr>
                <w:color w:val="1C3A36"/>
                <w:sz w:val="16"/>
              </w:rPr>
              <w:t>(217)</w:t>
            </w:r>
          </w:p>
        </w:tc>
        <w:tc>
          <w:tcPr>
            <w:tcW w:type="dxa" w:w="4176"/>
          </w:tcPr>
          <w:p>
            <w:pPr>
              <w:spacing w:after="20"/>
              <w:jc w:val="right"/>
            </w:pPr>
            <w:r>
              <w:rPr>
                <w:color w:val="1C3A36"/>
                <w:sz w:val="16"/>
              </w:rPr>
              <w:t>minorities (the 30%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21,821</w:t>
            </w:r>
          </w:p>
        </w:tc>
        <w:tc>
          <w:tcPr>
            <w:tcW w:type="dxa" w:w="1368"/>
          </w:tcPr>
          <w:p>
            <w:pPr>
              <w:spacing w:after="20"/>
              <w:jc w:val="right"/>
            </w:pPr>
            <w:r>
              <w:rPr>
                <w:color w:val="1C3A36"/>
                <w:sz w:val="16"/>
              </w:rPr>
              <w:t>20,272</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2.182</w:t>
            </w:r>
          </w:p>
        </w:tc>
        <w:tc>
          <w:tcPr>
            <w:tcW w:type="dxa" w:w="1368"/>
            <w:shd w:val="clear" w:color="auto" w:fill="F6F1E6"/>
          </w:tcPr>
          <w:p>
            <w:pPr>
              <w:spacing w:after="20"/>
              <w:jc w:val="right"/>
            </w:pPr>
            <w:r>
              <w:rPr>
                <w:b/>
                <w:color w:val="1C3A36"/>
                <w:sz w:val="16"/>
              </w:rPr>
              <w:t>2.027</w:t>
            </w:r>
          </w:p>
        </w:tc>
        <w:tc>
          <w:tcPr>
            <w:tcW w:type="dxa" w:w="4176"/>
            <w:shd w:val="clear" w:color="auto" w:fill="F6F1E6"/>
          </w:tcPr>
          <w:p>
            <w:pPr>
              <w:spacing w:after="20"/>
              <w:jc w:val="right"/>
            </w:pPr>
            <w:r>
              <w:rPr>
                <w:b/>
                <w:color w:val="1C3A36"/>
                <w:sz w:val="16"/>
              </w:rPr>
              <w:t>against a spot of 1.50: +45% and +35% respectively</w:t>
            </w:r>
          </w:p>
        </w:tc>
      </w:tr>
    </w:tbl>
    <w:p>
      <w:pPr>
        <w:spacing w:after="40"/>
      </w:pPr>
    </w:p>
    <w:p>
      <w:pPr>
        <w:spacing w:after="200" w:before="0"/>
      </w:pPr>
      <w:r>
        <w:rPr>
          <w:b w:val="0"/>
          <w:i/>
          <w:color w:val="6E7B77"/>
          <w:sz w:val="17"/>
        </w:rPr>
        <w:t>The valuation is struck on the 30 June 2026 reviewed balance sheet against an anchor price five weeks later; no accretion roll is applied across that short window. The difference between the two columns — AED 0.155 per share, 7.1%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4.5×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4.9× book at the 8.24% cost of equity and 2.5% growth — AED 1.630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0.058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w:t>
            </w:r>
          </w:p>
        </w:tc>
        <w:tc>
          <w:tcPr>
            <w:tcW w:type="dxa" w:w="1354"/>
          </w:tcPr>
          <w:p>
            <w:pPr>
              <w:spacing w:after="20"/>
              <w:jc w:val="right"/>
            </w:pPr>
            <w:r>
              <w:rPr>
                <w:color w:val="1C3A36"/>
                <w:sz w:val="17"/>
              </w:rPr>
              <w:t>10.7×</w:t>
            </w:r>
          </w:p>
        </w:tc>
        <w:tc>
          <w:tcPr>
            <w:tcW w:type="dxa" w:w="5112"/>
          </w:tcPr>
          <w:p>
            <w:pPr>
              <w:spacing w:after="20"/>
              <w:jc w:val="right"/>
            </w:pPr>
            <w:r>
              <w:rPr>
                <w:color w:val="1C3A36"/>
                <w:sz w:val="17"/>
              </w:rPr>
              <w:t>the only listed pure district-cooling peer (Dubai Financial Market); derived from its market value plus net debt over 2025 EBITDA, and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2026E EBITDA</w:t>
            </w:r>
          </w:p>
        </w:tc>
        <w:tc>
          <w:tcPr>
            <w:tcW w:type="dxa" w:w="1354"/>
          </w:tcPr>
          <w:p>
            <w:pPr>
              <w:spacing w:after="20"/>
              <w:jc w:val="right"/>
            </w:pPr>
            <w:r>
              <w:rPr>
                <w:color w:val="1C3A36"/>
                <w:sz w:val="17"/>
              </w:rPr>
              <w:t>1,702</w:t>
            </w:r>
          </w:p>
        </w:tc>
        <w:tc>
          <w:tcPr>
            <w:tcW w:type="dxa" w:w="5112"/>
          </w:tcPr>
          <w:p>
            <w:pPr>
              <w:spacing w:after="20"/>
              <w:jc w:val="right"/>
            </w:pPr>
            <w:r>
              <w:rPr>
                <w:color w:val="1C3A36"/>
                <w:sz w:val="17"/>
              </w:rPr>
              <w:t>the base-case build, shock year included</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18,216</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1.536</w:t>
            </w:r>
          </w:p>
        </w:tc>
        <w:tc>
          <w:tcPr>
            <w:tcW w:type="dxa" w:w="5112"/>
            <w:shd w:val="clear" w:color="auto" w:fill="F6F1E6"/>
          </w:tcPr>
          <w:p>
            <w:pPr>
              <w:spacing w:after="20"/>
              <w:jc w:val="right"/>
            </w:pPr>
            <w:r>
              <w:rPr>
                <w:b/>
                <w:color w:val="1C3A36"/>
                <w:sz w:val="17"/>
              </w:rPr>
              <w:t>+2% against spot</w:t>
            </w:r>
          </w:p>
        </w:tc>
      </w:tr>
      <w:tr>
        <w:tc>
          <w:tcPr>
            <w:tcW w:type="dxa" w:w="3614"/>
          </w:tcPr>
          <w:p>
            <w:pPr>
              <w:spacing w:after="20"/>
            </w:pPr>
            <w:r>
              <w:rPr>
                <w:color w:val="1C3A36"/>
                <w:sz w:val="17"/>
              </w:rPr>
              <w:t>Tabreed price/earnings 16.6× on 2026E attributable profit of 1,025</w:t>
            </w:r>
          </w:p>
        </w:tc>
        <w:tc>
          <w:tcPr>
            <w:tcW w:type="dxa" w:w="1354"/>
          </w:tcPr>
          <w:p>
            <w:pPr>
              <w:spacing w:after="20"/>
              <w:jc w:val="right"/>
            </w:pPr>
            <w:r>
              <w:rPr>
                <w:color w:val="1C3A36"/>
                <w:sz w:val="17"/>
              </w:rPr>
              <w:t>1.701</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(1.536 against 2.182)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justified multiple of 16.4× — built from the sustainable return on equity (30.5%), the retention that 2.5% growth requires, and the 8.24% cost of equity — that is AED 1.724 per share (1.610 if the 15% minimum tax applies).</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w:t>
            </w:r>
          </w:p>
        </w:tc>
        <w:tc>
          <w:tcPr>
            <w:tcW w:type="dxa" w:w="1195"/>
          </w:tcPr>
          <w:p>
            <w:pPr>
              <w:spacing w:after="20"/>
              <w:jc w:val="right"/>
            </w:pPr>
            <w:r>
              <w:rPr>
                <w:color w:val="1C3A36"/>
                <w:sz w:val="17"/>
              </w:rPr>
              <w:t>2.182</w:t>
            </w:r>
          </w:p>
        </w:tc>
        <w:tc>
          <w:tcPr>
            <w:tcW w:type="dxa" w:w="1195"/>
          </w:tcPr>
          <w:p>
            <w:pPr>
              <w:spacing w:after="20"/>
              <w:jc w:val="right"/>
            </w:pPr>
            <w:r>
              <w:rPr>
                <w:color w:val="1C3A36"/>
                <w:sz w:val="17"/>
              </w:rPr>
              <w:t>2.027</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1.536</w:t>
            </w:r>
          </w:p>
        </w:tc>
        <w:tc>
          <w:tcPr>
            <w:tcW w:type="dxa" w:w="1195"/>
          </w:tcPr>
          <w:p>
            <w:pPr>
              <w:spacing w:after="20"/>
              <w:jc w:val="right"/>
            </w:pPr>
            <w:r>
              <w:rPr>
                <w:color w:val="1C3A36"/>
                <w:sz w:val="17"/>
              </w:rPr>
              <w:t>1.536</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1.724</w:t>
            </w:r>
          </w:p>
        </w:tc>
        <w:tc>
          <w:tcPr>
            <w:tcW w:type="dxa" w:w="1195"/>
          </w:tcPr>
          <w:p>
            <w:pPr>
              <w:spacing w:after="20"/>
              <w:jc w:val="right"/>
            </w:pPr>
            <w:r>
              <w:rPr>
                <w:color w:val="1C3A36"/>
                <w:sz w:val="17"/>
              </w:rPr>
              <w:t>1.610</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1.630</w:t>
            </w:r>
          </w:p>
        </w:tc>
        <w:tc>
          <w:tcPr>
            <w:tcW w:type="dxa" w:w="1195"/>
          </w:tcPr>
          <w:p>
            <w:pPr>
              <w:spacing w:after="20"/>
              <w:jc w:val="right"/>
            </w:pPr>
            <w:r>
              <w:rPr>
                <w:color w:val="1C3A36"/>
                <w:sz w:val="17"/>
              </w:rPr>
              <w:t>1.630</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w:t>
            </w:r>
          </w:p>
        </w:tc>
        <w:tc>
          <w:tcPr>
            <w:tcW w:type="dxa" w:w="1195"/>
            <w:shd w:val="clear" w:color="auto" w:fill="F6F1E6"/>
          </w:tcPr>
          <w:p>
            <w:pPr>
              <w:spacing w:after="20"/>
              <w:jc w:val="right"/>
            </w:pPr>
            <w:r>
              <w:rPr>
                <w:b/>
                <w:color w:val="1C3A36"/>
                <w:sz w:val="17"/>
              </w:rPr>
              <w:t>1.901</w:t>
            </w:r>
          </w:p>
        </w:tc>
        <w:tc>
          <w:tcPr>
            <w:tcW w:type="dxa" w:w="1195"/>
            <w:shd w:val="clear" w:color="auto" w:fill="F6F1E6"/>
          </w:tcPr>
          <w:p>
            <w:pPr>
              <w:spacing w:after="20"/>
              <w:jc w:val="right"/>
            </w:pPr>
            <w:r>
              <w:rPr>
                <w:b/>
                <w:color w:val="1C3A36"/>
                <w:sz w:val="17"/>
              </w:rPr>
              <w:t>1.807</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1.563</w:t>
            </w:r>
          </w:p>
        </w:tc>
        <w:tc>
          <w:tcPr>
            <w:tcW w:type="dxa" w:w="1195"/>
          </w:tcPr>
          <w:p>
            <w:pPr>
              <w:spacing w:after="20"/>
              <w:jc w:val="right"/>
            </w:pPr>
            <w:r>
              <w:rPr>
                <w:color w:val="1C3A36"/>
                <w:sz w:val="17"/>
              </w:rPr>
              <w:t>1.563</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1.461 to 2.221 bear to bull. Both tax columns are carried through every row; nothing is averaged across them.</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base case — the crux, section 1.7.</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398mn in 2025 across cost of sales and administration) escalate on a UAE wage path of 2.5% a year. Interest income on the airport concession receivable amortises slowly down. The build reproduces audited 2025 EBITDA of AED 1,642mn exactly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 (AED mn)</w:t>
            </w:r>
          </w:p>
        </w:tc>
        <w:tc>
          <w:tcPr>
            <w:tcW w:type="dxa" w:w="1152"/>
          </w:tcPr>
          <w:p>
            <w:pPr>
              <w:spacing w:after="20"/>
              <w:jc w:val="right"/>
            </w:pPr>
            <w:r>
              <w:rPr>
                <w:color w:val="1C3A36"/>
                <w:sz w:val="16"/>
              </w:rPr>
              <w:t>1,702</w:t>
            </w:r>
          </w:p>
        </w:tc>
        <w:tc>
          <w:tcPr>
            <w:tcW w:type="dxa" w:w="1152"/>
          </w:tcPr>
          <w:p>
            <w:pPr>
              <w:spacing w:after="20"/>
              <w:jc w:val="right"/>
            </w:pPr>
            <w:r>
              <w:rPr>
                <w:color w:val="1C3A36"/>
                <w:sz w:val="16"/>
              </w:rPr>
              <w:t>1,843</w:t>
            </w:r>
          </w:p>
        </w:tc>
        <w:tc>
          <w:tcPr>
            <w:tcW w:type="dxa" w:w="1152"/>
          </w:tcPr>
          <w:p>
            <w:pPr>
              <w:spacing w:after="20"/>
              <w:jc w:val="right"/>
            </w:pPr>
            <w:r>
              <w:rPr>
                <w:color w:val="1C3A36"/>
                <w:sz w:val="16"/>
              </w:rPr>
              <w:t>1,945</w:t>
            </w:r>
          </w:p>
        </w:tc>
        <w:tc>
          <w:tcPr>
            <w:tcW w:type="dxa" w:w="1152"/>
          </w:tcPr>
          <w:p>
            <w:pPr>
              <w:spacing w:after="20"/>
              <w:jc w:val="right"/>
            </w:pPr>
            <w:r>
              <w:rPr>
                <w:color w:val="1C3A36"/>
                <w:sz w:val="16"/>
              </w:rPr>
              <w:t>2,034</w:t>
            </w:r>
          </w:p>
        </w:tc>
        <w:tc>
          <w:tcPr>
            <w:tcW w:type="dxa" w:w="1152"/>
          </w:tcPr>
          <w:p>
            <w:pPr>
              <w:spacing w:after="20"/>
              <w:jc w:val="right"/>
            </w:pPr>
            <w:r>
              <w:rPr>
                <w:color w:val="1C3A36"/>
                <w:sz w:val="16"/>
              </w:rPr>
              <w:t>2,112</w:t>
            </w:r>
          </w:p>
        </w:tc>
      </w:tr>
      <w:tr>
        <w:tc>
          <w:tcPr>
            <w:tcW w:type="dxa" w:w="4320"/>
            <w:shd w:val="clear" w:color="auto" w:fill="F6F1E6"/>
          </w:tcPr>
          <w:p>
            <w:pPr>
              <w:spacing w:after="20"/>
            </w:pPr>
            <w:r>
              <w:rPr>
                <w:b/>
                <w:color w:val="1C3A36"/>
                <w:sz w:val="16"/>
              </w:rPr>
              <w:t>EBITDA margin — an OUTPUT</w:t>
            </w:r>
          </w:p>
        </w:tc>
        <w:tc>
          <w:tcPr>
            <w:tcW w:type="dxa" w:w="1152"/>
            <w:shd w:val="clear" w:color="auto" w:fill="F6F1E6"/>
          </w:tcPr>
          <w:p>
            <w:pPr>
              <w:spacing w:after="20"/>
              <w:jc w:val="right"/>
            </w:pPr>
            <w:r>
              <w:rPr>
                <w:b/>
                <w:color w:val="1C3A36"/>
                <w:sz w:val="16"/>
              </w:rPr>
              <w:t>48.6%</w:t>
            </w:r>
          </w:p>
        </w:tc>
        <w:tc>
          <w:tcPr>
            <w:tcW w:type="dxa" w:w="1152"/>
            <w:shd w:val="clear" w:color="auto" w:fill="F6F1E6"/>
          </w:tcPr>
          <w:p>
            <w:pPr>
              <w:spacing w:after="20"/>
              <w:jc w:val="right"/>
            </w:pPr>
            <w:r>
              <w:rPr>
                <w:b/>
                <w:color w:val="1C3A36"/>
                <w:sz w:val="16"/>
              </w:rPr>
              <w:t>48.0%</w:t>
            </w:r>
          </w:p>
        </w:tc>
        <w:tc>
          <w:tcPr>
            <w:tcW w:type="dxa" w:w="1152"/>
            <w:shd w:val="clear" w:color="auto" w:fill="F6F1E6"/>
          </w:tcPr>
          <w:p>
            <w:pPr>
              <w:spacing w:after="20"/>
              <w:jc w:val="right"/>
            </w:pPr>
            <w:r>
              <w:rPr>
                <w:b/>
                <w:color w:val="1C3A36"/>
                <w:sz w:val="16"/>
              </w:rPr>
              <w:t>48.1%</w:t>
            </w:r>
          </w:p>
        </w:tc>
        <w:tc>
          <w:tcPr>
            <w:tcW w:type="dxa" w:w="1152"/>
            <w:shd w:val="clear" w:color="auto" w:fill="F6F1E6"/>
          </w:tcPr>
          <w:p>
            <w:pPr>
              <w:spacing w:after="20"/>
              <w:jc w:val="right"/>
            </w:pPr>
            <w:r>
              <w:rPr>
                <w:b/>
                <w:color w:val="1C3A36"/>
                <w:sz w:val="16"/>
              </w:rPr>
              <w:t>48.2%</w:t>
            </w:r>
          </w:p>
        </w:tc>
        <w:tc>
          <w:tcPr>
            <w:tcW w:type="dxa" w:w="1152"/>
            <w:shd w:val="clear" w:color="auto" w:fill="F6F1E6"/>
          </w:tcPr>
          <w:p>
            <w:pPr>
              <w:spacing w:after="20"/>
              <w:jc w:val="right"/>
            </w:pPr>
            <w:r>
              <w:rPr>
                <w:b/>
                <w:color w:val="1C3A36"/>
                <w:sz w:val="16"/>
              </w:rPr>
              <w:t>48.2%</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It dips in the shock year, then recovers toward the audited range (47.6–50.5%) as consumption normalises and the connected base grows into the cost stack.</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base case lets it recover to the 2025 level through 2027, on the view that the loss is hospitality-linked and the truce holds. The alternative is computed as a FULL model, not a sensitivity: usage never recovers.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base</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2.083</w:t>
            </w:r>
          </w:p>
        </w:tc>
        <w:tc>
          <w:tcPr>
            <w:tcW w:type="dxa" w:w="1296"/>
          </w:tcPr>
          <w:p>
            <w:pPr>
              <w:spacing w:after="20"/>
              <w:jc w:val="right"/>
            </w:pPr>
            <w:r>
              <w:rPr>
                <w:color w:val="1C3A36"/>
                <w:sz w:val="17"/>
              </w:rPr>
              <w:t>-4.5%</w:t>
            </w:r>
          </w:p>
        </w:tc>
      </w:tr>
      <w:tr>
        <w:tc>
          <w:tcPr>
            <w:tcW w:type="dxa" w:w="4104"/>
          </w:tcPr>
          <w:p>
            <w:pPr>
              <w:spacing w:after="20"/>
            </w:pPr>
            <w:r>
              <w:rPr>
                <w:color w:val="1C3A36"/>
                <w:sz w:val="17"/>
              </w:rPr>
              <w:t>94% of the 2025 level  — the never-recovers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2.123</w:t>
            </w:r>
          </w:p>
        </w:tc>
        <w:tc>
          <w:tcPr>
            <w:tcW w:type="dxa" w:w="1296"/>
          </w:tcPr>
          <w:p>
            <w:pPr>
              <w:spacing w:after="20"/>
              <w:jc w:val="right"/>
            </w:pPr>
            <w:r>
              <w:rPr>
                <w:color w:val="1C3A36"/>
                <w:sz w:val="17"/>
              </w:rPr>
              <w:t>-2.7%</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2.152</w:t>
            </w:r>
          </w:p>
        </w:tc>
        <w:tc>
          <w:tcPr>
            <w:tcW w:type="dxa" w:w="1296"/>
          </w:tcPr>
          <w:p>
            <w:pPr>
              <w:spacing w:after="20"/>
              <w:jc w:val="right"/>
            </w:pPr>
            <w:r>
              <w:rPr>
                <w:color w:val="1C3A36"/>
                <w:sz w:val="17"/>
              </w:rPr>
              <w:t>-1.4%</w:t>
            </w:r>
          </w:p>
        </w:tc>
      </w:tr>
      <w:tr>
        <w:tc>
          <w:tcPr>
            <w:tcW w:type="dxa" w:w="4104"/>
            <w:shd w:val="clear" w:color="auto" w:fill="F6F1E6"/>
          </w:tcPr>
          <w:p>
            <w:pPr>
              <w:spacing w:after="20"/>
            </w:pPr>
            <w:r>
              <w:rPr>
                <w:b/>
                <w:color w:val="1C3A36"/>
                <w:sz w:val="17"/>
              </w:rPr>
              <w:t>100% of the 2025 level  — the base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2.182</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2.212</w:t>
            </w:r>
          </w:p>
        </w:tc>
        <w:tc>
          <w:tcPr>
            <w:tcW w:type="dxa" w:w="1296"/>
          </w:tcPr>
          <w:p>
            <w:pPr>
              <w:spacing w:after="20"/>
              <w:jc w:val="right"/>
            </w:pPr>
            <w:r>
              <w:rPr>
                <w:color w:val="1C3A36"/>
                <w:sz w:val="17"/>
              </w:rPr>
              <w:t>+1.4%</w:t>
            </w:r>
          </w:p>
        </w:tc>
      </w:tr>
    </w:tbl>
    <w:p>
      <w:pPr>
        <w:spacing w:after="40"/>
      </w:pPr>
    </w:p>
    <w:p>
      <w:pPr>
        <w:spacing w:after="120" w:before="0"/>
      </w:pPr>
      <w:r>
        <w:rPr>
          <w:b w:val="0"/>
          <w:i w:val="0"/>
          <w:color w:val="1C3A36"/>
          <w:sz w:val="21"/>
        </w:rPr>
        <w:t>The finding is the study's headline: permanent loss of the entire shock — the never-recovers case — moves the discounted-cash-flow value from 2.182 to 2.123, just 2.7% (1.971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and its longest print — the January-2031 tranche auctioned on 30 July 2026 — yields 4.48%. The conflict is the macro event: the market index fell 21.9% peak to trough, GDP guidance was cut from 5.6% to 1.7%,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longest AED sovereign print (4.4-year tenor; the gap to the five-year-plus cash-flow horizon is flagged as a limitation)</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0.863</w:t>
            </w:r>
          </w:p>
        </w:tc>
        <w:tc>
          <w:tcPr>
            <w:tcW w:type="dxa" w:w="1512"/>
          </w:tcPr>
          <w:p>
            <w:pPr>
              <w:spacing w:after="20"/>
              <w:jc w:val="right"/>
            </w:pPr>
            <w:r>
              <w:rPr>
                <w:color w:val="1C3A36"/>
                <w:sz w:val="16"/>
              </w:rPr>
              <w:t>0.863</w:t>
            </w:r>
          </w:p>
        </w:tc>
        <w:tc>
          <w:tcPr>
            <w:tcW w:type="dxa" w:w="4824"/>
          </w:tcPr>
          <w:p>
            <w:pPr>
              <w:spacing w:after="20"/>
              <w:jc w:val="right"/>
            </w:pPr>
            <w:r>
              <w:rPr>
                <w:color w:val="1C3A36"/>
                <w:sz w:val="16"/>
              </w:rPr>
              <w:t>own-stock weekly regression against the FTSE ADX General Index — adopted as the UAE market index for this study by instruction; the same regression against the listing exchange's own DFM index gives 0.652 and is kept as a comparison — over the full listing window (3.7 years, n=189): R² 0.103, standard error 0.186, 90% interval 0.56–1.17</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8.24%</w:t>
            </w:r>
          </w:p>
        </w:tc>
        <w:tc>
          <w:tcPr>
            <w:tcW w:type="dxa" w:w="1512"/>
            <w:shd w:val="clear" w:color="auto" w:fill="F6F1E6"/>
          </w:tcPr>
          <w:p>
            <w:pPr>
              <w:spacing w:after="20"/>
              <w:jc w:val="right"/>
            </w:pPr>
            <w:r>
              <w:rPr>
                <w:b/>
                <w:color w:val="1C3A36"/>
                <w:sz w:val="16"/>
              </w:rPr>
              <w:t>8.28%</w:t>
            </w:r>
          </w:p>
        </w:tc>
        <w:tc>
          <w:tcPr>
            <w:tcW w:type="dxa" w:w="4824"/>
            <w:shd w:val="clear" w:color="auto" w:fill="F6F1E6"/>
          </w:tcPr>
          <w:p>
            <w:pPr>
              <w:spacing w:after="20"/>
              <w:jc w:val="right"/>
            </w:pPr>
            <w:r>
              <w:rPr>
                <w:b/>
                <w:color w:val="1C3A36"/>
                <w:sz w:val="16"/>
              </w:rPr>
              <w:t>the two constructions CONVERGE to within a few basis points — the contested choice of basis is priced and turns out to cost nothing</w:t>
            </w:r>
          </w:p>
        </w:tc>
      </w:tr>
      <w:tr>
        <w:tc>
          <w:tcPr>
            <w:tcW w:type="dxa" w:w="2232"/>
          </w:tcPr>
          <w:p>
            <w:pPr>
              <w:spacing w:after="20"/>
            </w:pPr>
            <w:r>
              <w:rPr>
                <w:color w:val="1C3A36"/>
                <w:sz w:val="16"/>
              </w:rPr>
              <w:t>Cost of debt (marginal)</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2025 borrowing-cost capitalisation rate, struck on the full refinance of both AED 2.75bn facilities at a reduced margin over EIBOR —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83.4% / 16.6%</w:t>
            </w:r>
          </w:p>
        </w:tc>
        <w:tc>
          <w:tcPr>
            <w:tcW w:type="dxa" w:w="1512"/>
          </w:tcPr>
          <w:p>
            <w:pPr>
              <w:spacing w:after="20"/>
              <w:jc w:val="right"/>
            </w:pPr>
            <w:r>
              <w:rPr>
                <w:color w:val="1C3A36"/>
                <w:sz w:val="16"/>
              </w:rPr>
              <w:t>83.4% / 16.6%</w:t>
            </w:r>
          </w:p>
        </w:tc>
        <w:tc>
          <w:tcPr>
            <w:tcW w:type="dxa" w:w="4824"/>
          </w:tcPr>
          <w:p>
            <w:pPr>
              <w:spacing w:after="20"/>
              <w:jc w:val="right"/>
            </w:pPr>
            <w:r>
              <w:rPr>
                <w:color w:val="1C3A36"/>
                <w:sz w:val="16"/>
              </w:rPr>
              <w:t>market value of equity at the anchor price; net debt at the reviewed June-2026 balance sheet</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7.61%</w:t>
            </w:r>
          </w:p>
        </w:tc>
        <w:tc>
          <w:tcPr>
            <w:tcW w:type="dxa" w:w="1512"/>
            <w:shd w:val="clear" w:color="auto" w:fill="F6F1E6"/>
          </w:tcPr>
          <w:p>
            <w:pPr>
              <w:spacing w:after="20"/>
              <w:jc w:val="right"/>
            </w:pPr>
            <w:r>
              <w:rPr>
                <w:b/>
                <w:color w:val="1C3A36"/>
                <w:sz w:val="16"/>
              </w:rPr>
              <w:t>7.65%</w:t>
            </w:r>
          </w:p>
        </w:tc>
        <w:tc>
          <w:tcPr>
            <w:tcW w:type="dxa" w:w="4824"/>
            <w:shd w:val="clear" w:color="auto" w:fill="F6F1E6"/>
          </w:tcPr>
          <w:p>
            <w:pPr>
              <w:spacing w:after="20"/>
              <w:jc w:val="right"/>
            </w:pPr>
            <w:r>
              <w:rPr>
                <w:b/>
                <w:color w:val="1C3A36"/>
                <w:sz w:val="16"/>
              </w:rPr>
              <w:t>the rate the base case discounts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7.56%</w:t>
            </w:r>
          </w:p>
        </w:tc>
        <w:tc>
          <w:tcPr>
            <w:tcW w:type="dxa" w:w="1512"/>
          </w:tcPr>
          <w:p>
            <w:pPr>
              <w:spacing w:after="20"/>
              <w:jc w:val="right"/>
            </w:pPr>
            <w:r>
              <w:rPr>
                <w:color w:val="1C3A36"/>
                <w:sz w:val="16"/>
              </w:rPr>
              <w:t>7.60%</w:t>
            </w:r>
          </w:p>
        </w:tc>
        <w:tc>
          <w:tcPr>
            <w:tcW w:type="dxa" w:w="4824"/>
          </w:tcPr>
          <w:p>
            <w:pPr>
              <w:spacing w:after="20"/>
              <w:jc w:val="right"/>
            </w:pPr>
            <w:r>
              <w:rPr>
                <w:color w:val="1C3A36"/>
                <w:sz w:val="16"/>
              </w:rPr>
              <w:t>marginally lower — the tax shield on debt is worth more</w:t>
            </w:r>
          </w:p>
        </w:tc>
      </w:tr>
    </w:tbl>
    <w:p>
      <w:pPr>
        <w:spacing w:after="40"/>
      </w:pPr>
    </w:p>
    <w:p>
      <w:pPr>
        <w:spacing w:after="200" w:before="0"/>
      </w:pPr>
      <w:r>
        <w:rPr>
          <w:b w:val="0"/>
          <w:i/>
          <w:color w:val="6E7B77"/>
          <w:sz w:val="17"/>
        </w:rPr>
        <w:t>No glide path is applied to the cost of debt or the cost of capital: both revolving facilities float over EIBOR, the 2025 refinance already reset the margin, and the forward curve is flat to mildly higher — a glide would be invented, not sourced.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2025 borrowing-cost capitalisation rate</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the company's audited all-in cost on its freshly refinanced book — sits 44bp above the sovereign, as it must; adopted as the marginal cost of debt</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3.66% at the study date; the exact contractual margin is not disclosed in any filing (recorded as a documented absence in the bibliography), so the capitalisation rate is the closest disclosed all-in figure</w:t>
            </w:r>
          </w:p>
        </w:tc>
      </w:tr>
    </w:tbl>
    <w:p>
      <w:pPr>
        <w:spacing w:after="40"/>
      </w:pP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and the beta's sampling error is shown so a reader can re-run the cost of equity at either end of the interval (0.56 lifts the fair value, 1.17 lowers it — the direction is worth roughly AED 0.240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1.5%</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c>
          <w:tcPr>
            <w:tcW w:type="dxa" w:w="1469"/>
            <w:shd w:val="clear" w:color="auto" w:fill="EAF0EE"/>
          </w:tcPr>
          <w:p>
            <w:pPr>
              <w:spacing w:after="20"/>
            </w:pPr>
            <w:r>
              <w:rPr>
                <w:b/>
                <w:color w:val="1C3A36"/>
                <w:sz w:val="16"/>
              </w:rPr>
              <w:t>g = 3.5%</w:t>
            </w:r>
          </w:p>
        </w:tc>
      </w:tr>
      <w:tr>
        <w:tc>
          <w:tcPr>
            <w:tcW w:type="dxa" w:w="2736"/>
          </w:tcPr>
          <w:p>
            <w:pPr>
              <w:spacing w:after="20"/>
            </w:pPr>
            <w:r>
              <w:rPr>
                <w:color w:val="1C3A36"/>
                <w:sz w:val="16"/>
              </w:rPr>
              <w:t>Cost of capital 6.61%</w:t>
            </w:r>
          </w:p>
        </w:tc>
        <w:tc>
          <w:tcPr>
            <w:tcW w:type="dxa" w:w="1469"/>
          </w:tcPr>
          <w:p>
            <w:pPr>
              <w:spacing w:after="20"/>
              <w:jc w:val="right"/>
            </w:pPr>
            <w:r>
              <w:rPr>
                <w:color w:val="1C3A36"/>
                <w:sz w:val="16"/>
              </w:rPr>
              <w:t>2.365</w:t>
            </w:r>
          </w:p>
        </w:tc>
        <w:tc>
          <w:tcPr>
            <w:tcW w:type="dxa" w:w="1469"/>
          </w:tcPr>
          <w:p>
            <w:pPr>
              <w:spacing w:after="20"/>
              <w:jc w:val="right"/>
            </w:pPr>
            <w:r>
              <w:rPr>
                <w:color w:val="1C3A36"/>
                <w:sz w:val="16"/>
              </w:rPr>
              <w:t>2.547</w:t>
            </w:r>
          </w:p>
        </w:tc>
        <w:tc>
          <w:tcPr>
            <w:tcW w:type="dxa" w:w="1469"/>
          </w:tcPr>
          <w:p>
            <w:pPr>
              <w:spacing w:after="20"/>
              <w:jc w:val="right"/>
            </w:pPr>
            <w:r>
              <w:rPr>
                <w:color w:val="1C3A36"/>
                <w:sz w:val="16"/>
              </w:rPr>
              <w:t>2.773</w:t>
            </w:r>
          </w:p>
        </w:tc>
        <w:tc>
          <w:tcPr>
            <w:tcW w:type="dxa" w:w="1469"/>
          </w:tcPr>
          <w:p>
            <w:pPr>
              <w:spacing w:after="20"/>
              <w:jc w:val="right"/>
            </w:pPr>
            <w:r>
              <w:rPr>
                <w:color w:val="1C3A36"/>
                <w:sz w:val="16"/>
              </w:rPr>
              <w:t>3.061</w:t>
            </w:r>
          </w:p>
        </w:tc>
        <w:tc>
          <w:tcPr>
            <w:tcW w:type="dxa" w:w="1469"/>
          </w:tcPr>
          <w:p>
            <w:pPr>
              <w:spacing w:after="20"/>
              <w:jc w:val="right"/>
            </w:pPr>
            <w:r>
              <w:rPr>
                <w:color w:val="1C3A36"/>
                <w:sz w:val="16"/>
              </w:rPr>
              <w:t>3.441</w:t>
            </w:r>
          </w:p>
        </w:tc>
      </w:tr>
      <w:tr>
        <w:tc>
          <w:tcPr>
            <w:tcW w:type="dxa" w:w="2736"/>
          </w:tcPr>
          <w:p>
            <w:pPr>
              <w:spacing w:after="20"/>
            </w:pPr>
            <w:r>
              <w:rPr>
                <w:color w:val="1C3A36"/>
                <w:sz w:val="16"/>
              </w:rPr>
              <w:t>Cost of capital 7.11%</w:t>
            </w:r>
          </w:p>
        </w:tc>
        <w:tc>
          <w:tcPr>
            <w:tcW w:type="dxa" w:w="1469"/>
          </w:tcPr>
          <w:p>
            <w:pPr>
              <w:spacing w:after="20"/>
              <w:jc w:val="right"/>
            </w:pPr>
            <w:r>
              <w:rPr>
                <w:color w:val="1C3A36"/>
                <w:sz w:val="16"/>
              </w:rPr>
              <w:t>2.129</w:t>
            </w:r>
          </w:p>
        </w:tc>
        <w:tc>
          <w:tcPr>
            <w:tcW w:type="dxa" w:w="1469"/>
          </w:tcPr>
          <w:p>
            <w:pPr>
              <w:spacing w:after="20"/>
              <w:jc w:val="right"/>
            </w:pPr>
            <w:r>
              <w:rPr>
                <w:color w:val="1C3A36"/>
                <w:sz w:val="16"/>
              </w:rPr>
              <w:t>2.272</w:t>
            </w:r>
          </w:p>
        </w:tc>
        <w:tc>
          <w:tcPr>
            <w:tcW w:type="dxa" w:w="1469"/>
          </w:tcPr>
          <w:p>
            <w:pPr>
              <w:spacing w:after="20"/>
              <w:jc w:val="right"/>
            </w:pPr>
            <w:r>
              <w:rPr>
                <w:color w:val="1C3A36"/>
                <w:sz w:val="16"/>
              </w:rPr>
              <w:t>2.446</w:t>
            </w:r>
          </w:p>
        </w:tc>
        <w:tc>
          <w:tcPr>
            <w:tcW w:type="dxa" w:w="1469"/>
          </w:tcPr>
          <w:p>
            <w:pPr>
              <w:spacing w:after="20"/>
              <w:jc w:val="right"/>
            </w:pPr>
            <w:r>
              <w:rPr>
                <w:color w:val="1C3A36"/>
                <w:sz w:val="16"/>
              </w:rPr>
              <w:t>2.661</w:t>
            </w:r>
          </w:p>
        </w:tc>
        <w:tc>
          <w:tcPr>
            <w:tcW w:type="dxa" w:w="1469"/>
          </w:tcPr>
          <w:p>
            <w:pPr>
              <w:spacing w:after="20"/>
              <w:jc w:val="right"/>
            </w:pPr>
            <w:r>
              <w:rPr>
                <w:color w:val="1C3A36"/>
                <w:sz w:val="16"/>
              </w:rPr>
              <w:t>2.935</w:t>
            </w:r>
          </w:p>
        </w:tc>
      </w:tr>
      <w:tr>
        <w:tc>
          <w:tcPr>
            <w:tcW w:type="dxa" w:w="2736"/>
            <w:shd w:val="clear" w:color="auto" w:fill="F6F1E6"/>
          </w:tcPr>
          <w:p>
            <w:pPr>
              <w:spacing w:after="20"/>
            </w:pPr>
            <w:r>
              <w:rPr>
                <w:b/>
                <w:color w:val="1C3A36"/>
                <w:sz w:val="16"/>
              </w:rPr>
              <w:t>Cost of capital 7.61%  (base)</w:t>
            </w:r>
          </w:p>
        </w:tc>
        <w:tc>
          <w:tcPr>
            <w:tcW w:type="dxa" w:w="1469"/>
            <w:shd w:val="clear" w:color="auto" w:fill="F6F1E6"/>
          </w:tcPr>
          <w:p>
            <w:pPr>
              <w:spacing w:after="20"/>
              <w:jc w:val="right"/>
            </w:pPr>
            <w:r>
              <w:rPr>
                <w:b/>
                <w:color w:val="1C3A36"/>
                <w:sz w:val="16"/>
              </w:rPr>
              <w:t>1.932</w:t>
            </w:r>
          </w:p>
        </w:tc>
        <w:tc>
          <w:tcPr>
            <w:tcW w:type="dxa" w:w="1469"/>
            <w:shd w:val="clear" w:color="auto" w:fill="F6F1E6"/>
          </w:tcPr>
          <w:p>
            <w:pPr>
              <w:spacing w:after="20"/>
              <w:jc w:val="right"/>
            </w:pPr>
            <w:r>
              <w:rPr>
                <w:b/>
                <w:color w:val="1C3A36"/>
                <w:sz w:val="16"/>
              </w:rPr>
              <w:t>2.046</w:t>
            </w:r>
          </w:p>
        </w:tc>
        <w:tc>
          <w:tcPr>
            <w:tcW w:type="dxa" w:w="1469"/>
            <w:shd w:val="clear" w:color="auto" w:fill="F6F1E6"/>
          </w:tcPr>
          <w:p>
            <w:pPr>
              <w:spacing w:after="20"/>
              <w:jc w:val="right"/>
            </w:pPr>
            <w:r>
              <w:rPr>
                <w:b/>
                <w:color w:val="1C3A36"/>
                <w:sz w:val="16"/>
              </w:rPr>
              <w:t>2.182</w:t>
            </w:r>
          </w:p>
        </w:tc>
        <w:tc>
          <w:tcPr>
            <w:tcW w:type="dxa" w:w="1469"/>
            <w:shd w:val="clear" w:color="auto" w:fill="F6F1E6"/>
          </w:tcPr>
          <w:p>
            <w:pPr>
              <w:spacing w:after="20"/>
              <w:jc w:val="right"/>
            </w:pPr>
            <w:r>
              <w:rPr>
                <w:b/>
                <w:color w:val="1C3A36"/>
                <w:sz w:val="16"/>
              </w:rPr>
              <w:t>2.347</w:t>
            </w:r>
          </w:p>
        </w:tc>
        <w:tc>
          <w:tcPr>
            <w:tcW w:type="dxa" w:w="1469"/>
            <w:shd w:val="clear" w:color="auto" w:fill="F6F1E6"/>
          </w:tcPr>
          <w:p>
            <w:pPr>
              <w:spacing w:after="20"/>
              <w:jc w:val="right"/>
            </w:pPr>
            <w:r>
              <w:rPr>
                <w:b/>
                <w:color w:val="1C3A36"/>
                <w:sz w:val="16"/>
              </w:rPr>
              <w:t>2.552</w:t>
            </w:r>
          </w:p>
        </w:tc>
      </w:tr>
      <w:tr>
        <w:tc>
          <w:tcPr>
            <w:tcW w:type="dxa" w:w="2736"/>
          </w:tcPr>
          <w:p>
            <w:pPr>
              <w:spacing w:after="20"/>
            </w:pPr>
            <w:r>
              <w:rPr>
                <w:color w:val="1C3A36"/>
                <w:sz w:val="16"/>
              </w:rPr>
              <w:t>Cost of capital 8.11%</w:t>
            </w:r>
          </w:p>
        </w:tc>
        <w:tc>
          <w:tcPr>
            <w:tcW w:type="dxa" w:w="1469"/>
          </w:tcPr>
          <w:p>
            <w:pPr>
              <w:spacing w:after="20"/>
              <w:jc w:val="right"/>
            </w:pPr>
            <w:r>
              <w:rPr>
                <w:color w:val="1C3A36"/>
                <w:sz w:val="16"/>
              </w:rPr>
              <w:t>1.764</w:t>
            </w:r>
          </w:p>
        </w:tc>
        <w:tc>
          <w:tcPr>
            <w:tcW w:type="dxa" w:w="1469"/>
          </w:tcPr>
          <w:p>
            <w:pPr>
              <w:spacing w:after="20"/>
              <w:jc w:val="right"/>
            </w:pPr>
            <w:r>
              <w:rPr>
                <w:color w:val="1C3A36"/>
                <w:sz w:val="16"/>
              </w:rPr>
              <w:t>1.857</w:t>
            </w:r>
          </w:p>
        </w:tc>
        <w:tc>
          <w:tcPr>
            <w:tcW w:type="dxa" w:w="1469"/>
          </w:tcPr>
          <w:p>
            <w:pPr>
              <w:spacing w:after="20"/>
              <w:jc w:val="right"/>
            </w:pPr>
            <w:r>
              <w:rPr>
                <w:color w:val="1C3A36"/>
                <w:sz w:val="16"/>
              </w:rPr>
              <w:t>1.965</w:t>
            </w:r>
          </w:p>
        </w:tc>
        <w:tc>
          <w:tcPr>
            <w:tcW w:type="dxa" w:w="1469"/>
          </w:tcPr>
          <w:p>
            <w:pPr>
              <w:spacing w:after="20"/>
              <w:jc w:val="right"/>
            </w:pPr>
            <w:r>
              <w:rPr>
                <w:color w:val="1C3A36"/>
                <w:sz w:val="16"/>
              </w:rPr>
              <w:t>2.095</w:t>
            </w:r>
          </w:p>
        </w:tc>
        <w:tc>
          <w:tcPr>
            <w:tcW w:type="dxa" w:w="1469"/>
          </w:tcPr>
          <w:p>
            <w:pPr>
              <w:spacing w:after="20"/>
              <w:jc w:val="right"/>
            </w:pPr>
            <w:r>
              <w:rPr>
                <w:color w:val="1C3A36"/>
                <w:sz w:val="16"/>
              </w:rPr>
              <w:t>2.252</w:t>
            </w:r>
          </w:p>
        </w:tc>
      </w:tr>
      <w:tr>
        <w:tc>
          <w:tcPr>
            <w:tcW w:type="dxa" w:w="2736"/>
          </w:tcPr>
          <w:p>
            <w:pPr>
              <w:spacing w:after="20"/>
            </w:pPr>
            <w:r>
              <w:rPr>
                <w:color w:val="1C3A36"/>
                <w:sz w:val="16"/>
              </w:rPr>
              <w:t>Cost of capital 8.61%</w:t>
            </w:r>
          </w:p>
        </w:tc>
        <w:tc>
          <w:tcPr>
            <w:tcW w:type="dxa" w:w="1469"/>
          </w:tcPr>
          <w:p>
            <w:pPr>
              <w:spacing w:after="20"/>
              <w:jc w:val="right"/>
            </w:pPr>
            <w:r>
              <w:rPr>
                <w:color w:val="1C3A36"/>
                <w:sz w:val="16"/>
              </w:rPr>
              <w:t>1.620</w:t>
            </w:r>
          </w:p>
        </w:tc>
        <w:tc>
          <w:tcPr>
            <w:tcW w:type="dxa" w:w="1469"/>
          </w:tcPr>
          <w:p>
            <w:pPr>
              <w:spacing w:after="20"/>
              <w:jc w:val="right"/>
            </w:pPr>
            <w:r>
              <w:rPr>
                <w:color w:val="1C3A36"/>
                <w:sz w:val="16"/>
              </w:rPr>
              <w:t>1.696</w:t>
            </w:r>
          </w:p>
        </w:tc>
        <w:tc>
          <w:tcPr>
            <w:tcW w:type="dxa" w:w="1469"/>
          </w:tcPr>
          <w:p>
            <w:pPr>
              <w:spacing w:after="20"/>
              <w:jc w:val="right"/>
            </w:pPr>
            <w:r>
              <w:rPr>
                <w:color w:val="1C3A36"/>
                <w:sz w:val="16"/>
              </w:rPr>
              <w:t>1.784</w:t>
            </w:r>
          </w:p>
        </w:tc>
        <w:tc>
          <w:tcPr>
            <w:tcW w:type="dxa" w:w="1469"/>
          </w:tcPr>
          <w:p>
            <w:pPr>
              <w:spacing w:after="20"/>
              <w:jc w:val="right"/>
            </w:pPr>
            <w:r>
              <w:rPr>
                <w:color w:val="1C3A36"/>
                <w:sz w:val="16"/>
              </w:rPr>
              <w:t>1.887</w:t>
            </w:r>
          </w:p>
        </w:tc>
        <w:tc>
          <w:tcPr>
            <w:tcW w:type="dxa" w:w="1469"/>
          </w:tcPr>
          <w:p>
            <w:pPr>
              <w:spacing w:after="20"/>
              <w:jc w:val="right"/>
            </w:pPr>
            <w:r>
              <w:rPr>
                <w:color w:val="1C3A36"/>
                <w:sz w:val="16"/>
              </w:rPr>
              <w:t>2.010</w:t>
            </w:r>
          </w:p>
        </w:tc>
      </w:tr>
    </w:tbl>
    <w:p>
      <w:pPr>
        <w:spacing w:after="40"/>
      </w:pPr>
    </w:p>
    <w:p>
      <w:pPr>
        <w:spacing w:after="200" w:before="0"/>
      </w:pPr>
      <w:r>
        <w:rPr>
          <w:b w:val="0"/>
          <w:i/>
          <w:color w:val="6E7B77"/>
          <w:sz w:val="17"/>
        </w:rPr>
        <w:t>The base cell (2.182) sits at 7.61% and 2.5%. A half-point of discount rate is worth roughly AED 0.240 per share — more than the entire consumption crux — which is the honest hierarchy of what matters in this valuation: rate, tax, tariff, then usage.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1.461</w:t>
            </w:r>
          </w:p>
        </w:tc>
      </w:tr>
      <w:tr>
        <w:tc>
          <w:tcPr>
            <w:tcW w:type="dxa" w:w="2016"/>
            <w:shd w:val="clear" w:color="auto" w:fill="F6F1E6"/>
          </w:tcPr>
          <w:p>
            <w:pPr>
              <w:spacing w:after="20"/>
            </w:pPr>
            <w:r>
              <w:rPr>
                <w:b/>
                <w:color w:val="1C3A36"/>
                <w:sz w:val="16"/>
              </w:rPr>
              <w:t>Base</w:t>
            </w:r>
          </w:p>
        </w:tc>
        <w:tc>
          <w:tcPr>
            <w:tcW w:type="dxa" w:w="6048"/>
            <w:shd w:val="clear" w:color="auto" w:fill="F6F1E6"/>
          </w:tcPr>
          <w:p>
            <w:pPr>
              <w:spacing w:after="20"/>
              <w:jc w:val="right"/>
            </w:pPr>
            <w:r>
              <w:rPr>
                <w:b/>
                <w:color w:val="1C3A36"/>
                <w:sz w:val="16"/>
              </w:rPr>
              <w:t>recovery through 2027, guidance-midpoint connections, both tax framings published</w:t>
            </w:r>
          </w:p>
        </w:tc>
        <w:tc>
          <w:tcPr>
            <w:tcW w:type="dxa" w:w="2016"/>
            <w:shd w:val="clear" w:color="auto" w:fill="F6F1E6"/>
          </w:tcPr>
          <w:p>
            <w:pPr>
              <w:spacing w:after="20"/>
              <w:jc w:val="right"/>
            </w:pPr>
            <w:r>
              <w:rPr>
                <w:b/>
                <w:color w:val="1C3A36"/>
                <w:sz w:val="16"/>
              </w:rPr>
              <w:t>1.901 / 1.807</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run at the top of guidance (110k RT a year); 9% tax</w:t>
            </w:r>
          </w:p>
        </w:tc>
        <w:tc>
          <w:tcPr>
            <w:tcW w:type="dxa" w:w="2016"/>
          </w:tcPr>
          <w:p>
            <w:pPr>
              <w:spacing w:after="20"/>
              <w:jc w:val="right"/>
            </w:pPr>
            <w:r>
              <w:rPr>
                <w:color w:val="1C3A36"/>
                <w:sz w:val="16"/>
              </w:rPr>
              <w:t>2.221</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-6.0%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-7.6%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-7.1%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widths are calibrated rather than assumed, and the evidence is stated plainly. The probability bands are calibrated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On those windows every realised outcome fell INSIDE the 80% band, and the centring is clean (the average percentile of the realised outcomes was 0.46, statistically uniform on the standard tests). The bands as published are, if anywhere, conservative — about 28% wider than this stock's own short history would warrant, and that width has a cost: on those same windows the bands scored a few percent behind the benchmark on average sharpness,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1.50, with the trailing tape behind it. Both fundamental central estimates (1.901 and 1.807) sit above the cone's 95th percentile — the two objects genuinely disagree, and section 6 reads that gap.</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2.182 / 2.027 by tax framing, +45% / +35% against the market</w:t>
            </w:r>
          </w:p>
        </w:tc>
        <w:tc>
          <w:tcPr>
            <w:tcW w:type="dxa" w:w="4104"/>
          </w:tcPr>
          <w:p>
            <w:pPr>
              <w:spacing w:after="20"/>
              <w:jc w:val="right"/>
            </w:pPr>
            <w:r>
              <w:rPr>
                <w:color w:val="1C3A36"/>
                <w:sz w:val="16"/>
              </w:rPr>
              <w:t>the tariff stays flat but is not cut; the contracted backlog connects; the crux recovers (and barely matters if it does not)</w:t>
            </w:r>
          </w:p>
        </w:tc>
      </w:tr>
      <w:tr>
        <w:tc>
          <w:tcPr>
            <w:tcW w:type="dxa" w:w="2664"/>
          </w:tcPr>
          <w:p>
            <w:pPr>
              <w:spacing w:after="20"/>
            </w:pPr>
            <w:r>
              <w:rPr>
                <w:color w:val="1C3A36"/>
                <w:sz w:val="16"/>
              </w:rPr>
              <w:t>Weighted central</w:t>
            </w:r>
          </w:p>
        </w:tc>
        <w:tc>
          <w:tcPr>
            <w:tcW w:type="dxa" w:w="3312"/>
          </w:tcPr>
          <w:p>
            <w:pPr>
              <w:spacing w:after="20"/>
              <w:jc w:val="right"/>
            </w:pPr>
            <w:r>
              <w:rPr>
                <w:color w:val="1C3A36"/>
                <w:sz w:val="16"/>
              </w:rPr>
              <w:t>AED 1.901 / 1.807, +27% / +20%</w:t>
            </w:r>
          </w:p>
        </w:tc>
        <w:tc>
          <w:tcPr>
            <w:tcW w:type="dxa" w:w="4104"/>
          </w:tcPr>
          <w:p>
            <w:pPr>
              <w:spacing w:after="20"/>
              <w:jc w:val="right"/>
            </w:pPr>
            <w:r>
              <w:rPr>
                <w:color w:val="1C3A36"/>
                <w:sz w:val="16"/>
              </w:rPr>
              <w:t>a fifth of the weight deliberately given to today's war-discounted market regime through the relative lens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1.536, +2%</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1.50</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+44%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The genuine open questions are the ones the market prices less visibly: whether the 15% minimum tax reaches the company (0.155 per share, published as its own column), and whether the regulator's next tariff review stays flat (not priced — flagged as the model's single most valuable assumption). Between the 1.807 central under the harsher tax framing and the 1.50 market price lies the war discount itself; a reader who expects the conflict regime to persist should weight the relative lens harder, and the field published here lets them.</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Truce durability</w:t>
            </w:r>
          </w:p>
        </w:tc>
        <w:tc>
          <w:tcPr>
            <w:tcW w:type="dxa" w:w="3960"/>
          </w:tcPr>
          <w:p>
            <w:pPr>
              <w:spacing w:after="20"/>
              <w:jc w:val="right"/>
            </w:pPr>
            <w:r>
              <w:rPr>
                <w:color w:val="1C3A36"/>
                <w:sz w:val="16"/>
              </w:rPr>
              <w:t>the whole 2026 demand shock transmits through hospitality occupancy; re-escalation onto UAE soil is the bear case, de-escalation unwinds the market's regime discount</w:t>
            </w:r>
          </w:p>
        </w:tc>
        <w:tc>
          <w:tcPr>
            <w:tcW w:type="dxa" w:w="3960"/>
          </w:tcPr>
          <w:p>
            <w:pPr>
              <w:spacing w:after="20"/>
              <w:jc w:val="right"/>
            </w:pPr>
            <w:r>
              <w:rPr>
                <w:color w:val="1C3A36"/>
                <w:sz w:val="16"/>
              </w:rPr>
              <w:t>incident tempo against the April ceasefire framework; any strike on Dubai infrastructure</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0.155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2027 tariff round</w:t>
            </w:r>
          </w:p>
        </w:tc>
        <w:tc>
          <w:tcPr>
            <w:tcW w:type="dxa" w:w="3960"/>
          </w:tcPr>
          <w:p>
            <w:pPr>
              <w:spacing w:after="20"/>
              <w:jc w:val="right"/>
            </w:pPr>
            <w:r>
              <w:rPr>
                <w:color w:val="1C3A36"/>
                <w:sz w:val="16"/>
              </w:rPr>
              <w:t>the flat regulated tariff is the single most valuable assumption in the model; a cut at review would do what no consumption shock can</w:t>
            </w:r>
          </w:p>
        </w:tc>
        <w:tc>
          <w:tcPr>
            <w:tcW w:type="dxa" w:w="3960"/>
          </w:tcPr>
          <w:p>
            <w:pPr>
              <w:spacing w:after="20"/>
              <w:jc w:val="right"/>
            </w:pPr>
            <w:r>
              <w:rPr>
                <w:color w:val="1C3A36"/>
                <w:sz w:val="16"/>
              </w:rPr>
              <w:t>any Regulatory and Supervisory Bureau consultation or Executive Council resolution touching district-cooling tariffs</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-22% move and a +28%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1.807 / 1.901</w:t>
            </w:r>
          </w:p>
        </w:tc>
        <w:tc>
          <w:tcPr>
            <w:tcW w:type="dxa" w:w="5040"/>
          </w:tcPr>
          <w:p>
            <w:pPr>
              <w:spacing w:after="20"/>
              <w:jc w:val="right"/>
            </w:pPr>
            <w:r>
              <w:rPr>
                <w:color w:val="1C3A36"/>
                <w:sz w:val="16"/>
              </w:rPr>
              <w:t>BOTH tax framings sit above even the 95th percentile (1.92) of the three-month distribution — the price map and the valuation genuinely disagree, and stating that gap at its full size is the point: nothing in the volatility structure suggests the gap closes within a quarter</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base case restores usage per connected ton to the 2025 level through 2027. The full never-recovers model costs only 2.7% on the primary lens, so this is a watch-item rather than a value risk — but two consecutive halves with equivalent full-load hours below the 2026 trough would put the shock outside anything hospitality-linked, and the recovery assumption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1.461 per share. A reader can adopt it wholesale rather than improvising a discount.</w:t>
      </w:r>
    </w:p>
    <w:p>
      <w:pPr>
        <w:pStyle w:val="ListBullet"/>
        <w:spacing w:after="60"/>
      </w:pPr>
      <w:r>
        <w:rPr>
          <w:b/>
          <w:color w:val="1C3A36"/>
          <w:sz w:val="21"/>
        </w:rPr>
        <w:t xml:space="preserve">A tariff cut at a regulatory review. </w:t>
      </w:r>
      <w:r>
        <w:rPr>
          <w:color w:val="1C3A36"/>
          <w:sz w:val="21"/>
        </w:rPr>
        <w:t>The flat regulated tariff is the single most valuable assumption in the model — it underwrites the capacity charge that carries 77.6% of the enterprise value into the terminal. No cut occurred in the 2024–26 record swept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4.4-year bond against five-plus years of cash flows (the longest AED print available);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concession receivable</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(247)</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(derived: operating profit + D&amp;A)</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1,702</w:t>
            </w:r>
          </w:p>
        </w:tc>
        <w:tc>
          <w:tcPr>
            <w:tcW w:type="dxa" w:w="918"/>
            <w:shd w:val="clear" w:color="auto" w:fill="F6F1E6"/>
          </w:tcPr>
          <w:p>
            <w:pPr>
              <w:spacing w:after="20"/>
              <w:jc w:val="right"/>
            </w:pPr>
            <w:r>
              <w:rPr>
                <w:b/>
                <w:color w:val="1C3A36"/>
                <w:sz w:val="15"/>
              </w:rPr>
              <w:t>1,843</w:t>
            </w:r>
          </w:p>
        </w:tc>
        <w:tc>
          <w:tcPr>
            <w:tcW w:type="dxa" w:w="918"/>
            <w:shd w:val="clear" w:color="auto" w:fill="F6F1E6"/>
          </w:tcPr>
          <w:p>
            <w:pPr>
              <w:spacing w:after="20"/>
              <w:jc w:val="right"/>
            </w:pPr>
            <w:r>
              <w:rPr>
                <w:b/>
                <w:color w:val="1C3A36"/>
                <w:sz w:val="15"/>
              </w:rPr>
              <w:t>1,945</w:t>
            </w:r>
          </w:p>
        </w:tc>
        <w:tc>
          <w:tcPr>
            <w:tcW w:type="dxa" w:w="918"/>
            <w:shd w:val="clear" w:color="auto" w:fill="F6F1E6"/>
          </w:tcPr>
          <w:p>
            <w:pPr>
              <w:spacing w:after="20"/>
              <w:jc w:val="right"/>
            </w:pPr>
            <w:r>
              <w:rPr>
                <w:b/>
                <w:color w:val="1C3A36"/>
                <w:sz w:val="15"/>
              </w:rPr>
              <w:t>2,034</w:t>
            </w:r>
          </w:p>
        </w:tc>
        <w:tc>
          <w:tcPr>
            <w:tcW w:type="dxa" w:w="918"/>
            <w:shd w:val="clear" w:color="auto" w:fill="F6F1E6"/>
          </w:tcPr>
          <w:p>
            <w:pPr>
              <w:spacing w:after="20"/>
              <w:jc w:val="right"/>
            </w:pPr>
            <w:r>
              <w:rPr>
                <w:b/>
                <w:color w:val="1C3A36"/>
                <w:sz w:val="15"/>
              </w:rPr>
              <w:t>2,112</w:t>
            </w:r>
          </w:p>
        </w:tc>
      </w:tr>
      <w:tr>
        <w:tc>
          <w:tcPr>
            <w:tcW w:type="dxa" w:w="2736"/>
            <w:shd w:val="clear" w:color="auto" w:fill="F6F1E6"/>
          </w:tcPr>
          <w:p>
            <w:pPr>
              <w:spacing w:after="20"/>
            </w:pPr>
            <w:r>
              <w:rPr>
                <w:b/>
                <w:color w:val="1C3A36"/>
                <w:sz w:val="15"/>
              </w:rPr>
              <w:t>EBITDA margin</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48.6%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48.1%</w:t>
            </w:r>
          </w:p>
        </w:tc>
        <w:tc>
          <w:tcPr>
            <w:tcW w:type="dxa" w:w="918"/>
            <w:shd w:val="clear" w:color="auto" w:fill="F6F1E6"/>
          </w:tcPr>
          <w:p>
            <w:pPr>
              <w:spacing w:after="20"/>
              <w:jc w:val="right"/>
            </w:pPr>
            <w:r>
              <w:rPr>
                <w:b/>
                <w:color w:val="1C3A36"/>
                <w:sz w:val="15"/>
              </w:rPr>
              <w:t>48.2%</w:t>
            </w:r>
          </w:p>
        </w:tc>
        <w:tc>
          <w:tcPr>
            <w:tcW w:type="dxa" w:w="918"/>
            <w:shd w:val="clear" w:color="auto" w:fill="F6F1E6"/>
          </w:tcPr>
          <w:p>
            <w:pPr>
              <w:spacing w:after="20"/>
              <w:jc w:val="right"/>
            </w:pPr>
            <w:r>
              <w:rPr>
                <w:b/>
                <w:color w:val="1C3A36"/>
                <w:sz w:val="15"/>
              </w:rPr>
              <w:t>48.2%</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1,323</w:t>
            </w:r>
          </w:p>
        </w:tc>
        <w:tc>
          <w:tcPr>
            <w:tcW w:type="dxa" w:w="918"/>
          </w:tcPr>
          <w:p>
            <w:pPr>
              <w:spacing w:after="20"/>
              <w:jc w:val="right"/>
            </w:pPr>
            <w:r>
              <w:rPr>
                <w:color w:val="1C3A36"/>
                <w:sz w:val="15"/>
              </w:rPr>
              <w:t>1,452</w:t>
            </w:r>
          </w:p>
        </w:tc>
        <w:tc>
          <w:tcPr>
            <w:tcW w:type="dxa" w:w="918"/>
          </w:tcPr>
          <w:p>
            <w:pPr>
              <w:spacing w:after="20"/>
              <w:jc w:val="right"/>
            </w:pPr>
            <w:r>
              <w:rPr>
                <w:color w:val="1C3A36"/>
                <w:sz w:val="15"/>
              </w:rPr>
              <w:t>1,545</w:t>
            </w:r>
          </w:p>
        </w:tc>
        <w:tc>
          <w:tcPr>
            <w:tcW w:type="dxa" w:w="918"/>
          </w:tcPr>
          <w:p>
            <w:pPr>
              <w:spacing w:after="20"/>
              <w:jc w:val="right"/>
            </w:pPr>
            <w:r>
              <w:rPr>
                <w:color w:val="1C3A36"/>
                <w:sz w:val="15"/>
              </w:rPr>
              <w:t>1,629</w:t>
            </w:r>
          </w:p>
        </w:tc>
        <w:tc>
          <w:tcPr>
            <w:tcW w:type="dxa" w:w="918"/>
          </w:tcPr>
          <w:p>
            <w:pPr>
              <w:spacing w:after="20"/>
              <w:jc w:val="right"/>
            </w:pPr>
            <w:r>
              <w:rPr>
                <w:color w:val="1C3A36"/>
                <w:sz w:val="15"/>
              </w:rPr>
              <w:t>1,703</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1,204 / 1,124</w:t>
            </w:r>
          </w:p>
        </w:tc>
        <w:tc>
          <w:tcPr>
            <w:tcW w:type="dxa" w:w="918"/>
          </w:tcPr>
          <w:p>
            <w:pPr>
              <w:spacing w:after="20"/>
              <w:jc w:val="right"/>
            </w:pPr>
            <w:r>
              <w:rPr>
                <w:color w:val="1C3A36"/>
                <w:sz w:val="15"/>
              </w:rPr>
              <w:t>1,322 / 1,234</w:t>
            </w:r>
          </w:p>
        </w:tc>
        <w:tc>
          <w:tcPr>
            <w:tcW w:type="dxa" w:w="918"/>
          </w:tcPr>
          <w:p>
            <w:pPr>
              <w:spacing w:after="20"/>
              <w:jc w:val="right"/>
            </w:pPr>
            <w:r>
              <w:rPr>
                <w:color w:val="1C3A36"/>
                <w:sz w:val="15"/>
              </w:rPr>
              <w:t>1,406 / 1,314</w:t>
            </w:r>
          </w:p>
        </w:tc>
        <w:tc>
          <w:tcPr>
            <w:tcW w:type="dxa" w:w="918"/>
          </w:tcPr>
          <w:p>
            <w:pPr>
              <w:spacing w:after="20"/>
              <w:jc w:val="right"/>
            </w:pPr>
            <w:r>
              <w:rPr>
                <w:color w:val="1C3A36"/>
                <w:sz w:val="15"/>
              </w:rPr>
              <w:t>1,483 / 1,385</w:t>
            </w:r>
          </w:p>
        </w:tc>
        <w:tc>
          <w:tcPr>
            <w:tcW w:type="dxa" w:w="918"/>
          </w:tcPr>
          <w:p>
            <w:pPr>
              <w:spacing w:after="20"/>
              <w:jc w:val="right"/>
            </w:pPr>
            <w:r>
              <w:rPr>
                <w:color w:val="1C3A36"/>
                <w:sz w:val="15"/>
              </w:rPr>
              <w:t>1,550 / 1,448</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2023 income-statement figure of interest income on the airport concession receivable is presented INSIDE gross profit by the company, and the same presentation is kept here). EBITDA is a house derivation — operating profit plus depreciation and amortisation — labelled as such; the audited statements contain no EBITDA line.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Airport-concession receivable (amortised cost, non-current)</w:t>
            </w:r>
          </w:p>
        </w:tc>
        <w:tc>
          <w:tcPr>
            <w:tcW w:type="dxa" w:w="1296"/>
          </w:tcPr>
          <w:p>
            <w:pPr>
              <w:spacing w:after="20"/>
              <w:jc w:val="right"/>
            </w:pPr>
            <w:r>
              <w:rPr>
                <w:color w:val="1C3A36"/>
                <w:sz w:val="16"/>
              </w:rPr>
              <w:t>19</w:t>
            </w:r>
          </w:p>
        </w:tc>
        <w:tc>
          <w:tcPr>
            <w:tcW w:type="dxa" w:w="1296"/>
          </w:tcPr>
          <w:p>
            <w:pPr>
              <w:spacing w:after="20"/>
              <w:jc w:val="right"/>
            </w:pPr>
            <w:r>
              <w:rPr>
                <w:color w:val="1C3A36"/>
                <w:sz w:val="16"/>
              </w:rPr>
              <w:t>1,305</w:t>
            </w:r>
          </w:p>
        </w:tc>
        <w:tc>
          <w:tcPr>
            <w:tcW w:type="dxa" w:w="1296"/>
          </w:tcPr>
          <w:p>
            <w:pPr>
              <w:spacing w:after="20"/>
              <w:jc w:val="right"/>
            </w:pPr>
            <w:r>
              <w:rPr>
                <w:color w:val="1C3A36"/>
                <w:sz w:val="16"/>
              </w:rPr>
              <w:t>21</w:t>
            </w:r>
          </w:p>
        </w:tc>
        <w:tc>
          <w:tcPr>
            <w:tcW w:type="dxa" w:w="1728"/>
          </w:tcPr>
          <w:p>
            <w:pPr>
              <w:spacing w:after="20"/>
              <w:jc w:val="right"/>
            </w:pPr>
            <w:r>
              <w:rPr>
                <w:color w:val="1C3A36"/>
                <w:sz w:val="16"/>
              </w:rPr>
              <w:t>21</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Total assets</w:t>
            </w:r>
          </w:p>
        </w:tc>
        <w:tc>
          <w:tcPr>
            <w:tcW w:type="dxa" w:w="1296"/>
            <w:shd w:val="clear" w:color="auto" w:fill="F6F1E6"/>
          </w:tcPr>
          <w:p>
            <w:pPr>
              <w:spacing w:after="20"/>
              <w:jc w:val="right"/>
            </w:pPr>
            <w:r>
              <w:rPr>
                <w:b/>
                <w:color w:val="1C3A36"/>
                <w:sz w:val="16"/>
              </w:rPr>
              <w:t>9,728</w:t>
            </w:r>
          </w:p>
        </w:tc>
        <w:tc>
          <w:tcPr>
            <w:tcW w:type="dxa" w:w="1296"/>
            <w:shd w:val="clear" w:color="auto" w:fill="F6F1E6"/>
          </w:tcPr>
          <w:p>
            <w:pPr>
              <w:spacing w:after="20"/>
              <w:jc w:val="right"/>
            </w:pPr>
            <w:r>
              <w:rPr>
                <w:b/>
                <w:color w:val="1C3A36"/>
                <w:sz w:val="16"/>
              </w:rPr>
              <w:t>11,183</w:t>
            </w:r>
          </w:p>
        </w:tc>
        <w:tc>
          <w:tcPr>
            <w:tcW w:type="dxa" w:w="1296"/>
            <w:shd w:val="clear" w:color="auto" w:fill="F6F1E6"/>
          </w:tcPr>
          <w:p>
            <w:pPr>
              <w:spacing w:after="20"/>
              <w:jc w:val="right"/>
            </w:pPr>
            <w:r>
              <w:rPr>
                <w:b/>
                <w:color w:val="1C3A36"/>
                <w:sz w:val="16"/>
              </w:rPr>
              <w:t>11,817</w:t>
            </w:r>
          </w:p>
        </w:tc>
        <w:tc>
          <w:tcPr>
            <w:tcW w:type="dxa" w:w="1728"/>
            <w:shd w:val="clear" w:color="auto" w:fill="F6F1E6"/>
          </w:tcPr>
          <w:p>
            <w:pPr>
              <w:spacing w:after="20"/>
              <w:jc w:val="right"/>
            </w:pPr>
            <w:r>
              <w:rPr>
                <w:b/>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tcPr>
          <w:p>
            <w:pPr>
              <w:spacing w:after="20"/>
            </w:pPr>
            <w:r>
              <w:rPr>
                <w:color w:val="1C3A36"/>
                <w:sz w:val="16"/>
              </w:rPr>
              <w:t>Equity attributable to shareholders</w:t>
            </w:r>
          </w:p>
        </w:tc>
        <w:tc>
          <w:tcPr>
            <w:tcW w:type="dxa" w:w="1296"/>
          </w:tcPr>
          <w:p>
            <w:pPr>
              <w:spacing w:after="20"/>
              <w:jc w:val="right"/>
            </w:pPr>
            <w:r>
              <w:rPr>
                <w:color w:val="1C3A36"/>
                <w:sz w:val="16"/>
              </w:rPr>
              <w:t>3,144</w:t>
            </w:r>
          </w:p>
        </w:tc>
        <w:tc>
          <w:tcPr>
            <w:tcW w:type="dxa" w:w="1296"/>
          </w:tcPr>
          <w:p>
            <w:pPr>
              <w:spacing w:after="20"/>
              <w:jc w:val="right"/>
            </w:pPr>
            <w:r>
              <w:rPr>
                <w:color w:val="1C3A36"/>
                <w:sz w:val="16"/>
              </w:rPr>
              <w:t>3,198</w:t>
            </w:r>
          </w:p>
        </w:tc>
        <w:tc>
          <w:tcPr>
            <w:tcW w:type="dxa" w:w="1296"/>
          </w:tcPr>
          <w:p>
            <w:pPr>
              <w:spacing w:after="20"/>
              <w:jc w:val="right"/>
            </w:pPr>
            <w:r>
              <w:rPr>
                <w:color w:val="1C3A36"/>
                <w:sz w:val="16"/>
              </w:rPr>
              <w:t>3,311</w:t>
            </w:r>
          </w:p>
        </w:tc>
        <w:tc>
          <w:tcPr>
            <w:tcW w:type="dxa" w:w="1728"/>
          </w:tcPr>
          <w:p>
            <w:pPr>
              <w:spacing w:after="20"/>
              <w:jc w:val="right"/>
            </w:pPr>
            <w:r>
              <w:rPr>
                <w:color w:val="1C3A36"/>
                <w:sz w:val="16"/>
              </w:rPr>
              <w:t>3,338</w:t>
            </w:r>
          </w:p>
        </w:tc>
      </w:tr>
      <w:tr>
        <w:tc>
          <w:tcPr>
            <w:tcW w:type="dxa" w:w="4464"/>
          </w:tcPr>
          <w:p>
            <w:pPr>
              <w:spacing w:after="20"/>
            </w:pPr>
            <w:r>
              <w:rPr>
                <w:color w:val="1C3A36"/>
                <w:sz w:val="16"/>
              </w:rPr>
              <w:t>Non-controlling interests</w:t>
            </w:r>
          </w:p>
        </w:tc>
        <w:tc>
          <w:tcPr>
            <w:tcW w:type="dxa" w:w="1296"/>
          </w:tcPr>
          <w:p>
            <w:pPr>
              <w:spacing w:after="20"/>
              <w:jc w:val="right"/>
            </w:pPr>
            <w:r>
              <w:rPr>
                <w:color w:val="1C3A36"/>
                <w:sz w:val="16"/>
              </w:rPr>
              <w:t>167</w:t>
            </w:r>
          </w:p>
        </w:tc>
        <w:tc>
          <w:tcPr>
            <w:tcW w:type="dxa" w:w="1296"/>
          </w:tcPr>
          <w:p>
            <w:pPr>
              <w:spacing w:after="20"/>
              <w:jc w:val="right"/>
            </w:pPr>
            <w:r>
              <w:rPr>
                <w:color w:val="1C3A36"/>
                <w:sz w:val="16"/>
              </w:rPr>
              <w:t>176</w:t>
            </w:r>
          </w:p>
        </w:tc>
        <w:tc>
          <w:tcPr>
            <w:tcW w:type="dxa" w:w="1296"/>
          </w:tcPr>
          <w:p>
            <w:pPr>
              <w:spacing w:after="20"/>
              <w:jc w:val="right"/>
            </w:pPr>
            <w:r>
              <w:rPr>
                <w:color w:val="1C3A36"/>
                <w:sz w:val="16"/>
              </w:rPr>
              <w:t>186</w:t>
            </w:r>
          </w:p>
        </w:tc>
        <w:tc>
          <w:tcPr>
            <w:tcW w:type="dxa" w:w="1728"/>
          </w:tcPr>
          <w:p>
            <w:pPr>
              <w:spacing w:after="20"/>
              <w:jc w:val="right"/>
            </w:pPr>
            <w:r>
              <w:rPr>
                <w:color w:val="1C3A36"/>
                <w:sz w:val="16"/>
              </w:rPr>
              <w:t>191</w:t>
            </w:r>
          </w:p>
        </w:tc>
      </w:tr>
      <w:tr>
        <w:tc>
          <w:tcPr>
            <w:tcW w:type="dxa" w:w="4464"/>
            <w:shd w:val="clear" w:color="auto" w:fill="F6F1E6"/>
          </w:tcPr>
          <w:p>
            <w:pPr>
              <w:spacing w:after="20"/>
            </w:pPr>
            <w:r>
              <w:rPr>
                <w:b/>
                <w:color w:val="1C3A36"/>
                <w:sz w:val="16"/>
              </w:rPr>
              <w:t>Total equity</w:t>
            </w:r>
          </w:p>
        </w:tc>
        <w:tc>
          <w:tcPr>
            <w:tcW w:type="dxa" w:w="1296"/>
            <w:shd w:val="clear" w:color="auto" w:fill="F6F1E6"/>
          </w:tcPr>
          <w:p>
            <w:pPr>
              <w:spacing w:after="20"/>
              <w:jc w:val="right"/>
            </w:pPr>
            <w:r>
              <w:rPr>
                <w:b/>
                <w:color w:val="1C3A36"/>
                <w:sz w:val="16"/>
              </w:rPr>
              <w:t>3,311</w:t>
            </w:r>
          </w:p>
        </w:tc>
        <w:tc>
          <w:tcPr>
            <w:tcW w:type="dxa" w:w="1296"/>
            <w:shd w:val="clear" w:color="auto" w:fill="F6F1E6"/>
          </w:tcPr>
          <w:p>
            <w:pPr>
              <w:spacing w:after="20"/>
              <w:jc w:val="right"/>
            </w:pPr>
            <w:r>
              <w:rPr>
                <w:b/>
                <w:color w:val="1C3A36"/>
                <w:sz w:val="16"/>
              </w:rPr>
              <w:t>3,373</w:t>
            </w:r>
          </w:p>
        </w:tc>
        <w:tc>
          <w:tcPr>
            <w:tcW w:type="dxa" w:w="1296"/>
            <w:shd w:val="clear" w:color="auto" w:fill="F6F1E6"/>
          </w:tcPr>
          <w:p>
            <w:pPr>
              <w:spacing w:after="20"/>
              <w:jc w:val="right"/>
            </w:pPr>
            <w:r>
              <w:rPr>
                <w:b/>
                <w:color w:val="1C3A36"/>
                <w:sz w:val="16"/>
              </w:rPr>
              <w:t>3,497</w:t>
            </w:r>
          </w:p>
        </w:tc>
        <w:tc>
          <w:tcPr>
            <w:tcW w:type="dxa" w:w="1728"/>
            <w:shd w:val="clear" w:color="auto" w:fill="F6F1E6"/>
          </w:tcPr>
          <w:p>
            <w:pPr>
              <w:spacing w:after="20"/>
              <w:jc w:val="right"/>
            </w:pPr>
            <w:r>
              <w:rPr>
                <w:b/>
                <w:color w:val="1C3A36"/>
                <w:sz w:val="16"/>
              </w:rPr>
              <w:t>3,528</w:t>
            </w:r>
          </w:p>
        </w:tc>
      </w:tr>
      <w:tr>
        <w:tc>
          <w:tcPr>
            <w:tcW w:type="dxa" w:w="4464"/>
            <w:shd w:val="clear" w:color="auto" w:fill="F6F1E6"/>
          </w:tcPr>
          <w:p>
            <w:pPr>
              <w:spacing w:after="20"/>
            </w:pPr>
            <w:r>
              <w:rPr>
                <w:b/>
                <w:color w:val="1C3A36"/>
                <w:sz w:val="16"/>
              </w:rPr>
              <w:t>Net debt (borrowings + leases − cash − deposits)</w:t>
            </w:r>
          </w:p>
        </w:tc>
        <w:tc>
          <w:tcPr>
            <w:tcW w:type="dxa" w:w="1296"/>
            <w:shd w:val="clear" w:color="auto" w:fill="F6F1E6"/>
          </w:tcPr>
          <w:p>
            <w:pPr>
              <w:spacing w:after="20"/>
              <w:jc w:val="right"/>
            </w:pPr>
            <w:r>
              <w:rPr>
                <w:b/>
                <w:color w:val="1C3A36"/>
                <w:sz w:val="16"/>
              </w:rPr>
              <w:t>3,930</w:t>
            </w:r>
          </w:p>
        </w:tc>
        <w:tc>
          <w:tcPr>
            <w:tcW w:type="dxa" w:w="1296"/>
            <w:shd w:val="clear" w:color="auto" w:fill="F6F1E6"/>
          </w:tcPr>
          <w:p>
            <w:pPr>
              <w:spacing w:after="20"/>
              <w:jc w:val="right"/>
            </w:pPr>
            <w:r>
              <w:rPr>
                <w:b/>
                <w:color w:val="1C3A36"/>
                <w:sz w:val="16"/>
              </w:rPr>
              <w:t>3,537</w:t>
            </w:r>
          </w:p>
        </w:tc>
        <w:tc>
          <w:tcPr>
            <w:tcW w:type="dxa" w:w="1296"/>
            <w:shd w:val="clear" w:color="auto" w:fill="F6F1E6"/>
          </w:tcPr>
          <w:p>
            <w:pPr>
              <w:spacing w:after="20"/>
              <w:jc w:val="right"/>
            </w:pPr>
            <w:r>
              <w:rPr>
                <w:b/>
                <w:color w:val="1C3A36"/>
                <w:sz w:val="16"/>
              </w:rPr>
              <w:t>3,192</w:t>
            </w:r>
          </w:p>
        </w:tc>
        <w:tc>
          <w:tcPr>
            <w:tcW w:type="dxa" w:w="1728"/>
            <w:shd w:val="clear" w:color="auto" w:fill="F6F1E6"/>
          </w:tcPr>
          <w:p>
            <w:pPr>
              <w:spacing w:after="20"/>
              <w:jc w:val="right"/>
            </w:pPr>
            <w:r>
              <w:rPr>
                <w:b/>
                <w:color w:val="1C3A36"/>
                <w:sz w:val="16"/>
              </w:rPr>
              <w:t>2,991</w:t>
            </w:r>
          </w:p>
        </w:tc>
      </w:tr>
    </w:tbl>
    <w:p>
      <w:pPr>
        <w:spacing w:after="40"/>
      </w:pPr>
    </w:p>
    <w:p>
      <w:pPr>
        <w:spacing w:after="200" w:before="0"/>
      </w:pPr>
      <w:r>
        <w:rPr>
          <w:b w:val="0"/>
          <w:i/>
          <w:color w:val="6E7B77"/>
          <w:sz w:val="17"/>
        </w:rPr>
        <w:t>FY2023, FY2024 and FY2025 are audited; the June-2026 column is the reviewed interim.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1,055</w:t>
            </w:r>
          </w:p>
        </w:tc>
        <w:tc>
          <w:tcPr>
            <w:tcW w:type="dxa" w:w="1267"/>
            <w:shd w:val="clear" w:color="auto" w:fill="F6F1E6"/>
          </w:tcPr>
          <w:p>
            <w:pPr>
              <w:spacing w:after="20"/>
              <w:jc w:val="right"/>
            </w:pPr>
            <w:r>
              <w:rPr>
                <w:b/>
                <w:color w:val="1C3A36"/>
                <w:sz w:val="16"/>
              </w:rPr>
              <w:t>1,338</w:t>
            </w:r>
          </w:p>
        </w:tc>
        <w:tc>
          <w:tcPr>
            <w:tcW w:type="dxa" w:w="1267"/>
            <w:shd w:val="clear" w:color="auto" w:fill="F6F1E6"/>
          </w:tcPr>
          <w:p>
            <w:pPr>
              <w:spacing w:after="20"/>
              <w:jc w:val="right"/>
            </w:pPr>
            <w:r>
              <w:rPr>
                <w:b/>
                <w:color w:val="1C3A36"/>
                <w:sz w:val="16"/>
              </w:rPr>
              <w:t>1,408</w:t>
            </w:r>
          </w:p>
        </w:tc>
        <w:tc>
          <w:tcPr>
            <w:tcW w:type="dxa" w:w="1267"/>
            <w:shd w:val="clear" w:color="auto" w:fill="F6F1E6"/>
          </w:tcPr>
          <w:p>
            <w:pPr>
              <w:spacing w:after="20"/>
              <w:jc w:val="right"/>
            </w:pPr>
            <w:r>
              <w:rPr>
                <w:b/>
                <w:color w:val="1C3A36"/>
                <w:sz w:val="16"/>
              </w:rPr>
              <w:t>1,527</w:t>
            </w:r>
          </w:p>
        </w:tc>
        <w:tc>
          <w:tcPr>
            <w:tcW w:type="dxa" w:w="1267"/>
            <w:shd w:val="clear" w:color="auto" w:fill="F6F1E6"/>
          </w:tcPr>
          <w:p>
            <w:pPr>
              <w:spacing w:after="20"/>
              <w:jc w:val="right"/>
            </w:pPr>
            <w:r>
              <w:rPr>
                <w:b/>
                <w:color w:val="1C3A36"/>
                <w:sz w:val="16"/>
              </w:rPr>
              <w:t>1,636</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976</w:t>
            </w:r>
          </w:p>
        </w:tc>
        <w:tc>
          <w:tcPr>
            <w:tcW w:type="dxa" w:w="1267"/>
            <w:shd w:val="clear" w:color="auto" w:fill="F6F1E6"/>
          </w:tcPr>
          <w:p>
            <w:pPr>
              <w:spacing w:after="20"/>
              <w:jc w:val="right"/>
            </w:pPr>
            <w:r>
              <w:rPr>
                <w:b/>
                <w:color w:val="1C3A36"/>
                <w:sz w:val="16"/>
              </w:rPr>
              <w:t>1,251</w:t>
            </w:r>
          </w:p>
        </w:tc>
        <w:tc>
          <w:tcPr>
            <w:tcW w:type="dxa" w:w="1267"/>
            <w:shd w:val="clear" w:color="auto" w:fill="F6F1E6"/>
          </w:tcPr>
          <w:p>
            <w:pPr>
              <w:spacing w:after="20"/>
              <w:jc w:val="right"/>
            </w:pPr>
            <w:r>
              <w:rPr>
                <w:b/>
                <w:color w:val="1C3A36"/>
                <w:sz w:val="16"/>
              </w:rPr>
              <w:t>1,315</w:t>
            </w:r>
          </w:p>
        </w:tc>
        <w:tc>
          <w:tcPr>
            <w:tcW w:type="dxa" w:w="1267"/>
            <w:shd w:val="clear" w:color="auto" w:fill="F6F1E6"/>
          </w:tcPr>
          <w:p>
            <w:pPr>
              <w:spacing w:after="20"/>
              <w:jc w:val="right"/>
            </w:pPr>
            <w:r>
              <w:rPr>
                <w:b/>
                <w:color w:val="1C3A36"/>
                <w:sz w:val="16"/>
              </w:rPr>
              <w:t>1,429</w:t>
            </w:r>
          </w:p>
        </w:tc>
        <w:tc>
          <w:tcPr>
            <w:tcW w:type="dxa" w:w="1267"/>
            <w:shd w:val="clear" w:color="auto" w:fill="F6F1E6"/>
          </w:tcPr>
          <w:p>
            <w:pPr>
              <w:spacing w:after="20"/>
              <w:jc w:val="right"/>
            </w:pPr>
            <w:r>
              <w:rPr>
                <w:b/>
                <w:color w:val="1C3A36"/>
                <w:sz w:val="16"/>
              </w:rPr>
              <w:t>1,533</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154mn of after-tax net finance cost — runs almost exactly at the AED 875mn payout in the shock year: the dividend is covered, with the growth funded by the working-capital release and the revolving facilities' headroom. Net borrowings are held flat by construction; the model neither assumes deleveraging credit nor new debt-funded expansion.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2,460</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51.6%</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15.1×</w:t>
            </w:r>
          </w:p>
        </w:tc>
        <w:tc>
          <w:tcPr>
            <w:tcW w:type="dxa" w:w="2664"/>
          </w:tcPr>
          <w:p>
            <w:pPr>
              <w:spacing w:after="20"/>
              <w:jc w:val="right"/>
            </w:pPr>
            <w:r>
              <w:rPr>
                <w:color w:val="1C3A36"/>
                <w:sz w:val="16"/>
              </w:rPr>
              <w:t>16.6×</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5.8%</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via exchange disclosures; market value from a data provider dated 22-Jun-2026;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regulator approves tariffs; a cut would reprice the capacity charge — the profit pool itself</w:t>
            </w:r>
          </w:p>
        </w:tc>
        <w:tc>
          <w:tcPr>
            <w:tcW w:type="dxa" w:w="3960"/>
          </w:tcPr>
          <w:p>
            <w:pPr>
              <w:spacing w:after="20"/>
              <w:jc w:val="right"/>
            </w:pPr>
            <w:r>
              <w:rPr>
                <w:color w:val="1C3A36"/>
                <w:sz w:val="16"/>
              </w:rPr>
              <w:t>NOT priced — flagged as the model's single most valuable assumption (sections 1.7 and 7); a cut is a regime change requiring a re-model</w:t>
            </w:r>
          </w:p>
        </w:tc>
      </w:tr>
      <w:tr>
        <w:tc>
          <w:tcPr>
            <w:tcW w:type="dxa" w:w="2232"/>
          </w:tcPr>
          <w:p>
            <w:pPr>
              <w:spacing w:after="20"/>
            </w:pPr>
            <w:r>
              <w:rPr>
                <w:color w:val="1C3A36"/>
                <w:sz w:val="16"/>
              </w:rPr>
              <w:t>War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bear scenario, AED 1.461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0.155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2.7%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4.4-year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Regulatory and Supervisory Bureau instruments</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2021–2025</w:t>
            </w:r>
          </w:p>
        </w:tc>
        <w:tc>
          <w:tcPr>
            <w:tcW w:type="dxa" w:w="3744"/>
          </w:tcPr>
          <w:p>
            <w:pPr>
              <w:spacing w:after="20"/>
              <w:jc w:val="right"/>
            </w:pPr>
            <w:r>
              <w:rPr>
                <w:color w:val="1C3A36"/>
                <w:sz w:val="16"/>
              </w:rPr>
              <w:t>the tariff-regulation frame behind the flat-tariff assumption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the FTSE ADX General Index history (supplied)</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Jun–Aug 2026</w:t>
            </w:r>
          </w:p>
        </w:tc>
        <w:tc>
          <w:tcPr>
            <w:tcW w:type="dxa" w:w="3744"/>
          </w:tcPr>
          <w:p>
            <w:pPr>
              <w:spacing w:after="20"/>
              <w:jc w:val="right"/>
            </w:pPr>
            <w:r>
              <w:rPr>
                <w:color w:val="1C3A36"/>
                <w:sz w:val="16"/>
              </w:rPr>
              <w:t>the relative-multiples lens — cross-check only, never a source for Empower's own numbers</w:t>
            </w:r>
          </w:p>
        </w:tc>
      </w:tr>
      <w:tr>
        <w:tc>
          <w:tcPr>
            <w:tcW w:type="dxa" w:w="3312"/>
          </w:tcPr>
          <w:p>
            <w:pPr>
              <w:spacing w:after="20"/>
            </w:pPr>
            <w:r>
              <w:rPr>
                <w:color w:val="1C3A36"/>
                <w:sz w:val="16"/>
              </w:rPr>
              <w:t>Wire and reference coverage of the 2026 conflict and ceasefire</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9-Aug-2026</w:t>
            </w:r>
          </w:p>
        </w:tc>
        <w:tc>
          <w:tcPr>
            <w:tcW w:type="dxa" w:w="3744"/>
          </w:tcPr>
          <w:p>
            <w:pPr>
              <w:spacing w:after="20"/>
              <w:jc w:val="right"/>
            </w:pPr>
            <w:r>
              <w:rPr>
                <w:color w:val="1C3A36"/>
                <w:sz w:val="16"/>
              </w:rPr>
              <w:t>the macro timeline; where sources disagreed on the truce status, both readings were recorded rather than resolved</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(base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1,702</w:t>
            </w:r>
          </w:p>
        </w:tc>
        <w:tc>
          <w:tcPr>
            <w:tcW w:type="dxa" w:w="1152"/>
          </w:tcPr>
          <w:p>
            <w:pPr>
              <w:spacing w:after="20"/>
              <w:jc w:val="right"/>
            </w:pPr>
            <w:r>
              <w:rPr>
                <w:color w:val="1C3A36"/>
                <w:sz w:val="16"/>
              </w:rPr>
              <w:t>1,843</w:t>
            </w:r>
          </w:p>
        </w:tc>
        <w:tc>
          <w:tcPr>
            <w:tcW w:type="dxa" w:w="1152"/>
          </w:tcPr>
          <w:p>
            <w:pPr>
              <w:spacing w:after="20"/>
              <w:jc w:val="right"/>
            </w:pPr>
            <w:r>
              <w:rPr>
                <w:color w:val="1C3A36"/>
                <w:sz w:val="16"/>
              </w:rPr>
              <w:t>1,945</w:t>
            </w:r>
          </w:p>
        </w:tc>
        <w:tc>
          <w:tcPr>
            <w:tcW w:type="dxa" w:w="1152"/>
          </w:tcPr>
          <w:p>
            <w:pPr>
              <w:spacing w:after="20"/>
              <w:jc w:val="right"/>
            </w:pPr>
            <w:r>
              <w:rPr>
                <w:color w:val="1C3A36"/>
                <w:sz w:val="16"/>
              </w:rPr>
              <w:t>2,034</w:t>
            </w:r>
          </w:p>
        </w:tc>
        <w:tc>
          <w:tcPr>
            <w:tcW w:type="dxa" w:w="1152"/>
          </w:tcPr>
          <w:p>
            <w:pPr>
              <w:spacing w:after="20"/>
              <w:jc w:val="right"/>
            </w:pPr>
            <w:r>
              <w:rPr>
                <w:color w:val="1C3A36"/>
                <w:sz w:val="16"/>
              </w:rPr>
              <w:t>2,112</w:t>
            </w:r>
          </w:p>
        </w:tc>
      </w:tr>
      <w:tr>
        <w:tc>
          <w:tcPr>
            <w:tcW w:type="dxa" w:w="4320"/>
          </w:tcPr>
          <w:p>
            <w:pPr>
              <w:spacing w:after="20"/>
            </w:pPr>
            <w:r>
              <w:rPr>
                <w:color w:val="1C3A36"/>
                <w:sz w:val="16"/>
              </w:rPr>
              <w:t>EBIT</w:t>
            </w:r>
          </w:p>
        </w:tc>
        <w:tc>
          <w:tcPr>
            <w:tcW w:type="dxa" w:w="1152"/>
          </w:tcPr>
          <w:p>
            <w:pPr>
              <w:spacing w:after="20"/>
              <w:jc w:val="right"/>
            </w:pPr>
            <w:r>
              <w:rPr>
                <w:color w:val="1C3A36"/>
                <w:sz w:val="16"/>
              </w:rPr>
              <w:t>1,323</w:t>
            </w:r>
          </w:p>
        </w:tc>
        <w:tc>
          <w:tcPr>
            <w:tcW w:type="dxa" w:w="1152"/>
          </w:tcPr>
          <w:p>
            <w:pPr>
              <w:spacing w:after="20"/>
              <w:jc w:val="right"/>
            </w:pPr>
            <w:r>
              <w:rPr>
                <w:color w:val="1C3A36"/>
                <w:sz w:val="16"/>
              </w:rPr>
              <w:t>1,452</w:t>
            </w:r>
          </w:p>
        </w:tc>
        <w:tc>
          <w:tcPr>
            <w:tcW w:type="dxa" w:w="1152"/>
          </w:tcPr>
          <w:p>
            <w:pPr>
              <w:spacing w:after="20"/>
              <w:jc w:val="right"/>
            </w:pPr>
            <w:r>
              <w:rPr>
                <w:color w:val="1C3A36"/>
                <w:sz w:val="16"/>
              </w:rPr>
              <w:t>1,545</w:t>
            </w:r>
          </w:p>
        </w:tc>
        <w:tc>
          <w:tcPr>
            <w:tcW w:type="dxa" w:w="1152"/>
          </w:tcPr>
          <w:p>
            <w:pPr>
              <w:spacing w:after="20"/>
              <w:jc w:val="right"/>
            </w:pPr>
            <w:r>
              <w:rPr>
                <w:color w:val="1C3A36"/>
                <w:sz w:val="16"/>
              </w:rPr>
              <w:t>1,629</w:t>
            </w:r>
          </w:p>
        </w:tc>
        <w:tc>
          <w:tcPr>
            <w:tcW w:type="dxa" w:w="1152"/>
          </w:tcPr>
          <w:p>
            <w:pPr>
              <w:spacing w:after="20"/>
              <w:jc w:val="right"/>
            </w:pPr>
            <w:r>
              <w:rPr>
                <w:color w:val="1C3A36"/>
                <w:sz w:val="16"/>
              </w:rPr>
              <w:t>1,703</w:t>
            </w:r>
          </w:p>
        </w:tc>
      </w:tr>
      <w:tr>
        <w:tc>
          <w:tcPr>
            <w:tcW w:type="dxa" w:w="4320"/>
          </w:tcPr>
          <w:p>
            <w:pPr>
              <w:spacing w:after="20"/>
            </w:pPr>
            <w:r>
              <w:rPr>
                <w:color w:val="1C3A36"/>
                <w:sz w:val="16"/>
              </w:rPr>
              <w:t>NOPAT</w:t>
            </w:r>
          </w:p>
        </w:tc>
        <w:tc>
          <w:tcPr>
            <w:tcW w:type="dxa" w:w="1152"/>
          </w:tcPr>
          <w:p>
            <w:pPr>
              <w:spacing w:after="20"/>
              <w:jc w:val="right"/>
            </w:pPr>
            <w:r>
              <w:rPr>
                <w:color w:val="1C3A36"/>
                <w:sz w:val="16"/>
              </w:rPr>
              <w:t>1,204</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1,406</w:t>
            </w:r>
          </w:p>
        </w:tc>
        <w:tc>
          <w:tcPr>
            <w:tcW w:type="dxa" w:w="1152"/>
          </w:tcPr>
          <w:p>
            <w:pPr>
              <w:spacing w:after="20"/>
              <w:jc w:val="right"/>
            </w:pPr>
            <w:r>
              <w:rPr>
                <w:color w:val="1C3A36"/>
                <w:sz w:val="16"/>
              </w:rPr>
              <w:t>1,483</w:t>
            </w:r>
          </w:p>
        </w:tc>
        <w:tc>
          <w:tcPr>
            <w:tcW w:type="dxa" w:w="1152"/>
          </w:tcPr>
          <w:p>
            <w:pPr>
              <w:spacing w:after="20"/>
              <w:jc w:val="right"/>
            </w:pPr>
            <w:r>
              <w:rPr>
                <w:color w:val="1C3A36"/>
                <w:sz w:val="16"/>
              </w:rPr>
              <w:t>1,550</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1,055</w:t>
            </w:r>
          </w:p>
        </w:tc>
        <w:tc>
          <w:tcPr>
            <w:tcW w:type="dxa" w:w="1152"/>
          </w:tcPr>
          <w:p>
            <w:pPr>
              <w:spacing w:after="20"/>
              <w:jc w:val="right"/>
            </w:pPr>
            <w:r>
              <w:rPr>
                <w:color w:val="1C3A36"/>
                <w:sz w:val="16"/>
              </w:rPr>
              <w:t>1,338</w:t>
            </w:r>
          </w:p>
        </w:tc>
        <w:tc>
          <w:tcPr>
            <w:tcW w:type="dxa" w:w="1152"/>
          </w:tcPr>
          <w:p>
            <w:pPr>
              <w:spacing w:after="20"/>
              <w:jc w:val="right"/>
            </w:pPr>
            <w:r>
              <w:rPr>
                <w:color w:val="1C3A36"/>
                <w:sz w:val="16"/>
              </w:rPr>
              <w:t>1,408</w:t>
            </w:r>
          </w:p>
        </w:tc>
        <w:tc>
          <w:tcPr>
            <w:tcW w:type="dxa" w:w="1152"/>
          </w:tcPr>
          <w:p>
            <w:pPr>
              <w:spacing w:after="20"/>
              <w:jc w:val="right"/>
            </w:pPr>
            <w:r>
              <w:rPr>
                <w:color w:val="1C3A36"/>
                <w:sz w:val="16"/>
              </w:rPr>
              <w:t>1,527</w:t>
            </w:r>
          </w:p>
        </w:tc>
        <w:tc>
          <w:tcPr>
            <w:tcW w:type="dxa" w:w="1152"/>
          </w:tcPr>
          <w:p>
            <w:pPr>
              <w:spacing w:after="20"/>
              <w:jc w:val="right"/>
            </w:pPr>
            <w:r>
              <w:rPr>
                <w:color w:val="1C3A36"/>
                <w:sz w:val="16"/>
              </w:rPr>
              <w:t>1,636</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981</w:t>
            </w:r>
          </w:p>
        </w:tc>
        <w:tc>
          <w:tcPr>
            <w:tcW w:type="dxa" w:w="1152"/>
            <w:shd w:val="clear" w:color="auto" w:fill="F6F1E6"/>
          </w:tcPr>
          <w:p>
            <w:pPr>
              <w:spacing w:after="20"/>
              <w:jc w:val="right"/>
            </w:pPr>
            <w:r>
              <w:rPr>
                <w:b/>
                <w:color w:val="1C3A36"/>
                <w:sz w:val="16"/>
              </w:rPr>
              <w:t>1,155</w:t>
            </w:r>
          </w:p>
        </w:tc>
        <w:tc>
          <w:tcPr>
            <w:tcW w:type="dxa" w:w="1152"/>
            <w:shd w:val="clear" w:color="auto" w:fill="F6F1E6"/>
          </w:tcPr>
          <w:p>
            <w:pPr>
              <w:spacing w:after="20"/>
              <w:jc w:val="right"/>
            </w:pPr>
            <w:r>
              <w:rPr>
                <w:b/>
                <w:color w:val="1C3A36"/>
                <w:sz w:val="16"/>
              </w:rPr>
              <w:t>1,130</w:t>
            </w:r>
          </w:p>
        </w:tc>
        <w:tc>
          <w:tcPr>
            <w:tcW w:type="dxa" w:w="1152"/>
            <w:shd w:val="clear" w:color="auto" w:fill="F6F1E6"/>
          </w:tcPr>
          <w:p>
            <w:pPr>
              <w:spacing w:after="20"/>
              <w:jc w:val="right"/>
            </w:pPr>
            <w:r>
              <w:rPr>
                <w:b/>
                <w:color w:val="1C3A36"/>
                <w:sz w:val="16"/>
              </w:rPr>
              <w:t>1,139</w:t>
            </w:r>
          </w:p>
        </w:tc>
        <w:tc>
          <w:tcPr>
            <w:tcW w:type="dxa" w:w="1152"/>
            <w:shd w:val="clear" w:color="auto" w:fill="F6F1E6"/>
          </w:tcPr>
          <w:p>
            <w:pPr>
              <w:spacing w:after="20"/>
              <w:jc w:val="right"/>
            </w:pPr>
            <w:r>
              <w:rPr>
                <w:b/>
                <w:color w:val="1C3A36"/>
                <w:sz w:val="16"/>
              </w:rPr>
              <w:t>1,133</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w:t>
            </w:r>
          </w:p>
        </w:tc>
        <w:tc>
          <w:tcPr>
            <w:tcW w:type="dxa" w:w="3528"/>
          </w:tcPr>
          <w:p>
            <w:pPr>
              <w:spacing w:after="20"/>
              <w:jc w:val="right"/>
            </w:pPr>
            <w:r>
              <w:rPr>
                <w:color w:val="1C3A36"/>
                <w:sz w:val="16"/>
              </w:rPr>
              <w:t>5,538</w:t>
            </w:r>
          </w:p>
        </w:tc>
      </w:tr>
      <w:tr>
        <w:tc>
          <w:tcPr>
            <w:tcW w:type="dxa" w:w="6552"/>
          </w:tcPr>
          <w:p>
            <w:pPr>
              <w:spacing w:after="20"/>
            </w:pPr>
            <w:r>
              <w:rPr>
                <w:color w:val="1C3A36"/>
                <w:sz w:val="16"/>
              </w:rPr>
              <w:t>Terminal value — final NOPAT × (1 + 2.5%) × (1 − 10.8%) ÷ (7.61% − 2.5%)</w:t>
            </w:r>
          </w:p>
        </w:tc>
        <w:tc>
          <w:tcPr>
            <w:tcW w:type="dxa" w:w="3528"/>
          </w:tcPr>
          <w:p>
            <w:pPr>
              <w:spacing w:after="20"/>
              <w:jc w:val="right"/>
            </w:pPr>
            <w:r>
              <w:rPr>
                <w:color w:val="1C3A36"/>
                <w:sz w:val="16"/>
              </w:rPr>
              <w:t>27,727</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19,212</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24,750</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(234)</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21,821</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2.182</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1.98 – 2.35</w:t>
            </w:r>
          </w:p>
        </w:tc>
      </w:tr>
    </w:tbl>
    <w:p>
      <w:pPr>
        <w:spacing w:after="40"/>
      </w:pPr>
    </w:p>
    <w:p>
      <w:pPr>
        <w:spacing w:after="120" w:before="0"/>
      </w:pPr>
      <w:r>
        <w:rPr>
          <w:b w:val="0"/>
          <w:i w:val="0"/>
          <w:color w:val="1C3A36"/>
          <w:sz w:val="21"/>
        </w:rPr>
        <w:t>Named sensitivity: the consumption-recovery grid of section 1.7 — the full span from never-recovers to overshoot is worth AED 0.129 per share, while a half-point of discount rate is worth about AED 0.240.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base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8.24% cost of equity</w:t>
            </w:r>
          </w:p>
        </w:tc>
        <w:tc>
          <w:tcPr>
            <w:tcW w:type="dxa" w:w="3528"/>
          </w:tcPr>
          <w:p>
            <w:pPr>
              <w:spacing w:after="20"/>
              <w:jc w:val="right"/>
            </w:pPr>
            <w:r>
              <w:rPr>
                <w:color w:val="1C3A36"/>
                <w:sz w:val="17"/>
              </w:rPr>
              <w:t>× 1.025 ÷ (8.24%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1.563</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1.43 – 1.72</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1,055</w:t>
            </w:r>
          </w:p>
        </w:tc>
        <w:tc>
          <w:tcPr>
            <w:tcW w:type="dxa" w:w="1152"/>
          </w:tcPr>
          <w:p>
            <w:pPr>
              <w:spacing w:after="20"/>
              <w:jc w:val="right"/>
            </w:pPr>
            <w:r>
              <w:rPr>
                <w:color w:val="1C3A36"/>
                <w:sz w:val="16"/>
              </w:rPr>
              <w:t>1,338</w:t>
            </w:r>
          </w:p>
        </w:tc>
        <w:tc>
          <w:tcPr>
            <w:tcW w:type="dxa" w:w="1152"/>
          </w:tcPr>
          <w:p>
            <w:pPr>
              <w:spacing w:after="20"/>
              <w:jc w:val="right"/>
            </w:pPr>
            <w:r>
              <w:rPr>
                <w:color w:val="1C3A36"/>
                <w:sz w:val="16"/>
              </w:rPr>
              <w:t>1,408</w:t>
            </w:r>
          </w:p>
        </w:tc>
        <w:tc>
          <w:tcPr>
            <w:tcW w:type="dxa" w:w="1152"/>
          </w:tcPr>
          <w:p>
            <w:pPr>
              <w:spacing w:after="20"/>
              <w:jc w:val="right"/>
            </w:pPr>
            <w:r>
              <w:rPr>
                <w:color w:val="1C3A36"/>
                <w:sz w:val="16"/>
              </w:rPr>
              <w:t>1,527</w:t>
            </w:r>
          </w:p>
        </w:tc>
        <w:tc>
          <w:tcPr>
            <w:tcW w:type="dxa" w:w="1152"/>
          </w:tcPr>
          <w:p>
            <w:pPr>
              <w:spacing w:after="20"/>
              <w:jc w:val="right"/>
            </w:pPr>
            <w:r>
              <w:rPr>
                <w:color w:val="1C3A36"/>
                <w:sz w:val="16"/>
              </w:rPr>
              <w:t>1,636</w:t>
            </w:r>
          </w:p>
        </w:tc>
      </w:tr>
      <w:tr>
        <w:tc>
          <w:tcPr>
            <w:tcW w:type="dxa" w:w="4320"/>
          </w:tcPr>
          <w:p>
            <w:pPr>
              <w:spacing w:after="20"/>
            </w:pPr>
            <w:r>
              <w:rPr>
                <w:color w:val="1C3A36"/>
                <w:sz w:val="16"/>
              </w:rPr>
              <w:t>Less after-tax net finance cost (held at the 2025 level — the book is floating and was just refinanced)</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901</w:t>
            </w:r>
          </w:p>
        </w:tc>
        <w:tc>
          <w:tcPr>
            <w:tcW w:type="dxa" w:w="1152"/>
          </w:tcPr>
          <w:p>
            <w:pPr>
              <w:spacing w:after="20"/>
              <w:jc w:val="right"/>
            </w:pPr>
            <w:r>
              <w:rPr>
                <w:color w:val="1C3A36"/>
                <w:sz w:val="16"/>
              </w:rPr>
              <w:t>1,184</w:t>
            </w:r>
          </w:p>
        </w:tc>
        <w:tc>
          <w:tcPr>
            <w:tcW w:type="dxa" w:w="1152"/>
          </w:tcPr>
          <w:p>
            <w:pPr>
              <w:spacing w:after="20"/>
              <w:jc w:val="right"/>
            </w:pPr>
            <w:r>
              <w:rPr>
                <w:color w:val="1C3A36"/>
                <w:sz w:val="16"/>
              </w:rPr>
              <w:t>1,254</w:t>
            </w:r>
          </w:p>
        </w:tc>
        <w:tc>
          <w:tcPr>
            <w:tcW w:type="dxa" w:w="1152"/>
          </w:tcPr>
          <w:p>
            <w:pPr>
              <w:spacing w:after="20"/>
              <w:jc w:val="right"/>
            </w:pPr>
            <w:r>
              <w:rPr>
                <w:color w:val="1C3A36"/>
                <w:sz w:val="16"/>
              </w:rPr>
              <w:t>1,373</w:t>
            </w:r>
          </w:p>
        </w:tc>
        <w:tc>
          <w:tcPr>
            <w:tcW w:type="dxa" w:w="1152"/>
          </w:tcPr>
          <w:p>
            <w:pPr>
              <w:spacing w:after="20"/>
              <w:jc w:val="right"/>
            </w:pPr>
            <w:r>
              <w:rPr>
                <w:color w:val="1C3A36"/>
                <w:sz w:val="16"/>
              </w:rPr>
              <w:t>1,481</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1.03×</w:t>
            </w:r>
          </w:p>
        </w:tc>
        <w:tc>
          <w:tcPr>
            <w:tcW w:type="dxa" w:w="1152"/>
            <w:shd w:val="clear" w:color="auto" w:fill="F6F1E6"/>
          </w:tcPr>
          <w:p>
            <w:pPr>
              <w:spacing w:after="20"/>
              <w:jc w:val="right"/>
            </w:pPr>
            <w:r>
              <w:rPr>
                <w:b/>
                <w:color w:val="1C3A36"/>
                <w:sz w:val="16"/>
              </w:rPr>
              <w:t>1.35×</w:t>
            </w:r>
          </w:p>
        </w:tc>
        <w:tc>
          <w:tcPr>
            <w:tcW w:type="dxa" w:w="1152"/>
            <w:shd w:val="clear" w:color="auto" w:fill="F6F1E6"/>
          </w:tcPr>
          <w:p>
            <w:pPr>
              <w:spacing w:after="20"/>
              <w:jc w:val="right"/>
            </w:pPr>
            <w:r>
              <w:rPr>
                <w:b/>
                <w:color w:val="1C3A36"/>
                <w:sz w:val="16"/>
              </w:rPr>
              <w:t>1.43×</w:t>
            </w:r>
          </w:p>
        </w:tc>
        <w:tc>
          <w:tcPr>
            <w:tcW w:type="dxa" w:w="1152"/>
            <w:shd w:val="clear" w:color="auto" w:fill="F6F1E6"/>
          </w:tcPr>
          <w:p>
            <w:pPr>
              <w:spacing w:after="20"/>
              <w:jc w:val="right"/>
            </w:pPr>
            <w:r>
              <w:rPr>
                <w:b/>
                <w:color w:val="1C3A36"/>
                <w:sz w:val="16"/>
              </w:rPr>
              <w:t>1.57×</w:t>
            </w:r>
          </w:p>
        </w:tc>
        <w:tc>
          <w:tcPr>
            <w:tcW w:type="dxa" w:w="1152"/>
            <w:shd w:val="clear" w:color="auto" w:fill="F6F1E6"/>
          </w:tcPr>
          <w:p>
            <w:pPr>
              <w:spacing w:after="20"/>
              <w:jc w:val="right"/>
            </w:pPr>
            <w:r>
              <w:rPr>
                <w:b/>
                <w:color w:val="1C3A36"/>
                <w:sz w:val="16"/>
              </w:rPr>
              <w:t>1.69×</w:t>
            </w:r>
          </w:p>
        </w:tc>
      </w:tr>
    </w:tbl>
    <w:p>
      <w:pPr>
        <w:spacing w:after="40"/>
      </w:pPr>
    </w:p>
    <w:p>
      <w:pPr>
        <w:spacing w:after="120" w:before="0"/>
      </w:pPr>
      <w:r>
        <w:rPr>
          <w:b w:val="0"/>
          <w:i w:val="0"/>
          <w:color w:val="1C3A36"/>
          <w:sz w:val="21"/>
        </w:rPr>
        <w:t>In the shock year coverage is almost exactly one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0.145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10.7×</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1,702</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18,216</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1.536</w:t>
            </w:r>
          </w:p>
        </w:tc>
      </w:tr>
      <w:tr>
        <w:tc>
          <w:tcPr>
            <w:tcW w:type="dxa" w:w="6552"/>
          </w:tcPr>
          <w:p>
            <w:pPr>
              <w:spacing w:after="20"/>
            </w:pPr>
            <w:r>
              <w:rPr>
                <w:color w:val="1C3A36"/>
                <w:sz w:val="16"/>
              </w:rPr>
              <w:t>Tabreed price/earnings 16.6× on 2026E attributable profit (1,025 AED mn) — per share (AED)</w:t>
            </w:r>
          </w:p>
        </w:tc>
        <w:tc>
          <w:tcPr>
            <w:tcW w:type="dxa" w:w="3528"/>
          </w:tcPr>
          <w:p>
            <w:pPr>
              <w:spacing w:after="20"/>
              <w:jc w:val="right"/>
            </w:pPr>
            <w:r>
              <w:rPr>
                <w:color w:val="1C3A36"/>
                <w:sz w:val="16"/>
              </w:rPr>
              <w:t>1.701</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2.027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1.50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1.70</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"78% of your enterprise value is terminal, earning a 23%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1.50 and the control print of 2.16.</w:t>
      </w:r>
    </w:p>
    <w:p>
      <w:pPr>
        <w:spacing w:after="120" w:before="0"/>
      </w:pPr>
      <w:r>
        <w:rPr>
          <w:b w:val="0"/>
          <w:i w:val="0"/>
          <w:color w:val="1C3A36"/>
          <w:sz w:val="21"/>
        </w:rPr>
        <w:t>The panel spans AED 1.43 to 2.35 — and the disagreement is orderly, not noisy. Expert 1 discounts the contract stack and lands highest (1.98–2.35); Expert 2 capitalises the committed dividend and lands in the middle (1.43–1.72); Expert 3 anchors on what the war-discounted market actually pays and lands lowest (1.50–2.16, central 1.70). Notice what the room agrees on: every range sits at or above the market price, every method finds the capacity charge rather than the meter carrying the value, and every falsifier is observable within two reporting periods. The study's own weighted central (1.901 / 1.807 by tax framing) sits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0.155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(78%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0.481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0.059 per share even in the never-recovers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8.24%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0.240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