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D6FA3"/>
          <w:sz w:val="36"/>
        </w:rPr>
        <w:t>PALM HILLS DEVELOPMENTS</w:t>
      </w:r>
    </w:p>
    <w:p>
      <w:pPr>
        <w:spacing w:after="280"/>
      </w:pPr>
      <w:r>
        <w:rPr>
          <w:b w:val="0"/>
          <w:i w:val="0"/>
          <w:color w:val="5B6570"/>
          <w:sz w:val="21"/>
        </w:rPr>
        <w:t>Sources, inputs and judgements · edition of 30 August 2026</w:t>
      </w:r>
    </w:p>
    <w:p>
      <w:pPr>
        <w:spacing w:after="140"/>
      </w:pPr>
      <w:r>
        <w:rPr>
          <w:b w:val="0"/>
          <w:i w:val="0"/>
          <w:color w:val="1A1D21"/>
          <w:sz w:val="20"/>
        </w:rPr>
        <w:t>This document accompanies the valuation study. It lists every document the study was built on, every input with its value, its date and how it was constructed, every judgement with what would overturn it, and everything that was tried and rejected. It exists so that a reader can check the study rather than trust it.</w:t>
      </w:r>
    </w:p>
    <w:p>
      <w:pPr>
        <w:pStyle w:val="Heading1"/>
      </w:pPr>
      <w:r>
        <w:t>1  Primary documents</w:t>
      </w:r>
    </w:p>
    <w:tbl>
      <w:tblPr>
        <w:tblStyle w:val="TableGrid"/>
        <w:tblW w:type="auto" w:w="0"/>
        <w:jc w:val="center"/>
        <w:tblLayout w:type="fixed"/>
        <w:tblLook w:firstColumn="1" w:firstRow="1" w:lastColumn="0" w:lastRow="0" w:noHBand="0" w:noVBand="1" w:val="04A0"/>
        <w:tblLayout w:type="fixed"/>
      </w:tblPr>
      <w:tblGrid>
        <w:gridCol w:w="2495"/>
        <w:gridCol w:w="1814"/>
        <w:gridCol w:w="2041"/>
        <w:gridCol w:w="3062"/>
      </w:tblGrid>
      <w:tr>
        <w:trPr>
          <w:tblHeader w:val="true"/>
        </w:trPr>
        <w:tc>
          <w:tcPr>
            <w:tcW w:type="dxa" w:w="2494"/>
          </w:tcPr>
          <w:p>
            <w:r/>
            <w:r>
              <w:rPr>
                <w:b/>
                <w:color w:val="5B6570"/>
                <w:sz w:val="17"/>
              </w:rPr>
              <w:t>Document</w:t>
            </w:r>
          </w:p>
        </w:tc>
        <w:tc>
          <w:tcPr>
            <w:tcW w:type="dxa" w:w="1814"/>
          </w:tcPr>
          <w:p>
            <w:r/>
            <w:r>
              <w:rPr>
                <w:b/>
                <w:color w:val="5B6570"/>
                <w:sz w:val="17"/>
              </w:rPr>
              <w:t>Period</w:t>
            </w:r>
          </w:p>
        </w:tc>
        <w:tc>
          <w:tcPr>
            <w:tcW w:type="dxa" w:w="2041"/>
          </w:tcPr>
          <w:p>
            <w:r/>
            <w:r>
              <w:rPr>
                <w:b/>
                <w:color w:val="5B6570"/>
                <w:sz w:val="17"/>
              </w:rPr>
              <w:t>Publisher</w:t>
            </w:r>
          </w:p>
        </w:tc>
        <w:tc>
          <w:tcPr>
            <w:tcW w:type="dxa" w:w="3061"/>
          </w:tcPr>
          <w:p>
            <w:r/>
            <w:r>
              <w:rPr>
                <w:b/>
                <w:color w:val="5B6570"/>
                <w:sz w:val="17"/>
              </w:rPr>
              <w:t>Used for</w:t>
            </w:r>
          </w:p>
        </w:tc>
      </w:tr>
      <w:tr>
        <w:trPr>
          <w:cantSplit/>
        </w:trPr>
        <w:tc>
          <w:tcPr>
            <w:tcW w:type="dxa" w:w="2494"/>
          </w:tcPr>
          <w:p>
            <w:r/>
            <w:r>
              <w:rPr>
                <w:color w:val="1A1D21"/>
                <w:sz w:val="17"/>
              </w:rPr>
              <w:t>Consolidated financial statements</w:t>
            </w:r>
          </w:p>
        </w:tc>
        <w:tc>
          <w:tcPr>
            <w:tcW w:type="dxa" w:w="1814"/>
          </w:tcPr>
          <w:p>
            <w:r/>
            <w:r>
              <w:rPr>
                <w:color w:val="1A1D21"/>
                <w:sz w:val="17"/>
              </w:rPr>
              <w:t>FY2025</w:t>
            </w:r>
          </w:p>
        </w:tc>
        <w:tc>
          <w:tcPr>
            <w:tcW w:type="dxa" w:w="2041"/>
          </w:tcPr>
          <w:p>
            <w:r/>
            <w:r>
              <w:rPr>
                <w:color w:val="1A1D21"/>
                <w:sz w:val="17"/>
              </w:rPr>
              <w:t>Palm Hills Developments</w:t>
            </w:r>
          </w:p>
        </w:tc>
        <w:tc>
          <w:tcPr>
            <w:tcW w:type="dxa" w:w="3061"/>
          </w:tcPr>
          <w:p>
            <w:r/>
            <w:r>
              <w:rPr>
                <w:color w:val="1A1D21"/>
                <w:sz w:val="17"/>
              </w:rPr>
              <w:t>the entire reported base: income statement, balance sheet and cash-flow statement</w:t>
            </w:r>
          </w:p>
        </w:tc>
      </w:tr>
      <w:tr>
        <w:trPr>
          <w:cantSplit/>
        </w:trPr>
        <w:tc>
          <w:tcPr>
            <w:tcW w:type="dxa" w:w="2494"/>
          </w:tcPr>
          <w:p>
            <w:r/>
            <w:r>
              <w:rPr>
                <w:color w:val="1A1D21"/>
                <w:sz w:val="17"/>
              </w:rPr>
              <w:t>Consolidated financial statements</w:t>
            </w:r>
          </w:p>
        </w:tc>
        <w:tc>
          <w:tcPr>
            <w:tcW w:type="dxa" w:w="1814"/>
          </w:tcPr>
          <w:p>
            <w:r/>
            <w:r>
              <w:rPr>
                <w:color w:val="1A1D21"/>
                <w:sz w:val="17"/>
              </w:rPr>
              <w:t>FY2024 (comparative column)</w:t>
            </w:r>
          </w:p>
        </w:tc>
        <w:tc>
          <w:tcPr>
            <w:tcW w:type="dxa" w:w="2041"/>
          </w:tcPr>
          <w:p>
            <w:r/>
            <w:r>
              <w:rPr>
                <w:color w:val="1A1D21"/>
                <w:sz w:val="17"/>
              </w:rPr>
              <w:t>Palm Hills Developments</w:t>
            </w:r>
          </w:p>
        </w:tc>
        <w:tc>
          <w:tcPr>
            <w:tcW w:type="dxa" w:w="3061"/>
          </w:tcPr>
          <w:p>
            <w:r/>
            <w:r>
              <w:rPr>
                <w:color w:val="1A1D21"/>
                <w:sz w:val="17"/>
              </w:rPr>
              <w:t>prior-year balance sheet and cash flow</w:t>
            </w:r>
          </w:p>
        </w:tc>
      </w:tr>
      <w:tr>
        <w:trPr>
          <w:cantSplit/>
        </w:trPr>
        <w:tc>
          <w:tcPr>
            <w:tcW w:type="dxa" w:w="2494"/>
          </w:tcPr>
          <w:p>
            <w:r/>
            <w:r>
              <w:rPr>
                <w:color w:val="1A1D21"/>
                <w:sz w:val="17"/>
              </w:rPr>
              <w:t>Consolidated financial statements</w:t>
            </w:r>
          </w:p>
        </w:tc>
        <w:tc>
          <w:tcPr>
            <w:tcW w:type="dxa" w:w="1814"/>
          </w:tcPr>
          <w:p>
            <w:r/>
            <w:r>
              <w:rPr>
                <w:color w:val="1A1D21"/>
                <w:sz w:val="17"/>
              </w:rPr>
              <w:t>FY2023</w:t>
            </w:r>
          </w:p>
        </w:tc>
        <w:tc>
          <w:tcPr>
            <w:tcW w:type="dxa" w:w="2041"/>
          </w:tcPr>
          <w:p>
            <w:r/>
            <w:r>
              <w:rPr>
                <w:color w:val="1A1D21"/>
                <w:sz w:val="17"/>
              </w:rPr>
              <w:t>Palm Hills Developments</w:t>
            </w:r>
          </w:p>
        </w:tc>
        <w:tc>
          <w:tcPr>
            <w:tcW w:type="dxa" w:w="3061"/>
          </w:tcPr>
          <w:p>
            <w:r/>
            <w:r>
              <w:rPr>
                <w:color w:val="1A1D21"/>
                <w:sz w:val="17"/>
              </w:rPr>
              <w:t>revenue and gross profit</w:t>
            </w:r>
          </w:p>
        </w:tc>
      </w:tr>
      <w:tr>
        <w:trPr>
          <w:cantSplit/>
        </w:trPr>
        <w:tc>
          <w:tcPr>
            <w:tcW w:type="dxa" w:w="2494"/>
          </w:tcPr>
          <w:p>
            <w:r/>
            <w:r>
              <w:rPr>
                <w:color w:val="1A1D21"/>
                <w:sz w:val="17"/>
              </w:rPr>
              <w:t>Consolidated financial statements</w:t>
            </w:r>
          </w:p>
        </w:tc>
        <w:tc>
          <w:tcPr>
            <w:tcW w:type="dxa" w:w="1814"/>
          </w:tcPr>
          <w:p>
            <w:r/>
            <w:r>
              <w:rPr>
                <w:color w:val="1A1D21"/>
                <w:sz w:val="17"/>
              </w:rPr>
              <w:t>1Q2026</w:t>
            </w:r>
          </w:p>
        </w:tc>
        <w:tc>
          <w:tcPr>
            <w:tcW w:type="dxa" w:w="2041"/>
          </w:tcPr>
          <w:p>
            <w:r/>
            <w:r>
              <w:rPr>
                <w:color w:val="1A1D21"/>
                <w:sz w:val="17"/>
              </w:rPr>
              <w:t>Palm Hills Developments</w:t>
            </w:r>
          </w:p>
        </w:tc>
        <w:tc>
          <w:tcPr>
            <w:tcW w:type="dxa" w:w="3061"/>
          </w:tcPr>
          <w:p>
            <w:r/>
            <w:r>
              <w:rPr>
                <w:color w:val="1A1D21"/>
                <w:sz w:val="17"/>
              </w:rPr>
              <w:t>the most recent reported quarter</w:t>
            </w:r>
          </w:p>
        </w:tc>
      </w:tr>
      <w:tr>
        <w:trPr>
          <w:cantSplit/>
        </w:trPr>
        <w:tc>
          <w:tcPr>
            <w:tcW w:type="dxa" w:w="2494"/>
          </w:tcPr>
          <w:p>
            <w:r/>
            <w:r>
              <w:rPr>
                <w:color w:val="1A1D21"/>
                <w:sz w:val="17"/>
              </w:rPr>
              <w:t>Results release</w:t>
            </w:r>
          </w:p>
        </w:tc>
        <w:tc>
          <w:tcPr>
            <w:tcW w:type="dxa" w:w="1814"/>
          </w:tcPr>
          <w:p>
            <w:r/>
            <w:r>
              <w:rPr>
                <w:color w:val="1A1D21"/>
                <w:sz w:val="17"/>
              </w:rPr>
              <w:t>1Q2026</w:t>
            </w:r>
          </w:p>
        </w:tc>
        <w:tc>
          <w:tcPr>
            <w:tcW w:type="dxa" w:w="2041"/>
          </w:tcPr>
          <w:p>
            <w:r/>
            <w:r>
              <w:rPr>
                <w:color w:val="1A1D21"/>
                <w:sz w:val="17"/>
              </w:rPr>
              <w:t>Palm Hills Developments</w:t>
            </w:r>
          </w:p>
        </w:tc>
        <w:tc>
          <w:tcPr>
            <w:tcW w:type="dxa" w:w="3061"/>
          </w:tcPr>
          <w:p>
            <w:r/>
            <w:r>
              <w:rPr>
                <w:color w:val="1A1D21"/>
                <w:sz w:val="17"/>
              </w:rPr>
              <w:t>order book, new sales, the land-plot launch</w:t>
            </w:r>
          </w:p>
        </w:tc>
      </w:tr>
      <w:tr>
        <w:trPr>
          <w:cantSplit/>
        </w:trPr>
        <w:tc>
          <w:tcPr>
            <w:tcW w:type="dxa" w:w="2494"/>
          </w:tcPr>
          <w:p>
            <w:r/>
            <w:r>
              <w:rPr>
                <w:color w:val="1A1D21"/>
                <w:sz w:val="17"/>
              </w:rPr>
              <w:t>Results release</w:t>
            </w:r>
          </w:p>
        </w:tc>
        <w:tc>
          <w:tcPr>
            <w:tcW w:type="dxa" w:w="1814"/>
          </w:tcPr>
          <w:p>
            <w:r/>
            <w:r>
              <w:rPr>
                <w:color w:val="1A1D21"/>
                <w:sz w:val="17"/>
              </w:rPr>
              <w:t>FY2024</w:t>
            </w:r>
          </w:p>
        </w:tc>
        <w:tc>
          <w:tcPr>
            <w:tcW w:type="dxa" w:w="2041"/>
          </w:tcPr>
          <w:p>
            <w:r/>
            <w:r>
              <w:rPr>
                <w:color w:val="1A1D21"/>
                <w:sz w:val="17"/>
              </w:rPr>
              <w:t>Palm Hills Developments</w:t>
            </w:r>
          </w:p>
        </w:tc>
        <w:tc>
          <w:tcPr>
            <w:tcW w:type="dxa" w:w="3061"/>
          </w:tcPr>
          <w:p>
            <w:r/>
            <w:r>
              <w:rPr>
                <w:color w:val="1A1D21"/>
                <w:sz w:val="17"/>
              </w:rPr>
              <w:t>units, new sales, deliveries, construction spend, land bank</w:t>
            </w:r>
          </w:p>
        </w:tc>
      </w:tr>
      <w:tr>
        <w:trPr>
          <w:cantSplit/>
        </w:trPr>
        <w:tc>
          <w:tcPr>
            <w:tcW w:type="dxa" w:w="2494"/>
          </w:tcPr>
          <w:p>
            <w:r/>
            <w:r>
              <w:rPr>
                <w:color w:val="1A1D21"/>
                <w:sz w:val="17"/>
              </w:rPr>
              <w:t>Results release</w:t>
            </w:r>
          </w:p>
        </w:tc>
        <w:tc>
          <w:tcPr>
            <w:tcW w:type="dxa" w:w="1814"/>
          </w:tcPr>
          <w:p>
            <w:r/>
            <w:r>
              <w:rPr>
                <w:color w:val="1A1D21"/>
                <w:sz w:val="17"/>
              </w:rPr>
              <w:t>FY2023</w:t>
            </w:r>
          </w:p>
        </w:tc>
        <w:tc>
          <w:tcPr>
            <w:tcW w:type="dxa" w:w="2041"/>
          </w:tcPr>
          <w:p>
            <w:r/>
            <w:r>
              <w:rPr>
                <w:color w:val="1A1D21"/>
                <w:sz w:val="17"/>
              </w:rPr>
              <w:t>Palm Hills Developments</w:t>
            </w:r>
          </w:p>
        </w:tc>
        <w:tc>
          <w:tcPr>
            <w:tcW w:type="dxa" w:w="3061"/>
          </w:tcPr>
          <w:p>
            <w:r/>
            <w:r>
              <w:rPr>
                <w:color w:val="1A1D21"/>
                <w:sz w:val="17"/>
              </w:rPr>
              <w:t>units, cash from operations, construction spend</w:t>
            </w:r>
          </w:p>
        </w:tc>
      </w:tr>
      <w:tr>
        <w:trPr>
          <w:cantSplit/>
        </w:trPr>
        <w:tc>
          <w:tcPr>
            <w:tcW w:type="dxa" w:w="2494"/>
          </w:tcPr>
          <w:p>
            <w:r/>
            <w:r>
              <w:rPr>
                <w:color w:val="1A1D21"/>
                <w:sz w:val="17"/>
              </w:rPr>
              <w:t>Country risk premium file</w:t>
            </w:r>
          </w:p>
        </w:tc>
        <w:tc>
          <w:tcPr>
            <w:tcW w:type="dxa" w:w="1814"/>
          </w:tcPr>
          <w:p>
            <w:r/>
            <w:r>
              <w:rPr>
                <w:color w:val="1A1D21"/>
                <w:sz w:val="17"/>
              </w:rPr>
              <w:t>read 30 Aug 2026</w:t>
            </w:r>
          </w:p>
        </w:tc>
        <w:tc>
          <w:tcPr>
            <w:tcW w:type="dxa" w:w="2041"/>
          </w:tcPr>
          <w:p>
            <w:r/>
            <w:r>
              <w:rPr>
                <w:color w:val="1A1D21"/>
                <w:sz w:val="17"/>
              </w:rPr>
              <w:t>Damodaran, NYU Stern</w:t>
            </w:r>
          </w:p>
        </w:tc>
        <w:tc>
          <w:tcPr>
            <w:tcW w:type="dxa" w:w="3061"/>
          </w:tcPr>
          <w:p>
            <w:r/>
            <w:r>
              <w:rPr>
                <w:color w:val="1A1D21"/>
                <w:sz w:val="17"/>
              </w:rPr>
              <w:t>Egypt equity risk premium and sovereign default spread, both bases</w:t>
            </w:r>
          </w:p>
        </w:tc>
      </w:tr>
      <w:tr>
        <w:trPr>
          <w:cantSplit/>
        </w:trPr>
        <w:tc>
          <w:tcPr>
            <w:tcW w:type="dxa" w:w="2494"/>
          </w:tcPr>
          <w:p>
            <w:r/>
            <w:r>
              <w:rPr>
                <w:color w:val="1A1D21"/>
                <w:sz w:val="17"/>
              </w:rPr>
              <w:t>EGX30 index series</w:t>
            </w:r>
          </w:p>
        </w:tc>
        <w:tc>
          <w:tcPr>
            <w:tcW w:type="dxa" w:w="1814"/>
          </w:tcPr>
          <w:p>
            <w:r/>
            <w:r>
              <w:rPr>
                <w:color w:val="1A1D21"/>
                <w:sz w:val="17"/>
              </w:rPr>
              <w:t>to 22 Jul 2026</w:t>
            </w:r>
          </w:p>
        </w:tc>
        <w:tc>
          <w:tcPr>
            <w:tcW w:type="dxa" w:w="2041"/>
          </w:tcPr>
          <w:p>
            <w:r/>
            <w:r>
              <w:rPr>
                <w:color w:val="1A1D21"/>
                <w:sz w:val="17"/>
              </w:rPr>
              <w:t>Egyptian Exchange</w:t>
            </w:r>
          </w:p>
        </w:tc>
        <w:tc>
          <w:tcPr>
            <w:tcW w:type="dxa" w:w="3061"/>
          </w:tcPr>
          <w:p>
            <w:r/>
            <w:r>
              <w:rPr>
                <w:color w:val="1A1D21"/>
                <w:sz w:val="17"/>
              </w:rPr>
              <w:t>the regressor for the beta</w:t>
            </w:r>
          </w:p>
        </w:tc>
      </w:tr>
      <w:tr>
        <w:trPr>
          <w:cantSplit/>
        </w:trPr>
        <w:tc>
          <w:tcPr>
            <w:tcW w:type="dxa" w:w="2494"/>
          </w:tcPr>
          <w:p>
            <w:r/>
            <w:r>
              <w:rPr>
                <w:color w:val="1A1D21"/>
                <w:sz w:val="17"/>
              </w:rPr>
              <w:t>World Development Indicators</w:t>
            </w:r>
          </w:p>
        </w:tc>
        <w:tc>
          <w:tcPr>
            <w:tcW w:type="dxa" w:w="1814"/>
          </w:tcPr>
          <w:p>
            <w:r/>
            <w:r>
              <w:rPr>
                <w:color w:val="1A1D21"/>
                <w:sz w:val="17"/>
              </w:rPr>
              <w:t>read 30 Aug 2026</w:t>
            </w:r>
          </w:p>
        </w:tc>
        <w:tc>
          <w:tcPr>
            <w:tcW w:type="dxa" w:w="2041"/>
          </w:tcPr>
          <w:p>
            <w:r/>
            <w:r>
              <w:rPr>
                <w:color w:val="1A1D21"/>
                <w:sz w:val="17"/>
              </w:rPr>
              <w:t>World Bank</w:t>
            </w:r>
          </w:p>
        </w:tc>
        <w:tc>
          <w:tcPr>
            <w:tcW w:type="dxa" w:w="3061"/>
          </w:tcPr>
          <w:p>
            <w:r/>
            <w:r>
              <w:rPr>
                <w:color w:val="1A1D21"/>
                <w:sz w:val="17"/>
              </w:rPr>
              <w:t>Egyptian inflation, exchange rate and urban population</w:t>
            </w:r>
          </w:p>
        </w:tc>
      </w:tr>
    </w:tbl>
    <w:p>
      <w:pPr>
        <w:spacing w:after="200"/>
      </w:pPr>
      <w:r>
        <w:rPr>
          <w:b w:val="0"/>
          <w:i/>
          <w:color w:val="5B6570"/>
          <w:sz w:val="16"/>
        </w:rPr>
        <w:t>All company documents were obtained from the company's own investor relations result centre.</w:t>
      </w:r>
    </w:p>
    <w:p>
      <w:pPr>
        <w:pStyle w:val="Heading1"/>
      </w:pPr>
      <w:r>
        <w:t>2  Full input register</w:t>
      </w:r>
    </w:p>
    <w:p>
      <w:pPr>
        <w:spacing w:after="140"/>
      </w:pPr>
      <w:r>
        <w:rPr>
          <w:b w:val="0"/>
          <w:i w:val="0"/>
          <w:color w:val="1A1D21"/>
          <w:sz w:val="20"/>
        </w:rPr>
        <w:t>Every input in the study, grouped by research layer. Provenance A is the company's own audited statements or its own results releases; B is an exchange or regulator source; C is a credible third party. No reported historical in this study is below A.</w:t>
      </w:r>
    </w:p>
    <w:p>
      <w:pPr>
        <w:pStyle w:val="Heading3"/>
      </w:pPr>
      <w:r>
        <w:t>Company — balance sheet</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accounts receivable</w:t>
            </w:r>
          </w:p>
        </w:tc>
        <w:tc>
          <w:tcPr>
            <w:tcW w:type="dxa" w:w="1191"/>
          </w:tcPr>
          <w:p>
            <w:pPr>
              <w:jc w:val="right"/>
            </w:pPr>
            <w:r/>
            <w:r>
              <w:rPr>
                <w:color w:val="1A1D21"/>
                <w:sz w:val="15"/>
              </w:rPr>
              <w:t>28,118.1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advances customers</w:t>
            </w:r>
          </w:p>
        </w:tc>
        <w:tc>
          <w:tcPr>
            <w:tcW w:type="dxa" w:w="1191"/>
          </w:tcPr>
          <w:p>
            <w:pPr>
              <w:jc w:val="right"/>
            </w:pPr>
            <w:r/>
            <w:r>
              <w:rPr>
                <w:color w:val="1A1D21"/>
                <w:sz w:val="15"/>
              </w:rPr>
              <w:t>69,354.1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cash</w:t>
            </w:r>
          </w:p>
        </w:tc>
        <w:tc>
          <w:tcPr>
            <w:tcW w:type="dxa" w:w="1191"/>
          </w:tcPr>
          <w:p>
            <w:pPr>
              <w:jc w:val="right"/>
            </w:pPr>
            <w:r/>
            <w:r>
              <w:rPr>
                <w:color w:val="1A1D21"/>
                <w:sz w:val="15"/>
              </w:rPr>
              <w:t>9,419.5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checks undelivered</w:t>
            </w:r>
          </w:p>
        </w:tc>
        <w:tc>
          <w:tcPr>
            <w:tcW w:type="dxa" w:w="1191"/>
          </w:tcPr>
          <w:p>
            <w:pPr>
              <w:jc w:val="right"/>
            </w:pPr>
            <w:r/>
            <w:r>
              <w:rPr>
                <w:color w:val="1A1D21"/>
                <w:sz w:val="15"/>
              </w:rPr>
              <w:t>2,453.7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creditors other</w:t>
            </w:r>
          </w:p>
        </w:tc>
        <w:tc>
          <w:tcPr>
            <w:tcW w:type="dxa" w:w="1191"/>
          </w:tcPr>
          <w:p>
            <w:pPr>
              <w:jc w:val="right"/>
            </w:pPr>
            <w:r/>
            <w:r>
              <w:rPr>
                <w:color w:val="1A1D21"/>
                <w:sz w:val="15"/>
              </w:rPr>
              <w:t>5,121.7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debtors other</w:t>
            </w:r>
          </w:p>
        </w:tc>
        <w:tc>
          <w:tcPr>
            <w:tcW w:type="dxa" w:w="1191"/>
          </w:tcPr>
          <w:p>
            <w:pPr>
              <w:jc w:val="right"/>
            </w:pPr>
            <w:r/>
            <w:r>
              <w:rPr>
                <w:color w:val="1A1D21"/>
                <w:sz w:val="15"/>
              </w:rPr>
              <w:t>12,922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deferred revenue</w:t>
            </w:r>
          </w:p>
        </w:tc>
        <w:tc>
          <w:tcPr>
            <w:tcW w:type="dxa" w:w="1191"/>
          </w:tcPr>
          <w:p>
            <w:pPr>
              <w:jc w:val="right"/>
            </w:pPr>
            <w:r/>
            <w:r>
              <w:rPr>
                <w:color w:val="1A1D21"/>
                <w:sz w:val="15"/>
              </w:rPr>
              <w:t>731.2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due from related</w:t>
            </w:r>
          </w:p>
        </w:tc>
        <w:tc>
          <w:tcPr>
            <w:tcW w:type="dxa" w:w="1191"/>
          </w:tcPr>
          <w:p>
            <w:pPr>
              <w:jc w:val="right"/>
            </w:pPr>
            <w:r/>
            <w:r>
              <w:rPr>
                <w:color w:val="1A1D21"/>
                <w:sz w:val="15"/>
              </w:rPr>
              <w:t>335.7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equity parent</w:t>
            </w:r>
          </w:p>
        </w:tc>
        <w:tc>
          <w:tcPr>
            <w:tcW w:type="dxa" w:w="1191"/>
          </w:tcPr>
          <w:p>
            <w:pPr>
              <w:jc w:val="right"/>
            </w:pPr>
            <w:r/>
            <w:r>
              <w:rPr>
                <w:color w:val="1A1D21"/>
                <w:sz w:val="15"/>
              </w:rPr>
              <w:t>17,431.4</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fin inv amortised</w:t>
            </w:r>
          </w:p>
        </w:tc>
        <w:tc>
          <w:tcPr>
            <w:tcW w:type="dxa" w:w="1191"/>
          </w:tcPr>
          <w:p>
            <w:pPr>
              <w:jc w:val="right"/>
            </w:pPr>
            <w:r/>
            <w:r>
              <w:rPr>
                <w:color w:val="1A1D21"/>
                <w:sz w:val="15"/>
              </w:rPr>
              <w:t>9,581.5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fixed assets</w:t>
            </w:r>
          </w:p>
        </w:tc>
        <w:tc>
          <w:tcPr>
            <w:tcW w:type="dxa" w:w="1191"/>
          </w:tcPr>
          <w:p>
            <w:pPr>
              <w:jc w:val="right"/>
            </w:pPr>
            <w:r/>
            <w:r>
              <w:rPr>
                <w:color w:val="1A1D21"/>
                <w:sz w:val="15"/>
              </w:rPr>
              <w:t>4,522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inv fair value</w:t>
            </w:r>
          </w:p>
        </w:tc>
        <w:tc>
          <w:tcPr>
            <w:tcW w:type="dxa" w:w="1191"/>
          </w:tcPr>
          <w:p>
            <w:pPr>
              <w:jc w:val="right"/>
            </w:pPr>
            <w:r/>
            <w:r>
              <w:rPr>
                <w:color w:val="1A1D21"/>
                <w:sz w:val="15"/>
              </w:rPr>
              <w:t>152.7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investment property</w:t>
            </w:r>
          </w:p>
        </w:tc>
        <w:tc>
          <w:tcPr>
            <w:tcW w:type="dxa" w:w="1191"/>
          </w:tcPr>
          <w:p>
            <w:pPr>
              <w:jc w:val="right"/>
            </w:pPr>
            <w:r/>
            <w:r>
              <w:rPr>
                <w:color w:val="1A1D21"/>
                <w:sz w:val="15"/>
              </w:rPr>
              <w:t>1,032.5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investments assoc</w:t>
            </w:r>
          </w:p>
        </w:tc>
        <w:tc>
          <w:tcPr>
            <w:tcW w:type="dxa" w:w="1191"/>
          </w:tcPr>
          <w:p>
            <w:pPr>
              <w:jc w:val="right"/>
            </w:pPr>
            <w:r/>
            <w:r>
              <w:rPr>
                <w:color w:val="1A1D21"/>
                <w:sz w:val="15"/>
              </w:rPr>
              <w:t>3,611.6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nci equity</w:t>
            </w:r>
          </w:p>
        </w:tc>
        <w:tc>
          <w:tcPr>
            <w:tcW w:type="dxa" w:w="1191"/>
          </w:tcPr>
          <w:p>
            <w:pPr>
              <w:jc w:val="right"/>
            </w:pPr>
            <w:r/>
            <w:r>
              <w:rPr>
                <w:color w:val="1A1D21"/>
                <w:sz w:val="15"/>
              </w:rPr>
              <w:t>1,334.3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lt</w:t>
            </w:r>
          </w:p>
        </w:tc>
        <w:tc>
          <w:tcPr>
            <w:tcW w:type="dxa" w:w="1191"/>
          </w:tcPr>
          <w:p>
            <w:pPr>
              <w:jc w:val="right"/>
            </w:pPr>
            <w:r/>
            <w:r>
              <w:rPr>
                <w:color w:val="1A1D21"/>
                <w:sz w:val="15"/>
              </w:rPr>
              <w:t>54,801.3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lt undel</w:t>
            </w:r>
          </w:p>
        </w:tc>
        <w:tc>
          <w:tcPr>
            <w:tcW w:type="dxa" w:w="1191"/>
          </w:tcPr>
          <w:p>
            <w:pPr>
              <w:jc w:val="right"/>
            </w:pPr>
            <w:r/>
            <w:r>
              <w:rPr>
                <w:color w:val="1A1D21"/>
                <w:sz w:val="15"/>
              </w:rPr>
              <w:t>1,518.5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st</w:t>
            </w:r>
          </w:p>
        </w:tc>
        <w:tc>
          <w:tcPr>
            <w:tcW w:type="dxa" w:w="1191"/>
          </w:tcPr>
          <w:p>
            <w:pPr>
              <w:jc w:val="right"/>
            </w:pPr>
            <w:r/>
            <w:r>
              <w:rPr>
                <w:color w:val="1A1D21"/>
                <w:sz w:val="15"/>
              </w:rPr>
              <w:t>18,137.7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st undel</w:t>
            </w:r>
          </w:p>
        </w:tc>
        <w:tc>
          <w:tcPr>
            <w:tcW w:type="dxa" w:w="1191"/>
          </w:tcPr>
          <w:p>
            <w:pPr>
              <w:jc w:val="right"/>
            </w:pPr>
            <w:r/>
            <w:r>
              <w:rPr>
                <w:color w:val="1A1D21"/>
                <w:sz w:val="15"/>
              </w:rPr>
              <w:t>935.3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suppliers</w:t>
            </w:r>
          </w:p>
        </w:tc>
        <w:tc>
          <w:tcPr>
            <w:tcW w:type="dxa" w:w="1191"/>
          </w:tcPr>
          <w:p>
            <w:pPr>
              <w:jc w:val="right"/>
            </w:pPr>
            <w:r/>
            <w:r>
              <w:rPr>
                <w:color w:val="1A1D21"/>
                <w:sz w:val="15"/>
              </w:rPr>
              <w:t>3,807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suppliers advances</w:t>
            </w:r>
          </w:p>
        </w:tc>
        <w:tc>
          <w:tcPr>
            <w:tcW w:type="dxa" w:w="1191"/>
          </w:tcPr>
          <w:p>
            <w:pPr>
              <w:jc w:val="right"/>
            </w:pPr>
            <w:r/>
            <w:r>
              <w:rPr>
                <w:color w:val="1A1D21"/>
                <w:sz w:val="15"/>
              </w:rPr>
              <w:t>9,056.2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assets</w:t>
            </w:r>
          </w:p>
        </w:tc>
        <w:tc>
          <w:tcPr>
            <w:tcW w:type="dxa" w:w="1191"/>
          </w:tcPr>
          <w:p>
            <w:pPr>
              <w:jc w:val="right"/>
            </w:pPr>
            <w:r/>
            <w:r>
              <w:rPr>
                <w:color w:val="1A1D21"/>
                <w:sz w:val="15"/>
              </w:rPr>
              <w:t>172,129.8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current assets</w:t>
            </w:r>
          </w:p>
        </w:tc>
        <w:tc>
          <w:tcPr>
            <w:tcW w:type="dxa" w:w="1191"/>
          </w:tcPr>
          <w:p>
            <w:pPr>
              <w:jc w:val="right"/>
            </w:pPr>
            <w:r/>
            <w:r>
              <w:rPr>
                <w:color w:val="1A1D21"/>
                <w:sz w:val="15"/>
              </w:rPr>
              <w:t>106,229.6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equity</w:t>
            </w:r>
          </w:p>
        </w:tc>
        <w:tc>
          <w:tcPr>
            <w:tcW w:type="dxa" w:w="1191"/>
          </w:tcPr>
          <w:p>
            <w:pPr>
              <w:jc w:val="right"/>
            </w:pPr>
            <w:r/>
            <w:r>
              <w:rPr>
                <w:color w:val="1A1D21"/>
                <w:sz w:val="15"/>
              </w:rPr>
              <w:t>18,765.8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liabilities</w:t>
            </w:r>
          </w:p>
        </w:tc>
        <w:tc>
          <w:tcPr>
            <w:tcW w:type="dxa" w:w="1191"/>
          </w:tcPr>
          <w:p>
            <w:pPr>
              <w:jc w:val="right"/>
            </w:pPr>
            <w:r/>
            <w:r>
              <w:rPr>
                <w:color w:val="1A1D21"/>
                <w:sz w:val="15"/>
              </w:rPr>
              <w:t>153,364.1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noncurrent assets</w:t>
            </w:r>
          </w:p>
        </w:tc>
        <w:tc>
          <w:tcPr>
            <w:tcW w:type="dxa" w:w="1191"/>
          </w:tcPr>
          <w:p>
            <w:pPr>
              <w:jc w:val="right"/>
            </w:pPr>
            <w:r/>
            <w:r>
              <w:rPr>
                <w:color w:val="1A1D21"/>
                <w:sz w:val="15"/>
              </w:rPr>
              <w:t>65,900.2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work in progress</w:t>
            </w:r>
          </w:p>
        </w:tc>
        <w:tc>
          <w:tcPr>
            <w:tcW w:type="dxa" w:w="1191"/>
          </w:tcPr>
          <w:p>
            <w:pPr>
              <w:jc w:val="right"/>
            </w:pPr>
            <w:r/>
            <w:r>
              <w:rPr>
                <w:color w:val="1A1D21"/>
                <w:sz w:val="15"/>
              </w:rPr>
              <w:t>17,570.9</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bl>
    <w:p>
      <w:pPr>
        <w:spacing w:after="80"/>
      </w:pPr>
      <w:r>
        <w:rPr>
          <w:b w:val="0"/>
          <w:i w:val="0"/>
          <w:color w:val="1A1D21"/>
          <w:sz w:val="8"/>
        </w:rPr>
      </w:r>
    </w:p>
    <w:p>
      <w:pPr>
        <w:pStyle w:val="Heading3"/>
      </w:pPr>
      <w:r>
        <w:t>Company — borrowings</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banks credit balances</w:t>
            </w:r>
          </w:p>
        </w:tc>
        <w:tc>
          <w:tcPr>
            <w:tcW w:type="dxa" w:w="1191"/>
          </w:tcPr>
          <w:p>
            <w:pPr>
              <w:jc w:val="right"/>
            </w:pPr>
            <w:r/>
            <w:r>
              <w:rPr>
                <w:color w:val="1A1D21"/>
                <w:sz w:val="15"/>
              </w:rPr>
              <w:t>938.8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credit facilities</w:t>
            </w:r>
          </w:p>
        </w:tc>
        <w:tc>
          <w:tcPr>
            <w:tcW w:type="dxa" w:w="1191"/>
          </w:tcPr>
          <w:p>
            <w:pPr>
              <w:jc w:val="right"/>
            </w:pPr>
            <w:r/>
            <w:r>
              <w:rPr>
                <w:color w:val="1A1D21"/>
                <w:sz w:val="15"/>
              </w:rPr>
              <w:t>11,337.5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current portion st loans</w:t>
            </w:r>
          </w:p>
        </w:tc>
        <w:tc>
          <w:tcPr>
            <w:tcW w:type="dxa" w:w="1191"/>
          </w:tcPr>
          <w:p>
            <w:pPr>
              <w:jc w:val="right"/>
            </w:pPr>
            <w:r/>
            <w:r>
              <w:rPr>
                <w:color w:val="1A1D21"/>
                <w:sz w:val="15"/>
              </w:rPr>
              <w:t>1,250</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lease liabilities lt</w:t>
            </w:r>
          </w:p>
        </w:tc>
        <w:tc>
          <w:tcPr>
            <w:tcW w:type="dxa" w:w="1191"/>
          </w:tcPr>
          <w:p>
            <w:pPr>
              <w:jc w:val="right"/>
            </w:pPr>
            <w:r/>
            <w:r>
              <w:rPr>
                <w:color w:val="1A1D21"/>
                <w:sz w:val="15"/>
              </w:rPr>
              <w:t>60.7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lease liabilities st</w:t>
            </w:r>
          </w:p>
        </w:tc>
        <w:tc>
          <w:tcPr>
            <w:tcW w:type="dxa" w:w="1191"/>
          </w:tcPr>
          <w:p>
            <w:pPr>
              <w:jc w:val="right"/>
            </w:pPr>
            <w:r/>
            <w:r>
              <w:rPr>
                <w:color w:val="1A1D21"/>
                <w:sz w:val="15"/>
              </w:rPr>
              <w:t>41.9</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loans long term</w:t>
            </w:r>
          </w:p>
        </w:tc>
        <w:tc>
          <w:tcPr>
            <w:tcW w:type="dxa" w:w="1191"/>
          </w:tcPr>
          <w:p>
            <w:pPr>
              <w:jc w:val="right"/>
            </w:pPr>
            <w:r/>
            <w:r>
              <w:rPr>
                <w:color w:val="1A1D21"/>
                <w:sz w:val="15"/>
              </w:rPr>
              <w:t>10,543.1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payable long term</w:t>
            </w:r>
          </w:p>
        </w:tc>
        <w:tc>
          <w:tcPr>
            <w:tcW w:type="dxa" w:w="1191"/>
          </w:tcPr>
          <w:p>
            <w:pPr>
              <w:jc w:val="right"/>
            </w:pPr>
            <w:r/>
            <w:r>
              <w:rPr>
                <w:color w:val="1A1D21"/>
                <w:sz w:val="15"/>
              </w:rPr>
              <w:t>4,505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payable short term</w:t>
            </w:r>
          </w:p>
        </w:tc>
        <w:tc>
          <w:tcPr>
            <w:tcW w:type="dxa" w:w="1191"/>
          </w:tcPr>
          <w:p>
            <w:pPr>
              <w:jc w:val="right"/>
            </w:pPr>
            <w:r/>
            <w:r>
              <w:rPr>
                <w:color w:val="1A1D21"/>
                <w:sz w:val="15"/>
              </w:rPr>
              <w:t>4,875.7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bl>
    <w:p>
      <w:pPr>
        <w:spacing w:after="80"/>
      </w:pPr>
      <w:r>
        <w:rPr>
          <w:b w:val="0"/>
          <w:i w:val="0"/>
          <w:color w:val="1A1D21"/>
          <w:sz w:val="8"/>
        </w:rPr>
      </w:r>
    </w:p>
    <w:p>
      <w:pPr>
        <w:pStyle w:val="Heading3"/>
      </w:pPr>
      <w:r>
        <w:t>Company — cash flow</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cff fy25</w:t>
            </w:r>
          </w:p>
        </w:tc>
        <w:tc>
          <w:tcPr>
            <w:tcW w:type="dxa" w:w="1191"/>
          </w:tcPr>
          <w:p>
            <w:pPr>
              <w:jc w:val="right"/>
            </w:pPr>
            <w:r/>
            <w:r>
              <w:rPr>
                <w:color w:val="1A1D21"/>
                <w:sz w:val="15"/>
              </w:rPr>
              <w:t>5,628.8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w:t>
            </w:r>
          </w:p>
        </w:tc>
      </w:tr>
      <w:tr>
        <w:trPr>
          <w:cantSplit/>
        </w:trPr>
        <w:tc>
          <w:tcPr>
            <w:tcW w:type="dxa" w:w="1814"/>
          </w:tcPr>
          <w:p>
            <w:r/>
            <w:r>
              <w:rPr>
                <w:color w:val="1A1D21"/>
                <w:sz w:val="15"/>
              </w:rPr>
              <w:t>cfi fy25</w:t>
            </w:r>
          </w:p>
        </w:tc>
        <w:tc>
          <w:tcPr>
            <w:tcW w:type="dxa" w:w="1191"/>
          </w:tcPr>
          <w:p>
            <w:pPr>
              <w:jc w:val="right"/>
            </w:pPr>
            <w:r/>
            <w:r>
              <w:rPr>
                <w:color w:val="1A1D21"/>
                <w:sz w:val="15"/>
              </w:rPr>
              <w:t>-4,031.7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w:t>
            </w:r>
          </w:p>
        </w:tc>
      </w:tr>
      <w:tr>
        <w:trPr>
          <w:cantSplit/>
        </w:trPr>
        <w:tc>
          <w:tcPr>
            <w:tcW w:type="dxa" w:w="1814"/>
          </w:tcPr>
          <w:p>
            <w:r/>
            <w:r>
              <w:rPr>
                <w:color w:val="1A1D21"/>
                <w:sz w:val="15"/>
              </w:rPr>
              <w:t>cfo fy23</w:t>
            </w:r>
          </w:p>
        </w:tc>
        <w:tc>
          <w:tcPr>
            <w:tcW w:type="dxa" w:w="1191"/>
          </w:tcPr>
          <w:p>
            <w:pPr>
              <w:jc w:val="right"/>
            </w:pPr>
            <w:r/>
            <w:r>
              <w:rPr>
                <w:color w:val="1A1D21"/>
                <w:sz w:val="15"/>
              </w:rPr>
              <w:t>756.7</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FY2024 earnings release (comparative)</w:t>
            </w:r>
          </w:p>
        </w:tc>
      </w:tr>
      <w:tr>
        <w:trPr>
          <w:cantSplit/>
        </w:trPr>
        <w:tc>
          <w:tcPr>
            <w:tcW w:type="dxa" w:w="1814"/>
          </w:tcPr>
          <w:p>
            <w:r/>
            <w:r>
              <w:rPr>
                <w:color w:val="1A1D21"/>
                <w:sz w:val="15"/>
              </w:rPr>
              <w:t>cfo fy24</w:t>
            </w:r>
          </w:p>
        </w:tc>
        <w:tc>
          <w:tcPr>
            <w:tcW w:type="dxa" w:w="1191"/>
          </w:tcPr>
          <w:p>
            <w:pPr>
              <w:jc w:val="right"/>
            </w:pPr>
            <w:r/>
            <w:r>
              <w:rPr>
                <w:color w:val="1A1D21"/>
                <w:sz w:val="15"/>
              </w:rPr>
              <w:t>4,854.8</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 comparative) — NOTE this RESTATES the EGP 3,</w:t>
            </w:r>
          </w:p>
        </w:tc>
      </w:tr>
      <w:tr>
        <w:trPr>
          <w:cantSplit/>
        </w:trPr>
        <w:tc>
          <w:tcPr>
            <w:tcW w:type="dxa" w:w="1814"/>
          </w:tcPr>
          <w:p>
            <w:r/>
            <w:r>
              <w:rPr>
                <w:color w:val="1A1D21"/>
                <w:sz w:val="15"/>
              </w:rPr>
              <w:t>cfo fy25</w:t>
            </w:r>
          </w:p>
        </w:tc>
        <w:tc>
          <w:tcPr>
            <w:tcW w:type="dxa" w:w="1191"/>
          </w:tcPr>
          <w:p>
            <w:pPr>
              <w:jc w:val="right"/>
            </w:pPr>
            <w:r/>
            <w:r>
              <w:rPr>
                <w:color w:val="1A1D21"/>
                <w:sz w:val="15"/>
              </w:rPr>
              <w:t>1,424.2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w:t>
            </w:r>
          </w:p>
        </w:tc>
      </w:tr>
    </w:tbl>
    <w:p>
      <w:pPr>
        <w:spacing w:after="80"/>
      </w:pPr>
      <w:r>
        <w:rPr>
          <w:b w:val="0"/>
          <w:i w:val="0"/>
          <w:color w:val="1A1D21"/>
          <w:sz w:val="8"/>
        </w:rPr>
      </w:r>
    </w:p>
    <w:p>
      <w:pPr>
        <w:pStyle w:val="Heading3"/>
      </w:pPr>
      <w:r>
        <w:t>Company — income statement</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cogs fy24</w:t>
            </w:r>
          </w:p>
        </w:tc>
        <w:tc>
          <w:tcPr>
            <w:tcW w:type="dxa" w:w="1191"/>
          </w:tcPr>
          <w:p>
            <w:pPr>
              <w:jc w:val="right"/>
            </w:pPr>
            <w:r/>
            <w:r>
              <w:rPr>
                <w:color w:val="1A1D21"/>
                <w:sz w:val="15"/>
              </w:rPr>
              <w:t>17,837.2</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w:t>
            </w:r>
          </w:p>
        </w:tc>
      </w:tr>
      <w:tr>
        <w:trPr>
          <w:cantSplit/>
        </w:trPr>
        <w:tc>
          <w:tcPr>
            <w:tcW w:type="dxa" w:w="1814"/>
          </w:tcPr>
          <w:p>
            <w:r/>
            <w:r>
              <w:rPr>
                <w:color w:val="1A1D21"/>
                <w:sz w:val="15"/>
              </w:rPr>
              <w:t>cogs fy25</w:t>
            </w:r>
          </w:p>
        </w:tc>
        <w:tc>
          <w:tcPr>
            <w:tcW w:type="dxa" w:w="1191"/>
          </w:tcPr>
          <w:p>
            <w:pPr>
              <w:jc w:val="right"/>
            </w:pPr>
            <w:r/>
            <w:r>
              <w:rPr>
                <w:color w:val="1A1D21"/>
                <w:sz w:val="15"/>
              </w:rPr>
              <w:t>21,118.9</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da fy25</w:t>
            </w:r>
          </w:p>
        </w:tc>
        <w:tc>
          <w:tcPr>
            <w:tcW w:type="dxa" w:w="1191"/>
          </w:tcPr>
          <w:p>
            <w:pPr>
              <w:jc w:val="right"/>
            </w:pPr>
            <w:r/>
            <w:r>
              <w:rPr>
                <w:color w:val="1A1D21"/>
                <w:sz w:val="15"/>
              </w:rPr>
              <w:t>353.7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finance cost fy25</w:t>
            </w:r>
          </w:p>
        </w:tc>
        <w:tc>
          <w:tcPr>
            <w:tcW w:type="dxa" w:w="1191"/>
          </w:tcPr>
          <w:p>
            <w:pPr>
              <w:jc w:val="right"/>
            </w:pPr>
            <w:r/>
            <w:r>
              <w:rPr>
                <w:color w:val="1A1D21"/>
                <w:sz w:val="15"/>
              </w:rPr>
              <w:t>3,347.5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gross profit 1q26</w:t>
            </w:r>
          </w:p>
        </w:tc>
        <w:tc>
          <w:tcPr>
            <w:tcW w:type="dxa" w:w="1191"/>
          </w:tcPr>
          <w:p>
            <w:pPr>
              <w:jc w:val="right"/>
            </w:pPr>
            <w:r/>
            <w:r>
              <w:rPr>
                <w:color w:val="1A1D21"/>
                <w:sz w:val="15"/>
              </w:rPr>
              <w:t>3,300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margin 35% versus 44% in 1Q2025</w:t>
            </w:r>
          </w:p>
        </w:tc>
      </w:tr>
      <w:tr>
        <w:trPr>
          <w:cantSplit/>
        </w:trPr>
        <w:tc>
          <w:tcPr>
            <w:tcW w:type="dxa" w:w="1814"/>
          </w:tcPr>
          <w:p>
            <w:r/>
            <w:r>
              <w:rPr>
                <w:color w:val="1A1D21"/>
                <w:sz w:val="15"/>
              </w:rPr>
              <w:t>gross profit fy25</w:t>
            </w:r>
          </w:p>
        </w:tc>
        <w:tc>
          <w:tcPr>
            <w:tcW w:type="dxa" w:w="1191"/>
          </w:tcPr>
          <w:p>
            <w:pPr>
              <w:jc w:val="right"/>
            </w:pPr>
            <w:r/>
            <w:r>
              <w:rPr>
                <w:color w:val="1A1D21"/>
                <w:sz w:val="15"/>
              </w:rPr>
              <w:t>14,887.6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npat 1q26</w:t>
            </w:r>
          </w:p>
        </w:tc>
        <w:tc>
          <w:tcPr>
            <w:tcW w:type="dxa" w:w="1191"/>
          </w:tcPr>
          <w:p>
            <w:pPr>
              <w:jc w:val="right"/>
            </w:pPr>
            <w:r/>
            <w:r>
              <w:rPr>
                <w:color w:val="1A1D21"/>
                <w:sz w:val="15"/>
              </w:rPr>
              <w:t>1,200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w:t>
            </w:r>
          </w:p>
        </w:tc>
      </w:tr>
      <w:tr>
        <w:trPr>
          <w:cantSplit/>
        </w:trPr>
        <w:tc>
          <w:tcPr>
            <w:tcW w:type="dxa" w:w="1814"/>
          </w:tcPr>
          <w:p>
            <w:r/>
            <w:r>
              <w:rPr>
                <w:color w:val="1A1D21"/>
                <w:sz w:val="15"/>
              </w:rPr>
              <w:t>npat mi fy25</w:t>
            </w:r>
          </w:p>
        </w:tc>
        <w:tc>
          <w:tcPr>
            <w:tcW w:type="dxa" w:w="1191"/>
          </w:tcPr>
          <w:p>
            <w:pPr>
              <w:jc w:val="right"/>
            </w:pPr>
            <w:r/>
            <w:r>
              <w:rPr>
                <w:color w:val="1A1D21"/>
                <w:sz w:val="15"/>
              </w:rPr>
              <w:t>4,216.7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npbt fy25</w:t>
            </w:r>
          </w:p>
        </w:tc>
        <w:tc>
          <w:tcPr>
            <w:tcW w:type="dxa" w:w="1191"/>
          </w:tcPr>
          <w:p>
            <w:pPr>
              <w:jc w:val="right"/>
            </w:pPr>
            <w:r/>
            <w:r>
              <w:rPr>
                <w:color w:val="1A1D21"/>
                <w:sz w:val="15"/>
              </w:rPr>
              <w:t>6,251.1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revenue fy23</w:t>
            </w:r>
          </w:p>
        </w:tc>
        <w:tc>
          <w:tcPr>
            <w:tcW w:type="dxa" w:w="1191"/>
          </w:tcPr>
          <w:p>
            <w:pPr>
              <w:jc w:val="right"/>
            </w:pPr>
            <w:r/>
            <w:r>
              <w:rPr>
                <w:color w:val="1A1D21"/>
                <w:sz w:val="15"/>
              </w:rPr>
              <w:t>17,462.1</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consolidated financial statements</w:t>
            </w:r>
          </w:p>
        </w:tc>
      </w:tr>
      <w:tr>
        <w:trPr>
          <w:cantSplit/>
        </w:trPr>
        <w:tc>
          <w:tcPr>
            <w:tcW w:type="dxa" w:w="1814"/>
          </w:tcPr>
          <w:p>
            <w:r/>
            <w:r>
              <w:rPr>
                <w:color w:val="1A1D21"/>
                <w:sz w:val="15"/>
              </w:rPr>
              <w:t>revenue fy24</w:t>
            </w:r>
          </w:p>
        </w:tc>
        <w:tc>
          <w:tcPr>
            <w:tcW w:type="dxa" w:w="1191"/>
          </w:tcPr>
          <w:p>
            <w:pPr>
              <w:jc w:val="right"/>
            </w:pPr>
            <w:r/>
            <w:r>
              <w:rPr>
                <w:color w:val="1A1D21"/>
                <w:sz w:val="15"/>
              </w:rPr>
              <w:t>27,167.3</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(comparative column)</w:t>
            </w:r>
          </w:p>
        </w:tc>
      </w:tr>
      <w:tr>
        <w:trPr>
          <w:cantSplit/>
        </w:trPr>
        <w:tc>
          <w:tcPr>
            <w:tcW w:type="dxa" w:w="1814"/>
          </w:tcPr>
          <w:p>
            <w:r/>
            <w:r>
              <w:rPr>
                <w:color w:val="1A1D21"/>
                <w:sz w:val="15"/>
              </w:rPr>
              <w:t>revenue fy25</w:t>
            </w:r>
          </w:p>
        </w:tc>
        <w:tc>
          <w:tcPr>
            <w:tcW w:type="dxa" w:w="1191"/>
          </w:tcPr>
          <w:p>
            <w:pPr>
              <w:jc w:val="right"/>
            </w:pPr>
            <w:r/>
            <w:r>
              <w:rPr>
                <w:color w:val="1A1D21"/>
                <w:sz w:val="15"/>
              </w:rPr>
              <w:t>36,169.3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sga fy25</w:t>
            </w:r>
          </w:p>
        </w:tc>
        <w:tc>
          <w:tcPr>
            <w:tcW w:type="dxa" w:w="1191"/>
          </w:tcPr>
          <w:p>
            <w:pPr>
              <w:jc w:val="right"/>
            </w:pPr>
            <w:r/>
            <w:r>
              <w:rPr>
                <w:color w:val="1A1D21"/>
                <w:sz w:val="15"/>
              </w:rPr>
              <w:t>6,365.6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tax fy25</w:t>
            </w:r>
          </w:p>
        </w:tc>
        <w:tc>
          <w:tcPr>
            <w:tcW w:type="dxa" w:w="1191"/>
          </w:tcPr>
          <w:p>
            <w:pPr>
              <w:jc w:val="right"/>
            </w:pPr>
            <w:r/>
            <w:r>
              <w:rPr>
                <w:color w:val="1A1D21"/>
                <w:sz w:val="15"/>
              </w:rPr>
              <w:t>1,827.2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bl>
    <w:p>
      <w:pPr>
        <w:spacing w:after="80"/>
      </w:pPr>
      <w:r>
        <w:rPr>
          <w:b w:val="0"/>
          <w:i w:val="0"/>
          <w:color w:val="1A1D21"/>
          <w:sz w:val="8"/>
        </w:rPr>
      </w:r>
    </w:p>
    <w:p>
      <w:pPr>
        <w:pStyle w:val="Heading3"/>
      </w:pPr>
      <w:r>
        <w:t>Company — operating</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backlog 1q26</w:t>
            </w:r>
          </w:p>
        </w:tc>
        <w:tc>
          <w:tcPr>
            <w:tcW w:type="dxa" w:w="1191"/>
          </w:tcPr>
          <w:p>
            <w:pPr>
              <w:jc w:val="right"/>
            </w:pPr>
            <w:r/>
            <w:r>
              <w:rPr>
                <w:color w:val="1A1D21"/>
                <w:sz w:val="15"/>
              </w:rPr>
              <w:t>263,000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"the company's backlog of units sold and not yet delivered reached EGP263 billion up f</w:t>
            </w:r>
          </w:p>
        </w:tc>
      </w:tr>
      <w:tr>
        <w:trPr>
          <w:cantSplit/>
        </w:trPr>
        <w:tc>
          <w:tcPr>
            <w:tcW w:type="dxa" w:w="1814"/>
          </w:tcPr>
          <w:p>
            <w:r/>
            <w:r>
              <w:rPr>
                <w:color w:val="1A1D21"/>
                <w:sz w:val="15"/>
              </w:rPr>
              <w:t>backlog fy23</w:t>
            </w:r>
          </w:p>
        </w:tc>
        <w:tc>
          <w:tcPr>
            <w:tcW w:type="dxa" w:w="1191"/>
          </w:tcPr>
          <w:p>
            <w:pPr>
              <w:jc w:val="right"/>
            </w:pPr>
            <w:r/>
            <w:r>
              <w:rPr>
                <w:color w:val="1A1D21"/>
                <w:sz w:val="15"/>
              </w:rPr>
              <w:t>60,000</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FY2024 earnings release (comparative)</w:t>
            </w:r>
          </w:p>
        </w:tc>
      </w:tr>
      <w:tr>
        <w:trPr>
          <w:cantSplit/>
        </w:trPr>
        <w:tc>
          <w:tcPr>
            <w:tcW w:type="dxa" w:w="1814"/>
          </w:tcPr>
          <w:p>
            <w:r/>
            <w:r>
              <w:rPr>
                <w:color w:val="1A1D21"/>
                <w:sz w:val="15"/>
              </w:rPr>
              <w:t>backlog fy24</w:t>
            </w:r>
          </w:p>
        </w:tc>
        <w:tc>
          <w:tcPr>
            <w:tcW w:type="dxa" w:w="1191"/>
          </w:tcPr>
          <w:p>
            <w:pPr>
              <w:jc w:val="right"/>
            </w:pPr>
            <w:r/>
            <w:r>
              <w:rPr>
                <w:color w:val="1A1D21"/>
                <w:sz w:val="15"/>
              </w:rPr>
              <w:t>147,000</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w:t>
            </w:r>
          </w:p>
        </w:tc>
      </w:tr>
      <w:tr>
        <w:trPr>
          <w:cantSplit/>
        </w:trPr>
        <w:tc>
          <w:tcPr>
            <w:tcW w:type="dxa" w:w="1814"/>
          </w:tcPr>
          <w:p>
            <w:r/>
            <w:r>
              <w:rPr>
                <w:color w:val="1A1D21"/>
                <w:sz w:val="15"/>
              </w:rPr>
              <w:t>collections fy24</w:t>
            </w:r>
          </w:p>
        </w:tc>
        <w:tc>
          <w:tcPr>
            <w:tcW w:type="dxa" w:w="1191"/>
          </w:tcPr>
          <w:p>
            <w:pPr>
              <w:jc w:val="right"/>
            </w:pPr>
            <w:r/>
            <w:r>
              <w:rPr>
                <w:color w:val="1A1D21"/>
                <w:sz w:val="15"/>
              </w:rPr>
              <w:t>25,400</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w:t>
            </w:r>
          </w:p>
        </w:tc>
      </w:tr>
      <w:tr>
        <w:trPr>
          <w:cantSplit/>
        </w:trPr>
        <w:tc>
          <w:tcPr>
            <w:tcW w:type="dxa" w:w="1814"/>
          </w:tcPr>
          <w:p>
            <w:r/>
            <w:r>
              <w:rPr>
                <w:color w:val="1A1D21"/>
                <w:sz w:val="15"/>
              </w:rPr>
              <w:t>construction fy23</w:t>
            </w:r>
          </w:p>
        </w:tc>
        <w:tc>
          <w:tcPr>
            <w:tcW w:type="dxa" w:w="1191"/>
          </w:tcPr>
          <w:p>
            <w:pPr>
              <w:jc w:val="right"/>
            </w:pPr>
            <w:r/>
            <w:r>
              <w:rPr>
                <w:color w:val="1A1D21"/>
                <w:sz w:val="15"/>
              </w:rPr>
              <w:t>7,500</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earnings release</w:t>
            </w:r>
          </w:p>
        </w:tc>
      </w:tr>
      <w:tr>
        <w:trPr>
          <w:cantSplit/>
        </w:trPr>
        <w:tc>
          <w:tcPr>
            <w:tcW w:type="dxa" w:w="1814"/>
          </w:tcPr>
          <w:p>
            <w:r/>
            <w:r>
              <w:rPr>
                <w:color w:val="1A1D21"/>
                <w:sz w:val="15"/>
              </w:rPr>
              <w:t>construction fy24</w:t>
            </w:r>
          </w:p>
        </w:tc>
        <w:tc>
          <w:tcPr>
            <w:tcW w:type="dxa" w:w="1191"/>
          </w:tcPr>
          <w:p>
            <w:pPr>
              <w:jc w:val="right"/>
            </w:pPr>
            <w:r/>
            <w:r>
              <w:rPr>
                <w:color w:val="1A1D21"/>
                <w:sz w:val="15"/>
              </w:rPr>
              <w:t>8,500</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 — "The Company spent EGP8.5 billion on construction activities during FY2024"</w:t>
            </w:r>
          </w:p>
        </w:tc>
      </w:tr>
      <w:tr>
        <w:trPr>
          <w:cantSplit/>
        </w:trPr>
        <w:tc>
          <w:tcPr>
            <w:tcW w:type="dxa" w:w="1814"/>
          </w:tcPr>
          <w:p>
            <w:r/>
            <w:r>
              <w:rPr>
                <w:color w:val="1A1D21"/>
                <w:sz w:val="15"/>
              </w:rPr>
              <w:t>land bank sqm mn</w:t>
            </w:r>
          </w:p>
        </w:tc>
        <w:tc>
          <w:tcPr>
            <w:tcW w:type="dxa" w:w="1191"/>
          </w:tcPr>
          <w:p>
            <w:pPr>
              <w:jc w:val="right"/>
            </w:pPr>
            <w:r/>
            <w:r>
              <w:rPr>
                <w:color w:val="1A1D21"/>
                <w:sz w:val="15"/>
              </w:rPr>
              <w:t>33</w:t>
            </w:r>
          </w:p>
        </w:tc>
        <w:tc>
          <w:tcPr>
            <w:tcW w:type="dxa" w:w="907"/>
          </w:tcPr>
          <w:p>
            <w:r/>
            <w:r>
              <w:rPr>
                <w:color w:val="1A1D21"/>
                <w:sz w:val="15"/>
              </w:rPr>
              <w:t>mn sqm</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 — land bank "spreading over 33 million square meters"</w:t>
            </w:r>
          </w:p>
        </w:tc>
      </w:tr>
      <w:tr>
        <w:trPr>
          <w:cantSplit/>
        </w:trPr>
        <w:tc>
          <w:tcPr>
            <w:tcW w:type="dxa" w:w="1814"/>
          </w:tcPr>
          <w:p>
            <w:r/>
            <w:r>
              <w:rPr>
                <w:color w:val="1A1D21"/>
                <w:sz w:val="15"/>
              </w:rPr>
              <w:t>new sales 1q26</w:t>
            </w:r>
          </w:p>
        </w:tc>
        <w:tc>
          <w:tcPr>
            <w:tcW w:type="dxa" w:w="1191"/>
          </w:tcPr>
          <w:p>
            <w:pPr>
              <w:jc w:val="right"/>
            </w:pPr>
            <w:r/>
            <w:r>
              <w:rPr>
                <w:color w:val="1A1D21"/>
                <w:sz w:val="15"/>
              </w:rPr>
              <w:t>52,000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"New sales recorded EGP 52 billion in 1Q2026"</w:t>
            </w:r>
          </w:p>
        </w:tc>
      </w:tr>
      <w:tr>
        <w:trPr>
          <w:cantSplit/>
        </w:trPr>
        <w:tc>
          <w:tcPr>
            <w:tcW w:type="dxa" w:w="1814"/>
          </w:tcPr>
          <w:p>
            <w:r/>
            <w:r>
              <w:rPr>
                <w:color w:val="1A1D21"/>
                <w:sz w:val="15"/>
              </w:rPr>
              <w:t>new sales fy24</w:t>
            </w:r>
          </w:p>
        </w:tc>
        <w:tc>
          <w:tcPr>
            <w:tcW w:type="dxa" w:w="1191"/>
          </w:tcPr>
          <w:p>
            <w:pPr>
              <w:jc w:val="right"/>
            </w:pPr>
            <w:r/>
            <w:r>
              <w:rPr>
                <w:color w:val="1A1D21"/>
                <w:sz w:val="15"/>
              </w:rPr>
              <w:t>151,016</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 chart series</w:t>
            </w:r>
          </w:p>
        </w:tc>
      </w:tr>
      <w:tr>
        <w:trPr>
          <w:cantSplit/>
        </w:trPr>
        <w:tc>
          <w:tcPr>
            <w:tcW w:type="dxa" w:w="1814"/>
          </w:tcPr>
          <w:p>
            <w:r/>
            <w:r>
              <w:rPr>
                <w:color w:val="1A1D21"/>
                <w:sz w:val="15"/>
              </w:rPr>
              <w:t>revenue 1q26</w:t>
            </w:r>
          </w:p>
        </w:tc>
        <w:tc>
          <w:tcPr>
            <w:tcW w:type="dxa" w:w="1191"/>
          </w:tcPr>
          <w:p>
            <w:pPr>
              <w:jc w:val="right"/>
            </w:pPr>
            <w:r/>
            <w:r>
              <w:rPr>
                <w:color w:val="1A1D21"/>
                <w:sz w:val="15"/>
              </w:rPr>
              <w:t>9,300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w:t>
            </w:r>
          </w:p>
        </w:tc>
      </w:tr>
      <w:tr>
        <w:trPr>
          <w:cantSplit/>
        </w:trPr>
        <w:tc>
          <w:tcPr>
            <w:tcW w:type="dxa" w:w="1814"/>
          </w:tcPr>
          <w:p>
            <w:r/>
            <w:r>
              <w:rPr>
                <w:color w:val="1A1D21"/>
                <w:sz w:val="15"/>
              </w:rPr>
              <w:t>revenue 1q26 yoy</w:t>
            </w:r>
          </w:p>
        </w:tc>
        <w:tc>
          <w:tcPr>
            <w:tcW w:type="dxa" w:w="1191"/>
          </w:tcPr>
          <w:p>
            <w:pPr>
              <w:jc w:val="right"/>
            </w:pPr>
            <w:r/>
            <w:r>
              <w:rPr>
                <w:color w:val="1A1D21"/>
                <w:sz w:val="15"/>
              </w:rPr>
              <w:t>0.11</w:t>
            </w:r>
          </w:p>
        </w:tc>
        <w:tc>
          <w:tcPr>
            <w:tcW w:type="dxa" w:w="907"/>
          </w:tcPr>
          <w:p>
            <w:r/>
            <w:r>
              <w:rPr>
                <w:color w:val="1A1D21"/>
                <w:sz w:val="15"/>
              </w:rPr>
              <w:t>YoY</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"Revenue reached EGP 9.3 billion in 1Q2026, up 11% YoY"</w:t>
            </w:r>
          </w:p>
        </w:tc>
      </w:tr>
      <w:tr>
        <w:trPr>
          <w:cantSplit/>
        </w:trPr>
        <w:tc>
          <w:tcPr>
            <w:tcW w:type="dxa" w:w="1814"/>
          </w:tcPr>
          <w:p>
            <w:r/>
            <w:r>
              <w:rPr>
                <w:color w:val="1A1D21"/>
                <w:sz w:val="15"/>
              </w:rPr>
              <w:t>units delivered fy23</w:t>
            </w:r>
          </w:p>
        </w:tc>
        <w:tc>
          <w:tcPr>
            <w:tcW w:type="dxa" w:w="1191"/>
          </w:tcPr>
          <w:p>
            <w:pPr>
              <w:jc w:val="right"/>
            </w:pPr>
            <w:r/>
            <w:r>
              <w:rPr>
                <w:color w:val="1A1D21"/>
                <w:sz w:val="15"/>
              </w:rPr>
              <w:t>1,500</w:t>
            </w:r>
          </w:p>
        </w:tc>
        <w:tc>
          <w:tcPr>
            <w:tcW w:type="dxa" w:w="907"/>
          </w:tcPr>
          <w:p>
            <w:r/>
            <w:r>
              <w:rPr>
                <w:color w:val="1A1D21"/>
                <w:sz w:val="15"/>
              </w:rPr>
              <w:t>units</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earnings release</w:t>
            </w:r>
          </w:p>
        </w:tc>
      </w:tr>
      <w:tr>
        <w:trPr>
          <w:cantSplit/>
        </w:trPr>
        <w:tc>
          <w:tcPr>
            <w:tcW w:type="dxa" w:w="1814"/>
          </w:tcPr>
          <w:p>
            <w:r/>
            <w:r>
              <w:rPr>
                <w:color w:val="1A1D21"/>
                <w:sz w:val="15"/>
              </w:rPr>
              <w:t>units sold fy23</w:t>
            </w:r>
          </w:p>
        </w:tc>
        <w:tc>
          <w:tcPr>
            <w:tcW w:type="dxa" w:w="1191"/>
          </w:tcPr>
          <w:p>
            <w:pPr>
              <w:jc w:val="right"/>
            </w:pPr>
            <w:r/>
            <w:r>
              <w:rPr>
                <w:color w:val="1A1D21"/>
                <w:sz w:val="15"/>
              </w:rPr>
              <w:t>5,300</w:t>
            </w:r>
          </w:p>
        </w:tc>
        <w:tc>
          <w:tcPr>
            <w:tcW w:type="dxa" w:w="907"/>
          </w:tcPr>
          <w:p>
            <w:r/>
            <w:r>
              <w:rPr>
                <w:color w:val="1A1D21"/>
                <w:sz w:val="15"/>
              </w:rPr>
              <w:t>units</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earnings release, chart series</w:t>
            </w:r>
          </w:p>
        </w:tc>
      </w:tr>
      <w:tr>
        <w:trPr>
          <w:cantSplit/>
        </w:trPr>
        <w:tc>
          <w:tcPr>
            <w:tcW w:type="dxa" w:w="1814"/>
          </w:tcPr>
          <w:p>
            <w:r/>
            <w:r>
              <w:rPr>
                <w:color w:val="1A1D21"/>
                <w:sz w:val="15"/>
              </w:rPr>
              <w:t>vdlc launch 1q26</w:t>
            </w:r>
          </w:p>
        </w:tc>
        <w:tc>
          <w:tcPr>
            <w:tcW w:type="dxa" w:w="1191"/>
          </w:tcPr>
          <w:p>
            <w:pPr>
              <w:jc w:val="right"/>
            </w:pPr>
            <w:r/>
            <w:r>
              <w:rPr>
                <w:color w:val="1A1D21"/>
                <w:sz w:val="15"/>
              </w:rPr>
              <w:t>24,000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"the company launched its strategic land plot Village de La Capitale in New administra</w:t>
            </w:r>
          </w:p>
        </w:tc>
      </w:tr>
    </w:tbl>
    <w:p>
      <w:pPr>
        <w:spacing w:after="80"/>
      </w:pPr>
      <w:r>
        <w:rPr>
          <w:b w:val="0"/>
          <w:i w:val="0"/>
          <w:color w:val="1A1D21"/>
          <w:sz w:val="8"/>
        </w:rPr>
      </w:r>
    </w:p>
    <w:p>
      <w:pPr>
        <w:pStyle w:val="Heading3"/>
      </w:pPr>
      <w:r>
        <w:t>Market</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shares outstanding bn</w:t>
            </w:r>
          </w:p>
        </w:tc>
        <w:tc>
          <w:tcPr>
            <w:tcW w:type="dxa" w:w="1191"/>
          </w:tcPr>
          <w:p>
            <w:pPr>
              <w:jc w:val="right"/>
            </w:pPr>
            <w:r/>
            <w:r>
              <w:rPr>
                <w:color w:val="1A1D21"/>
                <w:sz w:val="15"/>
              </w:rPr>
              <w:t>2.8599</w:t>
            </w:r>
          </w:p>
        </w:tc>
        <w:tc>
          <w:tcPr>
            <w:tcW w:type="dxa" w:w="907"/>
          </w:tcPr>
          <w:p>
            <w:r/>
            <w:r>
              <w:rPr>
                <w:color w:val="1A1D21"/>
                <w:sz w:val="15"/>
              </w:rPr>
              <w:t>bn shares</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Share capital per FY2025 balance sheet and the share count carried on the covered-name record</w:t>
            </w:r>
          </w:p>
        </w:tc>
      </w:tr>
      <w:tr>
        <w:trPr>
          <w:cantSplit/>
        </w:trPr>
        <w:tc>
          <w:tcPr>
            <w:tcW w:type="dxa" w:w="1814"/>
          </w:tcPr>
          <w:p>
            <w:r/>
            <w:r>
              <w:rPr>
                <w:color w:val="1A1D21"/>
                <w:sz w:val="15"/>
              </w:rPr>
              <w:t>spot</w:t>
            </w:r>
          </w:p>
        </w:tc>
        <w:tc>
          <w:tcPr>
            <w:tcW w:type="dxa" w:w="1191"/>
          </w:tcPr>
          <w:p>
            <w:pPr>
              <w:jc w:val="right"/>
            </w:pPr>
            <w:r/>
            <w:r>
              <w:rPr>
                <w:color w:val="1A1D21"/>
                <w:sz w:val="15"/>
              </w:rPr>
              <w:t>15.2</w:t>
            </w:r>
          </w:p>
        </w:tc>
        <w:tc>
          <w:tcPr>
            <w:tcW w:type="dxa" w:w="907"/>
          </w:tcPr>
          <w:p>
            <w:r/>
            <w:r>
              <w:rPr>
                <w:color w:val="1A1D21"/>
                <w:sz w:val="15"/>
              </w:rPr>
              <w:t>EGP/share</w:t>
            </w:r>
          </w:p>
        </w:tc>
        <w:tc>
          <w:tcPr>
            <w:tcW w:type="dxa" w:w="1077"/>
          </w:tcPr>
          <w:p>
            <w:pPr>
              <w:jc w:val="right"/>
            </w:pPr>
            <w:r/>
            <w:r>
              <w:rPr>
                <w:color w:val="1A1D21"/>
                <w:sz w:val="15"/>
              </w:rPr>
              <w:t>2026-08-23</w:t>
            </w:r>
          </w:p>
        </w:tc>
        <w:tc>
          <w:tcPr>
            <w:tcW w:type="dxa" w:w="794"/>
          </w:tcPr>
          <w:p>
            <w:r/>
            <w:r>
              <w:rPr>
                <w:color w:val="1A1D21"/>
                <w:sz w:val="15"/>
              </w:rPr>
              <w:t>B</w:t>
            </w:r>
          </w:p>
        </w:tc>
        <w:tc>
          <w:tcPr>
            <w:tcW w:type="dxa" w:w="3628"/>
          </w:tcPr>
          <w:p>
            <w:r/>
            <w:r>
              <w:rPr>
                <w:color w:val="1A1D21"/>
                <w:sz w:val="15"/>
              </w:rPr>
              <w:t>Egyptian Exchange closing price for PHDC, 23 August 2026</w:t>
            </w:r>
          </w:p>
        </w:tc>
      </w:tr>
    </w:tbl>
    <w:p>
      <w:pPr>
        <w:spacing w:after="80"/>
      </w:pPr>
      <w:r>
        <w:rPr>
          <w:b w:val="0"/>
          <w:i w:val="0"/>
          <w:color w:val="1A1D21"/>
          <w:sz w:val="8"/>
        </w:rPr>
      </w:r>
    </w:p>
    <w:p>
      <w:pPr>
        <w:pStyle w:val="Heading1"/>
      </w:pPr>
      <w:r>
        <w:t>3  Judgements, and what would overturn each</w:t>
      </w:r>
    </w:p>
    <w:tbl>
      <w:tblPr>
        <w:tblStyle w:val="TableGrid"/>
        <w:tblW w:type="auto" w:w="0"/>
        <w:jc w:val="center"/>
        <w:tblLayout w:type="fixed"/>
        <w:tblLook w:firstColumn="1" w:firstRow="1" w:lastColumn="0" w:lastRow="0" w:noHBand="0" w:noVBand="1" w:val="04A0"/>
        <w:tblLayout w:type="fixed"/>
      </w:tblPr>
      <w:tblGrid>
        <w:gridCol w:w="1928"/>
        <w:gridCol w:w="3742"/>
        <w:gridCol w:w="3629"/>
      </w:tblGrid>
      <w:tr>
        <w:trPr>
          <w:tblHeader w:val="true"/>
        </w:trPr>
        <w:tc>
          <w:tcPr>
            <w:tcW w:type="dxa" w:w="1928"/>
          </w:tcPr>
          <w:p>
            <w:r/>
            <w:r>
              <w:rPr>
                <w:b/>
                <w:color w:val="5B6570"/>
                <w:sz w:val="17"/>
              </w:rPr>
              <w:t>Judgement</w:t>
            </w:r>
          </w:p>
        </w:tc>
        <w:tc>
          <w:tcPr>
            <w:tcW w:type="dxa" w:w="3742"/>
          </w:tcPr>
          <w:p>
            <w:r/>
            <w:r>
              <w:rPr>
                <w:b/>
                <w:color w:val="5B6570"/>
                <w:sz w:val="17"/>
              </w:rPr>
              <w:t>What was decided</w:t>
            </w:r>
          </w:p>
        </w:tc>
        <w:tc>
          <w:tcPr>
            <w:tcW w:type="dxa" w:w="3628"/>
          </w:tcPr>
          <w:p>
            <w:r/>
            <w:r>
              <w:rPr>
                <w:b/>
                <w:color w:val="5B6570"/>
                <w:sz w:val="17"/>
              </w:rPr>
              <w:t>What would overturn it</w:t>
            </w:r>
          </w:p>
        </w:tc>
      </w:tr>
      <w:tr>
        <w:trPr>
          <w:cantSplit/>
        </w:trPr>
        <w:tc>
          <w:tcPr>
            <w:tcW w:type="dxa" w:w="1928"/>
          </w:tcPr>
          <w:p>
            <w:r/>
            <w:r>
              <w:rPr>
                <w:color w:val="1A1D21"/>
                <w:sz w:val="17"/>
              </w:rPr>
              <w:t>Discount rate</w:t>
            </w:r>
          </w:p>
        </w:tc>
        <w:tc>
          <w:tcPr>
            <w:tcW w:type="dxa" w:w="3742"/>
          </w:tcPr>
          <w:p>
            <w:r/>
            <w:r>
              <w:rPr>
                <w:color w:val="1A1D21"/>
                <w:sz w:val="17"/>
              </w:rPr>
              <w:t>Cost of capital rebuilt bottom-up at 26.25% on the rating basis and 25.24% on the swap basis, replacing the previous edition's 18%.</w:t>
            </w:r>
          </w:p>
        </w:tc>
        <w:tc>
          <w:tcPr>
            <w:tcW w:type="dxa" w:w="3628"/>
          </w:tcPr>
          <w:p>
            <w:r/>
            <w:r>
              <w:rPr>
                <w:color w:val="1A1D21"/>
                <w:sz w:val="17"/>
              </w:rPr>
              <w:t>A sustained fall in the Egyptian sovereign yield, or evidence that the company borrows materially below sovereign plus 250 basis points.</w:t>
            </w:r>
          </w:p>
        </w:tc>
      </w:tr>
      <w:tr>
        <w:trPr>
          <w:cantSplit/>
        </w:trPr>
        <w:tc>
          <w:tcPr>
            <w:tcW w:type="dxa" w:w="1928"/>
          </w:tcPr>
          <w:p>
            <w:r/>
            <w:r>
              <w:rPr>
                <w:color w:val="1A1D21"/>
                <w:sz w:val="17"/>
              </w:rPr>
              <w:t>Cash conversion is the crux</w:t>
            </w:r>
          </w:p>
        </w:tc>
        <w:tc>
          <w:tcPr>
            <w:tcW w:type="dxa" w:w="3742"/>
          </w:tcPr>
          <w:p>
            <w:r/>
            <w:r>
              <w:rPr>
                <w:color w:val="1A1D21"/>
                <w:sz w:val="17"/>
              </w:rPr>
              <w:t>Value is driven by the share of revenue reaching operating cash, measured across its full observed range rather than assumed.</w:t>
            </w:r>
          </w:p>
        </w:tc>
        <w:tc>
          <w:tcPr>
            <w:tcW w:type="dxa" w:w="3628"/>
          </w:tcPr>
          <w:p>
            <w:r/>
            <w:r>
              <w:rPr>
                <w:color w:val="1A1D21"/>
                <w:sz w:val="17"/>
              </w:rPr>
              <w:t>Two further years clustering within about two points of the mean would collapse the range and make this an ordinary input.</w:t>
            </w:r>
          </w:p>
        </w:tc>
      </w:tr>
      <w:tr>
        <w:trPr>
          <w:cantSplit/>
        </w:trPr>
        <w:tc>
          <w:tcPr>
            <w:tcW w:type="dxa" w:w="1928"/>
          </w:tcPr>
          <w:p>
            <w:r/>
            <w:r>
              <w:rPr>
                <w:color w:val="1A1D21"/>
                <w:sz w:val="17"/>
              </w:rPr>
              <w:t>Revenue is capacity-limited, not sales-limited</w:t>
            </w:r>
          </w:p>
        </w:tc>
        <w:tc>
          <w:tcPr>
            <w:tcW w:type="dxa" w:w="3742"/>
          </w:tcPr>
          <w:p>
            <w:r/>
            <w:r>
              <w:rPr>
                <w:color w:val="1A1D21"/>
                <w:sz w:val="17"/>
              </w:rPr>
              <w:t>The order book is more than seven times revenue, so delivery capacity binds and is what is grown.</w:t>
            </w:r>
          </w:p>
        </w:tc>
        <w:tc>
          <w:tcPr>
            <w:tcW w:type="dxa" w:w="3628"/>
          </w:tcPr>
          <w:p>
            <w:r/>
            <w:r>
              <w:rPr>
                <w:color w:val="1A1D21"/>
                <w:sz w:val="17"/>
              </w:rPr>
              <w:t>A collapse in new sales sustained long enough to bring the order book below about three years of revenue.</w:t>
            </w:r>
          </w:p>
        </w:tc>
      </w:tr>
      <w:tr>
        <w:trPr>
          <w:cantSplit/>
        </w:trPr>
        <w:tc>
          <w:tcPr>
            <w:tcW w:type="dxa" w:w="1928"/>
          </w:tcPr>
          <w:p>
            <w:r/>
            <w:r>
              <w:rPr>
                <w:color w:val="1A1D21"/>
                <w:sz w:val="17"/>
              </w:rPr>
              <w:t>Cost accrues on the same clock as revenue</w:t>
            </w:r>
          </w:p>
        </w:tc>
        <w:tc>
          <w:tcPr>
            <w:tcW w:type="dxa" w:w="3742"/>
          </w:tcPr>
          <w:p>
            <w:r/>
            <w:r>
              <w:rPr>
                <w:color w:val="1A1D21"/>
                <w:sz w:val="17"/>
              </w:rPr>
              <w:t>Both legs accrue with completion, so gross margin is an output.</w:t>
            </w:r>
          </w:p>
        </w:tc>
        <w:tc>
          <w:tcPr>
            <w:tcW w:type="dxa" w:w="3628"/>
          </w:tcPr>
          <w:p>
            <w:r/>
            <w:r>
              <w:rPr>
                <w:color w:val="1A1D21"/>
                <w:sz w:val="17"/>
              </w:rPr>
              <w:t>Evidence that the company recognises cost on handover for a material part of its book.</w:t>
            </w:r>
          </w:p>
        </w:tc>
      </w:tr>
      <w:tr>
        <w:trPr>
          <w:cantSplit/>
        </w:trPr>
        <w:tc>
          <w:tcPr>
            <w:tcW w:type="dxa" w:w="1928"/>
          </w:tcPr>
          <w:p>
            <w:r/>
            <w:r>
              <w:rPr>
                <w:color w:val="1A1D21"/>
                <w:sz w:val="17"/>
              </w:rPr>
              <w:t>Per-project economics are not used</w:t>
            </w:r>
          </w:p>
        </w:tc>
        <w:tc>
          <w:tcPr>
            <w:tcW w:type="dxa" w:w="3742"/>
          </w:tcPr>
          <w:p>
            <w:r/>
            <w:r>
              <w:rPr>
                <w:color w:val="1A1D21"/>
                <w:sz w:val="17"/>
              </w:rPr>
              <w:t>The previous edition's project price and cost table is not disclosed by the company and is not reused.</w:t>
            </w:r>
          </w:p>
        </w:tc>
        <w:tc>
          <w:tcPr>
            <w:tcW w:type="dxa" w:w="3628"/>
          </w:tcPr>
          <w:p>
            <w:r/>
            <w:r>
              <w:rPr>
                <w:color w:val="1A1D21"/>
                <w:sz w:val="17"/>
              </w:rPr>
              <w:t>Project-level disclosure of unit mix, area, price and cost.</w:t>
            </w:r>
          </w:p>
        </w:tc>
      </w:tr>
      <w:tr>
        <w:trPr>
          <w:cantSplit/>
        </w:trPr>
        <w:tc>
          <w:tcPr>
            <w:tcW w:type="dxa" w:w="1928"/>
          </w:tcPr>
          <w:p>
            <w:r/>
            <w:r>
              <w:rPr>
                <w:color w:val="1A1D21"/>
                <w:sz w:val="17"/>
              </w:rPr>
              <w:t>Peer multiples are not published</w:t>
            </w:r>
          </w:p>
        </w:tc>
        <w:tc>
          <w:tcPr>
            <w:tcW w:type="dxa" w:w="3742"/>
          </w:tcPr>
          <w:p>
            <w:r/>
            <w:r>
              <w:rPr>
                <w:color w:val="1A1D21"/>
                <w:sz w:val="17"/>
              </w:rPr>
              <w:t>Only measures obtainable for every peer on the same basis are shown.</w:t>
            </w:r>
          </w:p>
        </w:tc>
        <w:tc>
          <w:tcPr>
            <w:tcW w:type="dxa" w:w="3628"/>
          </w:tcPr>
          <w:p>
            <w:r/>
            <w:r>
              <w:rPr>
                <w:color w:val="1A1D21"/>
                <w:sz w:val="17"/>
              </w:rPr>
              <w:t>Consistent, obtainable peer financial statements.</w:t>
            </w:r>
          </w:p>
        </w:tc>
      </w:tr>
    </w:tbl>
    <w:p>
      <w:pPr>
        <w:spacing w:after="80"/>
      </w:pPr>
      <w:r>
        <w:rPr>
          <w:b w:val="0"/>
          <w:i w:val="0"/>
          <w:color w:val="1A1D21"/>
          <w:sz w:val="8"/>
        </w:rPr>
      </w:r>
    </w:p>
    <w:p>
      <w:pPr>
        <w:pStyle w:val="Heading1"/>
      </w:pPr>
      <w:r>
        <w:t>4  Negative results — what was tried and rejected</w:t>
      </w:r>
    </w:p>
    <w:tbl>
      <w:tblPr>
        <w:tblStyle w:val="TableGrid"/>
        <w:tblW w:type="auto" w:w="0"/>
        <w:jc w:val="center"/>
        <w:tblLayout w:type="fixed"/>
        <w:tblLook w:firstColumn="1" w:firstRow="1" w:lastColumn="0" w:lastRow="0" w:noHBand="0" w:noVBand="1" w:val="04A0"/>
        <w:tblLayout w:type="fixed"/>
      </w:tblPr>
      <w:tblGrid>
        <w:gridCol w:w="3175"/>
        <w:gridCol w:w="6124"/>
      </w:tblGrid>
      <w:tr>
        <w:trPr>
          <w:tblHeader w:val="true"/>
        </w:trPr>
        <w:tc>
          <w:tcPr>
            <w:tcW w:type="dxa" w:w="3175"/>
          </w:tcPr>
          <w:p>
            <w:r/>
            <w:r>
              <w:rPr>
                <w:b/>
                <w:color w:val="5B6570"/>
                <w:sz w:val="17"/>
              </w:rPr>
              <w:t>Attempt</w:t>
            </w:r>
          </w:p>
        </w:tc>
        <w:tc>
          <w:tcPr>
            <w:tcW w:type="dxa" w:w="6123"/>
          </w:tcPr>
          <w:p>
            <w:r/>
            <w:r>
              <w:rPr>
                <w:b/>
                <w:color w:val="5B6570"/>
                <w:sz w:val="17"/>
              </w:rPr>
              <w:t>Why it was rejected</w:t>
            </w:r>
          </w:p>
        </w:tc>
      </w:tr>
      <w:tr>
        <w:trPr>
          <w:cantSplit/>
        </w:trPr>
        <w:tc>
          <w:tcPr>
            <w:tcW w:type="dxa" w:w="3175"/>
          </w:tcPr>
          <w:p>
            <w:r/>
            <w:r>
              <w:rPr>
                <w:color w:val="1A1D21"/>
                <w:sz w:val="17"/>
              </w:rPr>
              <w:t>Recover the missing FY2024 unit count by summing the disclosed regional unit series</w:t>
            </w:r>
          </w:p>
        </w:tc>
        <w:tc>
          <w:tcPr>
            <w:tcW w:type="dxa" w:w="6123"/>
          </w:tcPr>
          <w:p>
            <w:r/>
            <w:r>
              <w:rPr>
                <w:color w:val="1A1D21"/>
                <w:sz w:val="17"/>
              </w:rPr>
              <w:t>On the four years where the company total IS disclosed, the sum overstates it by about a third because the regional charts overlap. FY2024 and FY2025 unit counts are therefore absent rather than inferred.</w:t>
            </w:r>
          </w:p>
        </w:tc>
      </w:tr>
      <w:tr>
        <w:trPr>
          <w:cantSplit/>
        </w:trPr>
        <w:tc>
          <w:tcPr>
            <w:tcW w:type="dxa" w:w="3175"/>
          </w:tcPr>
          <w:p>
            <w:r/>
            <w:r>
              <w:rPr>
                <w:color w:val="1A1D21"/>
                <w:sz w:val="17"/>
              </w:rPr>
              <w:t>Use the accounting cost of debt</w:t>
            </w:r>
          </w:p>
        </w:tc>
        <w:tc>
          <w:tcPr>
            <w:tcW w:type="dxa" w:w="6123"/>
          </w:tcPr>
          <w:p>
            <w:r/>
            <w:r>
              <w:rPr>
                <w:color w:val="1A1D21"/>
                <w:sz w:val="17"/>
              </w:rPr>
              <w:t>Finance cost of EGP 3,347.5mn on average gross borrowings of about EGP 26,700mn implies 12.5%, far below the sovereign, because much of the balance does not bear interest and part of the charge is capitalised. A historical rate is not a marginal rate.</w:t>
            </w:r>
          </w:p>
        </w:tc>
      </w:tr>
      <w:tr>
        <w:trPr>
          <w:cantSplit/>
        </w:trPr>
        <w:tc>
          <w:tcPr>
            <w:tcW w:type="dxa" w:w="3175"/>
          </w:tcPr>
          <w:p>
            <w:r/>
            <w:r>
              <w:rPr>
                <w:color w:val="1A1D21"/>
                <w:sz w:val="17"/>
              </w:rPr>
              <w:t>Read the FY2025 statements at a single scan resolution</w:t>
            </w:r>
          </w:p>
        </w:tc>
        <w:tc>
          <w:tcPr>
            <w:tcW w:type="dxa" w:w="6123"/>
          </w:tcPr>
          <w:p>
            <w:r/>
            <w:r>
              <w:rPr>
                <w:color w:val="1A1D21"/>
                <w:sz w:val="17"/>
              </w:rPr>
              <w:t>Neither resolution is reliable throughout: at one, notes receivable long term read 801.3 against a true 54,801.3; at the other, fixed assets read 5.0 against a true 4,522.0. Every component list is instead required to sum to the subtotal the company printed.</w:t>
            </w:r>
          </w:p>
        </w:tc>
      </w:tr>
      <w:tr>
        <w:trPr>
          <w:cantSplit/>
        </w:trPr>
        <w:tc>
          <w:tcPr>
            <w:tcW w:type="dxa" w:w="3175"/>
          </w:tcPr>
          <w:p>
            <w:r/>
            <w:r>
              <w:rPr>
                <w:color w:val="1A1D21"/>
                <w:sz w:val="17"/>
              </w:rPr>
              <w:t>Source peer earnings and book multiples from an aggregator</w:t>
            </w:r>
          </w:p>
        </w:tc>
        <w:tc>
          <w:tcPr>
            <w:tcW w:type="dxa" w:w="6123"/>
          </w:tcPr>
          <w:p>
            <w:r/>
            <w:r>
              <w:rPr>
                <w:color w:val="1A1D21"/>
                <w:sz w:val="17"/>
              </w:rPr>
              <w:t>The pages carry no financial tables. An invented multiple would look authoritative and mean nothing.</w:t>
            </w:r>
          </w:p>
        </w:tc>
      </w:tr>
      <w:tr>
        <w:trPr>
          <w:cantSplit/>
        </w:trPr>
        <w:tc>
          <w:tcPr>
            <w:tcW w:type="dxa" w:w="3175"/>
          </w:tcPr>
          <w:p>
            <w:r/>
            <w:r>
              <w:rPr>
                <w:color w:val="1A1D21"/>
                <w:sz w:val="17"/>
              </w:rPr>
              <w:t>Obtain a live Egyptian sovereign yield from the exchange or the central bank</w:t>
            </w:r>
          </w:p>
        </w:tc>
        <w:tc>
          <w:tcPr>
            <w:tcW w:type="dxa" w:w="6123"/>
          </w:tcPr>
          <w:p>
            <w:r/>
            <w:r>
              <w:rPr>
                <w:color w:val="1A1D21"/>
                <w:sz w:val="17"/>
              </w:rPr>
              <w:t>Both publish through interfaces this study could not read. The yield used is a dated market quote and is flagged as 24 days old.</w:t>
            </w:r>
          </w:p>
        </w:tc>
      </w:tr>
    </w:tbl>
    <w:p>
      <w:pPr>
        <w:spacing w:after="80"/>
      </w:pPr>
      <w:r>
        <w:rPr>
          <w:b w:val="0"/>
          <w:i w:val="0"/>
          <w:color w:val="1A1D21"/>
          <w:sz w:val="8"/>
        </w:rPr>
      </w:r>
    </w:p>
    <w:p>
      <w:pPr>
        <w:pStyle w:val="Heading1"/>
      </w:pPr>
      <w:r>
        <w:t>5  Where two sources disagree</w:t>
      </w:r>
    </w:p>
    <w:tbl>
      <w:tblPr>
        <w:tblStyle w:val="TableGrid"/>
        <w:tblW w:type="auto" w:w="0"/>
        <w:jc w:val="center"/>
        <w:tblLayout w:type="fixed"/>
        <w:tblLook w:firstColumn="1" w:firstRow="1" w:lastColumn="0" w:lastRow="0" w:noHBand="0" w:noVBand="1" w:val="04A0"/>
        <w:tblLayout w:type="fixed"/>
      </w:tblPr>
      <w:tblGrid>
        <w:gridCol w:w="2041"/>
        <w:gridCol w:w="2608"/>
        <w:gridCol w:w="2608"/>
        <w:gridCol w:w="2041"/>
      </w:tblGrid>
      <w:tr>
        <w:trPr>
          <w:tblHeader w:val="true"/>
        </w:trPr>
        <w:tc>
          <w:tcPr>
            <w:tcW w:type="dxa" w:w="2041"/>
          </w:tcPr>
          <w:p>
            <w:r/>
            <w:r>
              <w:rPr>
                <w:b/>
                <w:color w:val="5B6570"/>
                <w:sz w:val="17"/>
              </w:rPr>
              <w:t>Item</w:t>
            </w:r>
          </w:p>
        </w:tc>
        <w:tc>
          <w:tcPr>
            <w:tcW w:type="dxa" w:w="2608"/>
          </w:tcPr>
          <w:p>
            <w:r/>
            <w:r>
              <w:rPr>
                <w:b/>
                <w:color w:val="5B6570"/>
                <w:sz w:val="17"/>
              </w:rPr>
              <w:t>One source</w:t>
            </w:r>
          </w:p>
        </w:tc>
        <w:tc>
          <w:tcPr>
            <w:tcW w:type="dxa" w:w="2608"/>
          </w:tcPr>
          <w:p>
            <w:r/>
            <w:r>
              <w:rPr>
                <w:b/>
                <w:color w:val="5B6570"/>
                <w:sz w:val="17"/>
              </w:rPr>
              <w:t>The other</w:t>
            </w:r>
          </w:p>
        </w:tc>
        <w:tc>
          <w:tcPr>
            <w:tcW w:type="dxa" w:w="2041"/>
          </w:tcPr>
          <w:p>
            <w:r/>
            <w:r>
              <w:rPr>
                <w:b/>
                <w:color w:val="5B6570"/>
                <w:sz w:val="17"/>
              </w:rPr>
              <w:t>Which is used</w:t>
            </w:r>
          </w:p>
        </w:tc>
      </w:tr>
      <w:tr>
        <w:trPr>
          <w:cantSplit/>
        </w:trPr>
        <w:tc>
          <w:tcPr>
            <w:tcW w:type="dxa" w:w="2041"/>
          </w:tcPr>
          <w:p>
            <w:r/>
            <w:r>
              <w:rPr>
                <w:color w:val="1A1D21"/>
                <w:sz w:val="17"/>
              </w:rPr>
              <w:t>FY2024 cash from operations</w:t>
            </w:r>
          </w:p>
        </w:tc>
        <w:tc>
          <w:tcPr>
            <w:tcW w:type="dxa" w:w="2608"/>
          </w:tcPr>
          <w:p>
            <w:r/>
            <w:r>
              <w:rPr>
                <w:color w:val="1A1D21"/>
                <w:sz w:val="17"/>
              </w:rPr>
              <w:t>EGP 4,854.8mn — FY2025 audited statements, comparative column</w:t>
            </w:r>
          </w:p>
        </w:tc>
        <w:tc>
          <w:tcPr>
            <w:tcW w:type="dxa" w:w="2608"/>
          </w:tcPr>
          <w:p>
            <w:r/>
            <w:r>
              <w:rPr>
                <w:color w:val="1A1D21"/>
                <w:sz w:val="17"/>
              </w:rPr>
              <w:t>EGP 3,131.9mn — the company's own FY2024 results release</w:t>
            </w:r>
          </w:p>
        </w:tc>
        <w:tc>
          <w:tcPr>
            <w:tcW w:type="dxa" w:w="2041"/>
          </w:tcPr>
          <w:p>
            <w:r/>
            <w:r>
              <w:rPr>
                <w:color w:val="1A1D21"/>
                <w:sz w:val="17"/>
              </w:rPr>
              <w:t>the audited statements</w:t>
            </w:r>
          </w:p>
        </w:tc>
      </w:tr>
      <w:tr>
        <w:trPr>
          <w:cantSplit/>
        </w:trPr>
        <w:tc>
          <w:tcPr>
            <w:tcW w:type="dxa" w:w="2041"/>
          </w:tcPr>
          <w:p>
            <w:r/>
            <w:r>
              <w:rPr>
                <w:color w:val="1A1D21"/>
                <w:sz w:val="17"/>
              </w:rPr>
              <w:t>FY2023 revenue</w:t>
            </w:r>
          </w:p>
        </w:tc>
        <w:tc>
          <w:tcPr>
            <w:tcW w:type="dxa" w:w="2608"/>
          </w:tcPr>
          <w:p>
            <w:r/>
            <w:r>
              <w:rPr>
                <w:color w:val="1A1D21"/>
                <w:sz w:val="17"/>
              </w:rPr>
              <w:t>EGP 17,462.1mn — FY2023 audited statements</w:t>
            </w:r>
          </w:p>
        </w:tc>
        <w:tc>
          <w:tcPr>
            <w:tcW w:type="dxa" w:w="2608"/>
          </w:tcPr>
          <w:p>
            <w:r/>
            <w:r>
              <w:rPr>
                <w:color w:val="1A1D21"/>
                <w:sz w:val="17"/>
              </w:rPr>
              <w:t>EGP 17,454.6mn — FY2024 results release comparative</w:t>
            </w:r>
          </w:p>
        </w:tc>
        <w:tc>
          <w:tcPr>
            <w:tcW w:type="dxa" w:w="2041"/>
          </w:tcPr>
          <w:p>
            <w:r/>
            <w:r>
              <w:rPr>
                <w:color w:val="1A1D21"/>
                <w:sz w:val="17"/>
              </w:rPr>
              <w:t>the audited statements; the difference is 0.04%</w:t>
            </w:r>
          </w:p>
        </w:tc>
      </w:tr>
      <w:tr>
        <w:trPr>
          <w:cantSplit/>
        </w:trPr>
        <w:tc>
          <w:tcPr>
            <w:tcW w:type="dxa" w:w="2041"/>
          </w:tcPr>
          <w:p>
            <w:r/>
            <w:r>
              <w:rPr>
                <w:color w:val="1A1D21"/>
                <w:sz w:val="17"/>
              </w:rPr>
              <w:t>FY2016 new sales</w:t>
            </w:r>
          </w:p>
        </w:tc>
        <w:tc>
          <w:tcPr>
            <w:tcW w:type="dxa" w:w="2608"/>
          </w:tcPr>
          <w:p>
            <w:r/>
            <w:r>
              <w:rPr>
                <w:color w:val="1A1D21"/>
                <w:sz w:val="17"/>
              </w:rPr>
              <w:t>EGP 8,194mn as first reported</w:t>
            </w:r>
          </w:p>
        </w:tc>
        <w:tc>
          <w:tcPr>
            <w:tcW w:type="dxa" w:w="2608"/>
          </w:tcPr>
          <w:p>
            <w:r/>
            <w:r>
              <w:rPr>
                <w:color w:val="1A1D21"/>
                <w:sz w:val="17"/>
              </w:rPr>
              <w:t>EGP 8,467mn in later releases</w:t>
            </w:r>
          </w:p>
        </w:tc>
        <w:tc>
          <w:tcPr>
            <w:tcW w:type="dxa" w:w="2041"/>
          </w:tcPr>
          <w:p>
            <w:r/>
            <w:r>
              <w:rPr>
                <w:color w:val="1A1D21"/>
                <w:sz w:val="17"/>
              </w:rPr>
              <w:t>as first reported, for any measurement anchored at that date</w:t>
            </w:r>
          </w:p>
        </w:tc>
      </w:tr>
      <w:tr>
        <w:trPr>
          <w:cantSplit/>
        </w:trPr>
        <w:tc>
          <w:tcPr>
            <w:tcW w:type="dxa" w:w="2041"/>
          </w:tcPr>
          <w:p>
            <w:r/>
            <w:r>
              <w:rPr>
                <w:color w:val="1A1D21"/>
                <w:sz w:val="17"/>
              </w:rPr>
              <w:t>FY2015 revenue</w:t>
            </w:r>
          </w:p>
        </w:tc>
        <w:tc>
          <w:tcPr>
            <w:tcW w:type="dxa" w:w="2608"/>
          </w:tcPr>
          <w:p>
            <w:r/>
            <w:r>
              <w:rPr>
                <w:color w:val="1A1D21"/>
                <w:sz w:val="17"/>
              </w:rPr>
              <w:t>EGP 3,560.6mn as filed</w:t>
            </w:r>
          </w:p>
        </w:tc>
        <w:tc>
          <w:tcPr>
            <w:tcW w:type="dxa" w:w="2608"/>
          </w:tcPr>
          <w:p>
            <w:r/>
            <w:r>
              <w:rPr>
                <w:color w:val="1A1D21"/>
                <w:sz w:val="17"/>
              </w:rPr>
              <w:t>EGP 3,641.7mn restated after the 2016 accounting-policy change</w:t>
            </w:r>
          </w:p>
        </w:tc>
        <w:tc>
          <w:tcPr>
            <w:tcW w:type="dxa" w:w="2041"/>
          </w:tcPr>
          <w:p>
            <w:r/>
            <w:r>
              <w:rPr>
                <w:color w:val="1A1D21"/>
                <w:sz w:val="17"/>
              </w:rPr>
              <w:t>both, kept apart; the restatement is a change of basis, not an error</w:t>
            </w:r>
          </w:p>
        </w:tc>
      </w:tr>
    </w:tbl>
    <w:p>
      <w:pPr>
        <w:spacing w:after="80"/>
      </w:pPr>
      <w:r>
        <w:rPr>
          <w:b w:val="0"/>
          <w:i w:val="0"/>
          <w:color w:val="1A1D21"/>
          <w:sz w:val="8"/>
        </w:rPr>
      </w:r>
    </w:p>
    <w:p>
      <w:pPr>
        <w:pStyle w:val="Heading1"/>
      </w:pPr>
      <w:r>
        <w:t>6  What is not disclosed</w:t>
      </w:r>
    </w:p>
    <w:tbl>
      <w:tblPr>
        <w:tblStyle w:val="TableGrid"/>
        <w:tblW w:type="auto" w:w="0"/>
        <w:jc w:val="center"/>
        <w:tblLayout w:type="fixed"/>
        <w:tblLook w:firstColumn="1" w:firstRow="1" w:lastColumn="0" w:lastRow="0" w:noHBand="0" w:noVBand="1" w:val="04A0"/>
        <w:tblLayout w:type="fixed"/>
      </w:tblPr>
      <w:tblGrid>
        <w:gridCol w:w="2268"/>
        <w:gridCol w:w="7031"/>
      </w:tblGrid>
      <w:tr>
        <w:trPr>
          <w:tblHeader w:val="true"/>
        </w:trPr>
        <w:tc>
          <w:tcPr>
            <w:tcW w:type="dxa" w:w="2268"/>
          </w:tcPr>
          <w:p>
            <w:r/>
            <w:r>
              <w:rPr>
                <w:b/>
                <w:color w:val="5B6570"/>
                <w:sz w:val="17"/>
              </w:rPr>
              <w:t>Gap</w:t>
            </w:r>
          </w:p>
        </w:tc>
        <w:tc>
          <w:tcPr>
            <w:tcW w:type="dxa" w:w="7030"/>
          </w:tcPr>
          <w:p>
            <w:r/>
            <w:r>
              <w:rPr>
                <w:b/>
                <w:color w:val="5B6570"/>
                <w:sz w:val="17"/>
              </w:rPr>
              <w:t>Statement</w:t>
            </w:r>
          </w:p>
        </w:tc>
      </w:tr>
      <w:tr>
        <w:trPr>
          <w:cantSplit/>
        </w:trPr>
        <w:tc>
          <w:tcPr>
            <w:tcW w:type="dxa" w:w="2268"/>
          </w:tcPr>
          <w:p>
            <w:r/>
            <w:r>
              <w:rPr>
                <w:color w:val="1A1D21"/>
                <w:sz w:val="17"/>
              </w:rPr>
              <w:t>Cash Flow Statement Detail</w:t>
            </w:r>
          </w:p>
        </w:tc>
        <w:tc>
          <w:tcPr>
            <w:tcW w:type="dxa" w:w="7030"/>
          </w:tcPr>
          <w:p>
            <w:r/>
            <w:r>
              <w:rPr>
                <w:color w:val="1A1D21"/>
                <w:sz w:val="17"/>
              </w:rPr>
              <w:t>The FY2025 cash-flow statement is published in its three totals only (operating EGP 1,424.2mn, investing EGP -4,031.7mn, financing EGP 5,628.8mn); no line-by-line statement is posted. Working capital on the two audited balance sheets rose EGP 20,084.7mn in 2025 while net profit plus depreciation less operating cash implies a rise of EGP 3,146.2mn — a wedge of EGP 16,938.5mn, 46.8% of revenue, which CANNOT be decomposed from what is disclosed and is therefore not decomposed. It is why the projection is published in two framings rather than one. Closed by: the full FY2025 cash-flow statement.</w:t>
            </w:r>
          </w:p>
        </w:tc>
      </w:tr>
      <w:tr>
        <w:trPr>
          <w:cantSplit/>
        </w:trPr>
        <w:tc>
          <w:tcPr>
            <w:tcW w:type="dxa" w:w="2268"/>
          </w:tcPr>
          <w:p>
            <w:r/>
            <w:r>
              <w:rPr>
                <w:color w:val="1A1D21"/>
                <w:sz w:val="17"/>
              </w:rPr>
              <w:t>Fy2025 Results Release</w:t>
            </w:r>
          </w:p>
        </w:tc>
        <w:tc>
          <w:tcPr>
            <w:tcW w:type="dxa" w:w="7030"/>
          </w:tcPr>
          <w:p>
            <w:r/>
            <w:r>
              <w:rPr>
                <w:color w:val="1A1D21"/>
                <w:sz w:val="17"/>
              </w:rPr>
              <w:t>PHD has published FY2025 consolidated statements but NO FY2025 full-year results release. The release is where units sold, new sales, deliveries and construction spend are disclosed, so FY2025 has audited financials and NO operating drivers. Closed by: the FY2025 release, or the company confirming the figures directly.</w:t>
            </w:r>
          </w:p>
        </w:tc>
      </w:tr>
      <w:tr>
        <w:trPr>
          <w:cantSplit/>
        </w:trPr>
        <w:tc>
          <w:tcPr>
            <w:tcW w:type="dxa" w:w="2268"/>
          </w:tcPr>
          <w:p>
            <w:r/>
            <w:r>
              <w:rPr>
                <w:color w:val="1A1D21"/>
                <w:sz w:val="17"/>
              </w:rPr>
              <w:t>H1 2026 Results</w:t>
            </w:r>
          </w:p>
        </w:tc>
        <w:tc>
          <w:tcPr>
            <w:tcW w:type="dxa" w:w="7030"/>
          </w:tcPr>
          <w:p>
            <w:r/>
            <w:r>
              <w:rPr>
                <w:color w:val="1A1D21"/>
                <w:sz w:val="17"/>
              </w:rPr>
              <w:t>As at this build date (30-Aug-2026) no 2Q/H1-2026 statements or release are posted to the result centre; the newest disclosure of any kind is 1Q2026 (posted 25-Jun-2026). The study's information set therefore ends at 1Q2026. Closed by: the H1-2026 filing.</w:t>
            </w:r>
          </w:p>
        </w:tc>
      </w:tr>
      <w:tr>
        <w:trPr>
          <w:cantSplit/>
        </w:trPr>
        <w:tc>
          <w:tcPr>
            <w:tcW w:type="dxa" w:w="2268"/>
          </w:tcPr>
          <w:p>
            <w:r/>
            <w:r>
              <w:rPr>
                <w:color w:val="1A1D21"/>
                <w:sz w:val="17"/>
              </w:rPr>
              <w:t>Securitisation Pricing</w:t>
            </w:r>
          </w:p>
        </w:tc>
        <w:tc>
          <w:tcPr>
            <w:tcW w:type="dxa" w:w="7030"/>
          </w:tcPr>
          <w:p>
            <w:r/>
            <w:r>
              <w:rPr>
                <w:color w:val="1A1D21"/>
                <w:sz w:val="17"/>
              </w:rPr>
              <w:t>The EGP 2.015bn securitisation of 4-Feb-2026 discloses tranche sizes, tenors and national-scale ratings but NO coupon on any tranche, so the company's own marginal cost of debt cannot be read. Closed by: the offering circular or a disclosed coupon.</w:t>
            </w:r>
          </w:p>
        </w:tc>
      </w:tr>
      <w:tr>
        <w:trPr>
          <w:cantSplit/>
        </w:trPr>
        <w:tc>
          <w:tcPr>
            <w:tcW w:type="dxa" w:w="2268"/>
          </w:tcPr>
          <w:p>
            <w:r/>
            <w:r>
              <w:rPr>
                <w:color w:val="1A1D21"/>
                <w:sz w:val="17"/>
              </w:rPr>
              <w:t>Per Project Pricing</w:t>
            </w:r>
          </w:p>
        </w:tc>
        <w:tc>
          <w:tcPr>
            <w:tcW w:type="dxa" w:w="7030"/>
          </w:tcPr>
          <w:p>
            <w:r/>
            <w:r>
              <w:rPr>
                <w:color w:val="1A1D21"/>
                <w:sz w:val="17"/>
              </w:rPr>
              <w:t>The company does not disclose per-project unit mix, average unit area, price per square metre or construction cost per square metre. The 11-Jun-2026 edition carried a full per-project table of those figures; they are NOT sourced to any company document. This study does not reuse them. Closed by: an investor presentation or project-level disclosure carrying unit economics.</w:t>
            </w:r>
          </w:p>
        </w:tc>
      </w:tr>
      <w:tr>
        <w:trPr>
          <w:cantSplit/>
        </w:trPr>
        <w:tc>
          <w:tcPr>
            <w:tcW w:type="dxa" w:w="2268"/>
          </w:tcPr>
          <w:p>
            <w:r/>
            <w:r>
              <w:rPr>
                <w:color w:val="1A1D21"/>
                <w:sz w:val="17"/>
              </w:rPr>
              <w:t>Backlog Cost To Complete</w:t>
            </w:r>
          </w:p>
        </w:tc>
        <w:tc>
          <w:tcPr>
            <w:tcW w:type="dxa" w:w="7030"/>
          </w:tcPr>
          <w:p>
            <w:r/>
            <w:r>
              <w:rPr>
                <w:color w:val="1A1D21"/>
                <w:sz w:val="17"/>
              </w:rPr>
              <w:t>Remaining construction cost against the EGP 263bn backlog is not disclosed as a single figure. It is inferred in the model from the realised gross margin and flagged where used.</w:t>
            </w:r>
          </w:p>
        </w:tc>
      </w:tr>
    </w:tbl>
    <w:p>
      <w:pPr>
        <w:spacing w:after="80"/>
      </w:pPr>
      <w:r>
        <w:rPr>
          <w:b w:val="0"/>
          <w:i w:val="0"/>
          <w:color w:val="1A1D21"/>
          <w:sz w:val="8"/>
        </w:rPr>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1D6FA3"/>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