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The single largest uncertainty, and it is published both ways. </w:t>
            </w:r>
            <w:r>
              <w:rPr>
                <w:color w:val="1C3A36"/>
                <w:sz w:val="19"/>
              </w:rPr>
              <w:t>Roughly half of this company's revenue is contracted work for its parent group and about a third of its 2026E earnings is exposed to spot shipping rates. The share's own price history gives a beta of 0.705, which is what a half-contracted business should look like. An asset-risk view says a fleet owner carries the risk of the market it trades in, whoever the customer is, and prices the equity at a beta of one. On the first the cash-flow model gives AED 8.40 a share; on the second, AED 6.16. Both are computed in full, both appear side by side in every table that matters, and they are never averaged into a single number.</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53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Very large crude carriers earned an average of USD 52,466 a day across FY2025; the company reported USD 145,000 a day in the first quarter of 2026 and indicated USD 260,000 for the second. The long-range classes moved the same way. The first quarter as a whole showed revenue of USD 1,083 million (-8% year on year, because low-margin chartered-in trading fell away), earnings before interest, tax, depreciation and amortisation of USD 368 million (+7%) and attributable profit of USD 203 million (+12%). Whether those rates hold is the whole valuation.</w:t>
      </w:r>
    </w:p>
    <w:p>
      <w:pPr>
        <w:spacing w:after="20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and on the share's own regressed beta, the four lenses centre at AED 7.94 against a market price of 6.16 — the central estimate sits +29% above the market price, or equivalently the price sits -22% against that estimate. Price the same cash flows at an asset-risk beta of one and the centre falls to AED 7.04, which is within a few fils of the market. The gap between those two numbers, AED 2.24 a share on the cash-flow lens alone, is about the same size as moving the whole tanker-rate anchor across its tested range, and less than half of what the beta alone moves across the range tested in section 1.9. This study therefore does not present one answer; it presents the two answers and says exactly what separates them.</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7.3% to 6.5% on the share's own regressed beta of 0.705, terminal growth 2%; 84% of enterprise value comes from the terminal value</w:t>
            </w:r>
          </w:p>
        </w:tc>
        <w:tc>
          <w:tcPr>
            <w:tcW w:type="dxa" w:w="1526"/>
          </w:tcPr>
          <w:p>
            <w:pPr>
              <w:spacing w:after="20"/>
              <w:jc w:val="right"/>
            </w:pPr>
            <w:r>
              <w:rPr>
                <w:color w:val="1C3A36"/>
                <w:sz w:val="16"/>
              </w:rPr>
              <w:t>4.60 – 11.56</w:t>
            </w:r>
          </w:p>
        </w:tc>
        <w:tc>
          <w:tcPr>
            <w:tcW w:type="dxa" w:w="1181"/>
          </w:tcPr>
          <w:p>
            <w:pPr>
              <w:spacing w:after="20"/>
              <w:jc w:val="right"/>
            </w:pPr>
            <w:r>
              <w:rPr>
                <w:color w:val="1C3A36"/>
                <w:sz w:val="16"/>
              </w:rPr>
              <w:t>8.40</w:t>
            </w:r>
          </w:p>
        </w:tc>
        <w:tc>
          <w:tcPr>
            <w:tcW w:type="dxa" w:w="1210"/>
          </w:tcPr>
          <w:p>
            <w:pPr>
              <w:spacing w:after="20"/>
              <w:jc w:val="right"/>
            </w:pPr>
            <w:r>
              <w:rPr>
                <w:color w:val="1C3A36"/>
                <w:sz w:val="16"/>
              </w:rPr>
              <w:t>+36%</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w:t>
            </w:r>
          </w:p>
        </w:tc>
        <w:tc>
          <w:tcPr>
            <w:tcW w:type="dxa" w:w="1526"/>
          </w:tcPr>
          <w:p>
            <w:pPr>
              <w:spacing w:after="20"/>
              <w:jc w:val="right"/>
            </w:pPr>
            <w:r>
              <w:rPr>
                <w:color w:val="1C3A36"/>
                <w:sz w:val="16"/>
              </w:rPr>
              <w:t>6.64 – 10.09</w:t>
            </w:r>
          </w:p>
        </w:tc>
        <w:tc>
          <w:tcPr>
            <w:tcW w:type="dxa" w:w="1181"/>
          </w:tcPr>
          <w:p>
            <w:pPr>
              <w:spacing w:after="20"/>
              <w:jc w:val="right"/>
            </w:pPr>
            <w:r>
              <w:rPr>
                <w:color w:val="1C3A36"/>
                <w:sz w:val="16"/>
              </w:rPr>
              <w:t>8.07</w:t>
            </w:r>
          </w:p>
        </w:tc>
        <w:tc>
          <w:tcPr>
            <w:tcW w:type="dxa" w:w="1210"/>
          </w:tcPr>
          <w:p>
            <w:pPr>
              <w:spacing w:after="20"/>
              <w:jc w:val="right"/>
            </w:pPr>
            <w:r>
              <w:rPr>
                <w:color w:val="1C3A36"/>
                <w:sz w:val="16"/>
              </w:rPr>
              <w:t>+31%</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1,948 million before interest, tax, depreciation and amortisation — at the same blended multiples</w:t>
            </w:r>
          </w:p>
        </w:tc>
        <w:tc>
          <w:tcPr>
            <w:tcW w:type="dxa" w:w="1526"/>
          </w:tcPr>
          <w:p>
            <w:pPr>
              <w:spacing w:after="20"/>
              <w:jc w:val="right"/>
            </w:pPr>
            <w:r>
              <w:rPr>
                <w:color w:val="1C3A36"/>
                <w:sz w:val="16"/>
              </w:rPr>
              <w:t>7.02 – 10.63</w:t>
            </w:r>
          </w:p>
        </w:tc>
        <w:tc>
          <w:tcPr>
            <w:tcW w:type="dxa" w:w="1181"/>
          </w:tcPr>
          <w:p>
            <w:pPr>
              <w:spacing w:after="20"/>
              <w:jc w:val="right"/>
            </w:pPr>
            <w:r>
              <w:rPr>
                <w:color w:val="1C3A36"/>
                <w:sz w:val="16"/>
              </w:rPr>
              <w:t>7.69</w:t>
            </w:r>
          </w:p>
        </w:tc>
        <w:tc>
          <w:tcPr>
            <w:tcW w:type="dxa" w:w="1210"/>
          </w:tcPr>
          <w:p>
            <w:pPr>
              <w:spacing w:after="20"/>
              <w:jc w:val="right"/>
            </w:pPr>
            <w:r>
              <w:rPr>
                <w:color w:val="1C3A36"/>
                <w:sz w:val="16"/>
              </w:rPr>
              <w:t>+25%</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a justified 2.71× book value on AED 2.52 of book a share at a sustainable return on equity of 16.9%</w:t>
            </w:r>
          </w:p>
        </w:tc>
        <w:tc>
          <w:tcPr>
            <w:tcW w:type="dxa" w:w="1526"/>
          </w:tcPr>
          <w:p>
            <w:pPr>
              <w:spacing w:after="20"/>
              <w:jc w:val="right"/>
            </w:pPr>
            <w:r>
              <w:rPr>
                <w:color w:val="1C3A36"/>
                <w:sz w:val="16"/>
              </w:rPr>
              <w:t>4.50 – 9.27</w:t>
            </w:r>
          </w:p>
        </w:tc>
        <w:tc>
          <w:tcPr>
            <w:tcW w:type="dxa" w:w="1181"/>
          </w:tcPr>
          <w:p>
            <w:pPr>
              <w:spacing w:after="20"/>
              <w:jc w:val="right"/>
            </w:pPr>
            <w:r>
              <w:rPr>
                <w:color w:val="1C3A36"/>
                <w:sz w:val="16"/>
              </w:rPr>
              <w:t>6.84</w:t>
            </w:r>
          </w:p>
        </w:tc>
        <w:tc>
          <w:tcPr>
            <w:tcW w:type="dxa" w:w="1210"/>
          </w:tcPr>
          <w:p>
            <w:pPr>
              <w:spacing w:after="20"/>
              <w:jc w:val="right"/>
            </w:pPr>
            <w:r>
              <w:rPr>
                <w:color w:val="1C3A36"/>
                <w:sz w:val="16"/>
              </w:rPr>
              <w:t>+11%</w:t>
            </w:r>
          </w:p>
        </w:tc>
      </w:tr>
      <w:tr>
        <w:trPr>
          <w:cantSplit/>
        </w:trPr>
        <w:tc>
          <w:tcPr>
            <w:tcW w:type="dxa" w:w="2045"/>
            <w:shd w:val="clear" w:color="auto" w:fill="F6F1E6"/>
          </w:tcPr>
          <w:p>
            <w:pPr>
              <w:spacing w:after="20"/>
            </w:pPr>
            <w:r>
              <w:rPr>
                <w:b/>
                <w:color w:val="1C3A36"/>
                <w:sz w:val="16"/>
              </w:rPr>
              <w:t>Weighted central</w:t>
            </w:r>
          </w:p>
        </w:tc>
        <w:tc>
          <w:tcPr>
            <w:tcW w:type="dxa" w:w="4118"/>
            <w:shd w:val="clear" w:color="auto" w:fill="F6F1E6"/>
          </w:tcPr>
          <w:p>
            <w:pPr>
              <w:spacing w:after="20"/>
              <w:jc w:val="left"/>
            </w:pPr>
            <w:r>
              <w:rPr>
                <w:b/>
                <w:color w:val="1C3A36"/>
                <w:sz w:val="16"/>
              </w:rPr>
              <w:t>discounted cash flow 40% · relative 25% · normalised 20% · book 15%, on the share's own regressed beta</w:t>
            </w:r>
          </w:p>
        </w:tc>
        <w:tc>
          <w:tcPr>
            <w:tcW w:type="dxa" w:w="1526"/>
            <w:shd w:val="clear" w:color="auto" w:fill="F6F1E6"/>
          </w:tcPr>
          <w:p>
            <w:pPr>
              <w:spacing w:after="20"/>
              <w:jc w:val="right"/>
            </w:pPr>
            <w:r>
              <w:rPr>
                <w:b/>
                <w:color w:val="1C3A36"/>
                <w:sz w:val="16"/>
              </w:rPr>
              <w:t>5.58 – 10.66</w:t>
            </w:r>
          </w:p>
        </w:tc>
        <w:tc>
          <w:tcPr>
            <w:tcW w:type="dxa" w:w="1181"/>
            <w:shd w:val="clear" w:color="auto" w:fill="F6F1E6"/>
          </w:tcPr>
          <w:p>
            <w:pPr>
              <w:spacing w:after="20"/>
              <w:jc w:val="right"/>
            </w:pPr>
            <w:r>
              <w:rPr>
                <w:b/>
                <w:color w:val="1C3A36"/>
                <w:sz w:val="16"/>
              </w:rPr>
              <w:t>7.94</w:t>
            </w:r>
          </w:p>
        </w:tc>
        <w:tc>
          <w:tcPr>
            <w:tcW w:type="dxa" w:w="1210"/>
            <w:shd w:val="clear" w:color="auto" w:fill="F6F1E6"/>
          </w:tcPr>
          <w:p>
            <w:pPr>
              <w:spacing w:after="20"/>
              <w:jc w:val="right"/>
            </w:pPr>
            <w:r>
              <w:rPr>
                <w:b/>
                <w:color w:val="1C3A36"/>
                <w:sz w:val="16"/>
              </w:rPr>
              <w:t>+29%</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weighted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Cost of equity on an asset-risk beta</w:t>
            </w:r>
          </w:p>
        </w:tc>
        <w:tc>
          <w:tcPr>
            <w:tcW w:type="dxa" w:w="4118"/>
          </w:tcPr>
          <w:p>
            <w:pPr>
              <w:spacing w:after="20"/>
              <w:jc w:val="left"/>
            </w:pPr>
            <w:r>
              <w:rPr>
                <w:color w:val="1C3A36"/>
                <w:sz w:val="16"/>
              </w:rPr>
              <w:t>the identical model and identical cash flows at a beta of one instead of 0.705 — cost of capital gliding 8.6% to 7.8%, and 80% of enterprise value from the terminal value. This is the study's central contested judgement and it is computed both ways in section 1.1; the weighted central on this construction is AED 7.04</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0%</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10.22</w:t>
            </w:r>
          </w:p>
        </w:tc>
        <w:tc>
          <w:tcPr>
            <w:tcW w:type="dxa" w:w="1210"/>
          </w:tcPr>
          <w:p>
            <w:pPr>
              <w:spacing w:after="20"/>
              <w:jc w:val="right"/>
            </w:pPr>
            <w:r>
              <w:rPr>
                <w:color w:val="1C3A36"/>
                <w:sz w:val="16"/>
              </w:rPr>
              <w:t>+66%</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1,490 million, instead of their carrying value of USD 1,979 million (section 1.1)</w:t>
            </w:r>
          </w:p>
        </w:tc>
        <w:tc>
          <w:tcPr>
            <w:tcW w:type="dxa" w:w="1526"/>
          </w:tcPr>
          <w:p>
            <w:pPr>
              <w:spacing w:after="20"/>
              <w:jc w:val="right"/>
            </w:pPr>
            <w:r>
              <w:rPr>
                <w:color w:val="1C3A36"/>
                <w:sz w:val="16"/>
              </w:rPr>
              <w:t>—</w:t>
            </w:r>
          </w:p>
        </w:tc>
        <w:tc>
          <w:tcPr>
            <w:tcW w:type="dxa" w:w="1181"/>
          </w:tcPr>
          <w:p>
            <w:pPr>
              <w:spacing w:after="20"/>
              <w:jc w:val="right"/>
            </w:pPr>
            <w:r>
              <w:rPr>
                <w:color w:val="1C3A36"/>
                <w:sz w:val="16"/>
              </w:rPr>
              <w:t>8.64</w:t>
            </w:r>
          </w:p>
        </w:tc>
        <w:tc>
          <w:tcPr>
            <w:tcW w:type="dxa" w:w="1210"/>
          </w:tcPr>
          <w:p>
            <w:pPr>
              <w:spacing w:after="20"/>
              <w:jc w:val="right"/>
            </w:pPr>
            <w:r>
              <w:rPr>
                <w:color w:val="1C3A36"/>
                <w:sz w:val="16"/>
              </w:rPr>
              <w:t>+40%</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weighted central because each answers a different question — which beta a half-contracted fleet owner should carry, where shipping rates settle, and whether a perpetual security is a liability at face or at coupon — and blending them would hide the disagreement instead of showing it. Ranges are bear-to-bull within each lens; the central is the weighted base. The beta reading is the largest of the three: AED 2.24 a share separates the two constructions on the cash-flow lens, and both are carried at full size through section 1.1, the crux in section 1.7, the comparison in section 4 and the expert panel. Terminal value is 84%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53 owned tankers across five size classes, of which 45 trade at spot rates and 8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0.23× the 2026E earnings this study forecasts, against the company's own stated medium-term target range of 2.0× to 2.5×</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vessel by vessel at the rate each size class earns, the gas carriers on contracted vessel-years at the day rate implied by their own revenue, and the remaining units on what they actually earned in the first quarter of 2026, annualised and grown. Section 1.6 sets the build out unit by unit.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4,589</w:t>
            </w:r>
          </w:p>
        </w:tc>
        <w:tc>
          <w:tcPr>
            <w:tcW w:type="dxa" w:w="1382"/>
          </w:tcPr>
          <w:p>
            <w:pPr>
              <w:spacing w:after="20"/>
              <w:jc w:val="right"/>
            </w:pPr>
            <w:r>
              <w:rPr>
                <w:color w:val="1C3A36"/>
                <w:sz w:val="16"/>
              </w:rPr>
              <w:t>4,725</w:t>
            </w:r>
          </w:p>
        </w:tc>
        <w:tc>
          <w:tcPr>
            <w:tcW w:type="dxa" w:w="1382"/>
          </w:tcPr>
          <w:p>
            <w:pPr>
              <w:spacing w:after="20"/>
              <w:jc w:val="right"/>
            </w:pPr>
            <w:r>
              <w:rPr>
                <w:color w:val="1C3A36"/>
                <w:sz w:val="16"/>
              </w:rPr>
              <w:t>4,942</w:t>
            </w:r>
          </w:p>
        </w:tc>
        <w:tc>
          <w:tcPr>
            <w:tcW w:type="dxa" w:w="1382"/>
          </w:tcPr>
          <w:p>
            <w:pPr>
              <w:spacing w:after="20"/>
              <w:jc w:val="right"/>
            </w:pPr>
            <w:r>
              <w:rPr>
                <w:color w:val="1C3A36"/>
                <w:sz w:val="16"/>
              </w:rPr>
              <w:t>4,966</w:t>
            </w:r>
          </w:p>
        </w:tc>
        <w:tc>
          <w:tcPr>
            <w:tcW w:type="dxa" w:w="1382"/>
          </w:tcPr>
          <w:p>
            <w:pPr>
              <w:spacing w:after="20"/>
              <w:jc w:val="right"/>
            </w:pPr>
            <w:r>
              <w:rPr>
                <w:color w:val="1C3A36"/>
                <w:sz w:val="16"/>
              </w:rPr>
              <w:t>4,906</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(2,729)</w:t>
            </w:r>
          </w:p>
        </w:tc>
        <w:tc>
          <w:tcPr>
            <w:tcW w:type="dxa" w:w="1382"/>
          </w:tcPr>
          <w:p>
            <w:pPr>
              <w:spacing w:after="20"/>
              <w:jc w:val="right"/>
            </w:pPr>
            <w:r>
              <w:rPr>
                <w:color w:val="1C3A36"/>
                <w:sz w:val="16"/>
              </w:rPr>
              <w:t>(2,802)</w:t>
            </w:r>
          </w:p>
        </w:tc>
        <w:tc>
          <w:tcPr>
            <w:tcW w:type="dxa" w:w="1382"/>
          </w:tcPr>
          <w:p>
            <w:pPr>
              <w:spacing w:after="20"/>
              <w:jc w:val="right"/>
            </w:pPr>
            <w:r>
              <w:rPr>
                <w:color w:val="1C3A36"/>
                <w:sz w:val="16"/>
              </w:rPr>
              <w:t>(2,909)</w:t>
            </w:r>
          </w:p>
        </w:tc>
        <w:tc>
          <w:tcPr>
            <w:tcW w:type="dxa" w:w="1382"/>
          </w:tcPr>
          <w:p>
            <w:pPr>
              <w:spacing w:after="20"/>
              <w:jc w:val="right"/>
            </w:pPr>
            <w:r>
              <w:rPr>
                <w:color w:val="1C3A36"/>
                <w:sz w:val="16"/>
              </w:rPr>
              <w:t>(2,960)</w:t>
            </w:r>
          </w:p>
        </w:tc>
        <w:tc>
          <w:tcPr>
            <w:tcW w:type="dxa" w:w="1382"/>
          </w:tcPr>
          <w:p>
            <w:pPr>
              <w:spacing w:after="20"/>
              <w:jc w:val="right"/>
            </w:pPr>
            <w:r>
              <w:rPr>
                <w:color w:val="1C3A36"/>
                <w:sz w:val="16"/>
              </w:rPr>
              <w:t>(2,986)</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1,860</w:t>
            </w:r>
          </w:p>
        </w:tc>
        <w:tc>
          <w:tcPr>
            <w:tcW w:type="dxa" w:w="1382"/>
          </w:tcPr>
          <w:p>
            <w:pPr>
              <w:spacing w:after="20"/>
              <w:jc w:val="right"/>
            </w:pPr>
            <w:r>
              <w:rPr>
                <w:color w:val="1C3A36"/>
                <w:sz w:val="16"/>
              </w:rPr>
              <w:t>1,923</w:t>
            </w:r>
          </w:p>
        </w:tc>
        <w:tc>
          <w:tcPr>
            <w:tcW w:type="dxa" w:w="1382"/>
          </w:tcPr>
          <w:p>
            <w:pPr>
              <w:spacing w:after="20"/>
              <w:jc w:val="right"/>
            </w:pPr>
            <w:r>
              <w:rPr>
                <w:color w:val="1C3A36"/>
                <w:sz w:val="16"/>
              </w:rPr>
              <w:t>2,033</w:t>
            </w:r>
          </w:p>
        </w:tc>
        <w:tc>
          <w:tcPr>
            <w:tcW w:type="dxa" w:w="1382"/>
          </w:tcPr>
          <w:p>
            <w:pPr>
              <w:spacing w:after="20"/>
              <w:jc w:val="right"/>
            </w:pPr>
            <w:r>
              <w:rPr>
                <w:color w:val="1C3A36"/>
                <w:sz w:val="16"/>
              </w:rPr>
              <w:t>2,007</w:t>
            </w:r>
          </w:p>
        </w:tc>
        <w:tc>
          <w:tcPr>
            <w:tcW w:type="dxa" w:w="1382"/>
          </w:tcPr>
          <w:p>
            <w:pPr>
              <w:spacing w:after="20"/>
              <w:jc w:val="right"/>
            </w:pPr>
            <w:r>
              <w:rPr>
                <w:color w:val="1C3A36"/>
                <w:sz w:val="16"/>
              </w:rPr>
              <w:t>1,919</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40.5%</w:t>
            </w:r>
          </w:p>
        </w:tc>
        <w:tc>
          <w:tcPr>
            <w:tcW w:type="dxa" w:w="1382"/>
          </w:tcPr>
          <w:p>
            <w:pPr>
              <w:spacing w:after="20"/>
              <w:jc w:val="right"/>
            </w:pPr>
            <w:r>
              <w:rPr>
                <w:color w:val="1C3A36"/>
                <w:sz w:val="16"/>
              </w:rPr>
              <w:t>40.7%</w:t>
            </w:r>
          </w:p>
        </w:tc>
        <w:tc>
          <w:tcPr>
            <w:tcW w:type="dxa" w:w="1382"/>
          </w:tcPr>
          <w:p>
            <w:pPr>
              <w:spacing w:after="20"/>
              <w:jc w:val="right"/>
            </w:pPr>
            <w:r>
              <w:rPr>
                <w:color w:val="1C3A36"/>
                <w:sz w:val="16"/>
              </w:rPr>
              <w:t>41.1%</w:t>
            </w:r>
          </w:p>
        </w:tc>
        <w:tc>
          <w:tcPr>
            <w:tcW w:type="dxa" w:w="1382"/>
          </w:tcPr>
          <w:p>
            <w:pPr>
              <w:spacing w:after="20"/>
              <w:jc w:val="right"/>
            </w:pPr>
            <w:r>
              <w:rPr>
                <w:color w:val="1C3A36"/>
                <w:sz w:val="16"/>
              </w:rPr>
              <w:t>40.4%</w:t>
            </w:r>
          </w:p>
        </w:tc>
        <w:tc>
          <w:tcPr>
            <w:tcW w:type="dxa" w:w="1382"/>
          </w:tcPr>
          <w:p>
            <w:pPr>
              <w:spacing w:after="20"/>
              <w:jc w:val="right"/>
            </w:pPr>
            <w:r>
              <w:rPr>
                <w:color w:val="1C3A36"/>
                <w:sz w:val="16"/>
              </w:rPr>
              <w:t>39.1%</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1,321</w:t>
            </w:r>
          </w:p>
        </w:tc>
        <w:tc>
          <w:tcPr>
            <w:tcW w:type="dxa" w:w="1382"/>
          </w:tcPr>
          <w:p>
            <w:pPr>
              <w:spacing w:after="20"/>
              <w:jc w:val="right"/>
            </w:pPr>
            <w:r>
              <w:rPr>
                <w:color w:val="1C3A36"/>
                <w:sz w:val="16"/>
              </w:rPr>
              <w:t>1,332</w:t>
            </w:r>
          </w:p>
        </w:tc>
        <w:tc>
          <w:tcPr>
            <w:tcW w:type="dxa" w:w="1382"/>
          </w:tcPr>
          <w:p>
            <w:pPr>
              <w:spacing w:after="20"/>
              <w:jc w:val="right"/>
            </w:pPr>
            <w:r>
              <w:rPr>
                <w:color w:val="1C3A36"/>
                <w:sz w:val="16"/>
              </w:rPr>
              <w:t>1,397</w:t>
            </w:r>
          </w:p>
        </w:tc>
        <w:tc>
          <w:tcPr>
            <w:tcW w:type="dxa" w:w="1382"/>
          </w:tcPr>
          <w:p>
            <w:pPr>
              <w:spacing w:after="20"/>
              <w:jc w:val="right"/>
            </w:pPr>
            <w:r>
              <w:rPr>
                <w:color w:val="1C3A36"/>
                <w:sz w:val="16"/>
              </w:rPr>
              <w:t>1,343</w:t>
            </w:r>
          </w:p>
        </w:tc>
        <w:tc>
          <w:tcPr>
            <w:tcW w:type="dxa" w:w="1382"/>
          </w:tcPr>
          <w:p>
            <w:pPr>
              <w:spacing w:after="20"/>
              <w:jc w:val="right"/>
            </w:pPr>
            <w:r>
              <w:rPr>
                <w:color w:val="1C3A36"/>
                <w:sz w:val="16"/>
              </w:rPr>
              <w:t>1,246</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3.8%</w:t>
            </w:r>
          </w:p>
        </w:tc>
        <w:tc>
          <w:tcPr>
            <w:tcW w:type="dxa" w:w="1382"/>
          </w:tcPr>
          <w:p>
            <w:pPr>
              <w:spacing w:after="20"/>
              <w:jc w:val="right"/>
            </w:pPr>
            <w:r>
              <w:rPr>
                <w:color w:val="1C3A36"/>
                <w:sz w:val="16"/>
              </w:rPr>
              <w:t>4.1%</w:t>
            </w:r>
          </w:p>
        </w:tc>
        <w:tc>
          <w:tcPr>
            <w:tcW w:type="dxa" w:w="1382"/>
          </w:tcPr>
          <w:p>
            <w:pPr>
              <w:spacing w:after="20"/>
              <w:jc w:val="right"/>
            </w:pPr>
            <w:r>
              <w:rPr>
                <w:color w:val="1C3A36"/>
                <w:sz w:val="16"/>
              </w:rPr>
              <w:t>4.2%</w:t>
            </w:r>
          </w:p>
        </w:tc>
        <w:tc>
          <w:tcPr>
            <w:tcW w:type="dxa" w:w="1382"/>
          </w:tcPr>
          <w:p>
            <w:pPr>
              <w:spacing w:after="20"/>
              <w:jc w:val="right"/>
            </w:pPr>
            <w:r>
              <w:rPr>
                <w:color w:val="1C3A36"/>
                <w:sz w:val="16"/>
              </w:rPr>
              <w:t>4.4%</w:t>
            </w:r>
          </w:p>
        </w:tc>
        <w:tc>
          <w:tcPr>
            <w:tcW w:type="dxa" w:w="1382"/>
          </w:tcPr>
          <w:p>
            <w:pPr>
              <w:spacing w:after="20"/>
              <w:jc w:val="right"/>
            </w:pPr>
            <w:r>
              <w:rPr>
                <w:color w:val="1C3A36"/>
                <w:sz w:val="16"/>
              </w:rPr>
              <w:t>4.9%</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1,272</w:t>
            </w:r>
          </w:p>
        </w:tc>
        <w:tc>
          <w:tcPr>
            <w:tcW w:type="dxa" w:w="1382"/>
          </w:tcPr>
          <w:p>
            <w:pPr>
              <w:spacing w:after="20"/>
              <w:jc w:val="right"/>
            </w:pPr>
            <w:r>
              <w:rPr>
                <w:color w:val="1C3A36"/>
                <w:sz w:val="16"/>
              </w:rPr>
              <w:t>1,278</w:t>
            </w:r>
          </w:p>
        </w:tc>
        <w:tc>
          <w:tcPr>
            <w:tcW w:type="dxa" w:w="1382"/>
          </w:tcPr>
          <w:p>
            <w:pPr>
              <w:spacing w:after="20"/>
              <w:jc w:val="right"/>
            </w:pPr>
            <w:r>
              <w:rPr>
                <w:color w:val="1C3A36"/>
                <w:sz w:val="16"/>
              </w:rPr>
              <w:t>1,339</w:t>
            </w:r>
          </w:p>
        </w:tc>
        <w:tc>
          <w:tcPr>
            <w:tcW w:type="dxa" w:w="1382"/>
          </w:tcPr>
          <w:p>
            <w:pPr>
              <w:spacing w:after="20"/>
              <w:jc w:val="right"/>
            </w:pPr>
            <w:r>
              <w:rPr>
                <w:color w:val="1C3A36"/>
                <w:sz w:val="16"/>
              </w:rPr>
              <w:t>1,283</w:t>
            </w:r>
          </w:p>
        </w:tc>
        <w:tc>
          <w:tcPr>
            <w:tcW w:type="dxa" w:w="1382"/>
          </w:tcPr>
          <w:p>
            <w:pPr>
              <w:spacing w:after="20"/>
              <w:jc w:val="right"/>
            </w:pPr>
            <w:r>
              <w:rPr>
                <w:color w:val="1C3A36"/>
                <w:sz w:val="16"/>
              </w:rPr>
              <w:t>1,185</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Less change in working capital</w:t>
            </w:r>
          </w:p>
        </w:tc>
        <w:tc>
          <w:tcPr>
            <w:tcW w:type="dxa" w:w="1382"/>
          </w:tcPr>
          <w:p>
            <w:pPr>
              <w:spacing w:after="20"/>
              <w:jc w:val="right"/>
            </w:pPr>
            <w:r>
              <w:rPr>
                <w:color w:val="1C3A36"/>
                <w:sz w:val="16"/>
              </w:rPr>
              <w:t>(137)</w:t>
            </w:r>
          </w:p>
        </w:tc>
        <w:tc>
          <w:tcPr>
            <w:tcW w:type="dxa" w:w="1382"/>
          </w:tcPr>
          <w:p>
            <w:pPr>
              <w:spacing w:after="20"/>
              <w:jc w:val="right"/>
            </w:pPr>
            <w:r>
              <w:rPr>
                <w:color w:val="1C3A36"/>
                <w:sz w:val="16"/>
              </w:rPr>
              <w:t>(17)</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9</w:t>
            </w:r>
          </w:p>
        </w:tc>
        <w:tc>
          <w:tcPr>
            <w:tcW w:type="dxa" w:w="1382"/>
          </w:tcPr>
          <w:p>
            <w:pPr>
              <w:spacing w:after="20"/>
              <w:jc w:val="right"/>
            </w:pPr>
            <w:r>
              <w:rPr>
                <w:color w:val="1C3A36"/>
                <w:sz w:val="16"/>
              </w:rPr>
              <w:t>27</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298</w:t>
            </w:r>
          </w:p>
        </w:tc>
        <w:tc>
          <w:tcPr>
            <w:tcW w:type="dxa" w:w="1382"/>
            <w:shd w:val="clear" w:color="auto" w:fill="F6F1E6"/>
          </w:tcPr>
          <w:p>
            <w:pPr>
              <w:spacing w:after="20"/>
              <w:jc w:val="right"/>
            </w:pPr>
            <w:r>
              <w:rPr>
                <w:b/>
                <w:color w:val="1C3A36"/>
                <w:sz w:val="16"/>
              </w:rPr>
              <w:t>606</w:t>
            </w:r>
          </w:p>
        </w:tc>
        <w:tc>
          <w:tcPr>
            <w:tcW w:type="dxa" w:w="1382"/>
            <w:shd w:val="clear" w:color="auto" w:fill="F6F1E6"/>
          </w:tcPr>
          <w:p>
            <w:pPr>
              <w:spacing w:after="20"/>
              <w:jc w:val="right"/>
            </w:pPr>
            <w:r>
              <w:rPr>
                <w:b/>
                <w:color w:val="1C3A36"/>
                <w:sz w:val="16"/>
              </w:rPr>
              <w:t>700</w:t>
            </w:r>
          </w:p>
        </w:tc>
        <w:tc>
          <w:tcPr>
            <w:tcW w:type="dxa" w:w="1382"/>
            <w:shd w:val="clear" w:color="auto" w:fill="F6F1E6"/>
          </w:tcPr>
          <w:p>
            <w:pPr>
              <w:spacing w:after="20"/>
              <w:jc w:val="right"/>
            </w:pPr>
            <w:r>
              <w:rPr>
                <w:b/>
                <w:color w:val="1C3A36"/>
                <w:sz w:val="16"/>
              </w:rPr>
              <w:t>1,256</w:t>
            </w:r>
          </w:p>
        </w:tc>
        <w:tc>
          <w:tcPr>
            <w:tcW w:type="dxa" w:w="1382"/>
            <w:shd w:val="clear" w:color="auto" w:fill="F6F1E6"/>
          </w:tcPr>
          <w:p>
            <w:pPr>
              <w:spacing w:after="20"/>
              <w:jc w:val="right"/>
            </w:pPr>
            <w:r>
              <w:rPr>
                <w:b/>
                <w:color w:val="1C3A36"/>
                <w:sz w:val="16"/>
              </w:rPr>
              <w:t>1,235</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168</w:t>
            </w:r>
          </w:p>
        </w:tc>
        <w:tc>
          <w:tcPr>
            <w:tcW w:type="dxa" w:w="1382"/>
          </w:tcPr>
          <w:p>
            <w:pPr>
              <w:spacing w:after="20"/>
              <w:jc w:val="right"/>
            </w:pPr>
            <w:r>
              <w:rPr>
                <w:color w:val="1C3A36"/>
                <w:sz w:val="16"/>
              </w:rPr>
              <w:t>606</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1,256</w:t>
            </w:r>
          </w:p>
        </w:tc>
        <w:tc>
          <w:tcPr>
            <w:tcW w:type="dxa" w:w="1382"/>
          </w:tcPr>
          <w:p>
            <w:pPr>
              <w:spacing w:after="20"/>
              <w:jc w:val="right"/>
            </w:pPr>
            <w:r>
              <w:rPr>
                <w:color w:val="1C3A36"/>
                <w:sz w:val="16"/>
              </w:rPr>
              <w:t>1,235</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7.15%</w:t>
            </w:r>
          </w:p>
        </w:tc>
        <w:tc>
          <w:tcPr>
            <w:tcW w:type="dxa" w:w="1382"/>
          </w:tcPr>
          <w:p>
            <w:pPr>
              <w:spacing w:after="20"/>
              <w:jc w:val="right"/>
            </w:pPr>
            <w:r>
              <w:rPr>
                <w:color w:val="1C3A36"/>
                <w:sz w:val="16"/>
              </w:rPr>
              <w:t>6.99%</w:t>
            </w:r>
          </w:p>
        </w:tc>
        <w:tc>
          <w:tcPr>
            <w:tcW w:type="dxa" w:w="1382"/>
          </w:tcPr>
          <w:p>
            <w:pPr>
              <w:spacing w:after="20"/>
              <w:jc w:val="right"/>
            </w:pPr>
            <w:r>
              <w:rPr>
                <w:color w:val="1C3A36"/>
                <w:sz w:val="16"/>
              </w:rPr>
              <w:t>6.83%</w:t>
            </w:r>
          </w:p>
        </w:tc>
        <w:tc>
          <w:tcPr>
            <w:tcW w:type="dxa" w:w="1382"/>
          </w:tcPr>
          <w:p>
            <w:pPr>
              <w:spacing w:after="20"/>
              <w:jc w:val="right"/>
            </w:pPr>
            <w:r>
              <w:rPr>
                <w:color w:val="1C3A36"/>
                <w:sz w:val="16"/>
              </w:rPr>
              <w:t>6.67%</w:t>
            </w:r>
          </w:p>
        </w:tc>
        <w:tc>
          <w:tcPr>
            <w:tcW w:type="dxa" w:w="1382"/>
          </w:tcPr>
          <w:p>
            <w:pPr>
              <w:spacing w:after="20"/>
              <w:jc w:val="right"/>
            </w:pPr>
            <w:r>
              <w:rPr>
                <w:color w:val="1C3A36"/>
                <w:sz w:val="16"/>
              </w:rPr>
              <w:t>6.51%</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0.9495</w:t>
            </w:r>
          </w:p>
        </w:tc>
        <w:tc>
          <w:tcPr>
            <w:tcW w:type="dxa" w:w="1382"/>
          </w:tcPr>
          <w:p>
            <w:pPr>
              <w:spacing w:after="20"/>
              <w:jc w:val="right"/>
            </w:pPr>
            <w:r>
              <w:rPr>
                <w:color w:val="1C3A36"/>
                <w:sz w:val="16"/>
              </w:rPr>
              <w:t>0.8875</w:t>
            </w:r>
          </w:p>
        </w:tc>
        <w:tc>
          <w:tcPr>
            <w:tcW w:type="dxa" w:w="1382"/>
          </w:tcPr>
          <w:p>
            <w:pPr>
              <w:spacing w:after="20"/>
              <w:jc w:val="right"/>
            </w:pPr>
            <w:r>
              <w:rPr>
                <w:color w:val="1C3A36"/>
                <w:sz w:val="16"/>
              </w:rPr>
              <w:t>0.8307</w:t>
            </w:r>
          </w:p>
        </w:tc>
        <w:tc>
          <w:tcPr>
            <w:tcW w:type="dxa" w:w="1382"/>
          </w:tcPr>
          <w:p>
            <w:pPr>
              <w:spacing w:after="20"/>
              <w:jc w:val="right"/>
            </w:pPr>
            <w:r>
              <w:rPr>
                <w:color w:val="1C3A36"/>
                <w:sz w:val="16"/>
              </w:rPr>
              <w:t>0.7788</w:t>
            </w:r>
          </w:p>
        </w:tc>
        <w:tc>
          <w:tcPr>
            <w:tcW w:type="dxa" w:w="1382"/>
          </w:tcPr>
          <w:p>
            <w:pPr>
              <w:spacing w:after="20"/>
              <w:jc w:val="right"/>
            </w:pPr>
            <w:r>
              <w:rPr>
                <w:color w:val="1C3A36"/>
                <w:sz w:val="16"/>
              </w:rPr>
              <w:t>0.7312</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160</w:t>
            </w:r>
          </w:p>
        </w:tc>
        <w:tc>
          <w:tcPr>
            <w:tcW w:type="dxa" w:w="1382"/>
            <w:shd w:val="clear" w:color="auto" w:fill="F6F1E6"/>
          </w:tcPr>
          <w:p>
            <w:pPr>
              <w:spacing w:after="20"/>
              <w:jc w:val="right"/>
            </w:pPr>
            <w:r>
              <w:rPr>
                <w:b/>
                <w:color w:val="1C3A36"/>
                <w:sz w:val="16"/>
              </w:rPr>
              <w:t>538</w:t>
            </w:r>
          </w:p>
        </w:tc>
        <w:tc>
          <w:tcPr>
            <w:tcW w:type="dxa" w:w="1382"/>
            <w:shd w:val="clear" w:color="auto" w:fill="F6F1E6"/>
          </w:tcPr>
          <w:p>
            <w:pPr>
              <w:spacing w:after="20"/>
              <w:jc w:val="right"/>
            </w:pPr>
            <w:r>
              <w:rPr>
                <w:b/>
                <w:color w:val="1C3A36"/>
                <w:sz w:val="16"/>
              </w:rPr>
              <w:t>581</w:t>
            </w:r>
          </w:p>
        </w:tc>
        <w:tc>
          <w:tcPr>
            <w:tcW w:type="dxa" w:w="1382"/>
            <w:shd w:val="clear" w:color="auto" w:fill="F6F1E6"/>
          </w:tcPr>
          <w:p>
            <w:pPr>
              <w:spacing w:after="20"/>
              <w:jc w:val="right"/>
            </w:pPr>
            <w:r>
              <w:rPr>
                <w:b/>
                <w:color w:val="1C3A36"/>
                <w:sz w:val="16"/>
              </w:rPr>
              <w:t>978</w:t>
            </w:r>
          </w:p>
        </w:tc>
        <w:tc>
          <w:tcPr>
            <w:tcW w:type="dxa" w:w="1382"/>
            <w:shd w:val="clear" w:color="auto" w:fill="F6F1E6"/>
          </w:tcPr>
          <w:p>
            <w:pPr>
              <w:spacing w:after="20"/>
              <w:jc w:val="right"/>
            </w:pPr>
            <w:r>
              <w:rPr>
                <w:b/>
                <w:color w:val="1C3A36"/>
                <w:sz w:val="16"/>
              </w:rPr>
              <w:t>903</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3.8% rather than the 9% statutory rate: international shipping income is relieved under UAE law and the shipping units bore about 1% in FY2025. Working capital is carried at the collection, inventory and payment cycle the FY2025 statements actually show.</w:t>
      </w: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3,160</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1,001</w:t>
            </w:r>
          </w:p>
        </w:tc>
        <w:tc>
          <w:tcPr>
            <w:tcW w:type="dxa" w:w="5040"/>
          </w:tcPr>
          <w:p>
            <w:pPr>
              <w:spacing w:after="20"/>
              <w:jc w:val="left"/>
            </w:pPr>
            <w:r>
              <w:rPr>
                <w:color w:val="1C3A36"/>
                <w:sz w:val="16"/>
              </w:rPr>
              <w:t>2030E net operating profit after tax grown 2% and multiplied by one less the reinvestment rate of 17.1%; that reinvestment rate is forced to equal growth divided by the terminal return on invested capital of 11.7%,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16,238</w:t>
            </w:r>
          </w:p>
        </w:tc>
        <w:tc>
          <w:tcPr>
            <w:tcW w:type="dxa" w:w="5040"/>
          </w:tcPr>
          <w:p>
            <w:pPr>
              <w:spacing w:after="20"/>
              <w:jc w:val="left"/>
            </w:pPr>
            <w:r>
              <w:rPr>
                <w:color w:val="1C3A36"/>
                <w:sz w:val="16"/>
              </w:rPr>
              <w:t>the terminal cash flow capitalised at 6.5% less 2% = USD 22,208 million, discounted at the same year-five factor of 0.7312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19,398</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83.7%</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19,891</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deferred consideration on the staged acquisition, carried against the investment reserve — a real claim on the enterprise and treated as one</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(272)</w:t>
            </w:r>
          </w:p>
        </w:tc>
        <w:tc>
          <w:tcPr>
            <w:tcW w:type="dxa" w:w="5040"/>
          </w:tcPr>
          <w:p>
            <w:pPr>
              <w:spacing w:after="20"/>
              <w:jc w:val="left"/>
            </w:pPr>
            <w:r>
              <w:rPr>
                <w:color w:val="1C3A36"/>
                <w:sz w:val="16"/>
              </w:rPr>
              <w:t>the reviewed book value of the minority stakes, consistent with the 8.8% of group profit they took in the first quarter</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16,919</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2.29</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8.40</w:t>
            </w:r>
          </w:p>
        </w:tc>
        <w:tc>
          <w:tcPr>
            <w:tcW w:type="dxa" w:w="5040"/>
            <w:shd w:val="clear" w:color="auto" w:fill="F6F1E6"/>
          </w:tcPr>
          <w:p>
            <w:pPr>
              <w:spacing w:after="20"/>
              <w:jc w:val="left"/>
            </w:pPr>
            <w:r>
              <w:rPr>
                <w:b/>
                <w:color w:val="1C3A36"/>
                <w:sz w:val="16"/>
              </w:rPr>
              <w:t>against a market price of AED 6.16 (+36%)</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8.64</w:t>
            </w:r>
          </w:p>
        </w:tc>
        <w:tc>
          <w:tcPr>
            <w:tcW w:type="dxa" w:w="5040"/>
            <w:shd w:val="clear" w:color="auto" w:fill="F6F1E6"/>
          </w:tcPr>
          <w:p>
            <w:pPr>
              <w:spacing w:after="20"/>
              <w:jc w:val="left"/>
            </w:pPr>
            <w:r>
              <w:rPr>
                <w:b/>
                <w:color w:val="1C3A36"/>
                <w:sz w:val="16"/>
              </w:rPr>
              <w:t>deducting USD 1,490 million, the coupon capitalised at the terminal cost of capital, instead of the USD 1,979 million carrying value. Worth AED 0.24 a share. The securities are perpetual and non-amortising, so which of the two is right depends on whether the company ever calls them; both are shown</w:t>
            </w:r>
          </w:p>
        </w:tc>
      </w:tr>
    </w:tbl>
    <w:p>
      <w:pPr>
        <w:spacing w:after="40"/>
      </w:pPr>
    </w:p>
    <w:p>
      <w:pPr>
        <w:keepNext/>
        <w:spacing w:after="80" w:before="200"/>
      </w:pPr>
      <w:r>
        <w:rPr>
          <w:b/>
          <w:i w:val="0"/>
          <w:color w:val="1C3A36"/>
          <w:sz w:val="24"/>
        </w:rPr>
        <w:t>The contested judgement, computed both ways</w:t>
      </w:r>
    </w:p>
    <w:p>
      <w:pPr>
        <w:spacing w:after="120" w:before="0"/>
      </w:pPr>
      <w:r>
        <w:rPr>
          <w:b w:val="0"/>
          <w:i w:val="0"/>
          <w:color w:val="1C3A36"/>
          <w:sz w:val="21"/>
        </w:rPr>
        <w:t>One choice in the construction above moves the answer further than any operating assumption in the study: which beta belongs in the cost of equity. The share's own weekly returns, regressed against an equal-weight index of the Abu Dhabi names in this study's price library over its full listed history, give 0.705 — with 163 observations, an R-squared of 0.172, a standard error of 0.122 and a 90% interval of [0.50, 0.90]. That is a usable estimate and it is economically coherent: a listed crude and product tanker owner would normally sit at 0.9-1.4, a contracted marine services provider at 0.5-0.9, and this company is half of each. The opposing view is that a fleet owner bears the risk of the market its ships trade in whoever signs the charter, that three years of price history is a thin basis for a permanent discount rate, and that the equity should therefore be priced at a beta of one. Both are defensible. Both are computed.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On the share's own beta</w:t>
            </w:r>
          </w:p>
        </w:tc>
        <w:tc>
          <w:tcPr>
            <w:tcW w:type="dxa" w:w="2808"/>
            <w:shd w:val="clear" w:color="auto" w:fill="EAF0EE"/>
          </w:tcPr>
          <w:p>
            <w:pPr>
              <w:spacing w:after="20"/>
            </w:pPr>
            <w:r>
              <w:rPr>
                <w:b/>
                <w:color w:val="1C3A36"/>
                <w:sz w:val="17"/>
              </w:rPr>
              <w:t>On an asset-risk beta of one</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0.705</w:t>
            </w:r>
          </w:p>
        </w:tc>
        <w:tc>
          <w:tcPr>
            <w:tcW w:type="dxa" w:w="2808"/>
          </w:tcPr>
          <w:p>
            <w:pPr>
              <w:spacing w:after="20"/>
              <w:jc w:val="right"/>
            </w:pPr>
            <w:r>
              <w:rPr>
                <w:color w:val="1C3A36"/>
                <w:sz w:val="17"/>
              </w:rPr>
              <w:t>1.00</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7.49%</w:t>
            </w:r>
          </w:p>
        </w:tc>
        <w:tc>
          <w:tcPr>
            <w:tcW w:type="dxa" w:w="2808"/>
          </w:tcPr>
          <w:p>
            <w:pPr>
              <w:spacing w:after="20"/>
              <w:jc w:val="right"/>
            </w:pPr>
            <w:r>
              <w:rPr>
                <w:color w:val="1C3A36"/>
                <w:sz w:val="17"/>
              </w:rPr>
              <w:t>8.93%</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7.31%</w:t>
            </w:r>
          </w:p>
        </w:tc>
        <w:tc>
          <w:tcPr>
            <w:tcW w:type="dxa" w:w="2808"/>
          </w:tcPr>
          <w:p>
            <w:pPr>
              <w:spacing w:after="20"/>
              <w:jc w:val="right"/>
            </w:pPr>
            <w:r>
              <w:rPr>
                <w:color w:val="1C3A36"/>
                <w:sz w:val="17"/>
              </w:rPr>
              <w:t>8.63%</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6.51%</w:t>
            </w:r>
          </w:p>
        </w:tc>
        <w:tc>
          <w:tcPr>
            <w:tcW w:type="dxa" w:w="2808"/>
          </w:tcPr>
          <w:p>
            <w:pPr>
              <w:spacing w:after="20"/>
              <w:jc w:val="right"/>
            </w:pPr>
            <w:r>
              <w:rPr>
                <w:color w:val="1C3A36"/>
                <w:sz w:val="17"/>
              </w:rPr>
              <w:t>7.83%</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3,160</w:t>
            </w:r>
          </w:p>
        </w:tc>
        <w:tc>
          <w:tcPr>
            <w:tcW w:type="dxa" w:w="2808"/>
          </w:tcPr>
          <w:p>
            <w:pPr>
              <w:spacing w:after="20"/>
              <w:jc w:val="right"/>
            </w:pPr>
            <w:r>
              <w:rPr>
                <w:color w:val="1C3A36"/>
                <w:sz w:val="17"/>
              </w:rPr>
              <w:t>3,033</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16,238</w:t>
            </w:r>
          </w:p>
        </w:tc>
        <w:tc>
          <w:tcPr>
            <w:tcW w:type="dxa" w:w="2808"/>
          </w:tcPr>
          <w:p>
            <w:pPr>
              <w:spacing w:after="20"/>
              <w:jc w:val="right"/>
            </w:pPr>
            <w:r>
              <w:rPr>
                <w:color w:val="1C3A36"/>
                <w:sz w:val="17"/>
              </w:rPr>
              <w:t>11,854</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83.7%</w:t>
            </w:r>
          </w:p>
        </w:tc>
        <w:tc>
          <w:tcPr>
            <w:tcW w:type="dxa" w:w="2808"/>
          </w:tcPr>
          <w:p>
            <w:pPr>
              <w:spacing w:after="20"/>
              <w:jc w:val="right"/>
            </w:pPr>
            <w:r>
              <w:rPr>
                <w:color w:val="1C3A36"/>
                <w:sz w:val="17"/>
              </w:rPr>
              <w:t>79.6%</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19,891</w:t>
            </w:r>
          </w:p>
        </w:tc>
        <w:tc>
          <w:tcPr>
            <w:tcW w:type="dxa" w:w="2808"/>
          </w:tcPr>
          <w:p>
            <w:pPr>
              <w:spacing w:after="20"/>
              <w:jc w:val="right"/>
            </w:pPr>
            <w:r>
              <w:rPr>
                <w:color w:val="1C3A36"/>
                <w:sz w:val="17"/>
              </w:rPr>
              <w:t>15,380</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16,919</w:t>
            </w:r>
          </w:p>
        </w:tc>
        <w:tc>
          <w:tcPr>
            <w:tcW w:type="dxa" w:w="2808"/>
          </w:tcPr>
          <w:p>
            <w:pPr>
              <w:spacing w:after="20"/>
              <w:jc w:val="right"/>
            </w:pPr>
            <w:r>
              <w:rPr>
                <w:color w:val="1C3A36"/>
                <w:sz w:val="17"/>
              </w:rPr>
              <w:t>12,407</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8.40</w:t>
            </w:r>
          </w:p>
        </w:tc>
        <w:tc>
          <w:tcPr>
            <w:tcW w:type="dxa" w:w="2808"/>
            <w:shd w:val="clear" w:color="auto" w:fill="F6F1E6"/>
          </w:tcPr>
          <w:p>
            <w:pPr>
              <w:spacing w:after="20"/>
              <w:jc w:val="right"/>
            </w:pPr>
            <w:r>
              <w:rPr>
                <w:b/>
                <w:color w:val="1C3A36"/>
                <w:sz w:val="17"/>
              </w:rPr>
              <w:t>6.16</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+36%</w:t>
            </w:r>
          </w:p>
        </w:tc>
        <w:tc>
          <w:tcPr>
            <w:tcW w:type="dxa" w:w="2808"/>
            <w:shd w:val="clear" w:color="auto" w:fill="F6F1E6"/>
          </w:tcPr>
          <w:p>
            <w:pPr>
              <w:spacing w:after="20"/>
              <w:jc w:val="right"/>
            </w:pPr>
            <w:r>
              <w:rPr>
                <w:b/>
                <w:color w:val="1C3A36"/>
                <w:sz w:val="17"/>
              </w:rPr>
              <w:t>0%</w:t>
            </w:r>
          </w:p>
        </w:tc>
      </w:tr>
    </w:tbl>
    <w:p>
      <w:pPr>
        <w:spacing w:after="40"/>
      </w:pPr>
    </w:p>
    <w:p>
      <w:pPr>
        <w:spacing w:after="200" w:before="0"/>
      </w:pPr>
      <w:r>
        <w:rPr>
          <w:b w:val="0"/>
          <w:i/>
          <w:color w:val="6E7B77"/>
          <w:sz w:val="17"/>
        </w:rPr>
        <w:t>Identical cash flows, identical bridge, one input different. The whole of the AED 2.24 between the two columns is the beta, and most of that lands in the terminal value: a 132 basis point difference in the terminal cost of capital changes the capitalisation factor on a perpetuity by roughly a quarter. The two columns are never averaged. A reader who believes the price history is telling the truth about this company's risk should use the left column; a reader who believes a fleet owner cannot escape its market should use the right one. The market price currently sits almost exactly on the right column.</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on that equity ran 14.1% in FY2023, 15.4% in FY2024 and 16.8% in FY2025, and the five forecast years average 16.9%, which is the sustainable rate used here.</w:t>
      </w:r>
    </w:p>
    <w:p>
      <w:pPr>
        <w:spacing w:after="120" w:before="0"/>
      </w:pPr>
      <w:r>
        <w:rPr>
          <w:b w:val="0"/>
          <w:i w:val="0"/>
          <w:color w:val="1C3A36"/>
          <w:sz w:val="21"/>
        </w:rPr>
        <w:t>A justified price-to-book multiple is the sustainable return on equity less growth, divided by the cost of equity less growth. At 16.9%, 2% growth and a cost of equity of 7.49% that gives 2.71× book, or AED 6.84 a share. The bear bound of AED 4.50 takes the same construction at a beta of one and a return one seventh lower; the bull bound of AED 9.27 takes a lower country charge and a return one seventh higher. The lens carries the lowest weight of the four, at 15%, because a book multiple derived from a cost of equity inherits the same contested beta as the cash-flow model, and because carrying value is a poor description of what a fleet is worth.</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Sustainable return on equity, the five forecast years</w:t>
            </w:r>
          </w:p>
        </w:tc>
        <w:tc>
          <w:tcPr>
            <w:tcW w:type="dxa" w:w="3024"/>
          </w:tcPr>
          <w:p>
            <w:pPr>
              <w:spacing w:after="20"/>
              <w:jc w:val="right"/>
            </w:pPr>
            <w:r>
              <w:rPr>
                <w:color w:val="1C3A36"/>
                <w:sz w:val="17"/>
              </w:rPr>
              <w:t>16.9%</w:t>
            </w:r>
          </w:p>
        </w:tc>
      </w:tr>
      <w:tr>
        <w:trPr>
          <w:cantSplit/>
        </w:trPr>
        <w:tc>
          <w:tcPr>
            <w:tcW w:type="dxa" w:w="7056"/>
          </w:tcPr>
          <w:p>
            <w:pPr>
              <w:spacing w:after="20"/>
            </w:pPr>
            <w:r>
              <w:rPr>
                <w:color w:val="1C3A36"/>
                <w:sz w:val="17"/>
              </w:rPr>
              <w:t>Cost of equity</w:t>
            </w:r>
          </w:p>
        </w:tc>
        <w:tc>
          <w:tcPr>
            <w:tcW w:type="dxa" w:w="3024"/>
          </w:tcPr>
          <w:p>
            <w:pPr>
              <w:spacing w:after="20"/>
              <w:jc w:val="right"/>
            </w:pPr>
            <w:r>
              <w:rPr>
                <w:color w:val="1C3A36"/>
                <w:sz w:val="17"/>
              </w:rPr>
              <w:t>7.49%</w:t>
            </w:r>
          </w:p>
        </w:tc>
      </w:tr>
      <w:tr>
        <w:trPr>
          <w:cantSplit/>
        </w:trPr>
        <w:tc>
          <w:tcPr>
            <w:tcW w:type="dxa" w:w="7056"/>
          </w:tcPr>
          <w:p>
            <w:pPr>
              <w:spacing w:after="20"/>
            </w:pPr>
            <w:r>
              <w:rPr>
                <w:color w:val="1C3A36"/>
                <w:sz w:val="17"/>
              </w:rPr>
              <w:t>Long-run growth</w:t>
            </w:r>
          </w:p>
        </w:tc>
        <w:tc>
          <w:tcPr>
            <w:tcW w:type="dxa" w:w="3024"/>
          </w:tcPr>
          <w:p>
            <w:pPr>
              <w:spacing w:after="20"/>
              <w:jc w:val="right"/>
            </w:pPr>
            <w:r>
              <w:rPr>
                <w:color w:val="1C3A36"/>
                <w:sz w:val="17"/>
              </w:rPr>
              <w:t>2%</w:t>
            </w:r>
          </w:p>
        </w:tc>
      </w:tr>
      <w:tr>
        <w:trPr>
          <w:cantSplit/>
        </w:trPr>
        <w:tc>
          <w:tcPr>
            <w:tcW w:type="dxa" w:w="7056"/>
          </w:tcPr>
          <w:p>
            <w:pPr>
              <w:spacing w:after="20"/>
            </w:pPr>
            <w:r>
              <w:rPr>
                <w:color w:val="1C3A36"/>
                <w:sz w:val="17"/>
              </w:rPr>
              <w:t>Justified price to book</w:t>
            </w:r>
          </w:p>
        </w:tc>
        <w:tc>
          <w:tcPr>
            <w:tcW w:type="dxa" w:w="3024"/>
          </w:tcPr>
          <w:p>
            <w:pPr>
              <w:spacing w:after="20"/>
              <w:jc w:val="right"/>
            </w:pPr>
            <w:r>
              <w:rPr>
                <w:color w:val="1C3A36"/>
                <w:sz w:val="17"/>
              </w:rPr>
              <w:t>2.71×</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6.84</w:t>
            </w:r>
          </w:p>
        </w:tc>
      </w:tr>
      <w:tr>
        <w:trPr>
          <w:cantSplit/>
        </w:trPr>
        <w:tc>
          <w:tcPr>
            <w:tcW w:type="dxa" w:w="7056"/>
          </w:tcPr>
          <w:p>
            <w:pPr>
              <w:spacing w:after="20"/>
            </w:pPr>
            <w:r>
              <w:rPr>
                <w:color w:val="1C3A36"/>
                <w:sz w:val="17"/>
              </w:rPr>
              <w:t>Range — bear 4.50 at a beta of one and a lower return, bull 9.27 at a lower country charge and a higher return</w:t>
            </w:r>
          </w:p>
        </w:tc>
        <w:tc>
          <w:tcPr>
            <w:tcW w:type="dxa" w:w="3024"/>
          </w:tcPr>
          <w:p>
            <w:pPr>
              <w:spacing w:after="20"/>
              <w:jc w:val="right"/>
            </w:pPr>
            <w:r>
              <w:rPr>
                <w:color w:val="1C3A36"/>
                <w:sz w:val="17"/>
              </w:rPr>
              <w:t>4.50 – 9.27</w:t>
            </w:r>
          </w:p>
        </w:tc>
      </w:tr>
      <w:tr>
        <w:trPr>
          <w:cantSplit/>
        </w:trPr>
        <w:tc>
          <w:tcPr>
            <w:tcW w:type="dxa" w:w="7056"/>
          </w:tcPr>
          <w:p>
            <w:pPr>
              <w:spacing w:after="20"/>
            </w:pPr>
            <w:r>
              <w:rPr>
                <w:color w:val="1C3A36"/>
                <w:sz w:val="17"/>
              </w:rPr>
              <w:t>Memorandum — the price the market pays for that book today</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w:t>
            </w:r>
          </w:p>
        </w:tc>
      </w:tr>
    </w:tbl>
    <w:p>
      <w:pPr>
        <w:spacing w:after="40"/>
      </w:pP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325"/>
        <w:gridCol w:w="2477"/>
        <w:gridCol w:w="1843"/>
        <w:gridCol w:w="1210"/>
        <w:gridCol w:w="893"/>
      </w:tblGrid>
      <w:tr>
        <w:trPr>
          <w:cantSplit/>
          <w:tblHeader/>
        </w:trPr>
        <w:tc>
          <w:tcPr>
            <w:tcW w:type="dxa" w:w="2333"/>
            <w:shd w:val="clear" w:color="auto" w:fill="EAF0EE"/>
          </w:tcPr>
          <w:p>
            <w:pPr>
              <w:spacing w:after="20"/>
            </w:pPr>
            <w:r>
              <w:rPr>
                <w:b/>
                <w:color w:val="1C3A36"/>
                <w:sz w:val="16"/>
              </w:rPr>
              <w:t>Company</w:t>
            </w:r>
          </w:p>
        </w:tc>
        <w:tc>
          <w:tcPr>
            <w:tcW w:type="dxa" w:w="1325"/>
            <w:shd w:val="clear" w:color="auto" w:fill="EAF0EE"/>
          </w:tcPr>
          <w:p>
            <w:pPr>
              <w:spacing w:after="20"/>
              <w:jc w:val="left"/>
            </w:pPr>
            <w:r>
              <w:rPr>
                <w:b/>
                <w:color w:val="1C3A36"/>
                <w:sz w:val="16"/>
              </w:rPr>
              <w:t>Market</w:t>
            </w:r>
          </w:p>
        </w:tc>
        <w:tc>
          <w:tcPr>
            <w:tcW w:type="dxa" w:w="2477"/>
            <w:shd w:val="clear" w:color="auto" w:fill="EAF0EE"/>
          </w:tcPr>
          <w:p>
            <w:pPr>
              <w:spacing w:after="20"/>
              <w:jc w:val="left"/>
            </w:pPr>
            <w:r>
              <w:rPr>
                <w:b/>
                <w:color w:val="1C3A36"/>
                <w:sz w:val="16"/>
              </w:rPr>
              <w:t>Business model</w:t>
            </w:r>
          </w:p>
        </w:tc>
        <w:tc>
          <w:tcPr>
            <w:tcW w:type="dxa" w:w="1843"/>
            <w:shd w:val="clear" w:color="auto" w:fill="EAF0EE"/>
          </w:tcPr>
          <w:p>
            <w:pPr>
              <w:spacing w:after="20"/>
            </w:pPr>
            <w:r>
              <w:rPr>
                <w:b/>
                <w:color w:val="1C3A36"/>
                <w:sz w:val="16"/>
              </w:rPr>
              <w:t>EV / earnings</w:t>
            </w:r>
          </w:p>
        </w:tc>
        <w:tc>
          <w:tcPr>
            <w:tcW w:type="dxa" w:w="1210"/>
            <w:shd w:val="clear" w:color="auto" w:fill="EAF0EE"/>
          </w:tcPr>
          <w:p>
            <w:pPr>
              <w:spacing w:after="20"/>
            </w:pPr>
            <w:r>
              <w:rPr>
                <w:b/>
                <w:color w:val="1C3A36"/>
                <w:sz w:val="16"/>
              </w:rPr>
              <w:t>Price / earnings</w:t>
            </w:r>
          </w:p>
        </w:tc>
        <w:tc>
          <w:tcPr>
            <w:tcW w:type="dxa" w:w="893"/>
            <w:shd w:val="clear" w:color="auto" w:fill="EAF0EE"/>
          </w:tcPr>
          <w:p>
            <w:pPr>
              <w:spacing w:after="20"/>
            </w:pPr>
            <w:r>
              <w:rPr>
                <w:b/>
                <w:color w:val="1C3A36"/>
                <w:sz w:val="16"/>
              </w:rPr>
              <w:t>Price / book</w:t>
            </w:r>
          </w:p>
        </w:tc>
      </w:tr>
      <w:tr>
        <w:trPr>
          <w:cantSplit/>
        </w:trPr>
        <w:tc>
          <w:tcPr>
            <w:tcW w:type="dxa" w:w="2333"/>
          </w:tcPr>
          <w:p>
            <w:pPr>
              <w:spacing w:after="20"/>
            </w:pPr>
            <w:r>
              <w:rPr>
                <w:color w:val="1C3A36"/>
                <w:sz w:val="16"/>
              </w:rPr>
              <w:t>Qatar Gas Transport (Nakilat)</w:t>
            </w:r>
          </w:p>
        </w:tc>
        <w:tc>
          <w:tcPr>
            <w:tcW w:type="dxa" w:w="1325"/>
          </w:tcPr>
          <w:p>
            <w:pPr>
              <w:spacing w:after="20"/>
              <w:jc w:val="left"/>
            </w:pPr>
            <w:r>
              <w:rPr>
                <w:color w:val="1C3A36"/>
                <w:sz w:val="16"/>
              </w:rPr>
              <w:t>Qatar</w:t>
            </w:r>
          </w:p>
        </w:tc>
        <w:tc>
          <w:tcPr>
            <w:tcW w:type="dxa" w:w="2477"/>
          </w:tcPr>
          <w:p>
            <w:pPr>
              <w:spacing w:after="20"/>
              <w:jc w:val="left"/>
            </w:pPr>
            <w:r>
              <w:rPr>
                <w:color w:val="1C3A36"/>
                <w:sz w:val="16"/>
              </w:rPr>
              <w:t>long-term contracted gas shipping</w:t>
            </w:r>
          </w:p>
        </w:tc>
        <w:tc>
          <w:tcPr>
            <w:tcW w:type="dxa" w:w="1843"/>
          </w:tcPr>
          <w:p>
            <w:pPr>
              <w:spacing w:after="20"/>
              <w:jc w:val="right"/>
            </w:pPr>
            <w:r>
              <w:rPr>
                <w:color w:val="1C3A36"/>
                <w:sz w:val="16"/>
              </w:rPr>
              <w:t>12.26×</w:t>
            </w:r>
          </w:p>
        </w:tc>
        <w:tc>
          <w:tcPr>
            <w:tcW w:type="dxa" w:w="1210"/>
          </w:tcPr>
          <w:p>
            <w:pPr>
              <w:spacing w:after="20"/>
              <w:jc w:val="right"/>
            </w:pPr>
            <w:r>
              <w:rPr>
                <w:color w:val="1C3A36"/>
                <w:sz w:val="16"/>
              </w:rPr>
              <w:t>13.97×</w:t>
            </w:r>
          </w:p>
        </w:tc>
        <w:tc>
          <w:tcPr>
            <w:tcW w:type="dxa" w:w="893"/>
          </w:tcPr>
          <w:p>
            <w:pPr>
              <w:spacing w:after="20"/>
              <w:jc w:val="right"/>
            </w:pPr>
            <w:r>
              <w:rPr>
                <w:color w:val="1C3A36"/>
                <w:sz w:val="16"/>
              </w:rPr>
              <w:t>1.65×</w:t>
            </w:r>
          </w:p>
        </w:tc>
      </w:tr>
      <w:tr>
        <w:trPr>
          <w:cantSplit/>
        </w:trPr>
        <w:tc>
          <w:tcPr>
            <w:tcW w:type="dxa" w:w="2333"/>
          </w:tcPr>
          <w:p>
            <w:pPr>
              <w:spacing w:after="20"/>
            </w:pPr>
            <w:r>
              <w:rPr>
                <w:color w:val="1C3A36"/>
                <w:sz w:val="16"/>
              </w:rPr>
              <w:t>Frontline plc</w:t>
            </w:r>
          </w:p>
        </w:tc>
        <w:tc>
          <w:tcPr>
            <w:tcW w:type="dxa" w:w="1325"/>
          </w:tcPr>
          <w:p>
            <w:pPr>
              <w:spacing w:after="20"/>
              <w:jc w:val="left"/>
            </w:pPr>
            <w:r>
              <w:rPr>
                <w:color w:val="1C3A36"/>
                <w:sz w:val="16"/>
              </w:rPr>
              <w:t>Oslo / New York</w:t>
            </w:r>
          </w:p>
        </w:tc>
        <w:tc>
          <w:tcPr>
            <w:tcW w:type="dxa" w:w="2477"/>
          </w:tcPr>
          <w:p>
            <w:pPr>
              <w:spacing w:after="20"/>
              <w:jc w:val="left"/>
            </w:pPr>
            <w:r>
              <w:rPr>
                <w:color w:val="1C3A36"/>
                <w:sz w:val="16"/>
              </w:rPr>
              <w:t>spot crude tankers</w:t>
            </w:r>
          </w:p>
        </w:tc>
        <w:tc>
          <w:tcPr>
            <w:tcW w:type="dxa" w:w="1843"/>
          </w:tcPr>
          <w:p>
            <w:pPr>
              <w:spacing w:after="20"/>
              <w:jc w:val="right"/>
            </w:pPr>
            <w:r>
              <w:rPr>
                <w:color w:val="1C3A36"/>
                <w:sz w:val="16"/>
              </w:rPr>
              <w:t>8.96×</w:t>
            </w:r>
          </w:p>
        </w:tc>
        <w:tc>
          <w:tcPr>
            <w:tcW w:type="dxa" w:w="1210"/>
          </w:tcPr>
          <w:p>
            <w:pPr>
              <w:spacing w:after="20"/>
              <w:jc w:val="right"/>
            </w:pPr>
            <w:r>
              <w:rPr>
                <w:color w:val="1C3A36"/>
                <w:sz w:val="16"/>
              </w:rPr>
              <w:t>6.44×</w:t>
            </w:r>
          </w:p>
        </w:tc>
        <w:tc>
          <w:tcPr>
            <w:tcW w:type="dxa" w:w="893"/>
          </w:tcPr>
          <w:p>
            <w:pPr>
              <w:spacing w:after="20"/>
              <w:jc w:val="right"/>
            </w:pPr>
            <w:r>
              <w:rPr>
                <w:color w:val="1C3A36"/>
                <w:sz w:val="16"/>
              </w:rPr>
              <w:t>—</w:t>
            </w:r>
          </w:p>
        </w:tc>
      </w:tr>
      <w:tr>
        <w:trPr>
          <w:cantSplit/>
        </w:trPr>
        <w:tc>
          <w:tcPr>
            <w:tcW w:type="dxa" w:w="2333"/>
          </w:tcPr>
          <w:p>
            <w:pPr>
              <w:spacing w:after="20"/>
            </w:pPr>
            <w:r>
              <w:rPr>
                <w:color w:val="1C3A36"/>
                <w:sz w:val="16"/>
              </w:rPr>
              <w:t>International Seaways</w:t>
            </w:r>
          </w:p>
        </w:tc>
        <w:tc>
          <w:tcPr>
            <w:tcW w:type="dxa" w:w="1325"/>
          </w:tcPr>
          <w:p>
            <w:pPr>
              <w:spacing w:after="20"/>
              <w:jc w:val="left"/>
            </w:pPr>
            <w:r>
              <w:rPr>
                <w:color w:val="1C3A36"/>
                <w:sz w:val="16"/>
              </w:rPr>
              <w:t>New York</w:t>
            </w:r>
          </w:p>
        </w:tc>
        <w:tc>
          <w:tcPr>
            <w:tcW w:type="dxa" w:w="2477"/>
          </w:tcPr>
          <w:p>
            <w:pPr>
              <w:spacing w:after="20"/>
              <w:jc w:val="left"/>
            </w:pPr>
            <w:r>
              <w:rPr>
                <w:color w:val="1C3A36"/>
                <w:sz w:val="16"/>
              </w:rPr>
              <w:t>spot crude and product tankers</w:t>
            </w:r>
          </w:p>
        </w:tc>
        <w:tc>
          <w:tcPr>
            <w:tcW w:type="dxa" w:w="1843"/>
          </w:tcPr>
          <w:p>
            <w:pPr>
              <w:spacing w:after="20"/>
              <w:jc w:val="right"/>
            </w:pPr>
            <w:r>
              <w:rPr>
                <w:color w:val="1C3A36"/>
                <w:sz w:val="16"/>
              </w:rPr>
              <w:t>8.10×</w:t>
            </w:r>
          </w:p>
        </w:tc>
        <w:tc>
          <w:tcPr>
            <w:tcW w:type="dxa" w:w="1210"/>
          </w:tcPr>
          <w:p>
            <w:pPr>
              <w:spacing w:after="20"/>
              <w:jc w:val="right"/>
            </w:pPr>
            <w:r>
              <w:rPr>
                <w:color w:val="1C3A36"/>
                <w:sz w:val="16"/>
              </w:rPr>
              <w:t>—</w:t>
            </w:r>
          </w:p>
        </w:tc>
        <w:tc>
          <w:tcPr>
            <w:tcW w:type="dxa" w:w="893"/>
          </w:tcPr>
          <w:p>
            <w:pPr>
              <w:spacing w:after="20"/>
              <w:jc w:val="right"/>
            </w:pPr>
            <w:r>
              <w:rPr>
                <w:color w:val="1C3A36"/>
                <w:sz w:val="16"/>
              </w:rPr>
              <w:t>—</w:t>
            </w:r>
          </w:p>
        </w:tc>
      </w:tr>
      <w:tr>
        <w:trPr>
          <w:cantSplit/>
        </w:trPr>
        <w:tc>
          <w:tcPr>
            <w:tcW w:type="dxa" w:w="2333"/>
            <w:shd w:val="clear" w:color="auto" w:fill="F6F1E6"/>
          </w:tcPr>
          <w:p>
            <w:pPr>
              <w:spacing w:after="20"/>
            </w:pPr>
            <w:r>
              <w:rPr>
                <w:b/>
                <w:color w:val="1C3A36"/>
                <w:sz w:val="16"/>
              </w:rPr>
              <w:t>ADNOC Logistics &amp; Services</w:t>
            </w:r>
          </w:p>
        </w:tc>
        <w:tc>
          <w:tcPr>
            <w:tcW w:type="dxa" w:w="1325"/>
            <w:shd w:val="clear" w:color="auto" w:fill="F6F1E6"/>
          </w:tcPr>
          <w:p>
            <w:pPr>
              <w:spacing w:after="20"/>
              <w:jc w:val="left"/>
            </w:pPr>
            <w:r>
              <w:rPr>
                <w:b/>
                <w:color w:val="1C3A36"/>
                <w:sz w:val="16"/>
              </w:rPr>
              <w:t>Abu Dhabi Exchange</w:t>
            </w:r>
          </w:p>
        </w:tc>
        <w:tc>
          <w:tcPr>
            <w:tcW w:type="dxa" w:w="2477"/>
            <w:shd w:val="clear" w:color="auto" w:fill="F6F1E6"/>
          </w:tcPr>
          <w:p>
            <w:pPr>
              <w:spacing w:after="20"/>
              <w:jc w:val="left"/>
            </w:pPr>
            <w:r>
              <w:rPr>
                <w:b/>
                <w:color w:val="1C3A36"/>
                <w:sz w:val="16"/>
              </w:rPr>
              <w:t>half contracted logistics, half merchant fleet</w:t>
            </w:r>
          </w:p>
        </w:tc>
        <w:tc>
          <w:tcPr>
            <w:tcW w:type="dxa" w:w="1843"/>
            <w:shd w:val="clear" w:color="auto" w:fill="F6F1E6"/>
          </w:tcPr>
          <w:p>
            <w:pPr>
              <w:spacing w:after="20"/>
              <w:jc w:val="right"/>
            </w:pPr>
            <w:r>
              <w:rPr>
                <w:b/>
                <w:color w:val="1C3A36"/>
                <w:sz w:val="16"/>
              </w:rPr>
              <w:t>8.67× trailing / 7.06× on 2026E</w:t>
            </w:r>
          </w:p>
        </w:tc>
        <w:tc>
          <w:tcPr>
            <w:tcW w:type="dxa" w:w="1210"/>
            <w:shd w:val="clear" w:color="auto" w:fill="F6F1E6"/>
          </w:tcPr>
          <w:p>
            <w:pPr>
              <w:spacing w:after="20"/>
              <w:jc w:val="right"/>
            </w:pPr>
            <w:r>
              <w:rPr>
                <w:b/>
                <w:color w:val="1C3A36"/>
                <w:sz w:val="16"/>
              </w:rPr>
              <w:t>15.97×</w:t>
            </w:r>
          </w:p>
        </w:tc>
        <w:tc>
          <w:tcPr>
            <w:tcW w:type="dxa" w:w="893"/>
            <w:shd w:val="clear" w:color="auto" w:fill="F6F1E6"/>
          </w:tcPr>
          <w:p>
            <w:pPr>
              <w:spacing w:after="20"/>
              <w:jc w:val="right"/>
            </w:pPr>
            <w:r>
              <w:rPr>
                <w:b/>
                <w:color w:val="1C3A36"/>
                <w:sz w:val="16"/>
              </w:rPr>
              <w:t>1.76×</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Peer figures are as published on the dates recorded in this study's source register, and the company's own trailing multiple uses the operating earnings definition used throughout, not the company's own wider reported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1,860 million</w:t>
            </w:r>
          </w:p>
        </w:tc>
      </w:tr>
      <w:tr>
        <w:trPr>
          <w:cantSplit/>
        </w:trPr>
        <w:tc>
          <w:tcPr>
            <w:tcW w:type="dxa" w:w="3312"/>
          </w:tcPr>
          <w:p>
            <w:pPr>
              <w:spacing w:after="20"/>
            </w:pPr>
            <w:r>
              <w:rPr>
                <w:color w:val="1C3A36"/>
                <w:sz w:val="16"/>
              </w:rPr>
              <w:t>Blended price-to-earnings multiple</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applied to 2026E attributable profit after the perpetual coupon of USD 1,013 million</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9.02</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5.85</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8.07</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6.64 – 10.09</w:t>
            </w:r>
          </w:p>
        </w:tc>
        <w:tc>
          <w:tcPr>
            <w:tcW w:type="dxa" w:w="5328"/>
          </w:tcPr>
          <w:p>
            <w:pPr>
              <w:spacing w:after="20"/>
              <w:jc w:val="left"/>
            </w:pPr>
            <w:r>
              <w:rPr>
                <w:color w:val="1C3A36"/>
                <w:sz w:val="16"/>
              </w:rPr>
              <w:t>the whole group at the spot multiple, and the whole group at the contracted multiple — the two corners the blend sits between</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weighted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1,120</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12,438</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71</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871</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1,860</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21,502</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(721)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19,023</w:t>
            </w:r>
          </w:p>
        </w:tc>
        <w:tc>
          <w:tcPr>
            <w:tcW w:type="dxa" w:w="3456"/>
            <w:shd w:val="clear" w:color="auto" w:fill="F6F1E6"/>
          </w:tcPr>
          <w:p>
            <w:pPr>
              <w:spacing w:after="20"/>
              <w:jc w:val="left"/>
            </w:pPr>
            <w:r>
              <w:rPr>
                <w:b/>
                <w:color w:val="1C3A36"/>
                <w:sz w:val="16"/>
              </w:rPr>
              <w:t>AED 9.44 a share, 53% above the market price</w:t>
            </w:r>
          </w:p>
        </w:tc>
      </w:tr>
    </w:tbl>
    <w:p>
      <w:pPr>
        <w:spacing w:after="40"/>
      </w:pPr>
    </w:p>
    <w:p>
      <w:pPr>
        <w:spacing w:after="200" w:before="0"/>
      </w:pPr>
      <w:r>
        <w:rPr>
          <w:b w:val="0"/>
          <w:i/>
          <w:color w:val="6E7B77"/>
          <w:sz w:val="17"/>
        </w:rPr>
        <w:t>The sum of the parts lands at AED 9.44 against the blended relative lens at AED 8.07,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weighted central, which rests on the cash-flow model and the three lenses beside it.</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1,948 million and attributable profit after the perpetual coupon of USD 1,018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1,948</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1,860</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1,018</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0.1376</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9.51</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5.88</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7.69</w:t>
            </w:r>
          </w:p>
        </w:tc>
      </w:tr>
      <w:tr>
        <w:trPr>
          <w:cantSplit/>
        </w:trPr>
        <w:tc>
          <w:tcPr>
            <w:tcW w:type="dxa" w:w="7056"/>
            <w:shd w:val="clear" w:color="auto" w:fill="F6F1E6"/>
          </w:tcPr>
          <w:p>
            <w:pPr>
              <w:spacing w:after="20"/>
            </w:pPr>
            <w:r>
              <w:rPr>
                <w:b/>
                <w:color w:val="1C3A36"/>
                <w:sz w:val="17"/>
              </w:rPr>
              <w:t>Range — the whole group at the spot multiple, and at the contracted multiple</w:t>
            </w:r>
          </w:p>
        </w:tc>
        <w:tc>
          <w:tcPr>
            <w:tcW w:type="dxa" w:w="3024"/>
            <w:shd w:val="clear" w:color="auto" w:fill="F6F1E6"/>
          </w:tcPr>
          <w:p>
            <w:pPr>
              <w:spacing w:after="20"/>
              <w:jc w:val="right"/>
            </w:pPr>
            <w:r>
              <w:rPr>
                <w:b/>
                <w:color w:val="1C3A36"/>
                <w:sz w:val="17"/>
              </w:rPr>
              <w:t>7.02 – 10.63</w:t>
            </w:r>
          </w:p>
        </w:tc>
      </w:tr>
    </w:tbl>
    <w:p>
      <w:pPr>
        <w:spacing w:after="40"/>
      </w:pPr>
    </w:p>
    <w:p>
      <w:pPr>
        <w:spacing w:after="200" w:before="0"/>
      </w:pPr>
      <w:r>
        <w:rPr>
          <w:b w:val="0"/>
          <w:i/>
          <w:color w:val="6E7B77"/>
          <w:sz w:val="17"/>
        </w:rPr>
        <w:t>The two constructions disagree by a wide margin — AED 9.51 against AED 5.88 — and the gap is depreciation and the perpetual coupon. This is a young fleet: depreciation runs at about 29.0% of earnings before interest, tax, depreciation and amortisation across the forecast, so an enterprise measure and an after-tax earnings measure will never agree on a company like this. Averaging them is a deliberate refusal to pick, and the lens carries 20% weight accordingly.</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cost-of-equity framings and the two weighted centrals, against the market price of AED 6.16. Each bar is that lens's bear-to-bull span; the brass tick is its base case. The top two rows are the same model on two betas.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own beta</w:t>
            </w:r>
          </w:p>
        </w:tc>
        <w:tc>
          <w:tcPr>
            <w:tcW w:type="dxa" w:w="1238"/>
          </w:tcPr>
          <w:p>
            <w:pPr>
              <w:spacing w:after="20"/>
              <w:jc w:val="right"/>
            </w:pPr>
            <w:r>
              <w:rPr>
                <w:color w:val="1C3A36"/>
                <w:sz w:val="17"/>
              </w:rPr>
              <w:t>4.60</w:t>
            </w:r>
          </w:p>
        </w:tc>
        <w:tc>
          <w:tcPr>
            <w:tcW w:type="dxa" w:w="1238"/>
          </w:tcPr>
          <w:p>
            <w:pPr>
              <w:spacing w:after="20"/>
              <w:jc w:val="right"/>
            </w:pPr>
            <w:r>
              <w:rPr>
                <w:color w:val="1C3A36"/>
                <w:sz w:val="17"/>
              </w:rPr>
              <w:t>8.40</w:t>
            </w:r>
          </w:p>
        </w:tc>
        <w:tc>
          <w:tcPr>
            <w:tcW w:type="dxa" w:w="1238"/>
          </w:tcPr>
          <w:p>
            <w:pPr>
              <w:spacing w:after="20"/>
              <w:jc w:val="right"/>
            </w:pPr>
            <w:r>
              <w:rPr>
                <w:color w:val="1C3A36"/>
                <w:sz w:val="17"/>
              </w:rPr>
              <w:t>11.56</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3.36</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6.64</w:t>
            </w:r>
          </w:p>
        </w:tc>
        <w:tc>
          <w:tcPr>
            <w:tcW w:type="dxa" w:w="1238"/>
          </w:tcPr>
          <w:p>
            <w:pPr>
              <w:spacing w:after="20"/>
              <w:jc w:val="right"/>
            </w:pPr>
            <w:r>
              <w:rPr>
                <w:color w:val="1C3A36"/>
                <w:sz w:val="17"/>
              </w:rPr>
              <w:t>8.07</w:t>
            </w:r>
          </w:p>
        </w:tc>
        <w:tc>
          <w:tcPr>
            <w:tcW w:type="dxa" w:w="1238"/>
          </w:tcPr>
          <w:p>
            <w:pPr>
              <w:spacing w:after="20"/>
              <w:jc w:val="right"/>
            </w:pPr>
            <w:r>
              <w:rPr>
                <w:color w:val="1C3A36"/>
                <w:sz w:val="17"/>
              </w:rPr>
              <w:t>10.09</w:t>
            </w:r>
          </w:p>
        </w:tc>
        <w:tc>
          <w:tcPr>
            <w:tcW w:type="dxa" w:w="1238"/>
          </w:tcPr>
          <w:p>
            <w:pPr>
              <w:spacing w:after="20"/>
              <w:jc w:val="right"/>
            </w:pPr>
            <w:r>
              <w:rPr>
                <w:color w:val="1C3A36"/>
                <w:sz w:val="17"/>
              </w:rPr>
              <w:t>25%</w:t>
            </w:r>
          </w:p>
        </w:tc>
        <w:tc>
          <w:tcPr>
            <w:tcW w:type="dxa" w:w="1642"/>
          </w:tcPr>
          <w:p>
            <w:pPr>
              <w:spacing w:after="20"/>
              <w:jc w:val="right"/>
            </w:pPr>
            <w:r>
              <w:rPr>
                <w:color w:val="1C3A36"/>
                <w:sz w:val="17"/>
              </w:rPr>
              <w:t>2.02</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7.02</w:t>
            </w:r>
          </w:p>
        </w:tc>
        <w:tc>
          <w:tcPr>
            <w:tcW w:type="dxa" w:w="1238"/>
          </w:tcPr>
          <w:p>
            <w:pPr>
              <w:spacing w:after="20"/>
              <w:jc w:val="right"/>
            </w:pPr>
            <w:r>
              <w:rPr>
                <w:color w:val="1C3A36"/>
                <w:sz w:val="17"/>
              </w:rPr>
              <w:t>7.69</w:t>
            </w:r>
          </w:p>
        </w:tc>
        <w:tc>
          <w:tcPr>
            <w:tcW w:type="dxa" w:w="1238"/>
          </w:tcPr>
          <w:p>
            <w:pPr>
              <w:spacing w:after="20"/>
              <w:jc w:val="right"/>
            </w:pPr>
            <w:r>
              <w:rPr>
                <w:color w:val="1C3A36"/>
                <w:sz w:val="17"/>
              </w:rPr>
              <w:t>10.63</w:t>
            </w:r>
          </w:p>
        </w:tc>
        <w:tc>
          <w:tcPr>
            <w:tcW w:type="dxa" w:w="1238"/>
          </w:tcPr>
          <w:p>
            <w:pPr>
              <w:spacing w:after="20"/>
              <w:jc w:val="right"/>
            </w:pPr>
            <w:r>
              <w:rPr>
                <w:color w:val="1C3A36"/>
                <w:sz w:val="17"/>
              </w:rPr>
              <w:t>20%</w:t>
            </w:r>
          </w:p>
        </w:tc>
        <w:tc>
          <w:tcPr>
            <w:tcW w:type="dxa" w:w="1642"/>
          </w:tcPr>
          <w:p>
            <w:pPr>
              <w:spacing w:after="20"/>
              <w:jc w:val="right"/>
            </w:pPr>
            <w:r>
              <w:rPr>
                <w:color w:val="1C3A36"/>
                <w:sz w:val="17"/>
              </w:rPr>
              <w:t>1.54</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4.50</w:t>
            </w:r>
          </w:p>
        </w:tc>
        <w:tc>
          <w:tcPr>
            <w:tcW w:type="dxa" w:w="1238"/>
          </w:tcPr>
          <w:p>
            <w:pPr>
              <w:spacing w:after="20"/>
              <w:jc w:val="right"/>
            </w:pPr>
            <w:r>
              <w:rPr>
                <w:color w:val="1C3A36"/>
                <w:sz w:val="17"/>
              </w:rPr>
              <w:t>6.84</w:t>
            </w:r>
          </w:p>
        </w:tc>
        <w:tc>
          <w:tcPr>
            <w:tcW w:type="dxa" w:w="1238"/>
          </w:tcPr>
          <w:p>
            <w:pPr>
              <w:spacing w:after="20"/>
              <w:jc w:val="right"/>
            </w:pPr>
            <w:r>
              <w:rPr>
                <w:color w:val="1C3A36"/>
                <w:sz w:val="17"/>
              </w:rPr>
              <w:t>9.27</w:t>
            </w:r>
          </w:p>
        </w:tc>
        <w:tc>
          <w:tcPr>
            <w:tcW w:type="dxa" w:w="1238"/>
          </w:tcPr>
          <w:p>
            <w:pPr>
              <w:spacing w:after="20"/>
              <w:jc w:val="right"/>
            </w:pPr>
            <w:r>
              <w:rPr>
                <w:color w:val="1C3A36"/>
                <w:sz w:val="17"/>
              </w:rPr>
              <w:t>15%</w:t>
            </w:r>
          </w:p>
        </w:tc>
        <w:tc>
          <w:tcPr>
            <w:tcW w:type="dxa" w:w="1642"/>
          </w:tcPr>
          <w:p>
            <w:pPr>
              <w:spacing w:after="20"/>
              <w:jc w:val="right"/>
            </w:pPr>
            <w:r>
              <w:rPr>
                <w:color w:val="1C3A36"/>
                <w:sz w:val="17"/>
              </w:rPr>
              <w:t>1.03</w:t>
            </w:r>
          </w:p>
        </w:tc>
      </w:tr>
      <w:tr>
        <w:trPr>
          <w:cantSplit/>
        </w:trPr>
        <w:tc>
          <w:tcPr>
            <w:tcW w:type="dxa" w:w="3485"/>
            <w:shd w:val="clear" w:color="auto" w:fill="F6F1E6"/>
          </w:tcPr>
          <w:p>
            <w:pPr>
              <w:spacing w:after="20"/>
            </w:pPr>
            <w:r>
              <w:rPr>
                <w:b/>
                <w:color w:val="1C3A36"/>
                <w:sz w:val="17"/>
              </w:rPr>
              <w:t>Weighted central — own beta</w:t>
            </w:r>
          </w:p>
        </w:tc>
        <w:tc>
          <w:tcPr>
            <w:tcW w:type="dxa" w:w="1238"/>
            <w:shd w:val="clear" w:color="auto" w:fill="F6F1E6"/>
          </w:tcPr>
          <w:p>
            <w:pPr>
              <w:spacing w:after="20"/>
              <w:jc w:val="right"/>
            </w:pPr>
            <w:r>
              <w:rPr>
                <w:b/>
                <w:color w:val="1C3A36"/>
                <w:sz w:val="17"/>
              </w:rPr>
              <w:t>5.58</w:t>
            </w:r>
          </w:p>
        </w:tc>
        <w:tc>
          <w:tcPr>
            <w:tcW w:type="dxa" w:w="1238"/>
            <w:shd w:val="clear" w:color="auto" w:fill="F6F1E6"/>
          </w:tcPr>
          <w:p>
            <w:pPr>
              <w:spacing w:after="20"/>
              <w:jc w:val="right"/>
            </w:pPr>
            <w:r>
              <w:rPr>
                <w:b/>
                <w:color w:val="1C3A36"/>
                <w:sz w:val="17"/>
              </w:rPr>
              <w:t>7.94</w:t>
            </w:r>
          </w:p>
        </w:tc>
        <w:tc>
          <w:tcPr>
            <w:tcW w:type="dxa" w:w="1238"/>
            <w:shd w:val="clear" w:color="auto" w:fill="F6F1E6"/>
          </w:tcPr>
          <w:p>
            <w:pPr>
              <w:spacing w:after="20"/>
              <w:jc w:val="right"/>
            </w:pPr>
            <w:r>
              <w:rPr>
                <w:b/>
                <w:color w:val="1C3A36"/>
                <w:sz w:val="17"/>
              </w:rPr>
              <w:t>10.66</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7.94</w:t>
            </w:r>
          </w:p>
        </w:tc>
      </w:tr>
      <w:tr>
        <w:trPr>
          <w:cantSplit/>
        </w:trPr>
        <w:tc>
          <w:tcPr>
            <w:tcW w:type="dxa" w:w="3485"/>
          </w:tcPr>
          <w:p>
            <w:pPr>
              <w:spacing w:after="20"/>
            </w:pPr>
            <w:r>
              <w:rPr>
                <w:color w:val="1C3A36"/>
                <w:sz w:val="17"/>
              </w:rPr>
              <w:t>Cash-flow model — asset beta</w:t>
            </w:r>
          </w:p>
        </w:tc>
        <w:tc>
          <w:tcPr>
            <w:tcW w:type="dxa" w:w="1238"/>
          </w:tcPr>
          <w:p>
            <w:pPr>
              <w:spacing w:after="20"/>
              <w:jc w:val="right"/>
            </w:pPr>
            <w:r>
              <w:rPr>
                <w:color w:val="1C3A36"/>
                <w:sz w:val="17"/>
              </w:rPr>
              <w:t>4.60</w:t>
            </w:r>
          </w:p>
        </w:tc>
        <w:tc>
          <w:tcPr>
            <w:tcW w:type="dxa" w:w="1238"/>
          </w:tcPr>
          <w:p>
            <w:pPr>
              <w:spacing w:after="20"/>
              <w:jc w:val="right"/>
            </w:pPr>
            <w:r>
              <w:rPr>
                <w:color w:val="1C3A36"/>
                <w:sz w:val="17"/>
              </w:rPr>
              <w:t>6.16</w:t>
            </w:r>
          </w:p>
        </w:tc>
        <w:tc>
          <w:tcPr>
            <w:tcW w:type="dxa" w:w="1238"/>
          </w:tcPr>
          <w:p>
            <w:pPr>
              <w:spacing w:after="20"/>
              <w:jc w:val="right"/>
            </w:pPr>
            <w:r>
              <w:rPr>
                <w:color w:val="1C3A36"/>
                <w:sz w:val="17"/>
              </w:rPr>
              <w:t>11.56</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2.46</w:t>
            </w:r>
          </w:p>
        </w:tc>
      </w:tr>
      <w:tr>
        <w:trPr>
          <w:cantSplit/>
        </w:trPr>
        <w:tc>
          <w:tcPr>
            <w:tcW w:type="dxa" w:w="3485"/>
            <w:shd w:val="clear" w:color="auto" w:fill="F6F1E6"/>
          </w:tcPr>
          <w:p>
            <w:pPr>
              <w:spacing w:after="20"/>
            </w:pPr>
            <w:r>
              <w:rPr>
                <w:b/>
                <w:color w:val="1C3A36"/>
                <w:sz w:val="17"/>
              </w:rPr>
              <w:t>Weighted central — asset beta</w:t>
            </w:r>
          </w:p>
        </w:tc>
        <w:tc>
          <w:tcPr>
            <w:tcW w:type="dxa" w:w="1238"/>
            <w:shd w:val="clear" w:color="auto" w:fill="F6F1E6"/>
          </w:tcPr>
          <w:p>
            <w:pPr>
              <w:spacing w:after="20"/>
              <w:jc w:val="right"/>
            </w:pPr>
            <w:r>
              <w:rPr>
                <w:b/>
                <w:color w:val="1C3A36"/>
                <w:sz w:val="17"/>
              </w:rPr>
              <w:t>5.58</w:t>
            </w:r>
          </w:p>
        </w:tc>
        <w:tc>
          <w:tcPr>
            <w:tcW w:type="dxa" w:w="1238"/>
            <w:shd w:val="clear" w:color="auto" w:fill="F6F1E6"/>
          </w:tcPr>
          <w:p>
            <w:pPr>
              <w:spacing w:after="20"/>
              <w:jc w:val="right"/>
            </w:pPr>
            <w:r>
              <w:rPr>
                <w:b/>
                <w:color w:val="1C3A36"/>
                <w:sz w:val="17"/>
              </w:rPr>
              <w:t>7.04</w:t>
            </w:r>
          </w:p>
        </w:tc>
        <w:tc>
          <w:tcPr>
            <w:tcW w:type="dxa" w:w="1238"/>
            <w:shd w:val="clear" w:color="auto" w:fill="F6F1E6"/>
          </w:tcPr>
          <w:p>
            <w:pPr>
              <w:spacing w:after="20"/>
              <w:jc w:val="right"/>
            </w:pPr>
            <w:r>
              <w:rPr>
                <w:b/>
                <w:color w:val="1C3A36"/>
                <w:sz w:val="17"/>
              </w:rPr>
              <w:t>10.66</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7.04</w:t>
            </w:r>
          </w:p>
        </w:tc>
      </w:tr>
    </w:tbl>
    <w:p>
      <w:pPr>
        <w:spacing w:after="40"/>
      </w:pPr>
    </w:p>
    <w:p>
      <w:pPr>
        <w:spacing w:after="120" w:before="0"/>
      </w:pPr>
      <w:r>
        <w:rPr>
          <w:b w:val="0"/>
          <w:i w:val="0"/>
          <w:color w:val="1C3A36"/>
          <w:sz w:val="21"/>
        </w:rPr>
        <w:t>The four lenses do not agree and the disagreement is informative. The two that price earnings through a multiple — relative and normalised — land at AED 8.07 and AED 7.69, both above the market. The book lens lands at AED 6.84. The cash-flow model lands at AED 8.40 on the share's own beta and AED 6.16 on a beta of one. Notice what that means: the multiple-based lenses import a cost of capital rather than state one, and the two comparators they import it from are themselves a contracted shipowner and a pair of spot tanker owners, so they already carry an implicit answer to the same beta question the cash-flow model asks explicitly. The weighted central of AED 7.94 on the own-beta construction and AED 7.04 on the asset-beta one bracket the market price rather than pointing at it, which is the honest description of what this evidence supports.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Vessel by vessel. 53 owned tankers in five size classes, of which 45 trade at spot rates and 8 sit on charters out at disclosed fixed rates that roll off through 2027. Each class earns its own rate: 2026 is built from the rate the company reported for the first quarter, the level it indicated for the second, and a second half stepped halfway back to the FY2025 average; from 2027E the rate glides over four years to the mid-cycle anchor, the average of the FY2024 and FY2025 outcomes. Running cost is USD 9,355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10.8 consolidated vessel-years in 2026 rising to 25.0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since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growing profit share from the bunkering associate.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2,197</w:t>
            </w:r>
          </w:p>
        </w:tc>
        <w:tc>
          <w:tcPr>
            <w:tcW w:type="dxa" w:w="1382"/>
          </w:tcPr>
          <w:p>
            <w:pPr>
              <w:spacing w:after="20"/>
              <w:jc w:val="right"/>
            </w:pPr>
            <w:r>
              <w:rPr>
                <w:color w:val="1C3A36"/>
                <w:sz w:val="16"/>
              </w:rPr>
              <w:t>2,161</w:t>
            </w:r>
          </w:p>
        </w:tc>
        <w:tc>
          <w:tcPr>
            <w:tcW w:type="dxa" w:w="1382"/>
          </w:tcPr>
          <w:p>
            <w:pPr>
              <w:spacing w:after="20"/>
              <w:jc w:val="right"/>
            </w:pPr>
            <w:r>
              <w:rPr>
                <w:color w:val="1C3A36"/>
                <w:sz w:val="16"/>
              </w:rPr>
              <w:t>2,227</w:t>
            </w:r>
          </w:p>
        </w:tc>
        <w:tc>
          <w:tcPr>
            <w:tcW w:type="dxa" w:w="1382"/>
          </w:tcPr>
          <w:p>
            <w:pPr>
              <w:spacing w:after="20"/>
              <w:jc w:val="right"/>
            </w:pPr>
            <w:r>
              <w:rPr>
                <w:color w:val="1C3A36"/>
                <w:sz w:val="16"/>
              </w:rPr>
              <w:t>2,120</w:t>
            </w:r>
          </w:p>
        </w:tc>
        <w:tc>
          <w:tcPr>
            <w:tcW w:type="dxa" w:w="1382"/>
          </w:tcPr>
          <w:p>
            <w:pPr>
              <w:spacing w:after="20"/>
              <w:jc w:val="right"/>
            </w:pPr>
            <w:r>
              <w:rPr>
                <w:color w:val="1C3A36"/>
                <w:sz w:val="16"/>
              </w:rPr>
              <w:t>1,924</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50%</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4,589</w:t>
            </w:r>
          </w:p>
        </w:tc>
        <w:tc>
          <w:tcPr>
            <w:tcW w:type="dxa" w:w="1382"/>
            <w:shd w:val="clear" w:color="auto" w:fill="F6F1E6"/>
          </w:tcPr>
          <w:p>
            <w:pPr>
              <w:spacing w:after="20"/>
              <w:jc w:val="right"/>
            </w:pPr>
            <w:r>
              <w:rPr>
                <w:b/>
                <w:color w:val="1C3A36"/>
                <w:sz w:val="16"/>
              </w:rPr>
              <w:t>4,725</w:t>
            </w:r>
          </w:p>
        </w:tc>
        <w:tc>
          <w:tcPr>
            <w:tcW w:type="dxa" w:w="1382"/>
            <w:shd w:val="clear" w:color="auto" w:fill="F6F1E6"/>
          </w:tcPr>
          <w:p>
            <w:pPr>
              <w:spacing w:after="20"/>
              <w:jc w:val="right"/>
            </w:pPr>
            <w:r>
              <w:rPr>
                <w:b/>
                <w:color w:val="1C3A36"/>
                <w:sz w:val="16"/>
              </w:rPr>
              <w:t>4,942</w:t>
            </w:r>
          </w:p>
        </w:tc>
        <w:tc>
          <w:tcPr>
            <w:tcW w:type="dxa" w:w="1382"/>
            <w:shd w:val="clear" w:color="auto" w:fill="F6F1E6"/>
          </w:tcPr>
          <w:p>
            <w:pPr>
              <w:spacing w:after="20"/>
              <w:jc w:val="right"/>
            </w:pPr>
            <w:r>
              <w:rPr>
                <w:b/>
                <w:color w:val="1C3A36"/>
                <w:sz w:val="16"/>
              </w:rPr>
              <w:t>4,966</w:t>
            </w:r>
          </w:p>
        </w:tc>
        <w:tc>
          <w:tcPr>
            <w:tcW w:type="dxa" w:w="1382"/>
            <w:shd w:val="clear" w:color="auto" w:fill="F6F1E6"/>
          </w:tcPr>
          <w:p>
            <w:pPr>
              <w:spacing w:after="20"/>
              <w:jc w:val="right"/>
            </w:pPr>
            <w:r>
              <w:rPr>
                <w:b/>
                <w:color w:val="1C3A36"/>
                <w:sz w:val="16"/>
              </w:rPr>
              <w:t>4,906</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1,860</w:t>
            </w:r>
          </w:p>
        </w:tc>
        <w:tc>
          <w:tcPr>
            <w:tcW w:type="dxa" w:w="1382"/>
            <w:shd w:val="clear" w:color="auto" w:fill="F6F1E6"/>
          </w:tcPr>
          <w:p>
            <w:pPr>
              <w:spacing w:after="20"/>
              <w:jc w:val="right"/>
            </w:pPr>
            <w:r>
              <w:rPr>
                <w:b/>
                <w:color w:val="1C3A36"/>
                <w:sz w:val="16"/>
              </w:rPr>
              <w:t>1,923</w:t>
            </w:r>
          </w:p>
        </w:tc>
        <w:tc>
          <w:tcPr>
            <w:tcW w:type="dxa" w:w="1382"/>
            <w:shd w:val="clear" w:color="auto" w:fill="F6F1E6"/>
          </w:tcPr>
          <w:p>
            <w:pPr>
              <w:spacing w:after="20"/>
              <w:jc w:val="right"/>
            </w:pPr>
            <w:r>
              <w:rPr>
                <w:b/>
                <w:color w:val="1C3A36"/>
                <w:sz w:val="16"/>
              </w:rPr>
              <w:t>2,033</w:t>
            </w:r>
          </w:p>
        </w:tc>
        <w:tc>
          <w:tcPr>
            <w:tcW w:type="dxa" w:w="1382"/>
            <w:shd w:val="clear" w:color="auto" w:fill="F6F1E6"/>
          </w:tcPr>
          <w:p>
            <w:pPr>
              <w:spacing w:after="20"/>
              <w:jc w:val="right"/>
            </w:pPr>
            <w:r>
              <w:rPr>
                <w:b/>
                <w:color w:val="1C3A36"/>
                <w:sz w:val="16"/>
              </w:rPr>
              <w:t>2,007</w:t>
            </w:r>
          </w:p>
        </w:tc>
        <w:tc>
          <w:tcPr>
            <w:tcW w:type="dxa" w:w="1382"/>
            <w:shd w:val="clear" w:color="auto" w:fill="F6F1E6"/>
          </w:tcPr>
          <w:p>
            <w:pPr>
              <w:spacing w:after="20"/>
              <w:jc w:val="right"/>
            </w:pPr>
            <w:r>
              <w:rPr>
                <w:b/>
                <w:color w:val="1C3A36"/>
                <w:sz w:val="16"/>
              </w:rPr>
              <w:t>1,919</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40.5%</w:t>
            </w:r>
          </w:p>
        </w:tc>
        <w:tc>
          <w:tcPr>
            <w:tcW w:type="dxa" w:w="1382"/>
            <w:shd w:val="clear" w:color="auto" w:fill="F6F1E6"/>
          </w:tcPr>
          <w:p>
            <w:pPr>
              <w:spacing w:after="20"/>
              <w:jc w:val="right"/>
            </w:pPr>
            <w:r>
              <w:rPr>
                <w:b/>
                <w:color w:val="1C3A36"/>
                <w:sz w:val="16"/>
              </w:rPr>
              <w:t>40.7%</w:t>
            </w:r>
          </w:p>
        </w:tc>
        <w:tc>
          <w:tcPr>
            <w:tcW w:type="dxa" w:w="1382"/>
            <w:shd w:val="clear" w:color="auto" w:fill="F6F1E6"/>
          </w:tcPr>
          <w:p>
            <w:pPr>
              <w:spacing w:after="20"/>
              <w:jc w:val="right"/>
            </w:pPr>
            <w:r>
              <w:rPr>
                <w:b/>
                <w:color w:val="1C3A36"/>
                <w:sz w:val="16"/>
              </w:rPr>
              <w:t>41.1%</w:t>
            </w:r>
          </w:p>
        </w:tc>
        <w:tc>
          <w:tcPr>
            <w:tcW w:type="dxa" w:w="1382"/>
            <w:shd w:val="clear" w:color="auto" w:fill="F6F1E6"/>
          </w:tcPr>
          <w:p>
            <w:pPr>
              <w:spacing w:after="20"/>
              <w:jc w:val="right"/>
            </w:pPr>
            <w:r>
              <w:rPr>
                <w:b/>
                <w:color w:val="1C3A36"/>
                <w:sz w:val="16"/>
              </w:rPr>
              <w:t>40.4%</w:t>
            </w:r>
          </w:p>
        </w:tc>
        <w:tc>
          <w:tcPr>
            <w:tcW w:type="dxa" w:w="1382"/>
            <w:shd w:val="clear" w:color="auto" w:fill="F6F1E6"/>
          </w:tcPr>
          <w:p>
            <w:pPr>
              <w:spacing w:after="20"/>
              <w:jc w:val="right"/>
            </w:pPr>
            <w:r>
              <w:rPr>
                <w:b/>
                <w:color w:val="1C3A36"/>
                <w:sz w:val="16"/>
              </w:rPr>
              <w:t>39.1%</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40.5% to 39.1% across the forecast — is an output of the changing mix, not a path anyone chose. The margin rises against FY2025's 29.3% mainly because the low-margin chartered-in trading that grossed up FY2025 revenue is not repeated: the first quarter of 2026 showed revenue -8% year on year while earnings rose +7%.</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2,197</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1,120</w:t>
            </w:r>
          </w:p>
        </w:tc>
        <w:tc>
          <w:tcPr>
            <w:tcW w:type="dxa" w:w="1555"/>
          </w:tcPr>
          <w:p>
            <w:pPr>
              <w:spacing w:after="20"/>
              <w:jc w:val="right"/>
            </w:pPr>
            <w:r>
              <w:rPr>
                <w:color w:val="1C3A36"/>
                <w:sz w:val="16"/>
              </w:rPr>
              <w:t>+17%</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71</w:t>
            </w:r>
          </w:p>
        </w:tc>
        <w:tc>
          <w:tcPr>
            <w:tcW w:type="dxa" w:w="1555"/>
          </w:tcPr>
          <w:p>
            <w:pPr>
              <w:spacing w:after="20"/>
              <w:jc w:val="right"/>
            </w:pPr>
            <w:r>
              <w:rPr>
                <w:color w:val="1C3A36"/>
                <w:sz w:val="16"/>
              </w:rPr>
              <w:t>+14%</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4,589</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1,860</w:t>
            </w:r>
          </w:p>
        </w:tc>
        <w:tc>
          <w:tcPr>
            <w:tcW w:type="dxa" w:w="1555"/>
            <w:shd w:val="clear" w:color="auto" w:fill="F6F1E6"/>
          </w:tcPr>
          <w:p>
            <w:pPr>
              <w:spacing w:after="20"/>
              <w:jc w:val="right"/>
            </w:pPr>
            <w:r>
              <w:rPr>
                <w:b/>
                <w:color w:val="1C3A36"/>
                <w:sz w:val="16"/>
              </w:rPr>
              <w:t>+15%</w:t>
            </w:r>
          </w:p>
        </w:tc>
      </w:tr>
    </w:tbl>
    <w:p>
      <w:pPr>
        <w:spacing w:after="40"/>
      </w:pPr>
    </w:p>
    <w:p>
      <w:pPr>
        <w:spacing w:after="200" w:before="0"/>
      </w:pPr>
      <w:r>
        <w:rPr>
          <w:b w:val="0"/>
          <w:i/>
          <w:color w:val="6E7B77"/>
          <w:sz w:val="17"/>
        </w:rPr>
        <w:t>Revenue and earnings in USD million. Guidance is the midpoint of the ranges the company published for the year; the built figures are the output of the unit model in this section.</w:t>
      </w:r>
    </w:p>
    <w:p>
      <w:pPr>
        <w:spacing w:after="120" w:before="0"/>
      </w:pPr>
      <w:r>
        <w:rPr>
          <w:b w:val="0"/>
          <w:i w:val="0"/>
          <w:color w:val="1C3A36"/>
          <w:sz w:val="21"/>
        </w:rPr>
        <w:t>The group gap is +15%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+15% is carried openly through every lens in this study. Note also that the gap runs the other way in Integrated Logistics on revenue, where the build is above guidance on both lines, and is largest in Shipping at +17%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w:t>
      </w:r>
    </w:p>
    <w:p>
      <w:pPr>
        <w:spacing w:after="40"/>
        <w:jc w:val="center"/>
      </w:pPr>
      <w:r>
        <w:drawing>
          <wp:inline xmlns:a="http://schemas.openxmlformats.org/drawingml/2006/main" xmlns:pic="http://schemas.openxmlformats.org/drawingml/2006/picture">
            <wp:extent cx="6400800" cy="3015762"/>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3015762"/>
                    </a:xfrm>
                    <a:prstGeom prst="rect"/>
                  </pic:spPr>
                </pic:pic>
              </a:graphicData>
            </a:graphic>
          </wp:inline>
        </w:drawing>
      </w:r>
    </w:p>
    <w:p>
      <w:pPr>
        <w:spacing w:after="200" w:before="0"/>
      </w:pPr>
      <w:r>
        <w:rPr>
          <w:b w:val="0"/>
          <w:i/>
          <w:color w:val="6E7B77"/>
          <w:sz w:val="17"/>
        </w:rPr>
        <w:t>Figure 3 — the crux made visible. Time-charter equivalent per vessel per day by class, by quarter, on a logarithmic scale. The last two points are the first quarter of 2026 as reported and the second quarter as indicated by the company; the dotted lines are the mid-cycle rates this study's base case reverts to; the dash-dotted line is an independent one-year charter fixed by a listed owner in early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864"/>
        <w:gridCol w:w="893"/>
        <w:gridCol w:w="1123"/>
        <w:gridCol w:w="1123"/>
        <w:gridCol w:w="1066"/>
        <w:gridCol w:w="1066"/>
        <w:gridCol w:w="2016"/>
      </w:tblGrid>
      <w:tr>
        <w:trPr>
          <w:cantSplit/>
          <w:tblHeader/>
        </w:trPr>
        <w:tc>
          <w:tcPr>
            <w:tcW w:type="dxa" w:w="1930"/>
            <w:shd w:val="clear" w:color="auto" w:fill="EAF0EE"/>
          </w:tcPr>
          <w:p>
            <w:pPr>
              <w:spacing w:after="20"/>
            </w:pPr>
            <w:r>
              <w:rPr>
                <w:b/>
                <w:color w:val="1C3A36"/>
                <w:sz w:val="16"/>
              </w:rPr>
              <w:t>Class</w:t>
            </w:r>
          </w:p>
        </w:tc>
        <w:tc>
          <w:tcPr>
            <w:tcW w:type="dxa" w:w="864"/>
            <w:shd w:val="clear" w:color="auto" w:fill="EAF0EE"/>
          </w:tcPr>
          <w:p>
            <w:pPr>
              <w:spacing w:after="20"/>
            </w:pPr>
            <w:r>
              <w:rPr>
                <w:b/>
                <w:color w:val="1C3A36"/>
                <w:sz w:val="16"/>
              </w:rPr>
              <w:t>Owned</w:t>
            </w:r>
          </w:p>
        </w:tc>
        <w:tc>
          <w:tcPr>
            <w:tcW w:type="dxa" w:w="893"/>
            <w:shd w:val="clear" w:color="auto" w:fill="EAF0EE"/>
          </w:tcPr>
          <w:p>
            <w:pPr>
              <w:spacing w:after="20"/>
            </w:pPr>
            <w:r>
              <w:rPr>
                <w:b/>
                <w:color w:val="1C3A36"/>
                <w:sz w:val="16"/>
              </w:rPr>
              <w:t>At spot</w:t>
            </w:r>
          </w:p>
        </w:tc>
        <w:tc>
          <w:tcPr>
            <w:tcW w:type="dxa" w:w="1123"/>
            <w:shd w:val="clear" w:color="auto" w:fill="EAF0EE"/>
          </w:tcPr>
          <w:p>
            <w:pPr>
              <w:spacing w:after="20"/>
            </w:pPr>
            <w:r>
              <w:rPr>
                <w:b/>
                <w:color w:val="1C3A36"/>
                <w:sz w:val="16"/>
              </w:rPr>
              <w:t>FY2024 avg</w:t>
            </w:r>
          </w:p>
        </w:tc>
        <w:tc>
          <w:tcPr>
            <w:tcW w:type="dxa" w:w="1123"/>
            <w:shd w:val="clear" w:color="auto" w:fill="EAF0EE"/>
          </w:tcPr>
          <w:p>
            <w:pPr>
              <w:spacing w:after="20"/>
            </w:pPr>
            <w:r>
              <w:rPr>
                <w:b/>
                <w:color w:val="1C3A36"/>
                <w:sz w:val="16"/>
              </w:rPr>
              <w:t>FY2025 avg</w:t>
            </w:r>
          </w:p>
        </w:tc>
        <w:tc>
          <w:tcPr>
            <w:tcW w:type="dxa" w:w="1066"/>
            <w:shd w:val="clear" w:color="auto" w:fill="EAF0EE"/>
          </w:tcPr>
          <w:p>
            <w:pPr>
              <w:spacing w:after="20"/>
            </w:pPr>
            <w:r>
              <w:rPr>
                <w:b/>
                <w:color w:val="1C3A36"/>
                <w:sz w:val="16"/>
              </w:rPr>
              <w:t>2026 Q1</w:t>
            </w:r>
          </w:p>
        </w:tc>
        <w:tc>
          <w:tcPr>
            <w:tcW w:type="dxa" w:w="1066"/>
            <w:shd w:val="clear" w:color="auto" w:fill="EAF0EE"/>
          </w:tcPr>
          <w:p>
            <w:pPr>
              <w:spacing w:after="20"/>
            </w:pPr>
            <w:r>
              <w:rPr>
                <w:b/>
                <w:color w:val="1C3A36"/>
                <w:sz w:val="16"/>
              </w:rPr>
              <w:t>2026 Q2</w:t>
            </w:r>
          </w:p>
        </w:tc>
        <w:tc>
          <w:tcPr>
            <w:tcW w:type="dxa" w:w="2016"/>
            <w:shd w:val="clear" w:color="auto" w:fill="EAF0EE"/>
          </w:tcPr>
          <w:p>
            <w:pPr>
              <w:spacing w:after="20"/>
            </w:pPr>
            <w:r>
              <w:rPr>
                <w:b/>
                <w:color w:val="1C3A36"/>
                <w:sz w:val="16"/>
              </w:rPr>
              <w:t>Mid-cycle anchor used</w:t>
            </w:r>
          </w:p>
        </w:tc>
      </w:tr>
      <w:tr>
        <w:trPr>
          <w:cantSplit/>
        </w:trPr>
        <w:tc>
          <w:tcPr>
            <w:tcW w:type="dxa" w:w="1930"/>
          </w:tcPr>
          <w:p>
            <w:pPr>
              <w:spacing w:after="20"/>
            </w:pPr>
            <w:r>
              <w:rPr>
                <w:color w:val="1C3A36"/>
                <w:sz w:val="16"/>
              </w:rPr>
              <w:t>Very large crude carriers</w:t>
            </w:r>
          </w:p>
        </w:tc>
        <w:tc>
          <w:tcPr>
            <w:tcW w:type="dxa" w:w="864"/>
          </w:tcPr>
          <w:p>
            <w:pPr>
              <w:spacing w:after="20"/>
              <w:jc w:val="right"/>
            </w:pPr>
            <w:r>
              <w:rPr>
                <w:color w:val="1C3A36"/>
                <w:sz w:val="16"/>
              </w:rPr>
              <w:t>9</w:t>
            </w:r>
          </w:p>
        </w:tc>
        <w:tc>
          <w:tcPr>
            <w:tcW w:type="dxa" w:w="893"/>
          </w:tcPr>
          <w:p>
            <w:pPr>
              <w:spacing w:after="20"/>
              <w:jc w:val="right"/>
            </w:pPr>
            <w:r>
              <w:rPr>
                <w:color w:val="1C3A36"/>
                <w:sz w:val="16"/>
              </w:rPr>
              <w:t>7</w:t>
            </w:r>
          </w:p>
        </w:tc>
        <w:tc>
          <w:tcPr>
            <w:tcW w:type="dxa" w:w="1123"/>
          </w:tcPr>
          <w:p>
            <w:pPr>
              <w:spacing w:after="20"/>
              <w:jc w:val="right"/>
            </w:pPr>
            <w:r>
              <w:rPr>
                <w:color w:val="1C3A36"/>
                <w:sz w:val="16"/>
              </w:rPr>
              <w:t>43,381</w:t>
            </w:r>
          </w:p>
        </w:tc>
        <w:tc>
          <w:tcPr>
            <w:tcW w:type="dxa" w:w="1123"/>
          </w:tcPr>
          <w:p>
            <w:pPr>
              <w:spacing w:after="20"/>
              <w:jc w:val="right"/>
            </w:pPr>
            <w:r>
              <w:rPr>
                <w:color w:val="1C3A36"/>
                <w:sz w:val="16"/>
              </w:rPr>
              <w:t>52,466</w:t>
            </w:r>
          </w:p>
        </w:tc>
        <w:tc>
          <w:tcPr>
            <w:tcW w:type="dxa" w:w="1066"/>
          </w:tcPr>
          <w:p>
            <w:pPr>
              <w:spacing w:after="20"/>
              <w:jc w:val="right"/>
            </w:pPr>
            <w:r>
              <w:rPr>
                <w:color w:val="1C3A36"/>
                <w:sz w:val="16"/>
              </w:rPr>
              <w:t>145,000</w:t>
            </w:r>
          </w:p>
        </w:tc>
        <w:tc>
          <w:tcPr>
            <w:tcW w:type="dxa" w:w="1066"/>
          </w:tcPr>
          <w:p>
            <w:pPr>
              <w:spacing w:after="20"/>
              <w:jc w:val="right"/>
            </w:pPr>
            <w:r>
              <w:rPr>
                <w:color w:val="1C3A36"/>
                <w:sz w:val="16"/>
              </w:rPr>
              <w:t>260,000</w:t>
            </w:r>
          </w:p>
        </w:tc>
        <w:tc>
          <w:tcPr>
            <w:tcW w:type="dxa" w:w="2016"/>
          </w:tcPr>
          <w:p>
            <w:pPr>
              <w:spacing w:after="20"/>
              <w:jc w:val="right"/>
            </w:pPr>
            <w:r>
              <w:rPr>
                <w:color w:val="1C3A36"/>
                <w:sz w:val="16"/>
              </w:rPr>
              <w:t>47,924</w:t>
            </w:r>
          </w:p>
        </w:tc>
      </w:tr>
      <w:tr>
        <w:trPr>
          <w:cantSplit/>
        </w:trPr>
        <w:tc>
          <w:tcPr>
            <w:tcW w:type="dxa" w:w="1930"/>
          </w:tcPr>
          <w:p>
            <w:pPr>
              <w:spacing w:after="20"/>
            </w:pPr>
            <w:r>
              <w:rPr>
                <w:color w:val="1C3A36"/>
                <w:sz w:val="16"/>
              </w:rPr>
              <w:t>Long range 2</w:t>
            </w:r>
          </w:p>
        </w:tc>
        <w:tc>
          <w:tcPr>
            <w:tcW w:type="dxa" w:w="864"/>
          </w:tcPr>
          <w:p>
            <w:pPr>
              <w:spacing w:after="20"/>
              <w:jc w:val="right"/>
            </w:pPr>
            <w:r>
              <w:rPr>
                <w:color w:val="1C3A36"/>
                <w:sz w:val="16"/>
              </w:rPr>
              <w:t>17</w:t>
            </w:r>
          </w:p>
        </w:tc>
        <w:tc>
          <w:tcPr>
            <w:tcW w:type="dxa" w:w="893"/>
          </w:tcPr>
          <w:p>
            <w:pPr>
              <w:spacing w:after="20"/>
              <w:jc w:val="right"/>
            </w:pPr>
            <w:r>
              <w:rPr>
                <w:color w:val="1C3A36"/>
                <w:sz w:val="16"/>
              </w:rPr>
              <w:t>13</w:t>
            </w:r>
          </w:p>
        </w:tc>
        <w:tc>
          <w:tcPr>
            <w:tcW w:type="dxa" w:w="1123"/>
          </w:tcPr>
          <w:p>
            <w:pPr>
              <w:spacing w:after="20"/>
              <w:jc w:val="right"/>
            </w:pPr>
            <w:r>
              <w:rPr>
                <w:color w:val="1C3A36"/>
                <w:sz w:val="16"/>
              </w:rPr>
              <w:t>48,011</w:t>
            </w:r>
          </w:p>
        </w:tc>
        <w:tc>
          <w:tcPr>
            <w:tcW w:type="dxa" w:w="1123"/>
          </w:tcPr>
          <w:p>
            <w:pPr>
              <w:spacing w:after="20"/>
              <w:jc w:val="right"/>
            </w:pPr>
            <w:r>
              <w:rPr>
                <w:color w:val="1C3A36"/>
                <w:sz w:val="16"/>
              </w:rPr>
              <w:t>35,737</w:t>
            </w:r>
          </w:p>
        </w:tc>
        <w:tc>
          <w:tcPr>
            <w:tcW w:type="dxa" w:w="1066"/>
          </w:tcPr>
          <w:p>
            <w:pPr>
              <w:spacing w:after="20"/>
              <w:jc w:val="right"/>
            </w:pPr>
            <w:r>
              <w:rPr>
                <w:color w:val="1C3A36"/>
                <w:sz w:val="16"/>
              </w:rPr>
              <w:t>58,000</w:t>
            </w:r>
          </w:p>
        </w:tc>
        <w:tc>
          <w:tcPr>
            <w:tcW w:type="dxa" w:w="1066"/>
          </w:tcPr>
          <w:p>
            <w:pPr>
              <w:spacing w:after="20"/>
              <w:jc w:val="right"/>
            </w:pPr>
            <w:r>
              <w:rPr>
                <w:color w:val="1C3A36"/>
                <w:sz w:val="16"/>
              </w:rPr>
              <w:t>95,000</w:t>
            </w:r>
          </w:p>
        </w:tc>
        <w:tc>
          <w:tcPr>
            <w:tcW w:type="dxa" w:w="2016"/>
          </w:tcPr>
          <w:p>
            <w:pPr>
              <w:spacing w:after="20"/>
              <w:jc w:val="right"/>
            </w:pPr>
            <w:r>
              <w:rPr>
                <w:color w:val="1C3A36"/>
                <w:sz w:val="16"/>
              </w:rPr>
              <w:t>41,874</w:t>
            </w:r>
          </w:p>
        </w:tc>
      </w:tr>
      <w:tr>
        <w:trPr>
          <w:cantSplit/>
        </w:trPr>
        <w:tc>
          <w:tcPr>
            <w:tcW w:type="dxa" w:w="1930"/>
          </w:tcPr>
          <w:p>
            <w:pPr>
              <w:spacing w:after="20"/>
            </w:pPr>
            <w:r>
              <w:rPr>
                <w:color w:val="1C3A36"/>
                <w:sz w:val="16"/>
              </w:rPr>
              <w:t>Long range 1</w:t>
            </w:r>
          </w:p>
        </w:tc>
        <w:tc>
          <w:tcPr>
            <w:tcW w:type="dxa" w:w="864"/>
          </w:tcPr>
          <w:p>
            <w:pPr>
              <w:spacing w:after="20"/>
              <w:jc w:val="right"/>
            </w:pPr>
            <w:r>
              <w:rPr>
                <w:color w:val="1C3A36"/>
                <w:sz w:val="16"/>
              </w:rPr>
              <w:t>9</w:t>
            </w:r>
          </w:p>
        </w:tc>
        <w:tc>
          <w:tcPr>
            <w:tcW w:type="dxa" w:w="893"/>
          </w:tcPr>
          <w:p>
            <w:pPr>
              <w:spacing w:after="20"/>
              <w:jc w:val="right"/>
            </w:pPr>
            <w:r>
              <w:rPr>
                <w:color w:val="1C3A36"/>
                <w:sz w:val="16"/>
              </w:rPr>
              <w:t>7</w:t>
            </w:r>
          </w:p>
        </w:tc>
        <w:tc>
          <w:tcPr>
            <w:tcW w:type="dxa" w:w="1123"/>
          </w:tcPr>
          <w:p>
            <w:pPr>
              <w:spacing w:after="20"/>
              <w:jc w:val="right"/>
            </w:pPr>
            <w:r>
              <w:rPr>
                <w:color w:val="1C3A36"/>
                <w:sz w:val="16"/>
              </w:rPr>
              <w:t>40,155</w:t>
            </w:r>
          </w:p>
        </w:tc>
        <w:tc>
          <w:tcPr>
            <w:tcW w:type="dxa" w:w="1123"/>
          </w:tcPr>
          <w:p>
            <w:pPr>
              <w:spacing w:after="20"/>
              <w:jc w:val="right"/>
            </w:pPr>
            <w:r>
              <w:rPr>
                <w:color w:val="1C3A36"/>
                <w:sz w:val="16"/>
              </w:rPr>
              <w:t>24,199</w:t>
            </w:r>
          </w:p>
        </w:tc>
        <w:tc>
          <w:tcPr>
            <w:tcW w:type="dxa" w:w="1066"/>
          </w:tcPr>
          <w:p>
            <w:pPr>
              <w:spacing w:after="20"/>
              <w:jc w:val="right"/>
            </w:pPr>
            <w:r>
              <w:rPr>
                <w:color w:val="1C3A36"/>
                <w:sz w:val="16"/>
              </w:rPr>
              <w:t>36,000</w:t>
            </w:r>
          </w:p>
        </w:tc>
        <w:tc>
          <w:tcPr>
            <w:tcW w:type="dxa" w:w="1066"/>
          </w:tcPr>
          <w:p>
            <w:pPr>
              <w:spacing w:after="20"/>
              <w:jc w:val="right"/>
            </w:pPr>
            <w:r>
              <w:rPr>
                <w:color w:val="1C3A36"/>
                <w:sz w:val="16"/>
              </w:rPr>
              <w:t>55,000</w:t>
            </w:r>
          </w:p>
        </w:tc>
        <w:tc>
          <w:tcPr>
            <w:tcW w:type="dxa" w:w="2016"/>
          </w:tcPr>
          <w:p>
            <w:pPr>
              <w:spacing w:after="20"/>
              <w:jc w:val="right"/>
            </w:pPr>
            <w:r>
              <w:rPr>
                <w:color w:val="1C3A36"/>
                <w:sz w:val="16"/>
              </w:rPr>
              <w:t>32,177</w:t>
            </w:r>
          </w:p>
        </w:tc>
      </w:tr>
      <w:tr>
        <w:trPr>
          <w:cantSplit/>
        </w:trPr>
        <w:tc>
          <w:tcPr>
            <w:tcW w:type="dxa" w:w="1930"/>
          </w:tcPr>
          <w:p>
            <w:pPr>
              <w:spacing w:after="20"/>
            </w:pPr>
            <w:r>
              <w:rPr>
                <w:color w:val="1C3A36"/>
                <w:sz w:val="16"/>
              </w:rPr>
              <w:t>Medium range</w:t>
            </w:r>
          </w:p>
        </w:tc>
        <w:tc>
          <w:tcPr>
            <w:tcW w:type="dxa" w:w="864"/>
          </w:tcPr>
          <w:p>
            <w:pPr>
              <w:spacing w:after="20"/>
              <w:jc w:val="right"/>
            </w:pPr>
            <w:r>
              <w:rPr>
                <w:color w:val="1C3A36"/>
                <w:sz w:val="16"/>
              </w:rPr>
              <w:t>16</w:t>
            </w:r>
          </w:p>
        </w:tc>
        <w:tc>
          <w:tcPr>
            <w:tcW w:type="dxa" w:w="893"/>
          </w:tcPr>
          <w:p>
            <w:pPr>
              <w:spacing w:after="20"/>
              <w:jc w:val="right"/>
            </w:pPr>
            <w:r>
              <w:rPr>
                <w:color w:val="1C3A36"/>
                <w:sz w:val="16"/>
              </w:rPr>
              <w:t>16</w:t>
            </w:r>
          </w:p>
        </w:tc>
        <w:tc>
          <w:tcPr>
            <w:tcW w:type="dxa" w:w="1123"/>
          </w:tcPr>
          <w:p>
            <w:pPr>
              <w:spacing w:after="20"/>
              <w:jc w:val="right"/>
            </w:pPr>
            <w:r>
              <w:rPr>
                <w:color w:val="1C3A36"/>
                <w:sz w:val="16"/>
              </w:rPr>
              <w:t>24,140</w:t>
            </w:r>
          </w:p>
        </w:tc>
        <w:tc>
          <w:tcPr>
            <w:tcW w:type="dxa" w:w="1123"/>
          </w:tcPr>
          <w:p>
            <w:pPr>
              <w:spacing w:after="20"/>
              <w:jc w:val="right"/>
            </w:pPr>
            <w:r>
              <w:rPr>
                <w:color w:val="1C3A36"/>
                <w:sz w:val="16"/>
              </w:rPr>
              <w:t>24,140</w:t>
            </w:r>
          </w:p>
        </w:tc>
        <w:tc>
          <w:tcPr>
            <w:tcW w:type="dxa" w:w="1066"/>
          </w:tcPr>
          <w:p>
            <w:pPr>
              <w:spacing w:after="20"/>
              <w:jc w:val="right"/>
            </w:pPr>
            <w:r>
              <w:rPr>
                <w:color w:val="1C3A36"/>
                <w:sz w:val="16"/>
              </w:rPr>
              <w:t>30,000</w:t>
            </w:r>
          </w:p>
        </w:tc>
        <w:tc>
          <w:tcPr>
            <w:tcW w:type="dxa" w:w="1066"/>
          </w:tcPr>
          <w:p>
            <w:pPr>
              <w:spacing w:after="20"/>
              <w:jc w:val="right"/>
            </w:pPr>
            <w:r>
              <w:rPr>
                <w:color w:val="1C3A36"/>
                <w:sz w:val="16"/>
              </w:rPr>
              <w:t>44,000</w:t>
            </w:r>
          </w:p>
        </w:tc>
        <w:tc>
          <w:tcPr>
            <w:tcW w:type="dxa" w:w="2016"/>
          </w:tcPr>
          <w:p>
            <w:pPr>
              <w:spacing w:after="20"/>
              <w:jc w:val="right"/>
            </w:pPr>
            <w:r>
              <w:rPr>
                <w:color w:val="1C3A36"/>
                <w:sz w:val="16"/>
              </w:rPr>
              <w:t>24,140</w:t>
            </w:r>
          </w:p>
        </w:tc>
      </w:tr>
      <w:tr>
        <w:trPr>
          <w:cantSplit/>
        </w:trPr>
        <w:tc>
          <w:tcPr>
            <w:tcW w:type="dxa" w:w="1930"/>
          </w:tcPr>
          <w:p>
            <w:pPr>
              <w:spacing w:after="20"/>
            </w:pPr>
            <w:r>
              <w:rPr>
                <w:color w:val="1C3A36"/>
                <w:sz w:val="16"/>
              </w:rPr>
              <w:t>Handysize</w:t>
            </w:r>
          </w:p>
        </w:tc>
        <w:tc>
          <w:tcPr>
            <w:tcW w:type="dxa" w:w="864"/>
          </w:tcPr>
          <w:p>
            <w:pPr>
              <w:spacing w:after="20"/>
              <w:jc w:val="right"/>
            </w:pPr>
            <w:r>
              <w:rPr>
                <w:color w:val="1C3A36"/>
                <w:sz w:val="16"/>
              </w:rPr>
              <w:t>2</w:t>
            </w:r>
          </w:p>
        </w:tc>
        <w:tc>
          <w:tcPr>
            <w:tcW w:type="dxa" w:w="893"/>
          </w:tcPr>
          <w:p>
            <w:pPr>
              <w:spacing w:after="20"/>
              <w:jc w:val="right"/>
            </w:pPr>
            <w:r>
              <w:rPr>
                <w:color w:val="1C3A36"/>
                <w:sz w:val="16"/>
              </w:rPr>
              <w:t>2</w:t>
            </w:r>
          </w:p>
        </w:tc>
        <w:tc>
          <w:tcPr>
            <w:tcW w:type="dxa" w:w="1123"/>
          </w:tcPr>
          <w:p>
            <w:pPr>
              <w:spacing w:after="20"/>
              <w:jc w:val="right"/>
            </w:pPr>
            <w:r>
              <w:rPr>
                <w:color w:val="1C3A36"/>
                <w:sz w:val="16"/>
              </w:rPr>
              <w:t>24,140</w:t>
            </w:r>
          </w:p>
        </w:tc>
        <w:tc>
          <w:tcPr>
            <w:tcW w:type="dxa" w:w="1123"/>
          </w:tcPr>
          <w:p>
            <w:pPr>
              <w:spacing w:after="20"/>
              <w:jc w:val="right"/>
            </w:pPr>
            <w:r>
              <w:rPr>
                <w:color w:val="1C3A36"/>
                <w:sz w:val="16"/>
              </w:rPr>
              <w:t>24,140</w:t>
            </w:r>
          </w:p>
        </w:tc>
        <w:tc>
          <w:tcPr>
            <w:tcW w:type="dxa" w:w="1066"/>
          </w:tcPr>
          <w:p>
            <w:pPr>
              <w:spacing w:after="20"/>
              <w:jc w:val="right"/>
            </w:pPr>
            <w:r>
              <w:rPr>
                <w:color w:val="1C3A36"/>
                <w:sz w:val="16"/>
              </w:rPr>
              <w:t>30,000</w:t>
            </w:r>
          </w:p>
        </w:tc>
        <w:tc>
          <w:tcPr>
            <w:tcW w:type="dxa" w:w="1066"/>
          </w:tcPr>
          <w:p>
            <w:pPr>
              <w:spacing w:after="20"/>
              <w:jc w:val="right"/>
            </w:pPr>
            <w:r>
              <w:rPr>
                <w:color w:val="1C3A36"/>
                <w:sz w:val="16"/>
              </w:rPr>
              <w:t>44,000</w:t>
            </w:r>
          </w:p>
        </w:tc>
        <w:tc>
          <w:tcPr>
            <w:tcW w:type="dxa" w:w="2016"/>
          </w:tcPr>
          <w:p>
            <w:pPr>
              <w:spacing w:after="20"/>
              <w:jc w:val="right"/>
            </w:pPr>
            <w:r>
              <w:rPr>
                <w:color w:val="1C3A36"/>
                <w:sz w:val="16"/>
              </w:rPr>
              <w:t>24,140</w:t>
            </w:r>
          </w:p>
        </w:tc>
      </w:tr>
    </w:tbl>
    <w:p>
      <w:pPr>
        <w:spacing w:after="40"/>
      </w:pPr>
    </w:p>
    <w:p>
      <w:pPr>
        <w:spacing w:after="200" w:before="0"/>
      </w:pPr>
      <w:r>
        <w:rPr>
          <w:b w:val="0"/>
          <w:i/>
          <w:color w:val="6E7B77"/>
          <w:sz w:val="17"/>
        </w:rPr>
        <w:t>US dollars per vessel per day. Quarterly rates for the medium-range class are not disclosed for FY2024, so the FY2025 average stands in; the handysize vessels are not broken out at all and are carried at the medium-range rate. Both substitutions are flagged rather than hidden, and both are immaterial: the two classes together are 18 of 53 vessels and the smallest earners. The mid-cycle anchor is the average of the FY2024 and FY2025 outcomes, which is what the base case reverts to over four years from 2027E.</w:t>
      </w:r>
    </w:p>
    <w:p>
      <w:pPr>
        <w:spacing w:after="120" w:before="0"/>
      </w:pPr>
      <w:r>
        <w:rPr>
          <w:b w:val="0"/>
          <w:i w:val="0"/>
          <w:color w:val="1C3A36"/>
          <w:sz w:val="21"/>
        </w:rPr>
        <w:t>The scale of the move is easiest to see in the largest class. Very large crude carriers averaged USD 43,381 a day in FY2024 and USD 52,466 in FY2025; the company reported USD 145,000 for the first quarter of 2026 and indicated USD 260,000 for the second — roughly 5.4 times the mid-cycle anchor this study reverts to. Against 56 vessels at spot and the company's own disclosure that USD 1,000 a day is worth USD 20 million of annual earnings, the difference between today's rate and the mid-cycle anchor is worth well over a billion dollars a year of earnings. That is why this one judgement dominates.</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fleet went on to earn USD 145,000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very large crude carrier rate from USD 150,616 in 2026E down to USD 47,924 by 2030E, a straight glide to the FY2024-FY2025 average. It crosses the one-year charter rate above in 2027E-2028E, which is to say it is broadly consistent with what the forward market was willing to pay</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10.22 a share against the base case's AED 8.40.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Moving the mid-cycle rate anchor across the whole tested range, from 80.0% to 120.0% of the base, moves fair value by AED 2.43 a share. Changing the beta from the share's own 0.705 to an asset-risk one moves it by AED 2.24 — the same order of magnitude, so the two published constructions of the discount rate differ by about as much as the whole operating crux. Widen the beta to the range actually tested in section 1.9, 0.50 to 1.20, and it moves fair value by AED 5.78, which is 2.4 times the rate anchor and the widest single sensitivity in the study. That a discount-rate input rivals and then exceeds the operating question is uncomfortable for a valuation, and it is stated rather than buried. It is also the reason both constructions are published and neither is averaged.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3.25%</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0.705</w:t>
            </w:r>
          </w:p>
        </w:tc>
        <w:tc>
          <w:tcPr>
            <w:tcW w:type="dxa" w:w="1037"/>
          </w:tcPr>
          <w:p>
            <w:pPr>
              <w:spacing w:after="20"/>
              <w:jc w:val="right"/>
            </w:pPr>
            <w:r>
              <w:rPr>
                <w:color w:val="1C3A36"/>
                <w:sz w:val="16"/>
              </w:rPr>
              <w:t>0.705</w:t>
            </w:r>
          </w:p>
        </w:tc>
        <w:tc>
          <w:tcPr>
            <w:tcW w:type="dxa" w:w="5371"/>
          </w:tcPr>
          <w:p>
            <w:pPr>
              <w:spacing w:after="20"/>
              <w:jc w:val="left"/>
            </w:pPr>
            <w:r>
              <w:rPr>
                <w:color w:val="1C3A36"/>
                <w:sz w:val="16"/>
              </w:rPr>
              <w:t>own-stock weekly regression against an equal-weight index of Abu Dhabi names over the full listed history: n = 163, R-squared 0.172, standard error 0.122, 90% interval [0.50, 0.90]. The asset-risk alternative of one is priced in full above and again below</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7.49%</w:t>
            </w:r>
          </w:p>
        </w:tc>
        <w:tc>
          <w:tcPr>
            <w:tcW w:type="dxa" w:w="1037"/>
            <w:shd w:val="clear" w:color="auto" w:fill="F6F1E6"/>
          </w:tcPr>
          <w:p>
            <w:pPr>
              <w:spacing w:after="20"/>
              <w:jc w:val="right"/>
            </w:pPr>
            <w:r>
              <w:rPr>
                <w:b/>
                <w:color w:val="1C3A36"/>
                <w:sz w:val="16"/>
              </w:rPr>
              <w:t>6.68%</w:t>
            </w:r>
          </w:p>
        </w:tc>
        <w:tc>
          <w:tcPr>
            <w:tcW w:type="dxa" w:w="5371"/>
            <w:shd w:val="clear" w:color="auto" w:fill="F6F1E6"/>
          </w:tcPr>
          <w:p>
            <w:pPr>
              <w:spacing w:after="20"/>
              <w:jc w:val="left"/>
            </w:pPr>
            <w:r>
              <w:rPr>
                <w:b/>
                <w:color w:val="1C3A36"/>
                <w:sz w:val="16"/>
              </w:rPr>
              <w:t>adjusted risk-free rate plus beta times the premium. At a beta of one it would be 8.93%</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5.82%</w:t>
            </w:r>
          </w:p>
        </w:tc>
        <w:tc>
          <w:tcPr>
            <w:tcW w:type="dxa" w:w="1037"/>
          </w:tcPr>
          <w:p>
            <w:pPr>
              <w:spacing w:after="20"/>
              <w:jc w:val="right"/>
            </w:pPr>
            <w:r>
              <w:rPr>
                <w:color w:val="1C3A36"/>
                <w:sz w:val="16"/>
              </w:rPr>
              <w:t>5.01%</w:t>
            </w:r>
          </w:p>
        </w:tc>
        <w:tc>
          <w:tcPr>
            <w:tcW w:type="dxa" w:w="5371"/>
          </w:tcPr>
          <w:p>
            <w:pPr>
              <w:spacing w:after="20"/>
              <w:jc w:val="left"/>
            </w:pPr>
            <w:r>
              <w:rPr>
                <w:color w:val="1C3A36"/>
                <w:sz w:val="16"/>
              </w:rPr>
              <w:t>a weighted read of six disclosed instruments — the evidence table follows</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5.30%</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w:t>
            </w:r>
          </w:p>
        </w:tc>
      </w:tr>
      <w:tr>
        <w:trPr>
          <w:cantSplit/>
        </w:trPr>
        <w:tc>
          <w:tcPr>
            <w:tcW w:type="dxa" w:w="2232"/>
          </w:tcPr>
          <w:p>
            <w:pPr>
              <w:spacing w:after="20"/>
            </w:pPr>
            <w:r>
              <w:rPr>
                <w:color w:val="1C3A36"/>
                <w:sz w:val="16"/>
              </w:rPr>
              <w:t>Equity weight</w:t>
            </w:r>
          </w:p>
        </w:tc>
        <w:tc>
          <w:tcPr>
            <w:tcW w:type="dxa" w:w="1440"/>
          </w:tcPr>
          <w:p>
            <w:pPr>
              <w:spacing w:after="20"/>
              <w:jc w:val="right"/>
            </w:pPr>
            <w:r>
              <w:rPr>
                <w:color w:val="1C3A36"/>
                <w:sz w:val="16"/>
              </w:rPr>
              <w:t>91.8%</w:t>
            </w:r>
          </w:p>
        </w:tc>
        <w:tc>
          <w:tcPr>
            <w:tcW w:type="dxa" w:w="1037"/>
          </w:tcPr>
          <w:p>
            <w:pPr>
              <w:spacing w:after="20"/>
              <w:jc w:val="right"/>
            </w:pPr>
            <w:r>
              <w:rPr>
                <w:color w:val="1C3A36"/>
                <w:sz w:val="16"/>
              </w:rPr>
              <w:t>91.8%</w:t>
            </w:r>
          </w:p>
        </w:tc>
        <w:tc>
          <w:tcPr>
            <w:tcW w:type="dxa" w:w="5371"/>
          </w:tcPr>
          <w:p>
            <w:pPr>
              <w:spacing w:after="20"/>
              <w:jc w:val="left"/>
            </w:pPr>
            <w:r>
              <w:rPr>
                <w:color w:val="1C3A36"/>
                <w:sz w:val="16"/>
              </w:rPr>
              <w:t>market capitalisation of USD 12,410 million against gross debt of USD 1,115 million. Market-value weights throughout; book equity is never used</w:t>
            </w:r>
          </w:p>
        </w:tc>
      </w:tr>
      <w:tr>
        <w:trPr>
          <w:cantSplit/>
        </w:trPr>
        <w:tc>
          <w:tcPr>
            <w:tcW w:type="dxa" w:w="2232"/>
          </w:tcPr>
          <w:p>
            <w:pPr>
              <w:spacing w:after="20"/>
            </w:pPr>
            <w:r>
              <w:rPr>
                <w:color w:val="1C3A36"/>
                <w:sz w:val="16"/>
              </w:rPr>
              <w:t>Debt weight</w:t>
            </w:r>
          </w:p>
        </w:tc>
        <w:tc>
          <w:tcPr>
            <w:tcW w:type="dxa" w:w="1440"/>
          </w:tcPr>
          <w:p>
            <w:pPr>
              <w:spacing w:after="20"/>
              <w:jc w:val="right"/>
            </w:pPr>
            <w:r>
              <w:rPr>
                <w:color w:val="1C3A36"/>
                <w:sz w:val="16"/>
              </w:rPr>
              <w:t>8.2%</w:t>
            </w:r>
          </w:p>
        </w:tc>
        <w:tc>
          <w:tcPr>
            <w:tcW w:type="dxa" w:w="1037"/>
          </w:tcPr>
          <w:p>
            <w:pPr>
              <w:spacing w:after="20"/>
              <w:jc w:val="right"/>
            </w:pPr>
            <w:r>
              <w:rPr>
                <w:color w:val="1C3A36"/>
                <w:sz w:val="16"/>
              </w:rPr>
              <w:t>8.2%</w:t>
            </w:r>
          </w:p>
        </w:tc>
        <w:tc>
          <w:tcPr>
            <w:tcW w:type="dxa" w:w="5371"/>
          </w:tcPr>
          <w:p>
            <w:pPr>
              <w:spacing w:after="20"/>
              <w:jc w:val="left"/>
            </w:pPr>
            <w:r>
              <w:rPr>
                <w:color w:val="1C3A36"/>
                <w:sz w:val="16"/>
              </w:rPr>
            </w:r>
          </w:p>
        </w:tc>
      </w:tr>
      <w:tr>
        <w:trPr>
          <w:cantSplit/>
        </w:trPr>
        <w:tc>
          <w:tcPr>
            <w:tcW w:type="dxa" w:w="2232"/>
            <w:shd w:val="clear" w:color="auto" w:fill="F6F1E6"/>
          </w:tcPr>
          <w:p>
            <w:pPr>
              <w:spacing w:after="20"/>
            </w:pPr>
            <w:r>
              <w:rPr>
                <w:b/>
                <w:color w:val="1C3A36"/>
                <w:sz w:val="16"/>
              </w:rPr>
              <w:t>Cost of capital</w:t>
            </w:r>
          </w:p>
        </w:tc>
        <w:tc>
          <w:tcPr>
            <w:tcW w:type="dxa" w:w="1440"/>
            <w:shd w:val="clear" w:color="auto" w:fill="F6F1E6"/>
          </w:tcPr>
          <w:p>
            <w:pPr>
              <w:spacing w:after="20"/>
              <w:jc w:val="right"/>
            </w:pPr>
            <w:r>
              <w:rPr>
                <w:b/>
                <w:color w:val="1C3A36"/>
                <w:sz w:val="16"/>
              </w:rPr>
              <w:t>7.31%</w:t>
            </w:r>
          </w:p>
        </w:tc>
        <w:tc>
          <w:tcPr>
            <w:tcW w:type="dxa" w:w="1037"/>
            <w:shd w:val="clear" w:color="auto" w:fill="F6F1E6"/>
          </w:tcPr>
          <w:p>
            <w:pPr>
              <w:spacing w:after="20"/>
              <w:jc w:val="right"/>
            </w:pPr>
            <w:r>
              <w:rPr>
                <w:b/>
                <w:color w:val="1C3A36"/>
                <w:sz w:val="16"/>
              </w:rPr>
              <w:t>6.51%</w:t>
            </w:r>
          </w:p>
        </w:tc>
        <w:tc>
          <w:tcPr>
            <w:tcW w:type="dxa" w:w="5371"/>
            <w:shd w:val="clear" w:color="auto" w:fill="F6F1E6"/>
          </w:tcPr>
          <w:p>
            <w:pPr>
              <w:spacing w:after="20"/>
              <w:jc w:val="left"/>
            </w:pPr>
            <w:r>
              <w:rPr>
                <w:b/>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7.15% · 6.99% · 6.83% · 6.67% · 6.51%</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weighted across the drawn book</w:t>
            </w:r>
          </w:p>
        </w:tc>
        <w:tc>
          <w:tcPr>
            <w:tcW w:type="dxa" w:w="1944"/>
            <w:shd w:val="clear" w:color="auto" w:fill="F6F1E6"/>
          </w:tcPr>
          <w:p>
            <w:pPr>
              <w:spacing w:after="20"/>
              <w:jc w:val="right"/>
            </w:pPr>
            <w:r>
              <w:rPr>
                <w:b/>
                <w:color w:val="1C3A36"/>
                <w:sz w:val="16"/>
              </w:rPr>
              <w:t>5.82%</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weighted by what is actually drawn. It sits above the local sovereign yield of 4.48%, as a corporate borrowing in the same currency must. The perpetual capital securities are included in the evidence because they price the company's own subordinated risk, but they are deducted in the bridge rather than carried in the weights, so they do not enter the cost of capital twice.</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Five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Cost of equity on the share's own regressed beta of 0.705</w:t>
            </w:r>
          </w:p>
        </w:tc>
        <w:tc>
          <w:tcPr>
            <w:tcW w:type="dxa" w:w="2664"/>
          </w:tcPr>
          <w:p>
            <w:pPr>
              <w:spacing w:after="20"/>
            </w:pPr>
            <w:r>
              <w:rPr>
                <w:color w:val="1C3A36"/>
                <w:sz w:val="15"/>
              </w:rPr>
              <w:t>An asset-risk beta of one, on the view that a fleet owner carries its market's risk whoever signs the charter — cost of equity 8.93% instead of 7.49%</w:t>
            </w:r>
          </w:p>
        </w:tc>
        <w:tc>
          <w:tcPr>
            <w:tcW w:type="dxa" w:w="1843"/>
          </w:tcPr>
          <w:p>
            <w:pPr>
              <w:spacing w:after="20"/>
            </w:pPr>
            <w:r>
              <w:rPr>
                <w:color w:val="1C3A36"/>
                <w:sz w:val="15"/>
              </w:rPr>
              <w:t>AED 6.16 against 8.40</w:t>
            </w:r>
          </w:p>
        </w:tc>
        <w:tc>
          <w:tcPr>
            <w:tcW w:type="dxa" w:w="3240"/>
          </w:tcPr>
          <w:p>
            <w:pPr>
              <w:spacing w:after="20"/>
            </w:pPr>
            <w:r>
              <w:rPr>
                <w:color w:val="1C3A36"/>
                <w:sz w:val="15"/>
              </w:rPr>
              <w:t>Neither is preferred. This is the study’s central contested judgement and both are carried as equals through the summary, the bridge, the crux and the expert panel. The regression passes its usability conditions and the estimate is economically coherent for a half-contracted business; the asset-risk view is the more conservative and is what the market price currently implies</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8.64, +0.24 against 8.40</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7.07 against 8.40</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reached in the beta grid at a beta of one, and is not reached anywhere in the rate-anchor range.</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0.50</w:t>
            </w:r>
          </w:p>
        </w:tc>
        <w:tc>
          <w:tcPr>
            <w:tcW w:type="dxa" w:w="1555"/>
            <w:shd w:val="clear" w:color="auto" w:fill="EAF0EE"/>
          </w:tcPr>
          <w:p>
            <w:pPr>
              <w:spacing w:after="20"/>
            </w:pPr>
            <w:r>
              <w:rPr>
                <w:b/>
                <w:color w:val="1C3A36"/>
                <w:sz w:val="16"/>
              </w:rPr>
              <w:t>0.705</w:t>
            </w:r>
          </w:p>
        </w:tc>
        <w:tc>
          <w:tcPr>
            <w:tcW w:type="dxa" w:w="1555"/>
            <w:shd w:val="clear" w:color="auto" w:fill="EAF0EE"/>
          </w:tcPr>
          <w:p>
            <w:pPr>
              <w:spacing w:after="20"/>
            </w:pPr>
            <w:r>
              <w:rPr>
                <w:b/>
                <w:color w:val="1C3A36"/>
                <w:sz w:val="16"/>
              </w:rPr>
              <w:t>0.90</w:t>
            </w:r>
          </w:p>
        </w:tc>
        <w:tc>
          <w:tcPr>
            <w:tcW w:type="dxa" w:w="1555"/>
            <w:shd w:val="clear" w:color="auto" w:fill="EAF0EE"/>
          </w:tcPr>
          <w:p>
            <w:pPr>
              <w:spacing w:after="20"/>
            </w:pPr>
            <w:r>
              <w:rPr>
                <w:b/>
                <w:color w:val="1C3A36"/>
                <w:sz w:val="16"/>
              </w:rPr>
              <w:t>1.00</w:t>
            </w:r>
          </w:p>
        </w:tc>
        <w:tc>
          <w:tcPr>
            <w:tcW w:type="dxa" w:w="1555"/>
            <w:shd w:val="clear" w:color="auto" w:fill="EAF0EE"/>
          </w:tcPr>
          <w:p>
            <w:pPr>
              <w:spacing w:after="20"/>
            </w:pPr>
            <w:r>
              <w:rPr>
                <w:b/>
                <w:color w:val="1C3A36"/>
                <w:sz w:val="16"/>
              </w:rPr>
              <w:t>1.20</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9.39</w:t>
            </w:r>
          </w:p>
        </w:tc>
        <w:tc>
          <w:tcPr>
            <w:tcW w:type="dxa" w:w="1555"/>
          </w:tcPr>
          <w:p>
            <w:pPr>
              <w:spacing w:after="20"/>
              <w:jc w:val="right"/>
            </w:pPr>
            <w:r>
              <w:rPr>
                <w:color w:val="1C3A36"/>
                <w:sz w:val="16"/>
              </w:rPr>
              <w:t>7.55</w:t>
            </w:r>
          </w:p>
        </w:tc>
        <w:tc>
          <w:tcPr>
            <w:tcW w:type="dxa" w:w="1555"/>
          </w:tcPr>
          <w:p>
            <w:pPr>
              <w:spacing w:after="20"/>
              <w:jc w:val="right"/>
            </w:pPr>
            <w:r>
              <w:rPr>
                <w:color w:val="1C3A36"/>
                <w:sz w:val="16"/>
              </w:rPr>
              <w:t>6.28</w:t>
            </w:r>
          </w:p>
        </w:tc>
        <w:tc>
          <w:tcPr>
            <w:tcW w:type="dxa" w:w="1555"/>
          </w:tcPr>
          <w:p>
            <w:pPr>
              <w:spacing w:after="20"/>
              <w:jc w:val="right"/>
            </w:pPr>
            <w:r>
              <w:rPr>
                <w:color w:val="1C3A36"/>
                <w:sz w:val="16"/>
              </w:rPr>
              <w:t>5.76</w:t>
            </w:r>
          </w:p>
        </w:tc>
        <w:tc>
          <w:tcPr>
            <w:tcW w:type="dxa" w:w="1555"/>
          </w:tcPr>
          <w:p>
            <w:pPr>
              <w:spacing w:after="20"/>
              <w:jc w:val="right"/>
            </w:pPr>
            <w:r>
              <w:rPr>
                <w:color w:val="1C3A36"/>
                <w:sz w:val="16"/>
              </w:rPr>
              <w:t>4.90</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10.07</w:t>
            </w:r>
          </w:p>
        </w:tc>
        <w:tc>
          <w:tcPr>
            <w:tcW w:type="dxa" w:w="1555"/>
          </w:tcPr>
          <w:p>
            <w:pPr>
              <w:spacing w:after="20"/>
              <w:jc w:val="right"/>
            </w:pPr>
            <w:r>
              <w:rPr>
                <w:color w:val="1C3A36"/>
                <w:sz w:val="16"/>
              </w:rPr>
              <w:t>7.93</w:t>
            </w:r>
          </w:p>
        </w:tc>
        <w:tc>
          <w:tcPr>
            <w:tcW w:type="dxa" w:w="1555"/>
          </w:tcPr>
          <w:p>
            <w:pPr>
              <w:spacing w:after="20"/>
              <w:jc w:val="right"/>
            </w:pPr>
            <w:r>
              <w:rPr>
                <w:color w:val="1C3A36"/>
                <w:sz w:val="16"/>
              </w:rPr>
              <w:t>6.52</w:t>
            </w:r>
          </w:p>
        </w:tc>
        <w:tc>
          <w:tcPr>
            <w:tcW w:type="dxa" w:w="1555"/>
          </w:tcPr>
          <w:p>
            <w:pPr>
              <w:spacing w:after="20"/>
              <w:jc w:val="right"/>
            </w:pPr>
            <w:r>
              <w:rPr>
                <w:color w:val="1C3A36"/>
                <w:sz w:val="16"/>
              </w:rPr>
              <w:t>5.95</w:t>
            </w:r>
          </w:p>
        </w:tc>
        <w:tc>
          <w:tcPr>
            <w:tcW w:type="dxa" w:w="1555"/>
          </w:tcPr>
          <w:p>
            <w:pPr>
              <w:spacing w:after="20"/>
              <w:jc w:val="right"/>
            </w:pPr>
            <w:r>
              <w:rPr>
                <w:color w:val="1C3A36"/>
                <w:sz w:val="16"/>
              </w:rPr>
              <w:t>5.01</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10.92</w:t>
            </w:r>
          </w:p>
        </w:tc>
        <w:tc>
          <w:tcPr>
            <w:tcW w:type="dxa" w:w="1555"/>
          </w:tcPr>
          <w:p>
            <w:pPr>
              <w:spacing w:after="20"/>
              <w:jc w:val="right"/>
            </w:pPr>
            <w:r>
              <w:rPr>
                <w:color w:val="1C3A36"/>
                <w:sz w:val="16"/>
              </w:rPr>
              <w:t>8.40</w:t>
            </w:r>
          </w:p>
        </w:tc>
        <w:tc>
          <w:tcPr>
            <w:tcW w:type="dxa" w:w="1555"/>
          </w:tcPr>
          <w:p>
            <w:pPr>
              <w:spacing w:after="20"/>
              <w:jc w:val="right"/>
            </w:pPr>
            <w:r>
              <w:rPr>
                <w:color w:val="1C3A36"/>
                <w:sz w:val="16"/>
              </w:rPr>
              <w:t>6.80</w:t>
            </w:r>
          </w:p>
        </w:tc>
        <w:tc>
          <w:tcPr>
            <w:tcW w:type="dxa" w:w="1555"/>
          </w:tcPr>
          <w:p>
            <w:pPr>
              <w:spacing w:after="20"/>
              <w:jc w:val="right"/>
            </w:pPr>
            <w:r>
              <w:rPr>
                <w:color w:val="1C3A36"/>
                <w:sz w:val="16"/>
              </w:rPr>
              <w:t>6.16</w:t>
            </w:r>
          </w:p>
        </w:tc>
        <w:tc>
          <w:tcPr>
            <w:tcW w:type="dxa" w:w="1555"/>
          </w:tcPr>
          <w:p>
            <w:pPr>
              <w:spacing w:after="20"/>
              <w:jc w:val="right"/>
            </w:pPr>
            <w:r>
              <w:rPr>
                <w:color w:val="1C3A36"/>
                <w:sz w:val="16"/>
              </w:rPr>
              <w:t>5.14</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12.05</w:t>
            </w:r>
          </w:p>
        </w:tc>
        <w:tc>
          <w:tcPr>
            <w:tcW w:type="dxa" w:w="1555"/>
          </w:tcPr>
          <w:p>
            <w:pPr>
              <w:spacing w:after="20"/>
              <w:jc w:val="right"/>
            </w:pPr>
            <w:r>
              <w:rPr>
                <w:color w:val="1C3A36"/>
                <w:sz w:val="16"/>
              </w:rPr>
              <w:t>8.98</w:t>
            </w:r>
          </w:p>
        </w:tc>
        <w:tc>
          <w:tcPr>
            <w:tcW w:type="dxa" w:w="1555"/>
          </w:tcPr>
          <w:p>
            <w:pPr>
              <w:spacing w:after="20"/>
              <w:jc w:val="right"/>
            </w:pPr>
            <w:r>
              <w:rPr>
                <w:color w:val="1C3A36"/>
                <w:sz w:val="16"/>
              </w:rPr>
              <w:t>7.12</w:t>
            </w:r>
          </w:p>
        </w:tc>
        <w:tc>
          <w:tcPr>
            <w:tcW w:type="dxa" w:w="1555"/>
          </w:tcPr>
          <w:p>
            <w:pPr>
              <w:spacing w:after="20"/>
              <w:jc w:val="right"/>
            </w:pPr>
            <w:r>
              <w:rPr>
                <w:color w:val="1C3A36"/>
                <w:sz w:val="16"/>
              </w:rPr>
              <w:t>6.41</w:t>
            </w:r>
          </w:p>
        </w:tc>
        <w:tc>
          <w:tcPr>
            <w:tcW w:type="dxa" w:w="1555"/>
          </w:tcPr>
          <w:p>
            <w:pPr>
              <w:spacing w:after="20"/>
              <w:jc w:val="right"/>
            </w:pPr>
            <w:r>
              <w:rPr>
                <w:color w:val="1C3A36"/>
                <w:sz w:val="16"/>
              </w:rPr>
              <w:t>5.29</w:t>
            </w:r>
          </w:p>
        </w:tc>
      </w:tr>
    </w:tbl>
    <w:p>
      <w:pPr>
        <w:spacing w:after="40"/>
      </w:pPr>
    </w:p>
    <w:p>
      <w:pPr>
        <w:spacing w:after="200" w:before="0"/>
      </w:pPr>
      <w:r>
        <w:rPr>
          <w:b w:val="0"/>
          <w:i/>
          <w:color w:val="6E7B77"/>
          <w:sz w:val="17"/>
        </w:rPr>
        <w:t>Fair value in AED per share. The adopted construction is the 0.705 column at 2.0% growth; the asset-risk alternative is the 1.00 column at the same growth. Beta moves the answer across the whole width of this table; growth moves it a fraction of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0.50 – 1.20</w:t>
            </w:r>
          </w:p>
        </w:tc>
        <w:tc>
          <w:tcPr>
            <w:tcW w:type="dxa" w:w="2304"/>
          </w:tcPr>
          <w:p>
            <w:pPr>
              <w:spacing w:after="20"/>
              <w:jc w:val="left"/>
            </w:pPr>
            <w:r>
              <w:rPr>
                <w:color w:val="1C3A36"/>
                <w:sz w:val="16"/>
              </w:rPr>
              <w:t>5.14 – 10.92</w:t>
            </w:r>
          </w:p>
        </w:tc>
        <w:tc>
          <w:tcPr>
            <w:tcW w:type="dxa" w:w="1944"/>
          </w:tcPr>
          <w:p>
            <w:pPr>
              <w:spacing w:after="20"/>
              <w:jc w:val="right"/>
            </w:pPr>
            <w:r>
              <w:rPr>
                <w:color w:val="1C3A36"/>
                <w:sz w:val="16"/>
              </w:rPr>
              <w:t>5.78</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7.18 – 9.61</w:t>
            </w:r>
          </w:p>
        </w:tc>
        <w:tc>
          <w:tcPr>
            <w:tcW w:type="dxa" w:w="1944"/>
          </w:tcPr>
          <w:p>
            <w:pPr>
              <w:spacing w:after="20"/>
              <w:jc w:val="right"/>
            </w:pPr>
            <w:r>
              <w:rPr>
                <w:color w:val="1C3A36"/>
                <w:sz w:val="16"/>
              </w:rPr>
              <w:t>2.43</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7.43 – 8.88</w:t>
            </w:r>
          </w:p>
        </w:tc>
        <w:tc>
          <w:tcPr>
            <w:tcW w:type="dxa" w:w="1944"/>
          </w:tcPr>
          <w:p>
            <w:pPr>
              <w:spacing w:after="20"/>
              <w:jc w:val="right"/>
            </w:pPr>
            <w:r>
              <w:rPr>
                <w:color w:val="1C3A36"/>
                <w:sz w:val="16"/>
              </w:rPr>
              <w:t>1.45</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7.07 – 8.37</w:t>
            </w:r>
          </w:p>
        </w:tc>
        <w:tc>
          <w:tcPr>
            <w:tcW w:type="dxa" w:w="1944"/>
          </w:tcPr>
          <w:p>
            <w:pPr>
              <w:spacing w:after="20"/>
              <w:jc w:val="right"/>
            </w:pPr>
            <w:r>
              <w:rPr>
                <w:color w:val="1C3A36"/>
                <w:sz w:val="16"/>
              </w:rPr>
              <w:t>1.30</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7.55 – 8.98</w:t>
            </w:r>
          </w:p>
        </w:tc>
        <w:tc>
          <w:tcPr>
            <w:tcW w:type="dxa" w:w="1944"/>
          </w:tcPr>
          <w:p>
            <w:pPr>
              <w:spacing w:after="20"/>
              <w:jc w:val="right"/>
            </w:pPr>
            <w:r>
              <w:rPr>
                <w:color w:val="1C3A36"/>
                <w:sz w:val="16"/>
              </w:rPr>
              <w:t>1.43</w:t>
            </w:r>
          </w:p>
        </w:tc>
      </w:tr>
      <w:tr>
        <w:trPr>
          <w:cantSplit/>
        </w:trPr>
        <w:tc>
          <w:tcPr>
            <w:tcW w:type="dxa" w:w="3024"/>
          </w:tcPr>
          <w:p>
            <w:pPr>
              <w:spacing w:after="20"/>
            </w:pPr>
            <w:r>
              <w:rPr>
                <w:color w:val="1C3A36"/>
                <w:sz w:val="16"/>
              </w:rPr>
              <w:t>Bear-to-bull scenario composite</w:t>
            </w:r>
          </w:p>
        </w:tc>
        <w:tc>
          <w:tcPr>
            <w:tcW w:type="dxa" w:w="2808"/>
          </w:tcPr>
          <w:p>
            <w:pPr>
              <w:spacing w:after="20"/>
              <w:jc w:val="left"/>
            </w:pPr>
            <w:r>
              <w:rPr>
                <w:color w:val="1C3A36"/>
                <w:sz w:val="16"/>
              </w:rPr>
              <w:t>rates, beta and capital expenditure moved together</w:t>
            </w:r>
          </w:p>
        </w:tc>
        <w:tc>
          <w:tcPr>
            <w:tcW w:type="dxa" w:w="2304"/>
          </w:tcPr>
          <w:p>
            <w:pPr>
              <w:spacing w:after="20"/>
              <w:jc w:val="left"/>
            </w:pPr>
            <w:r>
              <w:rPr>
                <w:color w:val="1C3A36"/>
                <w:sz w:val="16"/>
              </w:rPr>
              <w:t>4.60 – 11.56</w:t>
            </w:r>
          </w:p>
        </w:tc>
        <w:tc>
          <w:tcPr>
            <w:tcW w:type="dxa" w:w="1944"/>
          </w:tcPr>
          <w:p>
            <w:pPr>
              <w:spacing w:after="20"/>
              <w:jc w:val="right"/>
            </w:pPr>
            <w:r>
              <w:rPr>
                <w:color w:val="1C3A36"/>
                <w:sz w:val="16"/>
              </w:rPr>
              <w:t>6.97</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The tax row deserves its own note: at a uniform 15% the value falls to AED 7.07, a loss of AED 1.33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asset-beta central of AED 7.04 sits above every computed resistance in the table, and the own-beta central of AED 7.94 further above again. The price map in the next section, which knows nothing about value, does not reach either within three months at any percentile shown.</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7.94 on the share's own beta and AED 7.04 on an asset-risk beta.</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own beta</w:t>
            </w:r>
          </w:p>
        </w:tc>
        <w:tc>
          <w:tcPr>
            <w:tcW w:type="dxa" w:w="2952"/>
          </w:tcPr>
          <w:p>
            <w:pPr>
              <w:spacing w:after="20"/>
            </w:pPr>
            <w:r>
              <w:rPr>
                <w:color w:val="1C3A36"/>
                <w:sz w:val="16"/>
              </w:rPr>
              <w:t>AED 7.94, 29% above the market price</w:t>
            </w:r>
          </w:p>
        </w:tc>
        <w:tc>
          <w:tcPr>
            <w:tcW w:type="dxa" w:w="4464"/>
          </w:tcPr>
          <w:p>
            <w:pPr>
              <w:spacing w:after="20"/>
            </w:pPr>
            <w:r>
              <w:rPr>
                <w:color w:val="1C3A36"/>
                <w:sz w:val="16"/>
              </w:rPr>
              <w:t>that the share's own three years of price history describe its risk, and that the tanker fleet reverts to its FY2024-FY2025 average rate</w:t>
            </w:r>
          </w:p>
        </w:tc>
      </w:tr>
      <w:tr>
        <w:trPr>
          <w:cantSplit/>
        </w:trPr>
        <w:tc>
          <w:tcPr>
            <w:tcW w:type="dxa" w:w="2664"/>
          </w:tcPr>
          <w:p>
            <w:pPr>
              <w:spacing w:after="20"/>
            </w:pPr>
            <w:r>
              <w:rPr>
                <w:color w:val="1C3A36"/>
                <w:sz w:val="16"/>
              </w:rPr>
              <w:t>Fundamental — asset beta</w:t>
            </w:r>
          </w:p>
        </w:tc>
        <w:tc>
          <w:tcPr>
            <w:tcW w:type="dxa" w:w="2952"/>
          </w:tcPr>
          <w:p>
            <w:pPr>
              <w:spacing w:after="20"/>
            </w:pPr>
            <w:r>
              <w:rPr>
                <w:color w:val="1C3A36"/>
                <w:sz w:val="16"/>
              </w:rPr>
              <w:t>AED 7.04, +14%</w:t>
            </w:r>
          </w:p>
        </w:tc>
        <w:tc>
          <w:tcPr>
            <w:tcW w:type="dxa" w:w="4464"/>
          </w:tcPr>
          <w:p>
            <w:pPr>
              <w:spacing w:after="20"/>
            </w:pPr>
            <w:r>
              <w:rPr>
                <w:color w:val="1C3A36"/>
                <w:sz w:val="16"/>
              </w:rPr>
              <w:t>that a fleet owner carries the risk of the market it trades in whoever signs the charter, with the same operating forecast</w:t>
            </w:r>
          </w:p>
        </w:tc>
      </w:tr>
      <w:tr>
        <w:trPr>
          <w:cantSplit/>
        </w:trPr>
        <w:tc>
          <w:tcPr>
            <w:tcW w:type="dxa" w:w="2664"/>
          </w:tcPr>
          <w:p>
            <w:pPr>
              <w:spacing w:after="20"/>
            </w:pPr>
            <w:r>
              <w:rPr>
                <w:color w:val="1C3A36"/>
                <w:sz w:val="16"/>
              </w:rPr>
              <w:t>Cash flow alone, own beta</w:t>
            </w:r>
          </w:p>
        </w:tc>
        <w:tc>
          <w:tcPr>
            <w:tcW w:type="dxa" w:w="2952"/>
          </w:tcPr>
          <w:p>
            <w:pPr>
              <w:spacing w:after="20"/>
            </w:pPr>
            <w:r>
              <w:rPr>
                <w:color w:val="1C3A36"/>
                <w:sz w:val="16"/>
              </w:rPr>
              <w:t>AED 8.40, +36%</w:t>
            </w:r>
          </w:p>
        </w:tc>
        <w:tc>
          <w:tcPr>
            <w:tcW w:type="dxa" w:w="4464"/>
          </w:tcPr>
          <w:p>
            <w:pPr>
              <w:spacing w:after="20"/>
            </w:pPr>
            <w:r>
              <w:rPr>
                <w:color w:val="1C3A36"/>
                <w:sz w:val="16"/>
              </w:rPr>
              <w:t>a cost of capital gliding 7.31% to 6.5%</w:t>
            </w:r>
          </w:p>
        </w:tc>
      </w:tr>
      <w:tr>
        <w:trPr>
          <w:cantSplit/>
        </w:trPr>
        <w:tc>
          <w:tcPr>
            <w:tcW w:type="dxa" w:w="2664"/>
          </w:tcPr>
          <w:p>
            <w:pPr>
              <w:spacing w:after="20"/>
            </w:pPr>
            <w:r>
              <w:rPr>
                <w:color w:val="1C3A36"/>
                <w:sz w:val="16"/>
              </w:rPr>
              <w:t>Cash flow alone, asset beta</w:t>
            </w:r>
          </w:p>
        </w:tc>
        <w:tc>
          <w:tcPr>
            <w:tcW w:type="dxa" w:w="2952"/>
          </w:tcPr>
          <w:p>
            <w:pPr>
              <w:spacing w:after="20"/>
            </w:pPr>
            <w:r>
              <w:rPr>
                <w:color w:val="1C3A36"/>
                <w:sz w:val="16"/>
              </w:rPr>
              <w:t>AED 6.16, 0%</w:t>
            </w:r>
          </w:p>
        </w:tc>
        <w:tc>
          <w:tcPr>
            <w:tcW w:type="dxa" w:w="4464"/>
          </w:tcPr>
          <w:p>
            <w:pPr>
              <w:spacing w:after="20"/>
            </w:pPr>
            <w:r>
              <w:rPr>
                <w:color w:val="1C3A36"/>
                <w:sz w:val="16"/>
              </w:rPr>
              <w:t>the same, gliding 8.63% to 7.8%</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8.07, +31%</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9.44, +53%</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10.22, +66%</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one thing stands out: the market price sits almost exactly on the asset-beta reading and well below the own-beta one. That is not a coincidence and it is not evidence that the market is wrong. It is the clearest available statement of what the marginal buyer believes — that this is a shipping company whose earnings belong to a cyclical world market, not a contracted infrastructure business that happens to own ships. The two multiple lenses land above the market, but they import their cost of capital from comparators rather than state one, so they are evidence about relative pricing rather than an independent answer.</w:t>
      </w:r>
    </w:p>
    <w:p>
      <w:pPr>
        <w:spacing w:after="120" w:before="0"/>
      </w:pPr>
      <w:r>
        <w:rPr>
          <w:b w:val="0"/>
          <w:i w:val="0"/>
          <w:color w:val="1C3A36"/>
          <w:sz w:val="21"/>
        </w:rPr>
        <w:t>This study declines to choose between the two readings, and says why. The regression is real: 163 weekly observations, an R-squared of 0.172, and a beta that sits exactly where a half-contracted business should sit. But three years is a short history, and it covers a period in which the contracted logistics arm grew faster than the merchant fleet — the mix that produced that beta is not the mix the forecast contains. A reader who weights the evidence toward the price history gets AED 7.94; a reader who weights it toward the economics of fleet ownership gets AED 7.04. Both numbers are in this document at full size and neither is hidden inside an average.</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2.43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10.8 in 2026 to 25.0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0.49× earnings in 2026E to net cash by 2029E, against a stated target of 2.0× to 2.5×. The company will not sit there</w:t>
            </w:r>
          </w:p>
        </w:tc>
        <w:tc>
          <w:tcPr>
            <w:tcW w:type="dxa" w:w="3888"/>
          </w:tcPr>
          <w:p>
            <w:pPr>
              <w:spacing w:after="20"/>
            </w:pPr>
            <w:r>
              <w:rPr>
                <w:color w:val="1C3A36"/>
                <w:sz w:val="16"/>
              </w:rPr>
              <w:t>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1.33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0.24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this zone sits below every fundamental lens in the study except the bear bounds</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market continuing to price the asset-beta reading</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begin to price something closer to the own-beta reading, or to price the rate strength as durable</w:t>
            </w:r>
          </w:p>
        </w:tc>
      </w:tr>
      <w:tr>
        <w:trPr>
          <w:cantSplit/>
        </w:trPr>
        <w:tc>
          <w:tcPr>
            <w:tcW w:type="dxa" w:w="2592"/>
          </w:tcPr>
          <w:p>
            <w:pPr>
              <w:spacing w:after="20"/>
            </w:pPr>
            <w:r>
              <w:rPr>
                <w:color w:val="1C3A36"/>
                <w:sz w:val="16"/>
              </w:rPr>
              <w:t>Where the asset-beta central sits</w:t>
            </w:r>
          </w:p>
        </w:tc>
        <w:tc>
          <w:tcPr>
            <w:tcW w:type="dxa" w:w="2448"/>
          </w:tcPr>
          <w:p>
            <w:pPr>
              <w:spacing w:after="20"/>
              <w:jc w:val="right"/>
            </w:pPr>
            <w:r>
              <w:rPr>
                <w:color w:val="1C3A36"/>
                <w:sz w:val="16"/>
              </w:rPr>
              <w:t>7.04</w:t>
            </w:r>
          </w:p>
        </w:tc>
        <w:tc>
          <w:tcPr>
            <w:tcW w:type="dxa" w:w="5040"/>
          </w:tcPr>
          <w:p>
            <w:pPr>
              <w:spacing w:after="20"/>
              <w:jc w:val="left"/>
            </w:pPr>
            <w:r>
              <w:rPr>
                <w:color w:val="1C3A36"/>
                <w:sz w:val="16"/>
              </w:rPr>
              <w:t>between the 75th and 95th percentile of the three-month distribution — reachable inside the horizon without anything unusual happening</w:t>
            </w:r>
          </w:p>
        </w:tc>
      </w:tr>
      <w:tr>
        <w:trPr>
          <w:cantSplit/>
        </w:trPr>
        <w:tc>
          <w:tcPr>
            <w:tcW w:type="dxa" w:w="2592"/>
          </w:tcPr>
          <w:p>
            <w:pPr>
              <w:spacing w:after="20"/>
            </w:pPr>
            <w:r>
              <w:rPr>
                <w:color w:val="1C3A36"/>
                <w:sz w:val="16"/>
              </w:rPr>
              <w:t>Where the own-beta central sits</w:t>
            </w:r>
          </w:p>
        </w:tc>
        <w:tc>
          <w:tcPr>
            <w:tcW w:type="dxa" w:w="2448"/>
          </w:tcPr>
          <w:p>
            <w:pPr>
              <w:spacing w:after="20"/>
              <w:jc w:val="right"/>
            </w:pPr>
            <w:r>
              <w:rPr>
                <w:color w:val="1C3A36"/>
                <w:sz w:val="16"/>
              </w:rPr>
              <w:t>7.94</w:t>
            </w:r>
          </w:p>
        </w:tc>
        <w:tc>
          <w:tcPr>
            <w:tcW w:type="dxa" w:w="5040"/>
          </w:tcPr>
          <w:p>
            <w:pPr>
              <w:spacing w:after="20"/>
              <w:jc w:val="left"/>
            </w:pPr>
            <w:r>
              <w:rPr>
                <w:color w:val="1C3A36"/>
                <w:sz w:val="16"/>
              </w:rPr>
              <w:t>above the 95th percentile of the three-month distribution. The valuation and the price map genuinely disagree on this construction, and stating the gap at full size is the point</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is the study, and it is unresolved. </w:t>
      </w:r>
      <w:r>
        <w:rPr>
          <w:color w:val="1C3A36"/>
          <w:sz w:val="21"/>
        </w:rPr>
        <w:t>The difference between the share's own regressed beta of 0.705 and an asset-risk beta of one is AED 2.24 a share on the cash-flow lens — larger than the capital-expenditure row and the tax row, and about the same size as moving the tanker-rate anchor across its whole tested range. Across the beta range tested in section 1.9 the swing is AED 5.78, the widest single sensitivity in the study. The regression is real and passes its usability conditions, but it rests on 3.2 years of history in a period when the contracted arm was growing faster than the merchant fleet. Both readings are published as equals. If forced to say which way the evidence leans: the market price sits on the asset-beta reading.</w:t>
      </w:r>
    </w:p>
    <w:p>
      <w:pPr>
        <w:pStyle w:val="ListBullet"/>
        <w:spacing w:after="60"/>
      </w:pPr>
      <w:r>
        <w:rPr>
          <w:b/>
          <w:color w:val="1C3A36"/>
          <w:sz w:val="21"/>
        </w:rPr>
        <w:t xml:space="preserve">The terminal value is most of the answer. </w:t>
      </w:r>
      <w:r>
        <w:rPr>
          <w:color w:val="1C3A36"/>
          <w:sz w:val="21"/>
        </w:rPr>
        <w:t>84% of the cash-flow model's enterprise value is the terminal value on the own-beta construction, 80% on the asset-beta one. That is high, and it is the arithmetic consequence of discounting a business whose explicit years are depressed by a heavy capital programme — capital expenditure runs USD 1,375 million in 2026E against earnings of USD 1,860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+15% above the guided group earnings midpoint — +17%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0.49× earnings in 2026E to 0.32× in 2028E and turns to net cash of USD 774 million by 2030E, against a stated medium-term target of 2.0× to 2.5×. At the low end of that target the 2030E balance sheet would carry about USD 3,839 million of net debt, so the modelled path leaves roughly USD 4,613 million of unused capacity, on top of an undrawn committed revolving facility of USD 2.0 billion. The company will either lever up for acquisitions or return more capital.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lens stands in for them at 15% weight.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USD 260,000 a day used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Two rate substitutions are carried in the fleet build. </w:t>
      </w:r>
      <w:r>
        <w:rPr>
          <w:color w:val="1C3A36"/>
          <w:sz w:val="21"/>
        </w:rPr>
        <w:t>Quarterly rates for the medium-range class are not disclosed for FY2024, so the FY2025 average stands in; the handysize vessels are not broken out at all and are carried at the medium-range rate. Together those are 18 of 53 vessels and the lowest earners in the fleet, so the effect is small — but it is a substitution, and it is labelled as one.</w:t>
      </w:r>
    </w:p>
    <w:p>
      <w:pPr>
        <w:pStyle w:val="ListBullet"/>
        <w:spacing w:after="60"/>
      </w:pPr>
      <w:r>
        <w:rPr>
          <w:b/>
          <w:color w:val="1C3A36"/>
          <w:sz w:val="21"/>
        </w:rPr>
        <w:t xml:space="preserve">Two unit inputs are solved rather than sourced. </w:t>
      </w:r>
      <w:r>
        <w:rPr>
          <w:color w:val="1C3A36"/>
          <w:sz w:val="21"/>
        </w:rPr>
        <w:t>Per-vessel running cost of USD 9,355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w:t>
      </w:r>
      <w:r>
        <w:rPr>
          <w:color w:val="1C3A36"/>
          <w:sz w:val="21"/>
        </w:rPr>
        <w:t>Reported Tankers revenue was 2.72×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ratio moves the revenue line and never the earnings line, so it cannot affect the valuation — but a reader comparing this study's revenue forecast with a broker's should know the two may be on different conventions.</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7.07.</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corroborated three ways in section 1.8 rather than accepted at face value.</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keeps the regressed beta near 0.705 as the mix shifts toward shipping. Downward: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4,589</w:t>
            </w:r>
          </w:p>
        </w:tc>
        <w:tc>
          <w:tcPr>
            <w:tcW w:type="dxa" w:w="950"/>
          </w:tcPr>
          <w:p>
            <w:pPr>
              <w:spacing w:after="20"/>
              <w:jc w:val="right"/>
            </w:pPr>
            <w:r>
              <w:rPr>
                <w:color w:val="1C3A36"/>
                <w:sz w:val="15"/>
              </w:rPr>
              <w:t>4,725</w:t>
            </w:r>
          </w:p>
        </w:tc>
        <w:tc>
          <w:tcPr>
            <w:tcW w:type="dxa" w:w="950"/>
          </w:tcPr>
          <w:p>
            <w:pPr>
              <w:spacing w:after="20"/>
              <w:jc w:val="right"/>
            </w:pPr>
            <w:r>
              <w:rPr>
                <w:color w:val="1C3A36"/>
                <w:sz w:val="15"/>
              </w:rPr>
              <w:t>4,942</w:t>
            </w:r>
          </w:p>
        </w:tc>
        <w:tc>
          <w:tcPr>
            <w:tcW w:type="dxa" w:w="950"/>
          </w:tcPr>
          <w:p>
            <w:pPr>
              <w:spacing w:after="20"/>
              <w:jc w:val="right"/>
            </w:pPr>
            <w:r>
              <w:rPr>
                <w:color w:val="1C3A36"/>
                <w:sz w:val="15"/>
              </w:rPr>
              <w:t>4,966</w:t>
            </w:r>
          </w:p>
        </w:tc>
        <w:tc>
          <w:tcPr>
            <w:tcW w:type="dxa" w:w="950"/>
          </w:tcPr>
          <w:p>
            <w:pPr>
              <w:spacing w:after="20"/>
              <w:jc w:val="right"/>
            </w:pPr>
            <w:r>
              <w:rPr>
                <w:color w:val="1C3A36"/>
                <w:sz w:val="15"/>
              </w:rPr>
              <w:t>4,906</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(2,729)</w:t>
            </w:r>
          </w:p>
        </w:tc>
        <w:tc>
          <w:tcPr>
            <w:tcW w:type="dxa" w:w="950"/>
          </w:tcPr>
          <w:p>
            <w:pPr>
              <w:spacing w:after="20"/>
              <w:jc w:val="right"/>
            </w:pPr>
            <w:r>
              <w:rPr>
                <w:color w:val="1C3A36"/>
                <w:sz w:val="15"/>
              </w:rPr>
              <w:t>(2,802)</w:t>
            </w:r>
          </w:p>
        </w:tc>
        <w:tc>
          <w:tcPr>
            <w:tcW w:type="dxa" w:w="950"/>
          </w:tcPr>
          <w:p>
            <w:pPr>
              <w:spacing w:after="20"/>
              <w:jc w:val="right"/>
            </w:pPr>
            <w:r>
              <w:rPr>
                <w:color w:val="1C3A36"/>
                <w:sz w:val="15"/>
              </w:rPr>
              <w:t>(2,909)</w:t>
            </w:r>
          </w:p>
        </w:tc>
        <w:tc>
          <w:tcPr>
            <w:tcW w:type="dxa" w:w="950"/>
          </w:tcPr>
          <w:p>
            <w:pPr>
              <w:spacing w:after="20"/>
              <w:jc w:val="right"/>
            </w:pPr>
            <w:r>
              <w:rPr>
                <w:color w:val="1C3A36"/>
                <w:sz w:val="15"/>
              </w:rPr>
              <w:t>(2,960)</w:t>
            </w:r>
          </w:p>
        </w:tc>
        <w:tc>
          <w:tcPr>
            <w:tcW w:type="dxa" w:w="950"/>
          </w:tcPr>
          <w:p>
            <w:pPr>
              <w:spacing w:after="20"/>
              <w:jc w:val="right"/>
            </w:pPr>
            <w:r>
              <w:rPr>
                <w:color w:val="1C3A36"/>
                <w:sz w:val="15"/>
              </w:rPr>
              <w:t>(2,986)</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1,860</w:t>
            </w:r>
          </w:p>
        </w:tc>
        <w:tc>
          <w:tcPr>
            <w:tcW w:type="dxa" w:w="950"/>
            <w:shd w:val="clear" w:color="auto" w:fill="F6F1E6"/>
          </w:tcPr>
          <w:p>
            <w:pPr>
              <w:spacing w:after="20"/>
              <w:jc w:val="right"/>
            </w:pPr>
            <w:r>
              <w:rPr>
                <w:b/>
                <w:color w:val="1C3A36"/>
                <w:sz w:val="15"/>
              </w:rPr>
              <w:t>1,923</w:t>
            </w:r>
          </w:p>
        </w:tc>
        <w:tc>
          <w:tcPr>
            <w:tcW w:type="dxa" w:w="950"/>
            <w:shd w:val="clear" w:color="auto" w:fill="F6F1E6"/>
          </w:tcPr>
          <w:p>
            <w:pPr>
              <w:spacing w:after="20"/>
              <w:jc w:val="right"/>
            </w:pPr>
            <w:r>
              <w:rPr>
                <w:b/>
                <w:color w:val="1C3A36"/>
                <w:sz w:val="15"/>
              </w:rPr>
              <w:t>2,033</w:t>
            </w:r>
          </w:p>
        </w:tc>
        <w:tc>
          <w:tcPr>
            <w:tcW w:type="dxa" w:w="950"/>
            <w:shd w:val="clear" w:color="auto" w:fill="F6F1E6"/>
          </w:tcPr>
          <w:p>
            <w:pPr>
              <w:spacing w:after="20"/>
              <w:jc w:val="right"/>
            </w:pPr>
            <w:r>
              <w:rPr>
                <w:b/>
                <w:color w:val="1C3A36"/>
                <w:sz w:val="15"/>
              </w:rPr>
              <w:t>2,007</w:t>
            </w:r>
          </w:p>
        </w:tc>
        <w:tc>
          <w:tcPr>
            <w:tcW w:type="dxa" w:w="950"/>
            <w:shd w:val="clear" w:color="auto" w:fill="F6F1E6"/>
          </w:tcPr>
          <w:p>
            <w:pPr>
              <w:spacing w:after="20"/>
              <w:jc w:val="right"/>
            </w:pPr>
            <w:r>
              <w:rPr>
                <w:b/>
                <w:color w:val="1C3A36"/>
                <w:sz w:val="15"/>
              </w:rPr>
              <w:t>1,919</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40.5%</w:t>
            </w:r>
          </w:p>
        </w:tc>
        <w:tc>
          <w:tcPr>
            <w:tcW w:type="dxa" w:w="950"/>
          </w:tcPr>
          <w:p>
            <w:pPr>
              <w:spacing w:after="20"/>
              <w:jc w:val="right"/>
            </w:pPr>
            <w:r>
              <w:rPr>
                <w:color w:val="1C3A36"/>
                <w:sz w:val="15"/>
              </w:rPr>
              <w:t>40.7%</w:t>
            </w:r>
          </w:p>
        </w:tc>
        <w:tc>
          <w:tcPr>
            <w:tcW w:type="dxa" w:w="950"/>
          </w:tcPr>
          <w:p>
            <w:pPr>
              <w:spacing w:after="20"/>
              <w:jc w:val="right"/>
            </w:pPr>
            <w:r>
              <w:rPr>
                <w:color w:val="1C3A36"/>
                <w:sz w:val="15"/>
              </w:rPr>
              <w:t>41.1%</w:t>
            </w:r>
          </w:p>
        </w:tc>
        <w:tc>
          <w:tcPr>
            <w:tcW w:type="dxa" w:w="950"/>
          </w:tcPr>
          <w:p>
            <w:pPr>
              <w:spacing w:after="20"/>
              <w:jc w:val="right"/>
            </w:pPr>
            <w:r>
              <w:rPr>
                <w:color w:val="1C3A36"/>
                <w:sz w:val="15"/>
              </w:rPr>
              <w:t>40.4%</w:t>
            </w:r>
          </w:p>
        </w:tc>
        <w:tc>
          <w:tcPr>
            <w:tcW w:type="dxa" w:w="950"/>
          </w:tcPr>
          <w:p>
            <w:pPr>
              <w:spacing w:after="20"/>
              <w:jc w:val="right"/>
            </w:pPr>
            <w:r>
              <w:rPr>
                <w:color w:val="1C3A36"/>
                <w:sz w:val="15"/>
              </w:rPr>
              <w:t>39.1%</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(538)</w:t>
            </w:r>
          </w:p>
        </w:tc>
        <w:tc>
          <w:tcPr>
            <w:tcW w:type="dxa" w:w="950"/>
          </w:tcPr>
          <w:p>
            <w:pPr>
              <w:spacing w:after="20"/>
              <w:jc w:val="right"/>
            </w:pPr>
            <w:r>
              <w:rPr>
                <w:color w:val="1C3A36"/>
                <w:sz w:val="15"/>
              </w:rPr>
              <w:t>(590)</w:t>
            </w:r>
          </w:p>
        </w:tc>
        <w:tc>
          <w:tcPr>
            <w:tcW w:type="dxa" w:w="950"/>
          </w:tcPr>
          <w:p>
            <w:pPr>
              <w:spacing w:after="20"/>
              <w:jc w:val="right"/>
            </w:pPr>
            <w:r>
              <w:rPr>
                <w:color w:val="1C3A36"/>
                <w:sz w:val="15"/>
              </w:rPr>
              <w:t>(636)</w:t>
            </w:r>
          </w:p>
        </w:tc>
        <w:tc>
          <w:tcPr>
            <w:tcW w:type="dxa" w:w="950"/>
          </w:tcPr>
          <w:p>
            <w:pPr>
              <w:spacing w:after="20"/>
              <w:jc w:val="right"/>
            </w:pPr>
            <w:r>
              <w:rPr>
                <w:color w:val="1C3A36"/>
                <w:sz w:val="15"/>
              </w:rPr>
              <w:t>(664)</w:t>
            </w:r>
          </w:p>
        </w:tc>
        <w:tc>
          <w:tcPr>
            <w:tcW w:type="dxa" w:w="950"/>
          </w:tcPr>
          <w:p>
            <w:pPr>
              <w:spacing w:after="20"/>
              <w:jc w:val="right"/>
            </w:pPr>
            <w:r>
              <w:rPr>
                <w:color w:val="1C3A36"/>
                <w:sz w:val="15"/>
              </w:rPr>
              <w:t>(674)</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1,321</w:t>
            </w:r>
          </w:p>
        </w:tc>
        <w:tc>
          <w:tcPr>
            <w:tcW w:type="dxa" w:w="950"/>
          </w:tcPr>
          <w:p>
            <w:pPr>
              <w:spacing w:after="20"/>
              <w:jc w:val="right"/>
            </w:pPr>
            <w:r>
              <w:rPr>
                <w:color w:val="1C3A36"/>
                <w:sz w:val="15"/>
              </w:rPr>
              <w:t>1,332</w:t>
            </w:r>
          </w:p>
        </w:tc>
        <w:tc>
          <w:tcPr>
            <w:tcW w:type="dxa" w:w="950"/>
          </w:tcPr>
          <w:p>
            <w:pPr>
              <w:spacing w:after="20"/>
              <w:jc w:val="right"/>
            </w:pPr>
            <w:r>
              <w:rPr>
                <w:color w:val="1C3A36"/>
                <w:sz w:val="15"/>
              </w:rPr>
              <w:t>1,397</w:t>
            </w:r>
          </w:p>
        </w:tc>
        <w:tc>
          <w:tcPr>
            <w:tcW w:type="dxa" w:w="950"/>
          </w:tcPr>
          <w:p>
            <w:pPr>
              <w:spacing w:after="20"/>
              <w:jc w:val="right"/>
            </w:pPr>
            <w:r>
              <w:rPr>
                <w:color w:val="1C3A36"/>
                <w:sz w:val="15"/>
              </w:rPr>
              <w:t>1,343</w:t>
            </w:r>
          </w:p>
        </w:tc>
        <w:tc>
          <w:tcPr>
            <w:tcW w:type="dxa" w:w="950"/>
          </w:tcPr>
          <w:p>
            <w:pPr>
              <w:spacing w:after="20"/>
              <w:jc w:val="right"/>
            </w:pPr>
            <w:r>
              <w:rPr>
                <w:color w:val="1C3A36"/>
                <w:sz w:val="15"/>
              </w:rPr>
              <w:t>1,246</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(57)</w:t>
            </w:r>
          </w:p>
        </w:tc>
        <w:tc>
          <w:tcPr>
            <w:tcW w:type="dxa" w:w="950"/>
          </w:tcPr>
          <w:p>
            <w:pPr>
              <w:spacing w:after="20"/>
              <w:jc w:val="right"/>
            </w:pPr>
            <w:r>
              <w:rPr>
                <w:color w:val="1C3A36"/>
                <w:sz w:val="15"/>
              </w:rPr>
              <w:t>(68)</w:t>
            </w:r>
          </w:p>
        </w:tc>
        <w:tc>
          <w:tcPr>
            <w:tcW w:type="dxa" w:w="950"/>
          </w:tcPr>
          <w:p>
            <w:pPr>
              <w:spacing w:after="20"/>
              <w:jc w:val="right"/>
            </w:pPr>
            <w:r>
              <w:rPr>
                <w:color w:val="1C3A36"/>
                <w:sz w:val="15"/>
              </w:rPr>
              <w:t>(63)</w:t>
            </w:r>
          </w:p>
        </w:tc>
        <w:tc>
          <w:tcPr>
            <w:tcW w:type="dxa" w:w="950"/>
          </w:tcPr>
          <w:p>
            <w:pPr>
              <w:spacing w:after="20"/>
              <w:jc w:val="right"/>
            </w:pPr>
            <w:r>
              <w:rPr>
                <w:color w:val="1C3A36"/>
                <w:sz w:val="15"/>
              </w:rPr>
              <w:t>(53)</w:t>
            </w:r>
          </w:p>
        </w:tc>
        <w:tc>
          <w:tcPr>
            <w:tcW w:type="dxa" w:w="950"/>
          </w:tcPr>
          <w:p>
            <w:pPr>
              <w:spacing w:after="20"/>
              <w:jc w:val="right"/>
            </w:pPr>
            <w:r>
              <w:rPr>
                <w:color w:val="1C3A36"/>
                <w:sz w:val="15"/>
              </w:rPr>
              <w:t>(12)</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1,264</w:t>
            </w:r>
          </w:p>
        </w:tc>
        <w:tc>
          <w:tcPr>
            <w:tcW w:type="dxa" w:w="950"/>
          </w:tcPr>
          <w:p>
            <w:pPr>
              <w:spacing w:after="20"/>
              <w:jc w:val="right"/>
            </w:pPr>
            <w:r>
              <w:rPr>
                <w:color w:val="1C3A36"/>
                <w:sz w:val="15"/>
              </w:rPr>
              <w:t>1,264</w:t>
            </w:r>
          </w:p>
        </w:tc>
        <w:tc>
          <w:tcPr>
            <w:tcW w:type="dxa" w:w="950"/>
          </w:tcPr>
          <w:p>
            <w:pPr>
              <w:spacing w:after="20"/>
              <w:jc w:val="right"/>
            </w:pPr>
            <w:r>
              <w:rPr>
                <w:color w:val="1C3A36"/>
                <w:sz w:val="15"/>
              </w:rPr>
              <w:t>1,334</w:t>
            </w:r>
          </w:p>
        </w:tc>
        <w:tc>
          <w:tcPr>
            <w:tcW w:type="dxa" w:w="950"/>
          </w:tcPr>
          <w:p>
            <w:pPr>
              <w:spacing w:after="20"/>
              <w:jc w:val="right"/>
            </w:pPr>
            <w:r>
              <w:rPr>
                <w:color w:val="1C3A36"/>
                <w:sz w:val="15"/>
              </w:rPr>
              <w:t>1,289</w:t>
            </w:r>
          </w:p>
        </w:tc>
        <w:tc>
          <w:tcPr>
            <w:tcW w:type="dxa" w:w="950"/>
          </w:tcPr>
          <w:p>
            <w:pPr>
              <w:spacing w:after="20"/>
              <w:jc w:val="right"/>
            </w:pPr>
            <w:r>
              <w:rPr>
                <w:color w:val="1C3A36"/>
                <w:sz w:val="15"/>
              </w:rPr>
              <w:t>1,234</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(47)</w:t>
            </w:r>
          </w:p>
        </w:tc>
        <w:tc>
          <w:tcPr>
            <w:tcW w:type="dxa" w:w="950"/>
          </w:tcPr>
          <w:p>
            <w:pPr>
              <w:spacing w:after="20"/>
              <w:jc w:val="right"/>
            </w:pPr>
            <w:r>
              <w:rPr>
                <w:color w:val="1C3A36"/>
                <w:sz w:val="15"/>
              </w:rPr>
              <w:t>(52)</w:t>
            </w:r>
          </w:p>
        </w:tc>
        <w:tc>
          <w:tcPr>
            <w:tcW w:type="dxa" w:w="950"/>
          </w:tcPr>
          <w:p>
            <w:pPr>
              <w:spacing w:after="20"/>
              <w:jc w:val="right"/>
            </w:pPr>
            <w:r>
              <w:rPr>
                <w:color w:val="1C3A36"/>
                <w:sz w:val="15"/>
              </w:rPr>
              <w:t>(56)</w:t>
            </w:r>
          </w:p>
        </w:tc>
        <w:tc>
          <w:tcPr>
            <w:tcW w:type="dxa" w:w="950"/>
          </w:tcPr>
          <w:p>
            <w:pPr>
              <w:spacing w:after="20"/>
              <w:jc w:val="right"/>
            </w:pPr>
            <w:r>
              <w:rPr>
                <w:color w:val="1C3A36"/>
                <w:sz w:val="15"/>
              </w:rPr>
              <w:t>(57)</w:t>
            </w:r>
          </w:p>
        </w:tc>
        <w:tc>
          <w:tcPr>
            <w:tcW w:type="dxa" w:w="950"/>
          </w:tcPr>
          <w:p>
            <w:pPr>
              <w:spacing w:after="20"/>
              <w:jc w:val="right"/>
            </w:pPr>
            <w:r>
              <w:rPr>
                <w:color w:val="1C3A36"/>
                <w:sz w:val="15"/>
              </w:rPr>
              <w:t>(61)</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1,217</w:t>
            </w:r>
          </w:p>
        </w:tc>
        <w:tc>
          <w:tcPr>
            <w:tcW w:type="dxa" w:w="950"/>
          </w:tcPr>
          <w:p>
            <w:pPr>
              <w:spacing w:after="20"/>
              <w:jc w:val="right"/>
            </w:pPr>
            <w:r>
              <w:rPr>
                <w:color w:val="1C3A36"/>
                <w:sz w:val="15"/>
              </w:rPr>
              <w:t>1,212</w:t>
            </w:r>
          </w:p>
        </w:tc>
        <w:tc>
          <w:tcPr>
            <w:tcW w:type="dxa" w:w="950"/>
          </w:tcPr>
          <w:p>
            <w:pPr>
              <w:spacing w:after="20"/>
              <w:jc w:val="right"/>
            </w:pPr>
            <w:r>
              <w:rPr>
                <w:color w:val="1C3A36"/>
                <w:sz w:val="15"/>
              </w:rPr>
              <w:t>1,278</w:t>
            </w:r>
          </w:p>
        </w:tc>
        <w:tc>
          <w:tcPr>
            <w:tcW w:type="dxa" w:w="950"/>
          </w:tcPr>
          <w:p>
            <w:pPr>
              <w:spacing w:after="20"/>
              <w:jc w:val="right"/>
            </w:pPr>
            <w:r>
              <w:rPr>
                <w:color w:val="1C3A36"/>
                <w:sz w:val="15"/>
              </w:rPr>
              <w:t>1,232</w:t>
            </w:r>
          </w:p>
        </w:tc>
        <w:tc>
          <w:tcPr>
            <w:tcW w:type="dxa" w:w="950"/>
          </w:tcPr>
          <w:p>
            <w:pPr>
              <w:spacing w:after="20"/>
              <w:jc w:val="right"/>
            </w:pPr>
            <w:r>
              <w:rPr>
                <w:color w:val="1C3A36"/>
                <w:sz w:val="15"/>
              </w:rPr>
              <w:t>1,174</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(108)</w:t>
            </w:r>
          </w:p>
        </w:tc>
        <w:tc>
          <w:tcPr>
            <w:tcW w:type="dxa" w:w="950"/>
          </w:tcPr>
          <w:p>
            <w:pPr>
              <w:spacing w:after="20"/>
              <w:jc w:val="right"/>
            </w:pPr>
            <w:r>
              <w:rPr>
                <w:color w:val="1C3A36"/>
                <w:sz w:val="15"/>
              </w:rPr>
              <w:t>(103)</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1,109</w:t>
            </w:r>
          </w:p>
        </w:tc>
        <w:tc>
          <w:tcPr>
            <w:tcW w:type="dxa" w:w="950"/>
            <w:shd w:val="clear" w:color="auto" w:fill="F6F1E6"/>
          </w:tcPr>
          <w:p>
            <w:pPr>
              <w:spacing w:after="20"/>
              <w:jc w:val="right"/>
            </w:pPr>
            <w:r>
              <w:rPr>
                <w:b/>
                <w:color w:val="1C3A36"/>
                <w:sz w:val="15"/>
              </w:rPr>
              <w:t>1,106</w:t>
            </w:r>
          </w:p>
        </w:tc>
        <w:tc>
          <w:tcPr>
            <w:tcW w:type="dxa" w:w="950"/>
            <w:shd w:val="clear" w:color="auto" w:fill="F6F1E6"/>
          </w:tcPr>
          <w:p>
            <w:pPr>
              <w:spacing w:after="20"/>
              <w:jc w:val="right"/>
            </w:pPr>
            <w:r>
              <w:rPr>
                <w:b/>
                <w:color w:val="1C3A36"/>
                <w:sz w:val="15"/>
              </w:rPr>
              <w:t>1,166</w:t>
            </w:r>
          </w:p>
        </w:tc>
        <w:tc>
          <w:tcPr>
            <w:tcW w:type="dxa" w:w="950"/>
            <w:shd w:val="clear" w:color="auto" w:fill="F6F1E6"/>
          </w:tcPr>
          <w:p>
            <w:pPr>
              <w:spacing w:after="20"/>
              <w:jc w:val="right"/>
            </w:pPr>
            <w:r>
              <w:rPr>
                <w:b/>
                <w:color w:val="1C3A36"/>
                <w:sz w:val="15"/>
              </w:rPr>
              <w:t>1,124</w:t>
            </w:r>
          </w:p>
        </w:tc>
        <w:tc>
          <w:tcPr>
            <w:tcW w:type="dxa" w:w="950"/>
            <w:shd w:val="clear" w:color="auto" w:fill="F6F1E6"/>
          </w:tcPr>
          <w:p>
            <w:pPr>
              <w:spacing w:after="20"/>
              <w:jc w:val="right"/>
            </w:pPr>
            <w:r>
              <w:rPr>
                <w:b/>
                <w:color w:val="1C3A36"/>
                <w:sz w:val="15"/>
              </w:rPr>
              <w:t>1,070</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0.150</w:t>
            </w:r>
          </w:p>
        </w:tc>
        <w:tc>
          <w:tcPr>
            <w:tcW w:type="dxa" w:w="950"/>
            <w:shd w:val="clear" w:color="auto" w:fill="F6F1E6"/>
          </w:tcPr>
          <w:p>
            <w:pPr>
              <w:spacing w:after="20"/>
              <w:jc w:val="right"/>
            </w:pPr>
            <w:r>
              <w:rPr>
                <w:b/>
                <w:color w:val="1C3A36"/>
                <w:sz w:val="15"/>
              </w:rPr>
              <w:t>0.149</w:t>
            </w:r>
          </w:p>
        </w:tc>
        <w:tc>
          <w:tcPr>
            <w:tcW w:type="dxa" w:w="950"/>
            <w:shd w:val="clear" w:color="auto" w:fill="F6F1E6"/>
          </w:tcPr>
          <w:p>
            <w:pPr>
              <w:spacing w:after="20"/>
              <w:jc w:val="right"/>
            </w:pPr>
            <w:r>
              <w:rPr>
                <w:b/>
                <w:color w:val="1C3A36"/>
                <w:sz w:val="15"/>
              </w:rPr>
              <w:t>0.158</w:t>
            </w:r>
          </w:p>
        </w:tc>
        <w:tc>
          <w:tcPr>
            <w:tcW w:type="dxa" w:w="950"/>
            <w:shd w:val="clear" w:color="auto" w:fill="F6F1E6"/>
          </w:tcPr>
          <w:p>
            <w:pPr>
              <w:spacing w:after="20"/>
              <w:jc w:val="right"/>
            </w:pPr>
            <w:r>
              <w:rPr>
                <w:b/>
                <w:color w:val="1C3A36"/>
                <w:sz w:val="15"/>
              </w:rPr>
              <w:t>0.152</w:t>
            </w:r>
          </w:p>
        </w:tc>
        <w:tc>
          <w:tcPr>
            <w:tcW w:type="dxa" w:w="950"/>
            <w:shd w:val="clear" w:color="auto" w:fill="F6F1E6"/>
          </w:tcPr>
          <w:p>
            <w:pPr>
              <w:spacing w:after="20"/>
              <w:jc w:val="right"/>
            </w:pPr>
            <w:r>
              <w:rPr>
                <w:b/>
                <w:color w:val="1C3A36"/>
                <w:sz w:val="15"/>
              </w:rPr>
              <w:t>0.145</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attributable profit over shares outstanding.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7,833</w:t>
            </w:r>
          </w:p>
        </w:tc>
        <w:tc>
          <w:tcPr>
            <w:tcW w:type="dxa" w:w="950"/>
          </w:tcPr>
          <w:p>
            <w:pPr>
              <w:spacing w:after="20"/>
              <w:jc w:val="right"/>
            </w:pPr>
            <w:r>
              <w:rPr>
                <w:color w:val="1C3A36"/>
                <w:sz w:val="15"/>
              </w:rPr>
              <w:t>8,602</w:t>
            </w:r>
          </w:p>
        </w:tc>
        <w:tc>
          <w:tcPr>
            <w:tcW w:type="dxa" w:w="950"/>
          </w:tcPr>
          <w:p>
            <w:pPr>
              <w:spacing w:after="20"/>
              <w:jc w:val="right"/>
            </w:pPr>
            <w:r>
              <w:rPr>
                <w:color w:val="1C3A36"/>
                <w:sz w:val="15"/>
              </w:rPr>
              <w:t>9,327</w:t>
            </w:r>
          </w:p>
        </w:tc>
        <w:tc>
          <w:tcPr>
            <w:tcW w:type="dxa" w:w="950"/>
          </w:tcPr>
          <w:p>
            <w:pPr>
              <w:spacing w:after="20"/>
              <w:jc w:val="right"/>
            </w:pPr>
            <w:r>
              <w:rPr>
                <w:color w:val="1C3A36"/>
                <w:sz w:val="15"/>
              </w:rPr>
              <w:t>9,482</w:t>
            </w:r>
          </w:p>
        </w:tc>
        <w:tc>
          <w:tcPr>
            <w:tcW w:type="dxa" w:w="950"/>
          </w:tcPr>
          <w:p>
            <w:pPr>
              <w:spacing w:after="20"/>
              <w:jc w:val="right"/>
            </w:pPr>
            <w:r>
              <w:rPr>
                <w:color w:val="1C3A36"/>
                <w:sz w:val="15"/>
              </w:rPr>
              <w:t>9,580</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483</w:t>
            </w:r>
          </w:p>
        </w:tc>
        <w:tc>
          <w:tcPr>
            <w:tcW w:type="dxa" w:w="950"/>
            <w:shd w:val="clear" w:color="auto" w:fill="F6F1E6"/>
          </w:tcPr>
          <w:p>
            <w:pPr>
              <w:spacing w:after="20"/>
              <w:jc w:val="right"/>
            </w:pPr>
            <w:r>
              <w:rPr>
                <w:b/>
                <w:color w:val="1C3A36"/>
                <w:sz w:val="15"/>
              </w:rPr>
              <w:t>500</w:t>
            </w:r>
          </w:p>
        </w:tc>
        <w:tc>
          <w:tcPr>
            <w:tcW w:type="dxa" w:w="950"/>
            <w:shd w:val="clear" w:color="auto" w:fill="F6F1E6"/>
          </w:tcPr>
          <w:p>
            <w:pPr>
              <w:spacing w:after="20"/>
              <w:jc w:val="right"/>
            </w:pPr>
            <w:r>
              <w:rPr>
                <w:b/>
                <w:color w:val="1C3A36"/>
                <w:sz w:val="15"/>
              </w:rPr>
              <w:t>530</w:t>
            </w:r>
          </w:p>
        </w:tc>
        <w:tc>
          <w:tcPr>
            <w:tcW w:type="dxa" w:w="950"/>
            <w:shd w:val="clear" w:color="auto" w:fill="F6F1E6"/>
          </w:tcPr>
          <w:p>
            <w:pPr>
              <w:spacing w:after="20"/>
              <w:jc w:val="right"/>
            </w:pPr>
            <w:r>
              <w:rPr>
                <w:b/>
                <w:color w:val="1C3A36"/>
                <w:sz w:val="15"/>
              </w:rPr>
              <w:t>521</w:t>
            </w:r>
          </w:p>
        </w:tc>
        <w:tc>
          <w:tcPr>
            <w:tcW w:type="dxa" w:w="950"/>
            <w:shd w:val="clear" w:color="auto" w:fill="F6F1E6"/>
          </w:tcPr>
          <w:p>
            <w:pPr>
              <w:spacing w:after="20"/>
              <w:jc w:val="right"/>
            </w:pPr>
            <w:r>
              <w:rPr>
                <w:b/>
                <w:color w:val="1C3A36"/>
                <w:sz w:val="15"/>
              </w:rPr>
              <w:t>495</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1,417</w:t>
            </w:r>
          </w:p>
        </w:tc>
        <w:tc>
          <w:tcPr>
            <w:tcW w:type="dxa" w:w="950"/>
          </w:tcPr>
          <w:p>
            <w:pPr>
              <w:spacing w:after="20"/>
              <w:jc w:val="right"/>
            </w:pPr>
            <w:r>
              <w:rPr>
                <w:color w:val="1C3A36"/>
                <w:sz w:val="15"/>
              </w:rPr>
              <w:t>1,608</w:t>
            </w:r>
          </w:p>
        </w:tc>
        <w:tc>
          <w:tcPr>
            <w:tcW w:type="dxa" w:w="950"/>
          </w:tcPr>
          <w:p>
            <w:pPr>
              <w:spacing w:after="20"/>
              <w:jc w:val="right"/>
            </w:pPr>
            <w:r>
              <w:rPr>
                <w:color w:val="1C3A36"/>
                <w:sz w:val="15"/>
              </w:rPr>
              <w:t>1,519</w:t>
            </w:r>
          </w:p>
        </w:tc>
        <w:tc>
          <w:tcPr>
            <w:tcW w:type="dxa" w:w="950"/>
          </w:tcPr>
          <w:p>
            <w:pPr>
              <w:spacing w:after="20"/>
              <w:jc w:val="right"/>
            </w:pPr>
            <w:r>
              <w:rPr>
                <w:color w:val="1C3A36"/>
                <w:sz w:val="15"/>
              </w:rPr>
              <w:t>1,350</w:t>
            </w:r>
          </w:p>
        </w:tc>
        <w:tc>
          <w:tcPr>
            <w:tcW w:type="dxa" w:w="950"/>
          </w:tcPr>
          <w:p>
            <w:pPr>
              <w:spacing w:after="20"/>
              <w:jc w:val="right"/>
            </w:pPr>
            <w:r>
              <w:rPr>
                <w:color w:val="1C3A36"/>
                <w:sz w:val="15"/>
              </w:rPr>
              <w:t>634</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913</w:t>
            </w:r>
          </w:p>
        </w:tc>
        <w:tc>
          <w:tcPr>
            <w:tcW w:type="dxa" w:w="950"/>
          </w:tcPr>
          <w:p>
            <w:pPr>
              <w:spacing w:after="20"/>
              <w:jc w:val="right"/>
            </w:pPr>
            <w:r>
              <w:rPr>
                <w:color w:val="1C3A36"/>
                <w:sz w:val="15"/>
              </w:rPr>
              <w:t>824</w:t>
            </w:r>
          </w:p>
        </w:tc>
        <w:tc>
          <w:tcPr>
            <w:tcW w:type="dxa" w:w="950"/>
          </w:tcPr>
          <w:p>
            <w:pPr>
              <w:spacing w:after="20"/>
              <w:jc w:val="right"/>
            </w:pPr>
            <w:r>
              <w:rPr>
                <w:color w:val="1C3A36"/>
                <w:sz w:val="15"/>
              </w:rPr>
              <w:t>655</w:t>
            </w:r>
          </w:p>
        </w:tc>
        <w:tc>
          <w:tcPr>
            <w:tcW w:type="dxa" w:w="950"/>
          </w:tcPr>
          <w:p>
            <w:pPr>
              <w:spacing w:after="20"/>
              <w:jc w:val="right"/>
            </w:pPr>
            <w:r>
              <w:rPr>
                <w:color w:val="1C3A36"/>
                <w:sz w:val="15"/>
              </w:rPr>
              <w:t>(61)</w:t>
            </w:r>
          </w:p>
        </w:tc>
        <w:tc>
          <w:tcPr>
            <w:tcW w:type="dxa" w:w="950"/>
          </w:tcPr>
          <w:p>
            <w:pPr>
              <w:spacing w:after="20"/>
              <w:jc w:val="right"/>
            </w:pPr>
            <w:r>
              <w:rPr>
                <w:color w:val="1C3A36"/>
                <w:sz w:val="15"/>
              </w:rPr>
              <w:t>(774)</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5,745</w:t>
            </w:r>
          </w:p>
        </w:tc>
        <w:tc>
          <w:tcPr>
            <w:tcW w:type="dxa" w:w="950"/>
            <w:shd w:val="clear" w:color="auto" w:fill="F6F1E6"/>
          </w:tcPr>
          <w:p>
            <w:pPr>
              <w:spacing w:after="20"/>
              <w:jc w:val="right"/>
            </w:pPr>
            <w:r>
              <w:rPr>
                <w:b/>
                <w:color w:val="1C3A36"/>
                <w:sz w:val="15"/>
              </w:rPr>
              <w:t>6,396</w:t>
            </w:r>
          </w:p>
        </w:tc>
        <w:tc>
          <w:tcPr>
            <w:tcW w:type="dxa" w:w="950"/>
            <w:shd w:val="clear" w:color="auto" w:fill="F6F1E6"/>
          </w:tcPr>
          <w:p>
            <w:pPr>
              <w:spacing w:after="20"/>
              <w:jc w:val="right"/>
            </w:pPr>
            <w:r>
              <w:rPr>
                <w:b/>
                <w:color w:val="1C3A36"/>
                <w:sz w:val="15"/>
              </w:rPr>
              <w:t>7,089</w:t>
            </w:r>
          </w:p>
        </w:tc>
        <w:tc>
          <w:tcPr>
            <w:tcW w:type="dxa" w:w="950"/>
            <w:shd w:val="clear" w:color="auto" w:fill="F6F1E6"/>
          </w:tcPr>
          <w:p>
            <w:pPr>
              <w:spacing w:after="20"/>
              <w:jc w:val="right"/>
            </w:pPr>
            <w:r>
              <w:rPr>
                <w:b/>
                <w:color w:val="1C3A36"/>
                <w:sz w:val="15"/>
              </w:rPr>
              <w:t>7,721</w:t>
            </w:r>
          </w:p>
        </w:tc>
        <w:tc>
          <w:tcPr>
            <w:tcW w:type="dxa" w:w="950"/>
            <w:shd w:val="clear" w:color="auto" w:fill="F6F1E6"/>
          </w:tcPr>
          <w:p>
            <w:pPr>
              <w:spacing w:after="20"/>
              <w:jc w:val="right"/>
            </w:pPr>
            <w:r>
              <w:rPr>
                <w:b/>
                <w:color w:val="1C3A36"/>
                <w:sz w:val="15"/>
              </w:rPr>
              <w:t>8,280</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0.7766</w:t>
            </w:r>
          </w:p>
        </w:tc>
        <w:tc>
          <w:tcPr>
            <w:tcW w:type="dxa" w:w="950"/>
          </w:tcPr>
          <w:p>
            <w:pPr>
              <w:spacing w:after="20"/>
              <w:jc w:val="right"/>
            </w:pPr>
            <w:r>
              <w:rPr>
                <w:color w:val="1C3A36"/>
                <w:sz w:val="15"/>
              </w:rPr>
              <w:t>0.8645</w:t>
            </w:r>
          </w:p>
        </w:tc>
        <w:tc>
          <w:tcPr>
            <w:tcW w:type="dxa" w:w="950"/>
          </w:tcPr>
          <w:p>
            <w:pPr>
              <w:spacing w:after="20"/>
              <w:jc w:val="right"/>
            </w:pPr>
            <w:r>
              <w:rPr>
                <w:color w:val="1C3A36"/>
                <w:sz w:val="15"/>
              </w:rPr>
              <w:t>0.9581</w:t>
            </w:r>
          </w:p>
        </w:tc>
        <w:tc>
          <w:tcPr>
            <w:tcW w:type="dxa" w:w="950"/>
          </w:tcPr>
          <w:p>
            <w:pPr>
              <w:spacing w:after="20"/>
              <w:jc w:val="right"/>
            </w:pPr>
            <w:r>
              <w:rPr>
                <w:color w:val="1C3A36"/>
                <w:sz w:val="15"/>
              </w:rPr>
              <w:t>1.0436</w:t>
            </w:r>
          </w:p>
        </w:tc>
        <w:tc>
          <w:tcPr>
            <w:tcW w:type="dxa" w:w="950"/>
          </w:tcPr>
          <w:p>
            <w:pPr>
              <w:spacing w:after="20"/>
              <w:jc w:val="right"/>
            </w:pPr>
            <w:r>
              <w:rPr>
                <w:color w:val="1C3A36"/>
                <w:sz w:val="15"/>
              </w:rPr>
              <w:t>1.1191</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0.46×</w:t>
            </w:r>
          </w:p>
        </w:tc>
        <w:tc>
          <w:tcPr>
            <w:tcW w:type="dxa" w:w="950"/>
          </w:tcPr>
          <w:p>
            <w:pPr>
              <w:spacing w:after="20"/>
              <w:jc w:val="right"/>
            </w:pPr>
            <w:r>
              <w:rPr>
                <w:color w:val="1C3A36"/>
                <w:sz w:val="15"/>
              </w:rPr>
              <w:t>0.49×</w:t>
            </w:r>
          </w:p>
        </w:tc>
        <w:tc>
          <w:tcPr>
            <w:tcW w:type="dxa" w:w="950"/>
          </w:tcPr>
          <w:p>
            <w:pPr>
              <w:spacing w:after="20"/>
              <w:jc w:val="right"/>
            </w:pPr>
            <w:r>
              <w:rPr>
                <w:color w:val="1C3A36"/>
                <w:sz w:val="15"/>
              </w:rPr>
              <w:t>0.43×</w:t>
            </w:r>
          </w:p>
        </w:tc>
        <w:tc>
          <w:tcPr>
            <w:tcW w:type="dxa" w:w="950"/>
          </w:tcPr>
          <w:p>
            <w:pPr>
              <w:spacing w:after="20"/>
              <w:jc w:val="right"/>
            </w:pPr>
            <w:r>
              <w:rPr>
                <w:color w:val="1C3A36"/>
                <w:sz w:val="15"/>
              </w:rPr>
              <w:t>0.32×</w:t>
            </w:r>
          </w:p>
        </w:tc>
        <w:tc>
          <w:tcPr>
            <w:tcW w:type="dxa" w:w="950"/>
          </w:tcPr>
          <w:p>
            <w:pPr>
              <w:spacing w:after="20"/>
              <w:jc w:val="right"/>
            </w:pPr>
            <w:r>
              <w:rPr>
                <w:color w:val="1C3A36"/>
                <w:sz w:val="15"/>
              </w:rPr>
              <w:t>-0.03×</w:t>
            </w:r>
          </w:p>
        </w:tc>
        <w:tc>
          <w:tcPr>
            <w:tcW w:type="dxa" w:w="950"/>
          </w:tcPr>
          <w:p>
            <w:pPr>
              <w:spacing w:after="20"/>
              <w:jc w:val="right"/>
            </w:pPr>
            <w:r>
              <w:rPr>
                <w:color w:val="1C3A36"/>
                <w:sz w:val="15"/>
              </w:rPr>
              <w:t>-0.40×</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20.5%</w:t>
            </w:r>
          </w:p>
        </w:tc>
        <w:tc>
          <w:tcPr>
            <w:tcW w:type="dxa" w:w="950"/>
          </w:tcPr>
          <w:p>
            <w:pPr>
              <w:spacing w:after="20"/>
              <w:jc w:val="right"/>
            </w:pPr>
            <w:r>
              <w:rPr>
                <w:color w:val="1C3A36"/>
                <w:sz w:val="15"/>
              </w:rPr>
              <w:t>18.2%</w:t>
            </w:r>
          </w:p>
        </w:tc>
        <w:tc>
          <w:tcPr>
            <w:tcW w:type="dxa" w:w="950"/>
          </w:tcPr>
          <w:p>
            <w:pPr>
              <w:spacing w:after="20"/>
              <w:jc w:val="right"/>
            </w:pPr>
            <w:r>
              <w:rPr>
                <w:color w:val="1C3A36"/>
                <w:sz w:val="15"/>
              </w:rPr>
              <w:t>17.3%</w:t>
            </w:r>
          </w:p>
        </w:tc>
        <w:tc>
          <w:tcPr>
            <w:tcW w:type="dxa" w:w="950"/>
          </w:tcPr>
          <w:p>
            <w:pPr>
              <w:spacing w:after="20"/>
              <w:jc w:val="right"/>
            </w:pPr>
            <w:r>
              <w:rPr>
                <w:color w:val="1C3A36"/>
                <w:sz w:val="15"/>
              </w:rPr>
              <w:t>15.2%</w:t>
            </w:r>
          </w:p>
        </w:tc>
        <w:tc>
          <w:tcPr>
            <w:tcW w:type="dxa" w:w="950"/>
          </w:tcPr>
          <w:p>
            <w:pPr>
              <w:spacing w:after="20"/>
              <w:jc w:val="right"/>
            </w:pPr>
            <w:r>
              <w:rPr>
                <w:color w:val="1C3A36"/>
                <w:sz w:val="15"/>
              </w:rPr>
              <w:t>13.4%</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(137)</w:t>
            </w:r>
          </w:p>
        </w:tc>
        <w:tc>
          <w:tcPr>
            <w:tcW w:type="dxa" w:w="1382"/>
          </w:tcPr>
          <w:p>
            <w:pPr>
              <w:spacing w:after="20"/>
              <w:jc w:val="right"/>
            </w:pPr>
            <w:r>
              <w:rPr>
                <w:color w:val="1C3A36"/>
                <w:sz w:val="16"/>
              </w:rPr>
              <w:t>(17)</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9</w:t>
            </w:r>
          </w:p>
        </w:tc>
        <w:tc>
          <w:tcPr>
            <w:tcW w:type="dxa" w:w="1382"/>
          </w:tcPr>
          <w:p>
            <w:pPr>
              <w:spacing w:after="20"/>
              <w:jc w:val="right"/>
            </w:pPr>
            <w:r>
              <w:rPr>
                <w:color w:val="1C3A36"/>
                <w:sz w:val="16"/>
              </w:rPr>
              <w:t>27</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298</w:t>
            </w:r>
          </w:p>
        </w:tc>
        <w:tc>
          <w:tcPr>
            <w:tcW w:type="dxa" w:w="1382"/>
            <w:shd w:val="clear" w:color="auto" w:fill="F6F1E6"/>
          </w:tcPr>
          <w:p>
            <w:pPr>
              <w:spacing w:after="20"/>
              <w:jc w:val="right"/>
            </w:pPr>
            <w:r>
              <w:rPr>
                <w:b/>
                <w:color w:val="1C3A36"/>
                <w:sz w:val="16"/>
              </w:rPr>
              <w:t>606</w:t>
            </w:r>
          </w:p>
        </w:tc>
        <w:tc>
          <w:tcPr>
            <w:tcW w:type="dxa" w:w="1382"/>
            <w:shd w:val="clear" w:color="auto" w:fill="F6F1E6"/>
          </w:tcPr>
          <w:p>
            <w:pPr>
              <w:spacing w:after="20"/>
              <w:jc w:val="right"/>
            </w:pPr>
            <w:r>
              <w:rPr>
                <w:b/>
                <w:color w:val="1C3A36"/>
                <w:sz w:val="16"/>
              </w:rPr>
              <w:t>700</w:t>
            </w:r>
          </w:p>
        </w:tc>
        <w:tc>
          <w:tcPr>
            <w:tcW w:type="dxa" w:w="1382"/>
            <w:shd w:val="clear" w:color="auto" w:fill="F6F1E6"/>
          </w:tcPr>
          <w:p>
            <w:pPr>
              <w:spacing w:after="20"/>
              <w:jc w:val="right"/>
            </w:pPr>
            <w:r>
              <w:rPr>
                <w:b/>
                <w:color w:val="1C3A36"/>
                <w:sz w:val="16"/>
              </w:rPr>
              <w:t>1,256</w:t>
            </w:r>
          </w:p>
        </w:tc>
        <w:tc>
          <w:tcPr>
            <w:tcW w:type="dxa" w:w="1382"/>
            <w:shd w:val="clear" w:color="auto" w:fill="F6F1E6"/>
          </w:tcPr>
          <w:p>
            <w:pPr>
              <w:spacing w:after="20"/>
              <w:jc w:val="right"/>
            </w:pPr>
            <w:r>
              <w:rPr>
                <w:b/>
                <w:color w:val="1C3A36"/>
                <w:sz w:val="16"/>
              </w:rPr>
              <w:t>1,235</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(83)</w:t>
            </w:r>
          </w:p>
        </w:tc>
        <w:tc>
          <w:tcPr>
            <w:tcW w:type="dxa" w:w="1382"/>
          </w:tcPr>
          <w:p>
            <w:pPr>
              <w:spacing w:after="20"/>
              <w:jc w:val="right"/>
            </w:pPr>
            <w:r>
              <w:rPr>
                <w:color w:val="1C3A36"/>
                <w:sz w:val="16"/>
              </w:rPr>
              <w:t>(94)</w:t>
            </w:r>
          </w:p>
        </w:tc>
        <w:tc>
          <w:tcPr>
            <w:tcW w:type="dxa" w:w="1382"/>
          </w:tcPr>
          <w:p>
            <w:pPr>
              <w:spacing w:after="20"/>
              <w:jc w:val="right"/>
            </w:pPr>
            <w:r>
              <w:rPr>
                <w:color w:val="1C3A36"/>
                <w:sz w:val="16"/>
              </w:rPr>
              <w:t>(88)</w:t>
            </w:r>
          </w:p>
        </w:tc>
        <w:tc>
          <w:tcPr>
            <w:tcW w:type="dxa" w:w="1382"/>
          </w:tcPr>
          <w:p>
            <w:pPr>
              <w:spacing w:after="20"/>
              <w:jc w:val="right"/>
            </w:pPr>
            <w:r>
              <w:rPr>
                <w:color w:val="1C3A36"/>
                <w:sz w:val="16"/>
              </w:rPr>
              <w:t>(79)</w:t>
            </w:r>
          </w:p>
        </w:tc>
        <w:tc>
          <w:tcPr>
            <w:tcW w:type="dxa" w:w="1382"/>
          </w:tcPr>
          <w:p>
            <w:pPr>
              <w:spacing w:after="20"/>
              <w:jc w:val="right"/>
            </w:pPr>
            <w:r>
              <w:rPr>
                <w:color w:val="1C3A36"/>
                <w:sz w:val="16"/>
              </w:rPr>
              <w:t>(37)</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31%</w:t>
            </w:r>
          </w:p>
        </w:tc>
        <w:tc>
          <w:tcPr>
            <w:tcW w:type="dxa" w:w="1382"/>
          </w:tcPr>
          <w:p>
            <w:pPr>
              <w:spacing w:after="20"/>
              <w:jc w:val="right"/>
            </w:pPr>
            <w:r>
              <w:rPr>
                <w:color w:val="1C3A36"/>
                <w:sz w:val="16"/>
              </w:rPr>
              <w:t>32%</w:t>
            </w:r>
          </w:p>
        </w:tc>
        <w:tc>
          <w:tcPr>
            <w:tcW w:type="dxa" w:w="1382"/>
          </w:tcPr>
          <w:p>
            <w:pPr>
              <w:spacing w:after="20"/>
              <w:jc w:val="right"/>
            </w:pPr>
            <w:r>
              <w:rPr>
                <w:color w:val="1C3A36"/>
                <w:sz w:val="16"/>
              </w:rPr>
              <w:t>32%</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39%</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1,417</w:t>
            </w:r>
          </w:p>
        </w:tc>
        <w:tc>
          <w:tcPr>
            <w:tcW w:type="dxa" w:w="1382"/>
          </w:tcPr>
          <w:p>
            <w:pPr>
              <w:spacing w:after="20"/>
              <w:jc w:val="right"/>
            </w:pPr>
            <w:r>
              <w:rPr>
                <w:color w:val="1C3A36"/>
                <w:sz w:val="16"/>
              </w:rPr>
              <w:t>1,608</w:t>
            </w:r>
          </w:p>
        </w:tc>
        <w:tc>
          <w:tcPr>
            <w:tcW w:type="dxa" w:w="1382"/>
          </w:tcPr>
          <w:p>
            <w:pPr>
              <w:spacing w:after="20"/>
              <w:jc w:val="right"/>
            </w:pPr>
            <w:r>
              <w:rPr>
                <w:color w:val="1C3A36"/>
                <w:sz w:val="16"/>
              </w:rPr>
              <w:t>1,519</w:t>
            </w:r>
          </w:p>
        </w:tc>
        <w:tc>
          <w:tcPr>
            <w:tcW w:type="dxa" w:w="1382"/>
          </w:tcPr>
          <w:p>
            <w:pPr>
              <w:spacing w:after="20"/>
              <w:jc w:val="right"/>
            </w:pPr>
            <w:r>
              <w:rPr>
                <w:color w:val="1C3A36"/>
                <w:sz w:val="16"/>
              </w:rPr>
              <w:t>1,350</w:t>
            </w:r>
          </w:p>
        </w:tc>
        <w:tc>
          <w:tcPr>
            <w:tcW w:type="dxa" w:w="1382"/>
          </w:tcPr>
          <w:p>
            <w:pPr>
              <w:spacing w:after="20"/>
              <w:jc w:val="right"/>
            </w:pPr>
            <w:r>
              <w:rPr>
                <w:color w:val="1C3A36"/>
                <w:sz w:val="16"/>
              </w:rPr>
              <w:t>634</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913</w:t>
            </w:r>
          </w:p>
        </w:tc>
        <w:tc>
          <w:tcPr>
            <w:tcW w:type="dxa" w:w="1382"/>
          </w:tcPr>
          <w:p>
            <w:pPr>
              <w:spacing w:after="20"/>
              <w:jc w:val="right"/>
            </w:pPr>
            <w:r>
              <w:rPr>
                <w:color w:val="1C3A36"/>
                <w:sz w:val="16"/>
              </w:rPr>
              <w:t>824</w:t>
            </w:r>
          </w:p>
        </w:tc>
        <w:tc>
          <w:tcPr>
            <w:tcW w:type="dxa" w:w="1382"/>
          </w:tcPr>
          <w:p>
            <w:pPr>
              <w:spacing w:after="20"/>
              <w:jc w:val="right"/>
            </w:pPr>
            <w:r>
              <w:rPr>
                <w:color w:val="1C3A36"/>
                <w:sz w:val="16"/>
              </w:rPr>
              <w:t>655</w:t>
            </w:r>
          </w:p>
        </w:tc>
        <w:tc>
          <w:tcPr>
            <w:tcW w:type="dxa" w:w="1382"/>
          </w:tcPr>
          <w:p>
            <w:pPr>
              <w:spacing w:after="20"/>
              <w:jc w:val="right"/>
            </w:pPr>
            <w:r>
              <w:rPr>
                <w:color w:val="1C3A36"/>
                <w:sz w:val="16"/>
              </w:rPr>
              <w:t>(61)</w:t>
            </w:r>
          </w:p>
        </w:tc>
        <w:tc>
          <w:tcPr>
            <w:tcW w:type="dxa" w:w="1382"/>
          </w:tcPr>
          <w:p>
            <w:pPr>
              <w:spacing w:after="20"/>
              <w:jc w:val="right"/>
            </w:pPr>
            <w:r>
              <w:rPr>
                <w:color w:val="1C3A36"/>
                <w:sz w:val="16"/>
              </w:rPr>
              <w:t>(774)</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0.49×</w:t>
            </w:r>
          </w:p>
        </w:tc>
        <w:tc>
          <w:tcPr>
            <w:tcW w:type="dxa" w:w="1382"/>
            <w:shd w:val="clear" w:color="auto" w:fill="F6F1E6"/>
          </w:tcPr>
          <w:p>
            <w:pPr>
              <w:spacing w:after="20"/>
              <w:jc w:val="right"/>
            </w:pPr>
            <w:r>
              <w:rPr>
                <w:b/>
                <w:color w:val="1C3A36"/>
                <w:sz w:val="16"/>
              </w:rPr>
              <w:t>0.43×</w:t>
            </w:r>
          </w:p>
        </w:tc>
        <w:tc>
          <w:tcPr>
            <w:tcW w:type="dxa" w:w="1382"/>
            <w:shd w:val="clear" w:color="auto" w:fill="F6F1E6"/>
          </w:tcPr>
          <w:p>
            <w:pPr>
              <w:spacing w:after="20"/>
              <w:jc w:val="right"/>
            </w:pPr>
            <w:r>
              <w:rPr>
                <w:b/>
                <w:color w:val="1C3A36"/>
                <w:sz w:val="16"/>
              </w:rPr>
              <w:t>0.32×</w:t>
            </w:r>
          </w:p>
        </w:tc>
        <w:tc>
          <w:tcPr>
            <w:tcW w:type="dxa" w:w="1382"/>
            <w:shd w:val="clear" w:color="auto" w:fill="F6F1E6"/>
          </w:tcPr>
          <w:p>
            <w:pPr>
              <w:spacing w:after="20"/>
              <w:jc w:val="right"/>
            </w:pPr>
            <w:r>
              <w:rPr>
                <w:b/>
                <w:color w:val="1C3A36"/>
                <w:sz w:val="16"/>
              </w:rPr>
              <w:t>-0.03×</w:t>
            </w:r>
          </w:p>
        </w:tc>
        <w:tc>
          <w:tcPr>
            <w:tcW w:type="dxa" w:w="1382"/>
            <w:shd w:val="clear" w:color="auto" w:fill="F6F1E6"/>
          </w:tcPr>
          <w:p>
            <w:pPr>
              <w:spacing w:after="20"/>
              <w:jc w:val="right"/>
            </w:pPr>
            <w:r>
              <w:rPr>
                <w:b/>
                <w:color w:val="1C3A36"/>
                <w:sz w:val="16"/>
              </w:rPr>
              <w:t>-0.40×</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8,387</w:t>
            </w:r>
          </w:p>
        </w:tc>
        <w:tc>
          <w:tcPr>
            <w:tcW w:type="dxa" w:w="1382"/>
          </w:tcPr>
          <w:p>
            <w:pPr>
              <w:spacing w:after="20"/>
              <w:jc w:val="right"/>
            </w:pPr>
            <w:r>
              <w:rPr>
                <w:color w:val="1C3A36"/>
                <w:sz w:val="16"/>
              </w:rPr>
              <w:t>9,173</w:t>
            </w:r>
          </w:p>
        </w:tc>
        <w:tc>
          <w:tcPr>
            <w:tcW w:type="dxa" w:w="1382"/>
          </w:tcPr>
          <w:p>
            <w:pPr>
              <w:spacing w:after="20"/>
              <w:jc w:val="right"/>
            </w:pPr>
            <w:r>
              <w:rPr>
                <w:color w:val="1C3A36"/>
                <w:sz w:val="16"/>
              </w:rPr>
              <w:t>9,928</w:t>
            </w:r>
          </w:p>
        </w:tc>
        <w:tc>
          <w:tcPr>
            <w:tcW w:type="dxa" w:w="1382"/>
          </w:tcPr>
          <w:p>
            <w:pPr>
              <w:spacing w:after="20"/>
              <w:jc w:val="right"/>
            </w:pPr>
            <w:r>
              <w:rPr>
                <w:color w:val="1C3A36"/>
                <w:sz w:val="16"/>
              </w:rPr>
              <w:t>10,074</w:t>
            </w:r>
          </w:p>
        </w:tc>
        <w:tc>
          <w:tcPr>
            <w:tcW w:type="dxa" w:w="1382"/>
          </w:tcPr>
          <w:p>
            <w:pPr>
              <w:spacing w:after="20"/>
              <w:jc w:val="right"/>
            </w:pPr>
            <w:r>
              <w:rPr>
                <w:color w:val="1C3A36"/>
                <w:sz w:val="16"/>
              </w:rPr>
              <w:t>10,145</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13.9%</w:t>
            </w:r>
          </w:p>
        </w:tc>
        <w:tc>
          <w:tcPr>
            <w:tcW w:type="dxa" w:w="1382"/>
          </w:tcPr>
          <w:p>
            <w:pPr>
              <w:spacing w:after="20"/>
              <w:jc w:val="right"/>
            </w:pPr>
            <w:r>
              <w:rPr>
                <w:color w:val="1C3A36"/>
                <w:sz w:val="16"/>
              </w:rPr>
              <w:t>13.5%</w:t>
            </w:r>
          </w:p>
        </w:tc>
        <w:tc>
          <w:tcPr>
            <w:tcW w:type="dxa" w:w="1382"/>
          </w:tcPr>
          <w:p>
            <w:pPr>
              <w:spacing w:after="20"/>
              <w:jc w:val="right"/>
            </w:pPr>
            <w:r>
              <w:rPr>
                <w:color w:val="1C3A36"/>
                <w:sz w:val="16"/>
              </w:rPr>
              <w:t>12.7%</w:t>
            </w:r>
          </w:p>
        </w:tc>
        <w:tc>
          <w:tcPr>
            <w:tcW w:type="dxa" w:w="1382"/>
          </w:tcPr>
          <w:p>
            <w:pPr>
              <w:spacing w:after="20"/>
              <w:jc w:val="right"/>
            </w:pPr>
            <w:r>
              <w:rPr>
                <w:color w:val="1C3A36"/>
                <w:sz w:val="16"/>
              </w:rPr>
              <w:t>11.7%</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7.15%</w:t>
            </w:r>
          </w:p>
        </w:tc>
        <w:tc>
          <w:tcPr>
            <w:tcW w:type="dxa" w:w="1382"/>
          </w:tcPr>
          <w:p>
            <w:pPr>
              <w:spacing w:after="20"/>
              <w:jc w:val="right"/>
            </w:pPr>
            <w:r>
              <w:rPr>
                <w:color w:val="1C3A36"/>
                <w:sz w:val="16"/>
              </w:rPr>
              <w:t>6.99%</w:t>
            </w:r>
          </w:p>
        </w:tc>
        <w:tc>
          <w:tcPr>
            <w:tcW w:type="dxa" w:w="1382"/>
          </w:tcPr>
          <w:p>
            <w:pPr>
              <w:spacing w:after="20"/>
              <w:jc w:val="right"/>
            </w:pPr>
            <w:r>
              <w:rPr>
                <w:color w:val="1C3A36"/>
                <w:sz w:val="16"/>
              </w:rPr>
              <w:t>6.83%</w:t>
            </w:r>
          </w:p>
        </w:tc>
        <w:tc>
          <w:tcPr>
            <w:tcW w:type="dxa" w:w="1382"/>
          </w:tcPr>
          <w:p>
            <w:pPr>
              <w:spacing w:after="20"/>
              <w:jc w:val="right"/>
            </w:pPr>
            <w:r>
              <w:rPr>
                <w:color w:val="1C3A36"/>
                <w:sz w:val="16"/>
              </w:rPr>
              <w:t>6.67%</w:t>
            </w:r>
          </w:p>
        </w:tc>
        <w:tc>
          <w:tcPr>
            <w:tcW w:type="dxa" w:w="1382"/>
          </w:tcPr>
          <w:p>
            <w:pPr>
              <w:spacing w:after="20"/>
              <w:jc w:val="right"/>
            </w:pPr>
            <w:r>
              <w:rPr>
                <w:color w:val="1C3A36"/>
                <w:sz w:val="16"/>
              </w:rPr>
              <w:t>6.51%</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+8.0pp</w:t>
            </w:r>
          </w:p>
        </w:tc>
        <w:tc>
          <w:tcPr>
            <w:tcW w:type="dxa" w:w="1382"/>
            <w:shd w:val="clear" w:color="auto" w:fill="F6F1E6"/>
          </w:tcPr>
          <w:p>
            <w:pPr>
              <w:spacing w:after="20"/>
              <w:jc w:val="right"/>
            </w:pPr>
            <w:r>
              <w:rPr>
                <w:b/>
                <w:color w:val="1C3A36"/>
                <w:sz w:val="16"/>
              </w:rPr>
              <w:t>+6.9pp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+5.2pp</w:t>
            </w:r>
          </w:p>
        </w:tc>
      </w:tr>
    </w:tbl>
    <w:p>
      <w:pPr>
        <w:spacing w:after="40"/>
      </w:pPr>
    </w:p>
    <w:p>
      <w:pPr>
        <w:spacing w:after="120" w:before="0"/>
      </w:pPr>
      <w:r>
        <w:rPr>
          <w:b w:val="0"/>
          <w:i w:val="0"/>
          <w:color w:val="1C3A36"/>
          <w:sz w:val="21"/>
        </w:rPr>
        <w:t>Three things in that table are worth reading together. Free cash flow to the firm is only USD 298 million in 2026E — on earnings of USD 1,860 million — because the capital programme peaks at USD 1,375 million and working capital builds by USD 137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+8.0 percentage points to +5.2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2.43 a share</w:t>
            </w:r>
          </w:p>
        </w:tc>
      </w:tr>
      <w:tr>
        <w:trPr>
          <w:cantSplit/>
        </w:trPr>
        <w:tc>
          <w:tcPr>
            <w:tcW w:type="dxa" w:w="2592"/>
          </w:tcPr>
          <w:p>
            <w:pPr>
              <w:spacing w:after="20"/>
            </w:pPr>
            <w:r>
              <w:rPr>
                <w:color w:val="1C3A36"/>
                <w:sz w:val="16"/>
              </w:rPr>
              <w:t>The cost-of-equity construction</w:t>
            </w:r>
          </w:p>
        </w:tc>
        <w:tc>
          <w:tcPr>
            <w:tcW w:type="dxa" w:w="3960"/>
          </w:tcPr>
          <w:p>
            <w:pPr>
              <w:spacing w:after="20"/>
            </w:pPr>
            <w:r>
              <w:rPr>
                <w:color w:val="1C3A36"/>
                <w:sz w:val="16"/>
              </w:rPr>
              <w:t>the share’s own regressed beta against an asset-risk beta of one</w:t>
            </w:r>
          </w:p>
        </w:tc>
        <w:tc>
          <w:tcPr>
            <w:tcW w:type="dxa" w:w="3528"/>
          </w:tcPr>
          <w:p>
            <w:pPr>
              <w:spacing w:after="20"/>
            </w:pPr>
            <w:r>
              <w:rPr>
                <w:color w:val="1C3A36"/>
                <w:sz w:val="16"/>
              </w:rPr>
              <w:t>AED 2.24 a share between the two published constructions, and AED 5.78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5,815 million</w:t>
            </w:r>
          </w:p>
        </w:tc>
        <w:tc>
          <w:tcPr>
            <w:tcW w:type="dxa" w:w="3528"/>
          </w:tcPr>
          <w:p>
            <w:pPr>
              <w:spacing w:after="20"/>
            </w:pPr>
            <w:r>
              <w:rPr>
                <w:color w:val="1C3A36"/>
                <w:sz w:val="16"/>
              </w:rPr>
              <w:t>the capital-expenditure row spans AED 1.45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1.33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0.24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Company figures come only from the company's own issued statements and disclosures; no data vendor, broker or press report is used as the source of any reported historical figure.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9,355 a day used is solved so that the owned fleet's charter-equivalent revenue less running cost reproduces the reported FY2025 result for the unit.</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1,948</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(620)</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1,328</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(57)</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(76)</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1,220</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(107)</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1,016</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0.1373</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6.05</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4.54 – 7.56</w:t>
            </w:r>
          </w:p>
        </w:tc>
      </w:tr>
    </w:tbl>
    <w:p>
      <w:pPr>
        <w:spacing w:after="40"/>
      </w:pPr>
    </w:p>
    <w:p>
      <w:pPr>
        <w:spacing w:after="120" w:before="0"/>
      </w:pPr>
      <w:r>
        <w:rPr>
          <w:b w:val="0"/>
          <w:i w:val="0"/>
          <w:color w:val="1C3A36"/>
          <w:sz w:val="21"/>
        </w:rPr>
        <w:t>Named sensitivity: each single turn of the multiple is worth AED 0.50 a share, so the 9×-to-15× range above spans AED 3.03. And every USD 100 million of mid-cycle earnings before interest, tax, depreciation and amortisation — about 5.1%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819</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(69)</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676</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(7.49%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12,550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6.23</w:t>
            </w:r>
          </w:p>
        </w:tc>
      </w:tr>
      <w:tr>
        <w:trPr>
          <w:cantSplit/>
        </w:trPr>
        <w:tc>
          <w:tcPr>
            <w:tcW w:type="dxa" w:w="6912"/>
          </w:tcPr>
          <w:p>
            <w:pPr>
              <w:spacing w:after="20"/>
            </w:pPr>
            <w:r>
              <w:rPr>
                <w:color w:val="1C3A36"/>
                <w:sz w:val="16"/>
              </w:rPr>
              <w:t>Range — the low end at a cost of equity on a beta of one and lower growth, the high end at a lower country charge and higher growth</w:t>
            </w:r>
          </w:p>
        </w:tc>
        <w:tc>
          <w:tcPr>
            <w:tcW w:type="dxa" w:w="3168"/>
          </w:tcPr>
          <w:p>
            <w:pPr>
              <w:spacing w:after="20"/>
              <w:jc w:val="right"/>
            </w:pPr>
            <w:r>
              <w:rPr>
                <w:color w:val="1C3A36"/>
                <w:sz w:val="16"/>
              </w:rPr>
              <w:t>4.27 – 8.11</w:t>
            </w:r>
          </w:p>
        </w:tc>
      </w:tr>
    </w:tbl>
    <w:p>
      <w:pPr>
        <w:spacing w:after="40"/>
      </w:pPr>
    </w:p>
    <w:p>
      <w:pPr>
        <w:spacing w:after="120" w:before="0"/>
      </w:pPr>
      <w:r>
        <w:rPr>
          <w:b w:val="0"/>
          <w:i w:val="0"/>
          <w:color w:val="1C3A36"/>
          <w:sz w:val="21"/>
        </w:rPr>
        <w:t>This expert lands at AED 6.23, below the study's own weighted central of AED 7.94, and the reason is specific: the five-year average free cash flow of USD 819 million is dragged down by the investment years. Free cash flow to the firm is USD 298 million in 2026E and USD 1,256 million in 2029E; averaging a business across a period when it is building the assets that produce the later number is a real charge against it. That is the method doing what it says it does, and it is why the range extends as high as AED 8.11.</w:t>
      </w:r>
    </w:p>
    <w:p>
      <w:pPr>
        <w:spacing w:after="120" w:before="0"/>
      </w:pPr>
      <w:r>
        <w:rPr>
          <w:b w:val="0"/>
          <w:i w:val="0"/>
          <w:color w:val="1C3A36"/>
          <w:sz w:val="21"/>
        </w:rPr>
        <w:t>Named sensitivity: this method is a single-stage capitalisation, so it is more sensitive to the cost of equity than anything else in the study. At a cost of equity on a beta of one — 8.93% instead of 7.49% — the same owner cash earnings capitalise to roughly AED 4.94 a share, a fall of about 21%. This expert is therefore the one most exposed to the study's central contested judgement,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2,422</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7,323</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17,177</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(2,479)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14,698</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7.30</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5.00 – 9.11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13.9%</w:t>
            </w:r>
          </w:p>
        </w:tc>
        <w:tc>
          <w:tcPr>
            <w:tcW w:type="dxa" w:w="1382"/>
          </w:tcPr>
          <w:p>
            <w:pPr>
              <w:spacing w:after="20"/>
              <w:jc w:val="right"/>
            </w:pPr>
            <w:r>
              <w:rPr>
                <w:color w:val="1C3A36"/>
                <w:sz w:val="16"/>
              </w:rPr>
              <w:t>13.5%</w:t>
            </w:r>
          </w:p>
        </w:tc>
        <w:tc>
          <w:tcPr>
            <w:tcW w:type="dxa" w:w="1382"/>
          </w:tcPr>
          <w:p>
            <w:pPr>
              <w:spacing w:after="20"/>
              <w:jc w:val="right"/>
            </w:pPr>
            <w:r>
              <w:rPr>
                <w:color w:val="1C3A36"/>
                <w:sz w:val="16"/>
              </w:rPr>
              <w:t>12.7%</w:t>
            </w:r>
          </w:p>
        </w:tc>
        <w:tc>
          <w:tcPr>
            <w:tcW w:type="dxa" w:w="1382"/>
          </w:tcPr>
          <w:p>
            <w:pPr>
              <w:spacing w:after="20"/>
              <w:jc w:val="right"/>
            </w:pPr>
            <w:r>
              <w:rPr>
                <w:color w:val="1C3A36"/>
                <w:sz w:val="16"/>
              </w:rPr>
              <w:t>11.7%</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7.31%</w:t>
            </w:r>
          </w:p>
        </w:tc>
        <w:tc>
          <w:tcPr>
            <w:tcW w:type="dxa" w:w="1382"/>
          </w:tcPr>
          <w:p>
            <w:pPr>
              <w:spacing w:after="20"/>
              <w:jc w:val="right"/>
            </w:pPr>
            <w:r>
              <w:rPr>
                <w:color w:val="1C3A36"/>
                <w:sz w:val="16"/>
              </w:rPr>
              <w:t>7.31%</w:t>
            </w:r>
          </w:p>
        </w:tc>
        <w:tc>
          <w:tcPr>
            <w:tcW w:type="dxa" w:w="1382"/>
          </w:tcPr>
          <w:p>
            <w:pPr>
              <w:spacing w:after="20"/>
              <w:jc w:val="right"/>
            </w:pPr>
            <w:r>
              <w:rPr>
                <w:color w:val="1C3A36"/>
                <w:sz w:val="16"/>
              </w:rPr>
              <w:t>7.31%</w:t>
            </w:r>
          </w:p>
        </w:tc>
        <w:tc>
          <w:tcPr>
            <w:tcW w:type="dxa" w:w="1382"/>
          </w:tcPr>
          <w:p>
            <w:pPr>
              <w:spacing w:after="20"/>
              <w:jc w:val="right"/>
            </w:pPr>
            <w:r>
              <w:rPr>
                <w:color w:val="1C3A36"/>
                <w:sz w:val="16"/>
              </w:rPr>
              <w:t>7.31%</w:t>
            </w:r>
          </w:p>
        </w:tc>
        <w:tc>
          <w:tcPr>
            <w:tcW w:type="dxa" w:w="1382"/>
          </w:tcPr>
          <w:p>
            <w:pPr>
              <w:spacing w:after="20"/>
              <w:jc w:val="right"/>
            </w:pPr>
            <w:r>
              <w:rPr>
                <w:color w:val="1C3A36"/>
                <w:sz w:val="16"/>
              </w:rPr>
              <w:t>7.31%</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+7.8pp</w:t>
            </w:r>
          </w:p>
        </w:tc>
        <w:tc>
          <w:tcPr>
            <w:tcW w:type="dxa" w:w="1382"/>
            <w:shd w:val="clear" w:color="auto" w:fill="F6F1E6"/>
          </w:tcPr>
          <w:p>
            <w:pPr>
              <w:spacing w:after="20"/>
              <w:jc w:val="right"/>
            </w:pPr>
            <w:r>
              <w:rPr>
                <w:b/>
                <w:color w:val="1C3A36"/>
                <w:sz w:val="16"/>
              </w:rPr>
              <w:t>+6.6pp</w:t>
            </w:r>
          </w:p>
        </w:tc>
        <w:tc>
          <w:tcPr>
            <w:tcW w:type="dxa" w:w="1382"/>
            <w:shd w:val="clear" w:color="auto" w:fill="F6F1E6"/>
          </w:tcPr>
          <w:p>
            <w:pPr>
              <w:spacing w:after="20"/>
              <w:jc w:val="right"/>
            </w:pPr>
            <w:r>
              <w:rPr>
                <w:b/>
                <w:color w:val="1C3A36"/>
                <w:sz w:val="16"/>
              </w:rPr>
              <w:t>+6.2pp</w:t>
            </w:r>
          </w:p>
        </w:tc>
        <w:tc>
          <w:tcPr>
            <w:tcW w:type="dxa" w:w="1382"/>
            <w:shd w:val="clear" w:color="auto" w:fill="F6F1E6"/>
          </w:tcPr>
          <w:p>
            <w:pPr>
              <w:spacing w:after="20"/>
              <w:jc w:val="right"/>
            </w:pPr>
            <w:r>
              <w:rPr>
                <w:b/>
                <w:color w:val="1C3A36"/>
                <w:sz w:val="16"/>
              </w:rPr>
              <w:t>+5.4pp</w:t>
            </w:r>
          </w:p>
        </w:tc>
        <w:tc>
          <w:tcPr>
            <w:tcW w:type="dxa" w:w="1382"/>
            <w:shd w:val="clear" w:color="auto" w:fill="F6F1E6"/>
          </w:tcPr>
          <w:p>
            <w:pPr>
              <w:spacing w:after="20"/>
              <w:jc w:val="right"/>
            </w:pPr>
            <w:r>
              <w:rPr>
                <w:b/>
                <w:color w:val="1C3A36"/>
                <w:sz w:val="16"/>
              </w:rPr>
              <w:t>+4.4pp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658</w:t>
            </w:r>
          </w:p>
        </w:tc>
        <w:tc>
          <w:tcPr>
            <w:tcW w:type="dxa" w:w="1382"/>
          </w:tcPr>
          <w:p>
            <w:pPr>
              <w:spacing w:after="20"/>
              <w:jc w:val="right"/>
            </w:pPr>
            <w:r>
              <w:rPr>
                <w:color w:val="1C3A36"/>
                <w:sz w:val="16"/>
              </w:rPr>
              <w:t>607</w:t>
            </w:r>
          </w:p>
        </w:tc>
        <w:tc>
          <w:tcPr>
            <w:tcW w:type="dxa" w:w="1382"/>
          </w:tcPr>
          <w:p>
            <w:pPr>
              <w:spacing w:after="20"/>
              <w:jc w:val="right"/>
            </w:pPr>
            <w:r>
              <w:rPr>
                <w:color w:val="1C3A36"/>
                <w:sz w:val="16"/>
              </w:rPr>
              <w:t>613</w:t>
            </w:r>
          </w:p>
        </w:tc>
        <w:tc>
          <w:tcPr>
            <w:tcW w:type="dxa" w:w="1382"/>
          </w:tcPr>
          <w:p>
            <w:pPr>
              <w:spacing w:after="20"/>
              <w:jc w:val="right"/>
            </w:pPr>
            <w:r>
              <w:rPr>
                <w:color w:val="1C3A36"/>
                <w:sz w:val="16"/>
              </w:rPr>
              <w:t>546</w:t>
            </w:r>
          </w:p>
        </w:tc>
        <w:tc>
          <w:tcPr>
            <w:tcW w:type="dxa" w:w="1382"/>
          </w:tcPr>
          <w:p>
            <w:pPr>
              <w:spacing w:after="20"/>
              <w:jc w:val="right"/>
            </w:pPr>
            <w:r>
              <w:rPr>
                <w:color w:val="1C3A36"/>
                <w:sz w:val="16"/>
              </w:rPr>
              <w:t>443</w:t>
            </w:r>
          </w:p>
        </w:tc>
      </w:tr>
    </w:tbl>
    <w:p>
      <w:pPr>
        <w:spacing w:after="40"/>
      </w:pPr>
    </w:p>
    <w:p>
      <w:pPr>
        <w:spacing w:after="200" w:before="0"/>
      </w:pPr>
      <w:r>
        <w:rPr>
          <w:b w:val="0"/>
          <w:i/>
          <w:color w:val="6E7B77"/>
          <w:sz w:val="17"/>
        </w:rPr>
        <w:t>This is the most revealing exhibit in the study. The spread is positive in every forecast year — the business earns 15% on capital in 2026E against a cost of 7%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7.31% held flat across all five years rather than the declining schedule the cash-flow model discounts at, so the spread row is exactly the return row less 7.31% and the economic-profit row is exactly that spread on the same closing capital. Appendix A.3 shows the spread on the declining schedule instead, which is why the two tables give different spreads from the same returns. Note also that this leg's enterprise value of USD 17,177 million differs from the cash-flow model's USD 19,891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takes it below the market price.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298 million to USD 1,256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as the central unresolved issue, and it is why the panel divides the way it does. Expert 1 never touches it. Expert 2 is fully exposed to it, which is why its range spans AED 3.84. Expert 3 prices it year by year and finds that the spread stays positive on either construction, which is the one useful thing the panel can say about it: the business creates value at both costs of capital — the argument is only about how much.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6.53, the vertical line the market price of AED 6.16.</w:t>
      </w:r>
    </w:p>
    <w:p>
      <w:pPr>
        <w:spacing w:after="120" w:before="0"/>
      </w:pPr>
      <w:r>
        <w:rPr>
          <w:b w:val="0"/>
          <w:i w:val="0"/>
          <w:color w:val="1C3A36"/>
          <w:sz w:val="21"/>
        </w:rPr>
        <w:t>The panel spans AED 6.05 to 7.30 — a factor of 1.21 between the most and least generous base case, which is a narrow disagreement by the standards of this series. That narrowness is itself informative: three methods that share almost nothing methodologically land within AED 1.24 of one another, and all three land near the market price rather than near this study's own weighted central of AED 7.94.</w:t>
      </w:r>
    </w:p>
    <w:p>
      <w:pPr>
        <w:spacing w:after="120" w:before="0"/>
      </w:pPr>
      <w:r>
        <w:rPr>
          <w:b w:val="0"/>
          <w:i w:val="0"/>
          <w:color w:val="1C3A36"/>
          <w:sz w:val="21"/>
        </w:rPr>
        <w:t>The panel centre of AED 6.53 sits 6% above the market price and -18% against this study's own-beta central. That gap is real and it has a single explanation: every one of the three experts works from mid-cycle or five-year-average earnings, and none of them capitalises a terminal value the way the cash-flow model does. The cash-flow model puts 84%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7.49%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they can agree on a number for entirely different reasons</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84%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w:t>
            </w:r>
          </w:p>
        </w:tc>
        <w:tc>
          <w:tcPr>
            <w:tcW w:type="dxa" w:w="2074"/>
          </w:tcPr>
          <w:p>
            <w:pPr>
              <w:spacing w:after="20"/>
            </w:pPr>
            <w:r>
              <w:rPr>
                <w:color w:val="1C3A36"/>
                <w:sz w:val="15"/>
              </w:rPr>
              <w:t>the two treatments differ by AED 0.24 a share in the main model</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cost of equity, which is the widest single sensitivity in it, and for the treatment of the perpetual capital securities. Neither pair is averaged, because an average of two constructions is a number that neither construction supports.</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