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160"/>
      </w:pPr>
      <w:r>
        <w:rPr>
          <w:b/>
          <w:i w:val="0"/>
          <w:color w:val="1C3A36"/>
          <w:sz w:val="42"/>
        </w:rPr>
        <w:t>eXtra — United Electronics Company</w:t>
      </w:r>
    </w:p>
    <w:p>
      <w:pPr>
        <w:spacing w:after="40" w:before="0"/>
      </w:pPr>
      <w:r>
        <w:rPr>
          <w:b/>
          <w:i w:val="0"/>
          <w:color w:val="896F36"/>
          <w:sz w:val="24"/>
        </w:rPr>
        <w:t>Subject: United Electronics Company (Tadawul: 4003)</w:t>
      </w:r>
    </w:p>
    <w:p>
      <w:pPr>
        <w:spacing w:after="120" w:before="0"/>
      </w:pPr>
      <w:r>
        <w:rPr>
          <w:b w:val="0"/>
          <w:i/>
          <w:color w:val="6E7B77"/>
          <w:sz w:val="21"/>
        </w:rPr>
        <w:t>Fundamental analysis · Technical analysis · Monte Carlo simulation — one integrated read</w:t>
      </w:r>
    </w:p>
    <w:p>
      <w:pPr>
        <w:spacing w:after="160" w:before="0"/>
      </w:pPr>
      <w:r>
        <w:rPr>
          <w:b/>
          <w:i w:val="0"/>
          <w:color w:val="1C3A36"/>
          <w:sz w:val="19"/>
        </w:rPr>
        <w:t xml:space="preserve">Spot </w:t>
      </w:r>
      <w:r>
        <w:rPr>
          <w:b w:val="0"/>
          <w:i w:val="0"/>
          <w:color w:val="1C3A36"/>
          <w:sz w:val="19"/>
        </w:rPr>
        <w:t>SAR 68.10</w:t>
      </w:r>
      <w:r>
        <w:rPr>
          <w:b/>
          <w:i w:val="0"/>
          <w:color w:val="1C3A36"/>
          <w:sz w:val="19"/>
        </w:rPr>
        <w:t xml:space="preserve">  ·  Close </w:t>
      </w:r>
      <w:r>
        <w:rPr>
          <w:b w:val="0"/>
          <w:i w:val="0"/>
          <w:color w:val="1C3A36"/>
          <w:sz w:val="19"/>
        </w:rPr>
        <w:t>2026-07-09</w:t>
      </w:r>
      <w:r>
        <w:rPr>
          <w:b/>
          <w:i w:val="0"/>
          <w:color w:val="1C3A36"/>
          <w:sz w:val="19"/>
        </w:rPr>
        <w:t xml:space="preserve">  ·  Shares </w:t>
      </w:r>
      <w:r>
        <w:rPr>
          <w:b w:val="0"/>
          <w:i w:val="0"/>
          <w:color w:val="1C3A36"/>
          <w:sz w:val="19"/>
        </w:rPr>
        <w:t>80m</w:t>
      </w:r>
      <w:r>
        <w:rPr>
          <w:b/>
          <w:i w:val="0"/>
          <w:color w:val="1C3A36"/>
          <w:sz w:val="19"/>
        </w:rPr>
        <w:t xml:space="preserve">  ·  Mkt cap </w:t>
      </w:r>
      <w:r>
        <w:rPr>
          <w:b w:val="0"/>
          <w:i w:val="0"/>
          <w:color w:val="1C3A36"/>
          <w:sz w:val="19"/>
        </w:rPr>
        <w:t>SAR 5,448m</w:t>
      </w:r>
      <w:r>
        <w:rPr>
          <w:b w:val="0"/>
          <w:i w:val="0"/>
          <w:color w:val="1C3A36"/>
          <w:sz w:val="19"/>
        </w:rPr>
        <w:t xml:space="preserve">  ·  </w:t>
      </w:r>
      <w:r>
        <w:rPr>
          <w:b w:val="0"/>
          <w:i/>
          <w:color w:val="896F36"/>
          <w:sz w:val="19"/>
        </w:rPr>
        <w:t>Split-legs SOTP; a defensive, high-yield retailer + captive lender at a 52-week low.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educational valuation framework, not investment advice, and not a rating or price target. Fair value is shown as a range and a probability distribution, never a single number.</w:t>
            </w:r>
          </w:p>
          <w:p>
            <w:pPr>
              <w:spacing w:after="100"/>
            </w:pPr>
            <w:r>
              <w:rPr>
                <w:b/>
                <w:color w:val="1C3A36"/>
                <w:sz w:val="19"/>
              </w:rPr>
              <w:t xml:space="preserve">Primary lens. </w:t>
            </w:r>
            <w:r>
              <w:rPr>
                <w:color w:val="1C3A36"/>
                <w:sz w:val="19"/>
              </w:rPr>
              <w:t>Split-the-legs sum-of-the-parts — the retail operating company valued by discounted cash flow, and Tasheel, the 68.75%-owned captive consumer-finance subsidiary, valued on its own equity book. The two are never blended.</w:t>
            </w:r>
          </w:p>
          <w:p>
            <w:pPr>
              <w:spacing w:after="100"/>
            </w:pPr>
            <w:r>
              <w:rPr>
                <w:b/>
                <w:color w:val="1C3A36"/>
                <w:sz w:val="19"/>
              </w:rPr>
              <w:t xml:space="preserve">Near-term path. </w:t>
            </w:r>
            <w:r>
              <w:rPr>
                <w:color w:val="1C3A36"/>
                <w:sz w:val="19"/>
              </w:rPr>
              <w:t>The Monte Carlo is carry-anchored, so its median is roughly flat: eXtra pays its risk-free carry, and more, out as a ~6.9% dividend. Expected total return ≈ the risk-free rate, delivered as dividend; the price median sits marginally below spot because the dividend yield exceeds the risk-free rate.</w:t>
            </w:r>
          </w:p>
          <w:p>
            <w:pPr>
              <w:spacing w:after="100"/>
            </w:pPr>
            <w:r>
              <w:rPr>
                <w:b/>
                <w:color w:val="1C3A36"/>
                <w:sz w:val="19"/>
              </w:rPr>
              <w:t xml:space="preserve">Calibration. </w:t>
            </w:r>
            <w:r>
              <w:rPr>
                <w:color w:val="1C3A36"/>
                <w:sz w:val="19"/>
              </w:rPr>
              <w:t>Step 0 clears the v3 gate at PARITY (CRPS skill -0.050, 90% CI [-0.140, +0.007]) — a calibrated, market-panel-validated distribution with no single-name edge claimed, which is the honest tier for a Saudi carry-only name.</w:t>
            </w:r>
          </w:p>
          <w:p>
            <w:pPr>
              <w:spacing w:after="100"/>
            </w:pPr>
            <w:r>
              <w:rPr>
                <w:b/>
                <w:color w:val="1C3A36"/>
                <w:sz w:val="19"/>
              </w:rPr>
              <w:t xml:space="preserve">Disclosure. </w:t>
            </w:r>
            <w:r>
              <w:rPr>
                <w:color w:val="1C3A36"/>
                <w:sz w:val="19"/>
              </w:rPr>
              <w:t>The preparer may hold, and may in the future take or dispose of, a position in the security discussed in this report.</w:t>
            </w:r>
          </w:p>
        </w:tc>
      </w:tr>
    </w:tbl>
    <w:p>
      <w:pPr>
        <w:spacing w:after="40"/>
      </w:pPr>
    </w:p>
    <w:p>
      <w:pPr>
        <w:spacing w:after="100" w:before="260"/>
      </w:pPr>
      <w:r>
        <w:rPr>
          <w:b/>
          <w:i w:val="0"/>
          <w:color w:val="1C3A36"/>
          <w:sz w:val="30"/>
        </w:rPr>
        <w:t>The company</w:t>
      </w:r>
    </w:p>
    <w:p>
      <w:pPr>
        <w:spacing w:after="120" w:before="0"/>
      </w:pPr>
      <w:r>
        <w:rPr>
          <w:b w:val="0"/>
          <w:i w:val="0"/>
          <w:color w:val="1C3A36"/>
          <w:sz w:val="21"/>
        </w:rPr>
        <w:t>United Electronics Company — trading as eXtra — is Saudi Arabia’s largest specialty retailer of consumer electronics, home appliances and mobile devices, founded in 2002 and headquartered in Al-Khobar. It sells through a national network of big-box stores and its Clix online marketplace (a joint venture with Panda), and it earns money in two distinct ways: a thin-margin but highly cash-generative retail business, and Tasheel, a 68.75%-owned consumer-finance subsidiary that lends to eXtra’s own customers through Sharia-compliant Murabaha, Tawarruq and Islamic-card products. That embedded-finance model is its competitive moat — by owning the credit relationship on its own big-ticket sales, eXtra captures a high-return lending spread on top of retail margins that pure retailers and online marketplaces cannot, which is why the consumer-finance arm, at roughly 7% of revenue, produces close to half of group net income. Majority-owned by United International Holding (69%) and the Al Fozan family (15%) and listed on Tadawul since 2011, it generated FY2025 revenue of about SAR 7.45bn and net income of about SAR 497m. It is a defensive, category-leading, high-dividend name — a ~76% payout and a yield near 7% — whose growth is geared to Saudi consumption, Vision-2030 household spending, and the migration of informal consumer credit into regulated finance.</w:t>
      </w:r>
    </w:p>
    <w:p>
      <w:pPr>
        <w:spacing w:after="60" w:before="180"/>
      </w:pPr>
      <w:r>
        <w:rPr>
          <w:b/>
          <w:i w:val="0"/>
          <w:color w:val="1C3A36"/>
          <w:sz w:val="24"/>
        </w:rPr>
        <w:t>Company overview —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3024"/>
            <w:shd w:val="clear" w:color="auto" w:fill="EAF0EE"/>
          </w:tcPr>
          <w:p>
            <w:pPr>
              <w:spacing w:after="20"/>
            </w:pPr>
            <w:r>
              <w:rPr>
                <w:b/>
                <w:color w:val="1C3A36"/>
                <w:sz w:val="18"/>
              </w:rPr>
              <w:t>Item</w:t>
            </w:r>
          </w:p>
        </w:tc>
        <w:tc>
          <w:tcPr>
            <w:tcW w:type="dxa" w:w="7056"/>
            <w:shd w:val="clear" w:color="auto" w:fill="EAF0EE"/>
          </w:tcPr>
          <w:p>
            <w:pPr>
              <w:spacing w:after="20"/>
            </w:pPr>
            <w:r>
              <w:rPr>
                <w:b/>
                <w:color w:val="1C3A36"/>
                <w:sz w:val="18"/>
              </w:rPr>
              <w:t>Value</w:t>
            </w:r>
          </w:p>
        </w:tc>
      </w:tr>
      <w:tr>
        <w:tc>
          <w:tcPr>
            <w:tcW w:type="dxa" w:w="3024"/>
          </w:tcPr>
          <w:p>
            <w:pPr>
              <w:spacing w:after="20"/>
            </w:pPr>
            <w:r>
              <w:rPr>
                <w:b/>
                <w:color w:val="1C3A36"/>
                <w:sz w:val="18"/>
              </w:rPr>
              <w:t>Company</w:t>
            </w:r>
          </w:p>
        </w:tc>
        <w:tc>
          <w:tcPr>
            <w:tcW w:type="dxa" w:w="7056"/>
          </w:tcPr>
          <w:p>
            <w:pPr>
              <w:spacing w:after="20"/>
              <w:jc w:val="right"/>
            </w:pPr>
            <w:r>
              <w:rPr>
                <w:color w:val="1C3A36"/>
                <w:sz w:val="18"/>
              </w:rPr>
              <w:t>United Electronics Company ("eXtra")</w:t>
            </w:r>
          </w:p>
        </w:tc>
      </w:tr>
      <w:tr>
        <w:tc>
          <w:tcPr>
            <w:tcW w:type="dxa" w:w="3024"/>
          </w:tcPr>
          <w:p>
            <w:pPr>
              <w:spacing w:after="20"/>
            </w:pPr>
            <w:r>
              <w:rPr>
                <w:b/>
                <w:color w:val="1C3A36"/>
                <w:sz w:val="18"/>
              </w:rPr>
              <w:t>Exchange / ticker</w:t>
            </w:r>
          </w:p>
        </w:tc>
        <w:tc>
          <w:tcPr>
            <w:tcW w:type="dxa" w:w="7056"/>
          </w:tcPr>
          <w:p>
            <w:pPr>
              <w:spacing w:after="20"/>
              <w:jc w:val="right"/>
            </w:pPr>
            <w:r>
              <w:rPr>
                <w:color w:val="1C3A36"/>
                <w:sz w:val="18"/>
              </w:rPr>
              <w:t>Saudi Exchange (Tadawul) : 4003</w:t>
            </w:r>
          </w:p>
        </w:tc>
      </w:tr>
      <w:tr>
        <w:tc>
          <w:tcPr>
            <w:tcW w:type="dxa" w:w="3024"/>
          </w:tcPr>
          <w:p>
            <w:pPr>
              <w:spacing w:after="20"/>
            </w:pPr>
            <w:r>
              <w:rPr>
                <w:b/>
                <w:color w:val="1C3A36"/>
                <w:sz w:val="18"/>
              </w:rPr>
              <w:t>Sector</w:t>
            </w:r>
          </w:p>
        </w:tc>
        <w:tc>
          <w:tcPr>
            <w:tcW w:type="dxa" w:w="7056"/>
          </w:tcPr>
          <w:p>
            <w:pPr>
              <w:spacing w:after="20"/>
              <w:jc w:val="right"/>
            </w:pPr>
            <w:r>
              <w:rPr>
                <w:color w:val="1C3A36"/>
                <w:sz w:val="18"/>
              </w:rPr>
              <w:t>Consumer discretionary — electronics &amp; appliances retail + consumer finance</w:t>
            </w:r>
          </w:p>
        </w:tc>
      </w:tr>
      <w:tr>
        <w:tc>
          <w:tcPr>
            <w:tcW w:type="dxa" w:w="3024"/>
          </w:tcPr>
          <w:p>
            <w:pPr>
              <w:spacing w:after="20"/>
            </w:pPr>
            <w:r>
              <w:rPr>
                <w:b/>
                <w:color w:val="1C3A36"/>
                <w:sz w:val="18"/>
              </w:rPr>
              <w:t>Segments</w:t>
            </w:r>
          </w:p>
        </w:tc>
        <w:tc>
          <w:tcPr>
            <w:tcW w:type="dxa" w:w="7056"/>
          </w:tcPr>
          <w:p>
            <w:pPr>
              <w:spacing w:after="20"/>
              <w:jc w:val="right"/>
            </w:pPr>
            <w:r>
              <w:rPr>
                <w:color w:val="1C3A36"/>
                <w:sz w:val="18"/>
              </w:rPr>
              <w:t>Sales &amp; Services (retail); Consumer Finance ("Tasheel", 68.75%-owned)</w:t>
            </w:r>
          </w:p>
        </w:tc>
      </w:tr>
      <w:tr>
        <w:tc>
          <w:tcPr>
            <w:tcW w:type="dxa" w:w="3024"/>
          </w:tcPr>
          <w:p>
            <w:pPr>
              <w:spacing w:after="20"/>
            </w:pPr>
            <w:r>
              <w:rPr>
                <w:b/>
                <w:color w:val="1C3A36"/>
                <w:sz w:val="18"/>
              </w:rPr>
              <w:t>Founded / HQ</w:t>
            </w:r>
          </w:p>
        </w:tc>
        <w:tc>
          <w:tcPr>
            <w:tcW w:type="dxa" w:w="7056"/>
          </w:tcPr>
          <w:p>
            <w:pPr>
              <w:spacing w:after="20"/>
              <w:jc w:val="right"/>
            </w:pPr>
            <w:r>
              <w:rPr>
                <w:color w:val="1C3A36"/>
                <w:sz w:val="18"/>
              </w:rPr>
              <w:t>2002 / Al-Khobar, Saudi Arabia</w:t>
            </w:r>
          </w:p>
        </w:tc>
      </w:tr>
      <w:tr>
        <w:tc>
          <w:tcPr>
            <w:tcW w:type="dxa" w:w="3024"/>
          </w:tcPr>
          <w:p>
            <w:pPr>
              <w:spacing w:after="20"/>
            </w:pPr>
            <w:r>
              <w:rPr>
                <w:b/>
                <w:color w:val="1C3A36"/>
                <w:sz w:val="18"/>
              </w:rPr>
              <w:t>Shares outstanding</w:t>
            </w:r>
          </w:p>
        </w:tc>
        <w:tc>
          <w:tcPr>
            <w:tcW w:type="dxa" w:w="7056"/>
          </w:tcPr>
          <w:p>
            <w:pPr>
              <w:spacing w:after="20"/>
              <w:jc w:val="right"/>
            </w:pPr>
            <w:r>
              <w:rPr>
                <w:color w:val="1C3A36"/>
                <w:sz w:val="18"/>
              </w:rPr>
              <w:t>80m (SAR 800m capital, SAR 10 par)</w:t>
            </w:r>
          </w:p>
        </w:tc>
      </w:tr>
      <w:tr>
        <w:tc>
          <w:tcPr>
            <w:tcW w:type="dxa" w:w="3024"/>
          </w:tcPr>
          <w:p>
            <w:pPr>
              <w:spacing w:after="20"/>
            </w:pPr>
            <w:r>
              <w:rPr>
                <w:b/>
                <w:color w:val="1C3A36"/>
                <w:sz w:val="18"/>
              </w:rPr>
              <w:t>Major holders</w:t>
            </w:r>
          </w:p>
        </w:tc>
        <w:tc>
          <w:tcPr>
            <w:tcW w:type="dxa" w:w="7056"/>
          </w:tcPr>
          <w:p>
            <w:pPr>
              <w:spacing w:after="20"/>
              <w:jc w:val="right"/>
            </w:pPr>
            <w:r>
              <w:rPr>
                <w:color w:val="1C3A36"/>
                <w:sz w:val="18"/>
              </w:rPr>
              <w:t>United International Holding 69.0%; Al Fozan Holding 15.0%</w:t>
            </w:r>
          </w:p>
        </w:tc>
      </w:tr>
      <w:tr>
        <w:tc>
          <w:tcPr>
            <w:tcW w:type="dxa" w:w="3024"/>
          </w:tcPr>
          <w:p>
            <w:pPr>
              <w:spacing w:after="20"/>
            </w:pPr>
            <w:r>
              <w:rPr>
                <w:b/>
                <w:color w:val="1C3A36"/>
                <w:sz w:val="18"/>
              </w:rPr>
              <w:t>Spot / market cap</w:t>
            </w:r>
          </w:p>
        </w:tc>
        <w:tc>
          <w:tcPr>
            <w:tcW w:type="dxa" w:w="7056"/>
          </w:tcPr>
          <w:p>
            <w:pPr>
              <w:spacing w:after="20"/>
              <w:jc w:val="right"/>
            </w:pPr>
            <w:r>
              <w:rPr>
                <w:color w:val="1C3A36"/>
                <w:sz w:val="18"/>
              </w:rPr>
              <w:t>SAR 68.10 / SAR 5,448m</w:t>
            </w:r>
          </w:p>
        </w:tc>
      </w:tr>
      <w:tr>
        <w:tc>
          <w:tcPr>
            <w:tcW w:type="dxa" w:w="3024"/>
          </w:tcPr>
          <w:p>
            <w:pPr>
              <w:spacing w:after="20"/>
            </w:pPr>
            <w:r>
              <w:rPr>
                <w:b/>
                <w:color w:val="1C3A36"/>
                <w:sz w:val="18"/>
              </w:rPr>
              <w:t>FY2025 revenue / net income</w:t>
            </w:r>
          </w:p>
        </w:tc>
        <w:tc>
          <w:tcPr>
            <w:tcW w:type="dxa" w:w="7056"/>
          </w:tcPr>
          <w:p>
            <w:pPr>
              <w:spacing w:after="20"/>
              <w:jc w:val="right"/>
            </w:pPr>
            <w:r>
              <w:rPr>
                <w:color w:val="1C3A36"/>
                <w:sz w:val="18"/>
              </w:rPr>
              <w:t>SAR 7,450m / SAR 497m</w:t>
            </w:r>
          </w:p>
        </w:tc>
      </w:tr>
      <w:tr>
        <w:tc>
          <w:tcPr>
            <w:tcW w:type="dxa" w:w="3024"/>
          </w:tcPr>
          <w:p>
            <w:pPr>
              <w:spacing w:after="20"/>
            </w:pPr>
            <w:r>
              <w:rPr>
                <w:b/>
                <w:color w:val="1C3A36"/>
                <w:sz w:val="18"/>
              </w:rPr>
              <w:t>Dividend (normalized)</w:t>
            </w:r>
          </w:p>
        </w:tc>
        <w:tc>
          <w:tcPr>
            <w:tcW w:type="dxa" w:w="7056"/>
          </w:tcPr>
          <w:p>
            <w:pPr>
              <w:spacing w:after="20"/>
              <w:jc w:val="right"/>
            </w:pPr>
            <w:r>
              <w:rPr>
                <w:color w:val="1C3A36"/>
                <w:sz w:val="18"/>
              </w:rPr>
              <w:t>~SAR 4.7/sh; yield ~6.9% on spot; payout ~76%</w:t>
            </w:r>
          </w:p>
        </w:tc>
      </w:tr>
      <w:tr>
        <w:tc>
          <w:tcPr>
            <w:tcW w:type="dxa" w:w="3024"/>
          </w:tcPr>
          <w:p>
            <w:pPr>
              <w:spacing w:after="20"/>
            </w:pPr>
            <w:r>
              <w:rPr>
                <w:b/>
                <w:color w:val="1C3A36"/>
                <w:sz w:val="18"/>
              </w:rPr>
              <w:t>52-week range</w:t>
            </w:r>
          </w:p>
        </w:tc>
        <w:tc>
          <w:tcPr>
            <w:tcW w:type="dxa" w:w="7056"/>
          </w:tcPr>
          <w:p>
            <w:pPr>
              <w:spacing w:after="20"/>
              <w:jc w:val="right"/>
            </w:pPr>
            <w:r>
              <w:rPr>
                <w:color w:val="1C3A36"/>
                <w:sz w:val="18"/>
              </w:rPr>
              <w:t>SAR 68.1 – 93.0 (spot at the low)</w:t>
            </w:r>
          </w:p>
        </w:tc>
      </w:tr>
    </w:tbl>
    <w:p>
      <w:pPr>
        <w:spacing w:after="40"/>
      </w:pPr>
    </w:p>
    <w:p>
      <w:pPr>
        <w:spacing w:after="100" w:before="260"/>
      </w:pPr>
      <w:r>
        <w:rPr>
          <w:b/>
          <w:i w:val="0"/>
          <w:color w:val="1C3A36"/>
          <w:sz w:val="30"/>
        </w:rPr>
        <w:t>Headline</w:t>
      </w:r>
    </w:p>
    <w:p>
      <w:pPr>
        <w:spacing w:after="120" w:before="0"/>
      </w:pPr>
      <w:r>
        <w:rPr>
          <w:b w:val="0"/>
          <w:i w:val="0"/>
          <w:color w:val="1C3A36"/>
          <w:sz w:val="21"/>
        </w:rPr>
        <w:t xml:space="preserve">At SAR </w:t>
      </w:r>
      <w:r>
        <w:rPr>
          <w:b/>
          <w:i w:val="0"/>
          <w:color w:val="1C3A36"/>
          <w:sz w:val="21"/>
        </w:rPr>
        <w:t>68.10</w:t>
      </w:r>
      <w:r>
        <w:rPr>
          <w:b w:val="0"/>
          <w:i w:val="0"/>
          <w:color w:val="1C3A36"/>
          <w:sz w:val="21"/>
        </w:rPr>
        <w:t xml:space="preserve"> the market values eXtra at roughly </w:t>
      </w:r>
      <w:r>
        <w:rPr>
          <w:b/>
          <w:i w:val="0"/>
          <w:color w:val="1C3A36"/>
          <w:sz w:val="21"/>
        </w:rPr>
        <w:t>11× trailing earnings</w:t>
      </w:r>
      <w:r>
        <w:rPr>
          <w:b w:val="0"/>
          <w:i w:val="0"/>
          <w:color w:val="1C3A36"/>
          <w:sz w:val="21"/>
        </w:rPr>
        <w:t xml:space="preserve"> and a </w:t>
      </w:r>
      <w:r>
        <w:rPr>
          <w:b/>
          <w:i w:val="0"/>
          <w:color w:val="1C3A36"/>
          <w:sz w:val="21"/>
        </w:rPr>
        <w:t>~6.9% dividend yield</w:t>
      </w:r>
      <w:r>
        <w:rPr>
          <w:b w:val="0"/>
          <w:i w:val="0"/>
          <w:color w:val="1C3A36"/>
          <w:sz w:val="21"/>
        </w:rPr>
        <w:t xml:space="preserve">, after a slide from the SAR 80–105 range to a fresh 52-week low. Our split-legs sum-of-the-parts centres near </w:t>
      </w:r>
      <w:r>
        <w:rPr>
          <w:b/>
          <w:i w:val="0"/>
          <w:color w:val="896F36"/>
          <w:sz w:val="21"/>
        </w:rPr>
        <w:t>SAR 90/share</w:t>
      </w:r>
      <w:r>
        <w:rPr>
          <w:b w:val="0"/>
          <w:i w:val="0"/>
          <w:color w:val="1C3A36"/>
          <w:sz w:val="21"/>
        </w:rPr>
        <w:t xml:space="preserve"> (retail DCF SAR 65 + Tasheel SAR 25), with a weighted central across lenses of </w:t>
      </w:r>
      <w:r>
        <w:rPr>
          <w:b/>
          <w:i w:val="0"/>
          <w:color w:val="896F36"/>
          <w:sz w:val="21"/>
        </w:rPr>
        <w:t>~SAR 81</w:t>
      </w:r>
      <w:r>
        <w:rPr>
          <w:b w:val="0"/>
          <w:i w:val="0"/>
          <w:color w:val="1C3A36"/>
          <w:sz w:val="21"/>
        </w:rPr>
        <w:t xml:space="preserve"> and a full fair-value band of ~SAR 65–92.</w:t>
      </w:r>
    </w:p>
    <w:p>
      <w:pPr>
        <w:spacing w:after="120" w:before="0"/>
      </w:pPr>
      <w:r>
        <w:rPr>
          <w:b w:val="0"/>
          <w:i w:val="0"/>
          <w:color w:val="1C3A36"/>
          <w:sz w:val="21"/>
        </w:rPr>
        <w:t xml:space="preserve">The band is wide by design, and is driven by two swing inputs: the retail discount rate (a low regressed beta of </w:t>
      </w:r>
      <w:r>
        <w:rPr>
          <w:b/>
          <w:i w:val="0"/>
          <w:color w:val="1C3A36"/>
          <w:sz w:val="21"/>
        </w:rPr>
        <w:t>0.56</w:t>
      </w:r>
      <w:r>
        <w:rPr>
          <w:b w:val="0"/>
          <w:i w:val="0"/>
          <w:color w:val="1C3A36"/>
          <w:sz w:val="21"/>
        </w:rPr>
        <w:t xml:space="preserve"> on a short window versus a conservative 0.80 base) and the multiple placed on the captive lender. Even the conservative end of the range sits at or a touch above spot, so the read is "modestly-to-clearly undervalued," not a high-conviction call. The near-term price path is modelled as flat around spot, with the return delivered as dividend.</w:t>
      </w:r>
    </w:p>
    <w:p>
      <w:pPr>
        <w:spacing w:after="60" w:before="18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176"/>
            <w:shd w:val="clear" w:color="auto" w:fill="EAF0EE"/>
          </w:tcPr>
          <w:p>
            <w:r>
              <w:rPr>
                <w:b/>
                <w:color w:val="1C3A36"/>
                <w:sz w:val="18"/>
              </w:rPr>
              <w:t>Lens / read</w:t>
            </w:r>
          </w:p>
        </w:tc>
        <w:tc>
          <w:tcPr>
            <w:tcW w:type="dxa" w:w="1440"/>
            <w:shd w:val="clear" w:color="auto" w:fill="EAF0EE"/>
          </w:tcPr>
          <w:p>
            <w:pPr>
              <w:jc w:val="right"/>
            </w:pPr>
            <w:r>
              <w:rPr>
                <w:b/>
                <w:color w:val="1C3A36"/>
                <w:sz w:val="18"/>
              </w:rPr>
              <w:t>SAR / sh</w:t>
            </w:r>
          </w:p>
        </w:tc>
        <w:tc>
          <w:tcPr>
            <w:tcW w:type="dxa" w:w="1440"/>
            <w:shd w:val="clear" w:color="auto" w:fill="EAF0EE"/>
          </w:tcPr>
          <w:p>
            <w:pPr>
              <w:jc w:val="right"/>
            </w:pPr>
            <w:r>
              <w:rPr>
                <w:b/>
                <w:color w:val="1C3A36"/>
                <w:sz w:val="18"/>
              </w:rPr>
              <w:t>vs spot</w:t>
            </w:r>
          </w:p>
        </w:tc>
        <w:tc>
          <w:tcPr>
            <w:tcW w:type="dxa" w:w="3024"/>
            <w:shd w:val="clear" w:color="auto" w:fill="EAF0EE"/>
          </w:tcPr>
          <w:p>
            <w:pPr>
              <w:jc w:val="right"/>
            </w:pPr>
            <w:r>
              <w:rPr>
                <w:b/>
                <w:color w:val="1C3A36"/>
                <w:sz w:val="18"/>
              </w:rPr>
              <w:t>Comment</w:t>
            </w:r>
          </w:p>
        </w:tc>
      </w:tr>
      <w:tr>
        <w:tc>
          <w:tcPr>
            <w:tcW w:type="dxa" w:w="10080"/>
            <w:gridSpan w:val="4"/>
            <w:shd w:val="clear" w:color="auto" w:fill="1C3A36"/>
          </w:tcPr>
          <w:p>
            <w:r>
              <w:rPr>
                <w:b/>
                <w:color w:val="FFFFFF"/>
                <w:sz w:val="18"/>
              </w:rPr>
              <w:t>FUNDAMENTAL</w:t>
            </w:r>
          </w:p>
        </w:tc>
      </w:tr>
      <w:tr>
        <w:tc>
          <w:tcPr>
            <w:tcW w:type="dxa" w:w="4176"/>
          </w:tcPr>
          <w:p>
            <w:pPr>
              <w:spacing w:after="20"/>
            </w:pPr>
            <w:r>
              <w:rPr>
                <w:b/>
                <w:color w:val="1C3A36"/>
                <w:sz w:val="18"/>
              </w:rPr>
              <w:t>Sum-of-the-parts (split legs)</w:t>
            </w:r>
          </w:p>
        </w:tc>
        <w:tc>
          <w:tcPr>
            <w:tcW w:type="dxa" w:w="1440"/>
          </w:tcPr>
          <w:p>
            <w:pPr>
              <w:spacing w:after="20"/>
              <w:jc w:val="right"/>
            </w:pPr>
            <w:r>
              <w:rPr>
                <w:color w:val="1C3A36"/>
                <w:sz w:val="18"/>
              </w:rPr>
              <w:t>90</w:t>
            </w:r>
          </w:p>
        </w:tc>
        <w:tc>
          <w:tcPr>
            <w:tcW w:type="dxa" w:w="1440"/>
          </w:tcPr>
          <w:p>
            <w:pPr>
              <w:spacing w:after="20"/>
              <w:jc w:val="right"/>
            </w:pPr>
            <w:r>
              <w:rPr>
                <w:color w:val="1C3A36"/>
                <w:sz w:val="18"/>
              </w:rPr>
              <w:t>+33%</w:t>
            </w:r>
          </w:p>
        </w:tc>
        <w:tc>
          <w:tcPr>
            <w:tcW w:type="dxa" w:w="3024"/>
          </w:tcPr>
          <w:p>
            <w:pPr>
              <w:spacing w:after="20"/>
              <w:jc w:val="right"/>
            </w:pPr>
            <w:r>
              <w:rPr>
                <w:color w:val="1C3A36"/>
                <w:sz w:val="18"/>
              </w:rPr>
              <w:t>Primary lens</w:t>
            </w:r>
          </w:p>
        </w:tc>
      </w:tr>
      <w:tr>
        <w:tc>
          <w:tcPr>
            <w:tcW w:type="dxa" w:w="4176"/>
          </w:tcPr>
          <w:p>
            <w:pPr>
              <w:spacing w:after="20"/>
            </w:pPr>
            <w:r>
              <w:rPr>
                <w:color w:val="1C3A36"/>
                <w:sz w:val="18"/>
              </w:rPr>
              <w:t xml:space="preserve">  Retail DCF component</w:t>
            </w:r>
          </w:p>
        </w:tc>
        <w:tc>
          <w:tcPr>
            <w:tcW w:type="dxa" w:w="1440"/>
          </w:tcPr>
          <w:p>
            <w:pPr>
              <w:spacing w:after="20"/>
              <w:jc w:val="right"/>
            </w:pPr>
            <w:r>
              <w:rPr>
                <w:color w:val="1C3A36"/>
                <w:sz w:val="18"/>
              </w:rPr>
              <w:t>65</w:t>
            </w:r>
          </w:p>
        </w:tc>
        <w:tc>
          <w:tcPr>
            <w:tcW w:type="dxa" w:w="1440"/>
          </w:tcPr>
          <w:p>
            <w:pPr>
              <w:spacing w:after="20"/>
              <w:jc w:val="right"/>
            </w:pPr>
            <w:r>
              <w:rPr>
                <w:color w:val="1C3A36"/>
                <w:sz w:val="18"/>
              </w:rPr>
            </w:r>
          </w:p>
        </w:tc>
        <w:tc>
          <w:tcPr>
            <w:tcW w:type="dxa" w:w="3024"/>
          </w:tcPr>
          <w:p>
            <w:pPr>
              <w:spacing w:after="20"/>
              <w:jc w:val="right"/>
            </w:pPr>
            <w:r>
              <w:rPr>
                <w:color w:val="1C3A36"/>
                <w:sz w:val="18"/>
              </w:rPr>
              <w:t>Net-cash operating company</w:t>
            </w:r>
          </w:p>
        </w:tc>
      </w:tr>
      <w:tr>
        <w:tc>
          <w:tcPr>
            <w:tcW w:type="dxa" w:w="4176"/>
          </w:tcPr>
          <w:p>
            <w:pPr>
              <w:spacing w:after="20"/>
            </w:pPr>
            <w:r>
              <w:rPr>
                <w:color w:val="1C3A36"/>
                <w:sz w:val="18"/>
              </w:rPr>
              <w:t xml:space="preserve">  Tasheel component (68.75%)</w:t>
            </w:r>
          </w:p>
        </w:tc>
        <w:tc>
          <w:tcPr>
            <w:tcW w:type="dxa" w:w="1440"/>
          </w:tcPr>
          <w:p>
            <w:pPr>
              <w:spacing w:after="20"/>
              <w:jc w:val="right"/>
            </w:pPr>
            <w:r>
              <w:rPr>
                <w:color w:val="1C3A36"/>
                <w:sz w:val="18"/>
              </w:rPr>
              <w:t>25</w:t>
            </w:r>
          </w:p>
        </w:tc>
        <w:tc>
          <w:tcPr>
            <w:tcW w:type="dxa" w:w="1440"/>
          </w:tcPr>
          <w:p>
            <w:pPr>
              <w:spacing w:after="20"/>
              <w:jc w:val="right"/>
            </w:pPr>
            <w:r>
              <w:rPr>
                <w:color w:val="1C3A36"/>
                <w:sz w:val="18"/>
              </w:rPr>
            </w:r>
          </w:p>
        </w:tc>
        <w:tc>
          <w:tcPr>
            <w:tcW w:type="dxa" w:w="3024"/>
          </w:tcPr>
          <w:p>
            <w:pPr>
              <w:spacing w:after="20"/>
              <w:jc w:val="right"/>
            </w:pPr>
            <w:r>
              <w:rPr>
                <w:color w:val="1C3A36"/>
                <w:sz w:val="18"/>
              </w:rPr>
              <w:t>Captive consumer-finance lender</w:t>
            </w:r>
          </w:p>
        </w:tc>
      </w:tr>
      <w:tr>
        <w:tc>
          <w:tcPr>
            <w:tcW w:type="dxa" w:w="4176"/>
          </w:tcPr>
          <w:p>
            <w:pPr>
              <w:spacing w:after="20"/>
            </w:pPr>
            <w:r>
              <w:rPr>
                <w:b/>
                <w:color w:val="1C3A36"/>
                <w:sz w:val="18"/>
              </w:rPr>
              <w:t>Relative multiples (P/E 12×)</w:t>
            </w:r>
          </w:p>
        </w:tc>
        <w:tc>
          <w:tcPr>
            <w:tcW w:type="dxa" w:w="1440"/>
          </w:tcPr>
          <w:p>
            <w:pPr>
              <w:spacing w:after="20"/>
              <w:jc w:val="right"/>
            </w:pPr>
            <w:r>
              <w:rPr>
                <w:color w:val="1C3A36"/>
                <w:sz w:val="18"/>
              </w:rPr>
              <w:t>75</w:t>
            </w:r>
          </w:p>
        </w:tc>
        <w:tc>
          <w:tcPr>
            <w:tcW w:type="dxa" w:w="1440"/>
          </w:tcPr>
          <w:p>
            <w:pPr>
              <w:spacing w:after="20"/>
              <w:jc w:val="right"/>
            </w:pPr>
            <w:r>
              <w:rPr>
                <w:color w:val="1C3A36"/>
                <w:sz w:val="18"/>
              </w:rPr>
              <w:t>+9%</w:t>
            </w:r>
          </w:p>
        </w:tc>
        <w:tc>
          <w:tcPr>
            <w:tcW w:type="dxa" w:w="3024"/>
          </w:tcPr>
          <w:p>
            <w:pPr>
              <w:spacing w:after="20"/>
              <w:jc w:val="right"/>
            </w:pPr>
            <w:r>
              <w:rPr>
                <w:color w:val="1C3A36"/>
                <w:sz w:val="18"/>
              </w:rPr>
              <w:t>On group earnings</w:t>
            </w:r>
          </w:p>
        </w:tc>
      </w:tr>
      <w:tr>
        <w:tc>
          <w:tcPr>
            <w:tcW w:type="dxa" w:w="10080"/>
            <w:gridSpan w:val="4"/>
            <w:shd w:val="clear" w:color="auto" w:fill="1C3A36"/>
          </w:tcPr>
          <w:p>
            <w:r>
              <w:rPr>
                <w:b/>
                <w:color w:val="FFFFFF"/>
                <w:sz w:val="18"/>
              </w:rPr>
              <w:t>TECHNICAL</w:t>
            </w:r>
          </w:p>
        </w:tc>
      </w:tr>
      <w:tr>
        <w:tc>
          <w:tcPr>
            <w:tcW w:type="dxa" w:w="4176"/>
          </w:tcPr>
          <w:p>
            <w:pPr>
              <w:spacing w:after="20"/>
            </w:pPr>
            <w:r>
              <w:rPr>
                <w:b/>
                <w:color w:val="1C3A36"/>
                <w:sz w:val="18"/>
              </w:rPr>
              <w:t>Trend / momentum</w:t>
            </w:r>
          </w:p>
        </w:tc>
        <w:tc>
          <w:tcPr>
            <w:tcW w:type="dxa" w:w="1440"/>
          </w:tcPr>
          <w:p>
            <w:pPr>
              <w:spacing w:after="20"/>
              <w:jc w:val="right"/>
            </w:pPr>
            <w:r>
              <w:rPr>
                <w:color w:val="1C3A36"/>
                <w:sz w:val="18"/>
              </w:rPr>
              <w:t>68</w:t>
            </w:r>
          </w:p>
        </w:tc>
        <w:tc>
          <w:tcPr>
            <w:tcW w:type="dxa" w:w="1440"/>
          </w:tcPr>
          <w:p>
            <w:pPr>
              <w:spacing w:after="20"/>
              <w:jc w:val="right"/>
            </w:pPr>
            <w:r>
              <w:rPr>
                <w:color w:val="1C3A36"/>
                <w:sz w:val="18"/>
              </w:rPr>
              <w:t>52-wk low</w:t>
            </w:r>
          </w:p>
        </w:tc>
        <w:tc>
          <w:tcPr>
            <w:tcW w:type="dxa" w:w="3024"/>
          </w:tcPr>
          <w:p>
            <w:pPr>
              <w:spacing w:after="20"/>
              <w:jc w:val="right"/>
            </w:pPr>
            <w:r>
              <w:rPr>
                <w:color w:val="1C3A36"/>
                <w:sz w:val="18"/>
              </w:rPr>
              <w:t>RSI 27 (oversold); below all MAs</w:t>
            </w:r>
          </w:p>
        </w:tc>
      </w:tr>
      <w:tr>
        <w:tc>
          <w:tcPr>
            <w:tcW w:type="dxa" w:w="10080"/>
            <w:gridSpan w:val="4"/>
            <w:shd w:val="clear" w:color="auto" w:fill="1C3A36"/>
          </w:tcPr>
          <w:p>
            <w:r>
              <w:rPr>
                <w:b/>
                <w:color w:val="FFFFFF"/>
                <w:sz w:val="18"/>
              </w:rPr>
              <w:t>MONTE CARLO (T+60, carry-anchored)</w:t>
            </w:r>
          </w:p>
        </w:tc>
      </w:tr>
      <w:tr>
        <w:tc>
          <w:tcPr>
            <w:tcW w:type="dxa" w:w="4176"/>
          </w:tcPr>
          <w:p>
            <w:pPr>
              <w:spacing w:after="20"/>
            </w:pPr>
            <w:r>
              <w:rPr>
                <w:b/>
                <w:color w:val="1C3A36"/>
                <w:sz w:val="18"/>
              </w:rPr>
              <w:t>Median</w:t>
            </w:r>
          </w:p>
        </w:tc>
        <w:tc>
          <w:tcPr>
            <w:tcW w:type="dxa" w:w="1440"/>
          </w:tcPr>
          <w:p>
            <w:pPr>
              <w:spacing w:after="20"/>
              <w:jc w:val="right"/>
            </w:pPr>
            <w:r>
              <w:rPr>
                <w:color w:val="1C3A36"/>
                <w:sz w:val="18"/>
              </w:rPr>
              <w:t>68</w:t>
            </w:r>
          </w:p>
        </w:tc>
        <w:tc>
          <w:tcPr>
            <w:tcW w:type="dxa" w:w="1440"/>
          </w:tcPr>
          <w:p>
            <w:pPr>
              <w:spacing w:after="20"/>
              <w:jc w:val="right"/>
            </w:pPr>
            <w:r>
              <w:rPr>
                <w:color w:val="1C3A36"/>
                <w:sz w:val="18"/>
              </w:rPr>
              <w:t>-1%</w:t>
            </w:r>
          </w:p>
        </w:tc>
        <w:tc>
          <w:tcPr>
            <w:tcW w:type="dxa" w:w="3024"/>
          </w:tcPr>
          <w:p>
            <w:pPr>
              <w:spacing w:after="20"/>
              <w:jc w:val="right"/>
            </w:pPr>
            <w:r>
              <w:rPr>
                <w:color w:val="1C3A36"/>
                <w:sz w:val="18"/>
              </w:rPr>
              <w:t>Explained-flat (dividend yield &gt; rf)</w:t>
            </w:r>
          </w:p>
        </w:tc>
      </w:tr>
      <w:tr>
        <w:tc>
          <w:tcPr>
            <w:tcW w:type="dxa" w:w="4176"/>
          </w:tcPr>
          <w:p>
            <w:pPr>
              <w:spacing w:after="20"/>
            </w:pPr>
            <w:r>
              <w:rPr>
                <w:b/>
                <w:color w:val="1C3A36"/>
                <w:sz w:val="18"/>
              </w:rPr>
              <w:t>50% band (25th–75th)</w:t>
            </w:r>
          </w:p>
        </w:tc>
        <w:tc>
          <w:tcPr>
            <w:tcW w:type="dxa" w:w="1440"/>
          </w:tcPr>
          <w:p>
            <w:pPr>
              <w:spacing w:after="20"/>
              <w:jc w:val="right"/>
            </w:pPr>
            <w:r>
              <w:rPr>
                <w:color w:val="1C3A36"/>
                <w:sz w:val="18"/>
              </w:rPr>
              <w:t>62–74</w:t>
            </w:r>
          </w:p>
        </w:tc>
        <w:tc>
          <w:tcPr>
            <w:tcW w:type="dxa" w:w="1440"/>
          </w:tcPr>
          <w:p>
            <w:pPr>
              <w:spacing w:after="20"/>
              <w:jc w:val="right"/>
            </w:pPr>
            <w:r>
              <w:rPr>
                <w:color w:val="1C3A36"/>
                <w:sz w:val="18"/>
              </w:rPr>
            </w:r>
          </w:p>
        </w:tc>
        <w:tc>
          <w:tcPr>
            <w:tcW w:type="dxa" w:w="3024"/>
          </w:tcPr>
          <w:p>
            <w:pPr>
              <w:spacing w:after="20"/>
              <w:jc w:val="right"/>
            </w:pPr>
            <w:r>
              <w:rPr>
                <w:color w:val="1C3A36"/>
                <w:sz w:val="18"/>
              </w:rPr>
              <w:t>Quarter-ahead range</w:t>
            </w:r>
          </w:p>
        </w:tc>
      </w:tr>
      <w:tr>
        <w:tc>
          <w:tcPr>
            <w:tcW w:type="dxa" w:w="10080"/>
            <w:gridSpan w:val="4"/>
            <w:shd w:val="clear" w:color="auto" w:fill="1C3A36"/>
          </w:tcPr>
          <w:p>
            <w:r>
              <w:rPr>
                <w:b/>
                <w:color w:val="FFFFFF"/>
                <w:sz w:val="18"/>
              </w:rPr>
              <w:t>EXPERT PANEL</w:t>
            </w:r>
          </w:p>
        </w:tc>
      </w:tr>
      <w:tr>
        <w:tc>
          <w:tcPr>
            <w:tcW w:type="dxa" w:w="4176"/>
          </w:tcPr>
          <w:p>
            <w:pPr>
              <w:spacing w:after="20"/>
            </w:pPr>
            <w:r>
              <w:rPr>
                <w:b/>
                <w:color w:val="1C3A36"/>
                <w:sz w:val="18"/>
              </w:rPr>
              <w:t>Expert 1 — Earnings power</w:t>
            </w:r>
          </w:p>
        </w:tc>
        <w:tc>
          <w:tcPr>
            <w:tcW w:type="dxa" w:w="1440"/>
          </w:tcPr>
          <w:p>
            <w:pPr>
              <w:spacing w:after="20"/>
              <w:jc w:val="right"/>
            </w:pPr>
            <w:r>
              <w:rPr>
                <w:color w:val="1C3A36"/>
                <w:sz w:val="18"/>
              </w:rPr>
              <w:t>75</w:t>
            </w:r>
          </w:p>
        </w:tc>
        <w:tc>
          <w:tcPr>
            <w:tcW w:type="dxa" w:w="1440"/>
          </w:tcPr>
          <w:p>
            <w:pPr>
              <w:spacing w:after="20"/>
              <w:jc w:val="right"/>
            </w:pPr>
            <w:r>
              <w:rPr>
                <w:color w:val="1C3A36"/>
                <w:sz w:val="18"/>
              </w:rPr>
            </w:r>
          </w:p>
        </w:tc>
        <w:tc>
          <w:tcPr>
            <w:tcW w:type="dxa" w:w="3024"/>
          </w:tcPr>
          <w:p>
            <w:pPr>
              <w:spacing w:after="20"/>
              <w:jc w:val="right"/>
            </w:pPr>
            <w:r>
              <w:rPr>
                <w:color w:val="1C3A36"/>
                <w:sz w:val="18"/>
              </w:rPr>
              <w:t>P/E on normalized EPS</w:t>
            </w:r>
          </w:p>
        </w:tc>
      </w:tr>
      <w:tr>
        <w:tc>
          <w:tcPr>
            <w:tcW w:type="dxa" w:w="4176"/>
          </w:tcPr>
          <w:p>
            <w:pPr>
              <w:spacing w:after="20"/>
            </w:pPr>
            <w:r>
              <w:rPr>
                <w:b/>
                <w:color w:val="1C3A36"/>
                <w:sz w:val="18"/>
              </w:rPr>
              <w:t>Expert 2 — Accountant (SOTP)</w:t>
            </w:r>
          </w:p>
        </w:tc>
        <w:tc>
          <w:tcPr>
            <w:tcW w:type="dxa" w:w="1440"/>
          </w:tcPr>
          <w:p>
            <w:pPr>
              <w:spacing w:after="20"/>
              <w:jc w:val="right"/>
            </w:pPr>
            <w:r>
              <w:rPr>
                <w:color w:val="1C3A36"/>
                <w:sz w:val="18"/>
              </w:rPr>
              <w:t>90</w:t>
            </w:r>
          </w:p>
        </w:tc>
        <w:tc>
          <w:tcPr>
            <w:tcW w:type="dxa" w:w="1440"/>
          </w:tcPr>
          <w:p>
            <w:pPr>
              <w:spacing w:after="20"/>
              <w:jc w:val="right"/>
            </w:pPr>
            <w:r>
              <w:rPr>
                <w:color w:val="1C3A36"/>
                <w:sz w:val="18"/>
              </w:rPr>
            </w:r>
          </w:p>
        </w:tc>
        <w:tc>
          <w:tcPr>
            <w:tcW w:type="dxa" w:w="3024"/>
          </w:tcPr>
          <w:p>
            <w:pPr>
              <w:spacing w:after="20"/>
              <w:jc w:val="right"/>
            </w:pPr>
            <w:r>
              <w:rPr>
                <w:color w:val="1C3A36"/>
                <w:sz w:val="18"/>
              </w:rPr>
              <w:t>Split-legs NAV</w:t>
            </w:r>
          </w:p>
        </w:tc>
      </w:tr>
      <w:tr>
        <w:tc>
          <w:tcPr>
            <w:tcW w:type="dxa" w:w="4176"/>
          </w:tcPr>
          <w:p>
            <w:pPr>
              <w:spacing w:after="20"/>
            </w:pPr>
            <w:r>
              <w:rPr>
                <w:b/>
                <w:color w:val="1C3A36"/>
                <w:sz w:val="18"/>
              </w:rPr>
              <w:t>Expert 3 — Macro-policy</w:t>
            </w:r>
          </w:p>
        </w:tc>
        <w:tc>
          <w:tcPr>
            <w:tcW w:type="dxa" w:w="1440"/>
          </w:tcPr>
          <w:p>
            <w:pPr>
              <w:spacing w:after="20"/>
              <w:jc w:val="right"/>
            </w:pPr>
            <w:r>
              <w:rPr>
                <w:color w:val="1C3A36"/>
                <w:sz w:val="18"/>
              </w:rPr>
              <w:t>78</w:t>
            </w:r>
          </w:p>
        </w:tc>
        <w:tc>
          <w:tcPr>
            <w:tcW w:type="dxa" w:w="1440"/>
          </w:tcPr>
          <w:p>
            <w:pPr>
              <w:spacing w:after="20"/>
              <w:jc w:val="right"/>
            </w:pPr>
            <w:r>
              <w:rPr>
                <w:color w:val="1C3A36"/>
                <w:sz w:val="18"/>
              </w:rPr>
            </w:r>
          </w:p>
        </w:tc>
        <w:tc>
          <w:tcPr>
            <w:tcW w:type="dxa" w:w="3024"/>
          </w:tcPr>
          <w:p>
            <w:pPr>
              <w:spacing w:after="20"/>
              <w:jc w:val="right"/>
            </w:pPr>
            <w:r>
              <w:rPr>
                <w:color w:val="1C3A36"/>
                <w:sz w:val="18"/>
              </w:rPr>
              <w:t>Rate / demand scenario</w:t>
            </w:r>
          </w:p>
        </w:tc>
      </w:tr>
      <w:tr>
        <w:tc>
          <w:tcPr>
            <w:tcW w:type="dxa" w:w="4176"/>
            <w:shd w:val="clear" w:color="auto" w:fill="F6F1E6"/>
          </w:tcPr>
          <w:p>
            <w:pPr>
              <w:spacing w:after="20"/>
            </w:pPr>
            <w:r>
              <w:rPr>
                <w:b/>
                <w:color w:val="1C3A36"/>
                <w:sz w:val="18"/>
              </w:rPr>
              <w:t>Weighted central (SOTP 50 / rel 25 / MC 25)</w:t>
            </w:r>
          </w:p>
        </w:tc>
        <w:tc>
          <w:tcPr>
            <w:tcW w:type="dxa" w:w="1440"/>
            <w:shd w:val="clear" w:color="auto" w:fill="F6F1E6"/>
          </w:tcPr>
          <w:p>
            <w:pPr>
              <w:spacing w:after="20"/>
              <w:jc w:val="right"/>
            </w:pPr>
            <w:r>
              <w:rPr>
                <w:b/>
                <w:color w:val="1C3A36"/>
                <w:sz w:val="18"/>
              </w:rPr>
              <w:t>81</w:t>
            </w:r>
          </w:p>
        </w:tc>
        <w:tc>
          <w:tcPr>
            <w:tcW w:type="dxa" w:w="1440"/>
            <w:shd w:val="clear" w:color="auto" w:fill="F6F1E6"/>
          </w:tcPr>
          <w:p>
            <w:pPr>
              <w:spacing w:after="20"/>
              <w:jc w:val="right"/>
            </w:pPr>
            <w:r>
              <w:rPr>
                <w:b/>
                <w:color w:val="1C3A36"/>
                <w:sz w:val="18"/>
              </w:rPr>
              <w:t>+19%</w:t>
            </w:r>
          </w:p>
        </w:tc>
        <w:tc>
          <w:tcPr>
            <w:tcW w:type="dxa" w:w="3024"/>
            <w:shd w:val="clear" w:color="auto" w:fill="F6F1E6"/>
          </w:tcPr>
          <w:p>
            <w:pPr>
              <w:spacing w:after="20"/>
              <w:jc w:val="right"/>
            </w:pPr>
            <w:r>
              <w:rPr>
                <w:b/>
                <w:color w:val="1C3A36"/>
                <w:sz w:val="18"/>
              </w:rPr>
            </w:r>
          </w:p>
        </w:tc>
      </w:tr>
    </w:tbl>
    <w:p>
      <w:pPr>
        <w:spacing w:after="40"/>
      </w:pPr>
    </w:p>
    <w:p>
      <w:pPr>
        <w:spacing w:after="200" w:before="0"/>
      </w:pPr>
      <w:r>
        <w:rPr>
          <w:b w:val="0"/>
          <w:i/>
          <w:color w:val="6E7B77"/>
          <w:sz w:val="17"/>
        </w:rPr>
        <w:t>Every lens on one page. Fair value is a range, not a point: full band ~SAR 65–92. Spot SAR 68.10. Technical shows a signal, not a fair value.</w:t>
      </w:r>
    </w:p>
    <w:p>
      <w:r>
        <w:br w:type="page"/>
      </w:r>
    </w:p>
    <w:p>
      <w:pPr>
        <w:spacing w:after="100" w:before="260"/>
      </w:pPr>
      <w:r>
        <w:rPr>
          <w:b/>
          <w:i w:val="0"/>
          <w:color w:val="1C3A36"/>
          <w:sz w:val="30"/>
        </w:rPr>
        <w:t>1  Fundamental valuation</w:t>
      </w:r>
    </w:p>
    <w:p>
      <w:pPr>
        <w:spacing w:after="60" w:before="180"/>
      </w:pPr>
      <w:r>
        <w:rPr>
          <w:b/>
          <w:i w:val="0"/>
          <w:color w:val="1C3A36"/>
          <w:sz w:val="24"/>
        </w:rPr>
        <w:t>1.1  Primary lens — split-legs sum-of-the-parts</w:t>
      </w:r>
    </w:p>
    <w:p>
      <w:pPr>
        <w:spacing w:after="120" w:before="0"/>
      </w:pPr>
      <w:r>
        <w:rPr>
          <w:b w:val="0"/>
          <w:i w:val="0"/>
          <w:color w:val="1C3A36"/>
          <w:sz w:val="21"/>
        </w:rPr>
        <w:t>eXtra is two businesses under one listing. The retail arm is a thin-margin, asset-light electronics and appliances retailer (gross margin ~24%, net margin ~4%), highly cash-generative and standalone net-cash. Tasheel, the consumer-finance segment, is a 68.75%-owned subsidiary running Murabaha, Tawarruq and Islamic-card lending — a high-return leveraged lender that, though only ~7% of group revenue, contributes close to half of group net income. Blending the two into a single multiple or a single DCF would misprice both, so the sum-of-the-parts is built from two legs, each valued on its own appropriate method below — the retail operating company by discounted cash flow (§1.1.1), Tasheel by its equity book (§1.1.2) — and then combined at eXtra’s economic share (§1.1.3).</w:t>
      </w:r>
    </w:p>
    <w:p>
      <w:pPr>
        <w:spacing w:after="40" w:before="140"/>
      </w:pPr>
      <w:r>
        <w:rPr>
          <w:b/>
          <w:i w:val="0"/>
          <w:color w:val="896F36"/>
          <w:sz w:val="21"/>
        </w:rPr>
        <w:t>1.1.1  Retail leg — operating-co DCF (FCFF)</w:t>
      </w:r>
    </w:p>
    <w:p>
      <w:pPr>
        <w:spacing w:after="120" w:before="0"/>
      </w:pPr>
      <w:r>
        <w:rPr>
          <w:b w:val="0"/>
          <w:i w:val="0"/>
          <w:color w:val="1C3A36"/>
          <w:sz w:val="21"/>
        </w:rPr>
        <w:t>The retail leg is a five-year explicit free-cash-flow-to-firm model — it is not a separate corroborating lens, it is one of the two SOTP legs. Because standalone retail carries net cash, we discount at the cost of equity rather than a debt-blended WACC. A lease-payment line offsets the right-of-use depreciation added back, so the free cash flow is sustainable rather than flattered by non-cash add-backs.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SAR mn</w:t>
            </w:r>
          </w:p>
        </w:tc>
        <w:tc>
          <w:tcPr>
            <w:tcW w:type="dxa" w:w="1469"/>
            <w:shd w:val="clear" w:color="auto" w:fill="EAF0EE"/>
          </w:tcPr>
          <w:p>
            <w:pPr>
              <w:spacing w:after="20"/>
            </w:pPr>
            <w:r>
              <w:rPr>
                <w:b/>
                <w:color w:val="1C3A36"/>
                <w:sz w:val="18"/>
              </w:rPr>
              <w:t>FY26</w:t>
            </w:r>
          </w:p>
        </w:tc>
        <w:tc>
          <w:tcPr>
            <w:tcW w:type="dxa" w:w="1469"/>
            <w:shd w:val="clear" w:color="auto" w:fill="EAF0EE"/>
          </w:tcPr>
          <w:p>
            <w:pPr>
              <w:spacing w:after="20"/>
            </w:pPr>
            <w:r>
              <w:rPr>
                <w:b/>
                <w:color w:val="1C3A36"/>
                <w:sz w:val="18"/>
              </w:rPr>
              <w:t>FY27</w:t>
            </w:r>
          </w:p>
        </w:tc>
        <w:tc>
          <w:tcPr>
            <w:tcW w:type="dxa" w:w="1469"/>
            <w:shd w:val="clear" w:color="auto" w:fill="EAF0EE"/>
          </w:tcPr>
          <w:p>
            <w:pPr>
              <w:spacing w:after="20"/>
            </w:pPr>
            <w:r>
              <w:rPr>
                <w:b/>
                <w:color w:val="1C3A36"/>
                <w:sz w:val="18"/>
              </w:rPr>
              <w:t>FY28</w:t>
            </w:r>
          </w:p>
        </w:tc>
        <w:tc>
          <w:tcPr>
            <w:tcW w:type="dxa" w:w="1469"/>
            <w:shd w:val="clear" w:color="auto" w:fill="EAF0EE"/>
          </w:tcPr>
          <w:p>
            <w:pPr>
              <w:spacing w:after="20"/>
            </w:pPr>
            <w:r>
              <w:rPr>
                <w:b/>
                <w:color w:val="1C3A36"/>
                <w:sz w:val="18"/>
              </w:rPr>
              <w:t>FY29</w:t>
            </w:r>
          </w:p>
        </w:tc>
        <w:tc>
          <w:tcPr>
            <w:tcW w:type="dxa" w:w="1469"/>
            <w:shd w:val="clear" w:color="auto" w:fill="EAF0EE"/>
          </w:tcPr>
          <w:p>
            <w:pPr>
              <w:spacing w:after="20"/>
            </w:pPr>
            <w:r>
              <w:rPr>
                <w:b/>
                <w:color w:val="1C3A36"/>
                <w:sz w:val="18"/>
              </w:rPr>
              <w:t>FY30</w:t>
            </w:r>
          </w:p>
        </w:tc>
      </w:tr>
      <w:tr>
        <w:tc>
          <w:tcPr>
            <w:tcW w:type="dxa" w:w="2736"/>
          </w:tcPr>
          <w:p>
            <w:pPr>
              <w:spacing w:after="20"/>
            </w:pPr>
            <w:r>
              <w:rPr>
                <w:b/>
                <w:color w:val="1C3A36"/>
                <w:sz w:val="18"/>
              </w:rPr>
              <w:t>Revenue</w:t>
            </w:r>
          </w:p>
        </w:tc>
        <w:tc>
          <w:tcPr>
            <w:tcW w:type="dxa" w:w="1469"/>
          </w:tcPr>
          <w:p>
            <w:pPr>
              <w:spacing w:after="20"/>
              <w:jc w:val="right"/>
            </w:pPr>
            <w:r>
              <w:rPr>
                <w:color w:val="1C3A36"/>
                <w:sz w:val="18"/>
              </w:rPr>
              <w:t>7,332</w:t>
            </w:r>
          </w:p>
        </w:tc>
        <w:tc>
          <w:tcPr>
            <w:tcW w:type="dxa" w:w="1469"/>
          </w:tcPr>
          <w:p>
            <w:pPr>
              <w:spacing w:after="20"/>
              <w:jc w:val="right"/>
            </w:pPr>
            <w:r>
              <w:rPr>
                <w:color w:val="1C3A36"/>
                <w:sz w:val="18"/>
              </w:rPr>
              <w:t>7,736</w:t>
            </w:r>
          </w:p>
        </w:tc>
        <w:tc>
          <w:tcPr>
            <w:tcW w:type="dxa" w:w="1469"/>
          </w:tcPr>
          <w:p>
            <w:pPr>
              <w:spacing w:after="20"/>
              <w:jc w:val="right"/>
            </w:pPr>
            <w:r>
              <w:rPr>
                <w:color w:val="1C3A36"/>
                <w:sz w:val="18"/>
              </w:rPr>
              <w:t>8,122</w:t>
            </w:r>
          </w:p>
        </w:tc>
        <w:tc>
          <w:tcPr>
            <w:tcW w:type="dxa" w:w="1469"/>
          </w:tcPr>
          <w:p>
            <w:pPr>
              <w:spacing w:after="20"/>
              <w:jc w:val="right"/>
            </w:pPr>
            <w:r>
              <w:rPr>
                <w:color w:val="1C3A36"/>
                <w:sz w:val="18"/>
              </w:rPr>
              <w:t>8,528</w:t>
            </w:r>
          </w:p>
        </w:tc>
        <w:tc>
          <w:tcPr>
            <w:tcW w:type="dxa" w:w="1469"/>
          </w:tcPr>
          <w:p>
            <w:pPr>
              <w:spacing w:after="20"/>
              <w:jc w:val="right"/>
            </w:pPr>
            <w:r>
              <w:rPr>
                <w:color w:val="1C3A36"/>
                <w:sz w:val="18"/>
              </w:rPr>
              <w:t>8,912</w:t>
            </w:r>
          </w:p>
        </w:tc>
      </w:tr>
      <w:tr>
        <w:tc>
          <w:tcPr>
            <w:tcW w:type="dxa" w:w="2736"/>
          </w:tcPr>
          <w:p>
            <w:pPr>
              <w:spacing w:after="20"/>
            </w:pPr>
            <w:r>
              <w:rPr>
                <w:b/>
                <w:color w:val="1C3A36"/>
                <w:sz w:val="18"/>
              </w:rPr>
              <w:t>EBIT</w:t>
            </w:r>
          </w:p>
        </w:tc>
        <w:tc>
          <w:tcPr>
            <w:tcW w:type="dxa" w:w="1469"/>
          </w:tcPr>
          <w:p>
            <w:pPr>
              <w:spacing w:after="20"/>
              <w:jc w:val="right"/>
            </w:pPr>
            <w:r>
              <w:rPr>
                <w:color w:val="1C3A36"/>
                <w:sz w:val="18"/>
              </w:rPr>
              <w:t>308</w:t>
            </w:r>
          </w:p>
        </w:tc>
        <w:tc>
          <w:tcPr>
            <w:tcW w:type="dxa" w:w="1469"/>
          </w:tcPr>
          <w:p>
            <w:pPr>
              <w:spacing w:after="20"/>
              <w:jc w:val="right"/>
            </w:pPr>
            <w:r>
              <w:rPr>
                <w:color w:val="1C3A36"/>
                <w:sz w:val="18"/>
              </w:rPr>
              <w:t>340</w:t>
            </w:r>
          </w:p>
        </w:tc>
        <w:tc>
          <w:tcPr>
            <w:tcW w:type="dxa" w:w="1469"/>
          </w:tcPr>
          <w:p>
            <w:pPr>
              <w:spacing w:after="20"/>
              <w:jc w:val="right"/>
            </w:pPr>
            <w:r>
              <w:rPr>
                <w:color w:val="1C3A36"/>
                <w:sz w:val="18"/>
              </w:rPr>
              <w:t>366</w:t>
            </w:r>
          </w:p>
        </w:tc>
        <w:tc>
          <w:tcPr>
            <w:tcW w:type="dxa" w:w="1469"/>
          </w:tcPr>
          <w:p>
            <w:pPr>
              <w:spacing w:after="20"/>
              <w:jc w:val="right"/>
            </w:pPr>
            <w:r>
              <w:rPr>
                <w:color w:val="1C3A36"/>
                <w:sz w:val="18"/>
              </w:rPr>
              <w:t>392</w:t>
            </w:r>
          </w:p>
        </w:tc>
        <w:tc>
          <w:tcPr>
            <w:tcW w:type="dxa" w:w="1469"/>
          </w:tcPr>
          <w:p>
            <w:pPr>
              <w:spacing w:after="20"/>
              <w:jc w:val="right"/>
            </w:pPr>
            <w:r>
              <w:rPr>
                <w:color w:val="1C3A36"/>
                <w:sz w:val="18"/>
              </w:rPr>
              <w:t>419</w:t>
            </w:r>
          </w:p>
        </w:tc>
      </w:tr>
      <w:tr>
        <w:tc>
          <w:tcPr>
            <w:tcW w:type="dxa" w:w="2736"/>
          </w:tcPr>
          <w:p>
            <w:pPr>
              <w:spacing w:after="20"/>
            </w:pPr>
            <w:r>
              <w:rPr>
                <w:b/>
                <w:color w:val="1C3A36"/>
                <w:sz w:val="18"/>
              </w:rPr>
              <w:t>NOPAT = EBIT×(1−t)</w:t>
            </w:r>
          </w:p>
        </w:tc>
        <w:tc>
          <w:tcPr>
            <w:tcW w:type="dxa" w:w="1469"/>
          </w:tcPr>
          <w:p>
            <w:pPr>
              <w:spacing w:after="20"/>
              <w:jc w:val="right"/>
            </w:pPr>
            <w:r>
              <w:rPr>
                <w:color w:val="1C3A36"/>
                <w:sz w:val="18"/>
              </w:rPr>
              <w:t>280</w:t>
            </w:r>
          </w:p>
        </w:tc>
        <w:tc>
          <w:tcPr>
            <w:tcW w:type="dxa" w:w="1469"/>
          </w:tcPr>
          <w:p>
            <w:pPr>
              <w:spacing w:after="20"/>
              <w:jc w:val="right"/>
            </w:pPr>
            <w:r>
              <w:rPr>
                <w:color w:val="1C3A36"/>
                <w:sz w:val="18"/>
              </w:rPr>
              <w:t>310</w:t>
            </w:r>
          </w:p>
        </w:tc>
        <w:tc>
          <w:tcPr>
            <w:tcW w:type="dxa" w:w="1469"/>
          </w:tcPr>
          <w:p>
            <w:pPr>
              <w:spacing w:after="20"/>
              <w:jc w:val="right"/>
            </w:pPr>
            <w:r>
              <w:rPr>
                <w:color w:val="1C3A36"/>
                <w:sz w:val="18"/>
              </w:rPr>
              <w:t>333</w:t>
            </w:r>
          </w:p>
        </w:tc>
        <w:tc>
          <w:tcPr>
            <w:tcW w:type="dxa" w:w="1469"/>
          </w:tcPr>
          <w:p>
            <w:pPr>
              <w:spacing w:after="20"/>
              <w:jc w:val="right"/>
            </w:pPr>
            <w:r>
              <w:rPr>
                <w:color w:val="1C3A36"/>
                <w:sz w:val="18"/>
              </w:rPr>
              <w:t>357</w:t>
            </w:r>
          </w:p>
        </w:tc>
        <w:tc>
          <w:tcPr>
            <w:tcW w:type="dxa" w:w="1469"/>
          </w:tcPr>
          <w:p>
            <w:pPr>
              <w:spacing w:after="20"/>
              <w:jc w:val="right"/>
            </w:pPr>
            <w:r>
              <w:rPr>
                <w:color w:val="1C3A36"/>
                <w:sz w:val="18"/>
              </w:rPr>
              <w:t>381</w:t>
            </w:r>
          </w:p>
        </w:tc>
      </w:tr>
      <w:tr>
        <w:tc>
          <w:tcPr>
            <w:tcW w:type="dxa" w:w="2736"/>
          </w:tcPr>
          <w:p>
            <w:pPr>
              <w:spacing w:after="20"/>
            </w:pPr>
            <w:r>
              <w:rPr>
                <w:b/>
                <w:color w:val="1C3A36"/>
                <w:sz w:val="18"/>
              </w:rPr>
              <w:t>+ D&amp;A</w:t>
            </w:r>
          </w:p>
        </w:tc>
        <w:tc>
          <w:tcPr>
            <w:tcW w:type="dxa" w:w="1469"/>
          </w:tcPr>
          <w:p>
            <w:pPr>
              <w:spacing w:after="20"/>
              <w:jc w:val="right"/>
            </w:pPr>
            <w:r>
              <w:rPr>
                <w:color w:val="1C3A36"/>
                <w:sz w:val="18"/>
              </w:rPr>
              <w:t>161</w:t>
            </w:r>
          </w:p>
        </w:tc>
        <w:tc>
          <w:tcPr>
            <w:tcW w:type="dxa" w:w="1469"/>
          </w:tcPr>
          <w:p>
            <w:pPr>
              <w:spacing w:after="20"/>
              <w:jc w:val="right"/>
            </w:pPr>
            <w:r>
              <w:rPr>
                <w:color w:val="1C3A36"/>
                <w:sz w:val="18"/>
              </w:rPr>
              <w:t>170</w:t>
            </w:r>
          </w:p>
        </w:tc>
        <w:tc>
          <w:tcPr>
            <w:tcW w:type="dxa" w:w="1469"/>
          </w:tcPr>
          <w:p>
            <w:pPr>
              <w:spacing w:after="20"/>
              <w:jc w:val="right"/>
            </w:pPr>
            <w:r>
              <w:rPr>
                <w:color w:val="1C3A36"/>
                <w:sz w:val="18"/>
              </w:rPr>
              <w:t>179</w:t>
            </w:r>
          </w:p>
        </w:tc>
        <w:tc>
          <w:tcPr>
            <w:tcW w:type="dxa" w:w="1469"/>
          </w:tcPr>
          <w:p>
            <w:pPr>
              <w:spacing w:after="20"/>
              <w:jc w:val="right"/>
            </w:pPr>
            <w:r>
              <w:rPr>
                <w:color w:val="1C3A36"/>
                <w:sz w:val="18"/>
              </w:rPr>
              <w:t>188</w:t>
            </w:r>
          </w:p>
        </w:tc>
        <w:tc>
          <w:tcPr>
            <w:tcW w:type="dxa" w:w="1469"/>
          </w:tcPr>
          <w:p>
            <w:pPr>
              <w:spacing w:after="20"/>
              <w:jc w:val="right"/>
            </w:pPr>
            <w:r>
              <w:rPr>
                <w:color w:val="1C3A36"/>
                <w:sz w:val="18"/>
              </w:rPr>
              <w:t>196</w:t>
            </w:r>
          </w:p>
        </w:tc>
      </w:tr>
      <w:tr>
        <w:tc>
          <w:tcPr>
            <w:tcW w:type="dxa" w:w="2736"/>
          </w:tcPr>
          <w:p>
            <w:pPr>
              <w:spacing w:after="20"/>
            </w:pPr>
            <w:r>
              <w:rPr>
                <w:b/>
                <w:color w:val="1C3A36"/>
                <w:sz w:val="18"/>
              </w:rPr>
              <w:t>− Capex</w:t>
            </w:r>
          </w:p>
        </w:tc>
        <w:tc>
          <w:tcPr>
            <w:tcW w:type="dxa" w:w="1469"/>
          </w:tcPr>
          <w:p>
            <w:pPr>
              <w:spacing w:after="20"/>
              <w:jc w:val="right"/>
            </w:pPr>
            <w:r>
              <w:rPr>
                <w:color w:val="1C3A36"/>
                <w:sz w:val="18"/>
              </w:rPr>
              <w:t>(81)</w:t>
            </w:r>
          </w:p>
        </w:tc>
        <w:tc>
          <w:tcPr>
            <w:tcW w:type="dxa" w:w="1469"/>
          </w:tcPr>
          <w:p>
            <w:pPr>
              <w:spacing w:after="20"/>
              <w:jc w:val="right"/>
            </w:pPr>
            <w:r>
              <w:rPr>
                <w:color w:val="1C3A36"/>
                <w:sz w:val="18"/>
              </w:rPr>
              <w:t>(85)</w:t>
            </w:r>
          </w:p>
        </w:tc>
        <w:tc>
          <w:tcPr>
            <w:tcW w:type="dxa" w:w="1469"/>
          </w:tcPr>
          <w:p>
            <w:pPr>
              <w:spacing w:after="20"/>
              <w:jc w:val="right"/>
            </w:pPr>
            <w:r>
              <w:rPr>
                <w:color w:val="1C3A36"/>
                <w:sz w:val="18"/>
              </w:rPr>
              <w:t>(89)</w:t>
            </w:r>
          </w:p>
        </w:tc>
        <w:tc>
          <w:tcPr>
            <w:tcW w:type="dxa" w:w="1469"/>
          </w:tcPr>
          <w:p>
            <w:pPr>
              <w:spacing w:after="20"/>
              <w:jc w:val="right"/>
            </w:pPr>
            <w:r>
              <w:rPr>
                <w:color w:val="1C3A36"/>
                <w:sz w:val="18"/>
              </w:rPr>
              <w:t>(94)</w:t>
            </w:r>
          </w:p>
        </w:tc>
        <w:tc>
          <w:tcPr>
            <w:tcW w:type="dxa" w:w="1469"/>
          </w:tcPr>
          <w:p>
            <w:pPr>
              <w:spacing w:after="20"/>
              <w:jc w:val="right"/>
            </w:pPr>
            <w:r>
              <w:rPr>
                <w:color w:val="1C3A36"/>
                <w:sz w:val="18"/>
              </w:rPr>
              <w:t>(98)</w:t>
            </w:r>
          </w:p>
        </w:tc>
      </w:tr>
      <w:tr>
        <w:tc>
          <w:tcPr>
            <w:tcW w:type="dxa" w:w="2736"/>
          </w:tcPr>
          <w:p>
            <w:pPr>
              <w:spacing w:after="20"/>
            </w:pPr>
            <w:r>
              <w:rPr>
                <w:b/>
                <w:color w:val="1C3A36"/>
                <w:sz w:val="18"/>
              </w:rPr>
              <w:t>− Lease payments</w:t>
            </w:r>
          </w:p>
        </w:tc>
        <w:tc>
          <w:tcPr>
            <w:tcW w:type="dxa" w:w="1469"/>
          </w:tcPr>
          <w:p>
            <w:pPr>
              <w:spacing w:after="20"/>
              <w:jc w:val="right"/>
            </w:pPr>
            <w:r>
              <w:rPr>
                <w:color w:val="1C3A36"/>
                <w:sz w:val="18"/>
              </w:rPr>
              <w:t>(95)</w:t>
            </w:r>
          </w:p>
        </w:tc>
        <w:tc>
          <w:tcPr>
            <w:tcW w:type="dxa" w:w="1469"/>
          </w:tcPr>
          <w:p>
            <w:pPr>
              <w:spacing w:after="20"/>
              <w:jc w:val="right"/>
            </w:pPr>
            <w:r>
              <w:rPr>
                <w:color w:val="1C3A36"/>
                <w:sz w:val="18"/>
              </w:rPr>
              <w:t>(101)</w:t>
            </w:r>
          </w:p>
        </w:tc>
        <w:tc>
          <w:tcPr>
            <w:tcW w:type="dxa" w:w="1469"/>
          </w:tcPr>
          <w:p>
            <w:pPr>
              <w:spacing w:after="20"/>
              <w:jc w:val="right"/>
            </w:pPr>
            <w:r>
              <w:rPr>
                <w:color w:val="1C3A36"/>
                <w:sz w:val="18"/>
              </w:rPr>
              <w:t>(106)</w:t>
            </w:r>
          </w:p>
        </w:tc>
        <w:tc>
          <w:tcPr>
            <w:tcW w:type="dxa" w:w="1469"/>
          </w:tcPr>
          <w:p>
            <w:pPr>
              <w:spacing w:after="20"/>
              <w:jc w:val="right"/>
            </w:pPr>
            <w:r>
              <w:rPr>
                <w:color w:val="1C3A36"/>
                <w:sz w:val="18"/>
              </w:rPr>
              <w:t>(111)</w:t>
            </w:r>
          </w:p>
        </w:tc>
        <w:tc>
          <w:tcPr>
            <w:tcW w:type="dxa" w:w="1469"/>
          </w:tcPr>
          <w:p>
            <w:pPr>
              <w:spacing w:after="20"/>
              <w:jc w:val="right"/>
            </w:pPr>
            <w:r>
              <w:rPr>
                <w:color w:val="1C3A36"/>
                <w:sz w:val="18"/>
              </w:rPr>
              <w:t>(116)</w:t>
            </w:r>
          </w:p>
        </w:tc>
      </w:tr>
      <w:tr>
        <w:tc>
          <w:tcPr>
            <w:tcW w:type="dxa" w:w="2736"/>
          </w:tcPr>
          <w:p>
            <w:pPr>
              <w:spacing w:after="20"/>
            </w:pPr>
            <w:r>
              <w:rPr>
                <w:b/>
                <w:color w:val="1C3A36"/>
                <w:sz w:val="18"/>
              </w:rPr>
              <w:t>− ΔWorking capital</w:t>
            </w:r>
          </w:p>
        </w:tc>
        <w:tc>
          <w:tcPr>
            <w:tcW w:type="dxa" w:w="1469"/>
          </w:tcPr>
          <w:p>
            <w:pPr>
              <w:spacing w:after="20"/>
              <w:jc w:val="right"/>
            </w:pPr>
            <w:r>
              <w:rPr>
                <w:color w:val="1C3A36"/>
                <w:sz w:val="18"/>
              </w:rPr>
              <w:t>(2)</w:t>
            </w:r>
          </w:p>
        </w:tc>
        <w:tc>
          <w:tcPr>
            <w:tcW w:type="dxa" w:w="1469"/>
          </w:tcPr>
          <w:p>
            <w:pPr>
              <w:spacing w:after="20"/>
              <w:jc w:val="right"/>
            </w:pPr>
            <w:r>
              <w:rPr>
                <w:color w:val="1C3A36"/>
                <w:sz w:val="18"/>
              </w:rPr>
              <w:t>(2)</w:t>
            </w:r>
          </w:p>
        </w:tc>
        <w:tc>
          <w:tcPr>
            <w:tcW w:type="dxa" w:w="1469"/>
          </w:tcPr>
          <w:p>
            <w:pPr>
              <w:spacing w:after="20"/>
              <w:jc w:val="right"/>
            </w:pPr>
            <w:r>
              <w:rPr>
                <w:color w:val="1C3A36"/>
                <w:sz w:val="18"/>
              </w:rPr>
              <w:t>(2)</w:t>
            </w:r>
          </w:p>
        </w:tc>
        <w:tc>
          <w:tcPr>
            <w:tcW w:type="dxa" w:w="1469"/>
          </w:tcPr>
          <w:p>
            <w:pPr>
              <w:spacing w:after="20"/>
              <w:jc w:val="right"/>
            </w:pPr>
            <w:r>
              <w:rPr>
                <w:color w:val="1C3A36"/>
                <w:sz w:val="18"/>
              </w:rPr>
              <w:t>(2)</w:t>
            </w:r>
          </w:p>
        </w:tc>
        <w:tc>
          <w:tcPr>
            <w:tcW w:type="dxa" w:w="1469"/>
          </w:tcPr>
          <w:p>
            <w:pPr>
              <w:spacing w:after="20"/>
              <w:jc w:val="right"/>
            </w:pPr>
            <w:r>
              <w:rPr>
                <w:color w:val="1C3A36"/>
                <w:sz w:val="18"/>
              </w:rPr>
              <w:t>(2)</w:t>
            </w:r>
          </w:p>
        </w:tc>
      </w:tr>
      <w:tr>
        <w:tc>
          <w:tcPr>
            <w:tcW w:type="dxa" w:w="2736"/>
            <w:shd w:val="clear" w:color="auto" w:fill="F6F1E6"/>
          </w:tcPr>
          <w:p>
            <w:pPr>
              <w:spacing w:after="20"/>
            </w:pPr>
            <w:r>
              <w:rPr>
                <w:b/>
                <w:color w:val="1C3A36"/>
                <w:sz w:val="18"/>
              </w:rPr>
              <w:t>Free cash flow to firm</w:t>
            </w:r>
          </w:p>
        </w:tc>
        <w:tc>
          <w:tcPr>
            <w:tcW w:type="dxa" w:w="1469"/>
            <w:shd w:val="clear" w:color="auto" w:fill="F6F1E6"/>
          </w:tcPr>
          <w:p>
            <w:pPr>
              <w:spacing w:after="20"/>
              <w:jc w:val="right"/>
            </w:pPr>
            <w:r>
              <w:rPr>
                <w:b/>
                <w:color w:val="1C3A36"/>
                <w:sz w:val="18"/>
              </w:rPr>
              <w:t>264</w:t>
            </w:r>
          </w:p>
        </w:tc>
        <w:tc>
          <w:tcPr>
            <w:tcW w:type="dxa" w:w="1469"/>
            <w:shd w:val="clear" w:color="auto" w:fill="F6F1E6"/>
          </w:tcPr>
          <w:p>
            <w:pPr>
              <w:spacing w:after="20"/>
              <w:jc w:val="right"/>
            </w:pPr>
            <w:r>
              <w:rPr>
                <w:b/>
                <w:color w:val="1C3A36"/>
                <w:sz w:val="18"/>
              </w:rPr>
              <w:t>293</w:t>
            </w:r>
          </w:p>
        </w:tc>
        <w:tc>
          <w:tcPr>
            <w:tcW w:type="dxa" w:w="1469"/>
            <w:shd w:val="clear" w:color="auto" w:fill="F6F1E6"/>
          </w:tcPr>
          <w:p>
            <w:pPr>
              <w:spacing w:after="20"/>
              <w:jc w:val="right"/>
            </w:pPr>
            <w:r>
              <w:rPr>
                <w:b/>
                <w:color w:val="1C3A36"/>
                <w:sz w:val="18"/>
              </w:rPr>
              <w:t>315</w:t>
            </w:r>
          </w:p>
        </w:tc>
        <w:tc>
          <w:tcPr>
            <w:tcW w:type="dxa" w:w="1469"/>
            <w:shd w:val="clear" w:color="auto" w:fill="F6F1E6"/>
          </w:tcPr>
          <w:p>
            <w:pPr>
              <w:spacing w:after="20"/>
              <w:jc w:val="right"/>
            </w:pPr>
            <w:r>
              <w:rPr>
                <w:b/>
                <w:color w:val="1C3A36"/>
                <w:sz w:val="18"/>
              </w:rPr>
              <w:t>338</w:t>
            </w:r>
          </w:p>
        </w:tc>
        <w:tc>
          <w:tcPr>
            <w:tcW w:type="dxa" w:w="1469"/>
            <w:shd w:val="clear" w:color="auto" w:fill="F6F1E6"/>
          </w:tcPr>
          <w:p>
            <w:pPr>
              <w:spacing w:after="20"/>
              <w:jc w:val="right"/>
            </w:pPr>
            <w:r>
              <w:rPr>
                <w:b/>
                <w:color w:val="1C3A36"/>
                <w:sz w:val="18"/>
              </w:rPr>
              <w:t>362</w:t>
            </w:r>
          </w:p>
        </w:tc>
      </w:tr>
      <w:tr>
        <w:tc>
          <w:tcPr>
            <w:tcW w:type="dxa" w:w="2736"/>
          </w:tcPr>
          <w:p>
            <w:pPr>
              <w:spacing w:after="20"/>
            </w:pPr>
            <w:r>
              <w:rPr>
                <w:b/>
                <w:color w:val="1C3A36"/>
                <w:sz w:val="18"/>
              </w:rPr>
              <w:t>Discount factor</w:t>
            </w:r>
          </w:p>
        </w:tc>
        <w:tc>
          <w:tcPr>
            <w:tcW w:type="dxa" w:w="1469"/>
          </w:tcPr>
          <w:p>
            <w:pPr>
              <w:spacing w:after="20"/>
              <w:jc w:val="right"/>
            </w:pPr>
            <w:r>
              <w:rPr>
                <w:color w:val="1C3A36"/>
                <w:sz w:val="18"/>
              </w:rPr>
              <w:t>0.913</w:t>
            </w:r>
          </w:p>
        </w:tc>
        <w:tc>
          <w:tcPr>
            <w:tcW w:type="dxa" w:w="1469"/>
          </w:tcPr>
          <w:p>
            <w:pPr>
              <w:spacing w:after="20"/>
              <w:jc w:val="right"/>
            </w:pPr>
            <w:r>
              <w:rPr>
                <w:color w:val="1C3A36"/>
                <w:sz w:val="18"/>
              </w:rPr>
              <w:t>0.834</w:t>
            </w:r>
          </w:p>
        </w:tc>
        <w:tc>
          <w:tcPr>
            <w:tcW w:type="dxa" w:w="1469"/>
          </w:tcPr>
          <w:p>
            <w:pPr>
              <w:spacing w:after="20"/>
              <w:jc w:val="right"/>
            </w:pPr>
            <w:r>
              <w:rPr>
                <w:color w:val="1C3A36"/>
                <w:sz w:val="18"/>
              </w:rPr>
              <w:t>0.761</w:t>
            </w:r>
          </w:p>
        </w:tc>
        <w:tc>
          <w:tcPr>
            <w:tcW w:type="dxa" w:w="1469"/>
          </w:tcPr>
          <w:p>
            <w:pPr>
              <w:spacing w:after="20"/>
              <w:jc w:val="right"/>
            </w:pPr>
            <w:r>
              <w:rPr>
                <w:color w:val="1C3A36"/>
                <w:sz w:val="18"/>
              </w:rPr>
              <w:t>0.695</w:t>
            </w:r>
          </w:p>
        </w:tc>
        <w:tc>
          <w:tcPr>
            <w:tcW w:type="dxa" w:w="1469"/>
          </w:tcPr>
          <w:p>
            <w:pPr>
              <w:spacing w:after="20"/>
              <w:jc w:val="right"/>
            </w:pPr>
            <w:r>
              <w:rPr>
                <w:color w:val="1C3A36"/>
                <w:sz w:val="18"/>
              </w:rPr>
              <w:t>0.635</w:t>
            </w:r>
          </w:p>
        </w:tc>
      </w:tr>
      <w:tr>
        <w:tc>
          <w:tcPr>
            <w:tcW w:type="dxa" w:w="2736"/>
          </w:tcPr>
          <w:p>
            <w:pPr>
              <w:spacing w:after="20"/>
            </w:pPr>
            <w:r>
              <w:rPr>
                <w:b/>
                <w:color w:val="1C3A36"/>
                <w:sz w:val="18"/>
              </w:rPr>
              <w:t>PV of FCFF</w:t>
            </w:r>
          </w:p>
        </w:tc>
        <w:tc>
          <w:tcPr>
            <w:tcW w:type="dxa" w:w="1469"/>
          </w:tcPr>
          <w:p>
            <w:pPr>
              <w:spacing w:after="20"/>
              <w:jc w:val="right"/>
            </w:pPr>
            <w:r>
              <w:rPr>
                <w:color w:val="1C3A36"/>
                <w:sz w:val="18"/>
              </w:rPr>
              <w:t>241</w:t>
            </w:r>
          </w:p>
        </w:tc>
        <w:tc>
          <w:tcPr>
            <w:tcW w:type="dxa" w:w="1469"/>
          </w:tcPr>
          <w:p>
            <w:pPr>
              <w:spacing w:after="20"/>
              <w:jc w:val="right"/>
            </w:pPr>
            <w:r>
              <w:rPr>
                <w:color w:val="1C3A36"/>
                <w:sz w:val="18"/>
              </w:rPr>
              <w:t>244</w:t>
            </w:r>
          </w:p>
        </w:tc>
        <w:tc>
          <w:tcPr>
            <w:tcW w:type="dxa" w:w="1469"/>
          </w:tcPr>
          <w:p>
            <w:pPr>
              <w:spacing w:after="20"/>
              <w:jc w:val="right"/>
            </w:pPr>
            <w:r>
              <w:rPr>
                <w:color w:val="1C3A36"/>
                <w:sz w:val="18"/>
              </w:rPr>
              <w:t>240</w:t>
            </w:r>
          </w:p>
        </w:tc>
        <w:tc>
          <w:tcPr>
            <w:tcW w:type="dxa" w:w="1469"/>
          </w:tcPr>
          <w:p>
            <w:pPr>
              <w:spacing w:after="20"/>
              <w:jc w:val="right"/>
            </w:pPr>
            <w:r>
              <w:rPr>
                <w:color w:val="1C3A36"/>
                <w:sz w:val="18"/>
              </w:rPr>
              <w:t>235</w:t>
            </w:r>
          </w:p>
        </w:tc>
        <w:tc>
          <w:tcPr>
            <w:tcW w:type="dxa" w:w="1469"/>
          </w:tcPr>
          <w:p>
            <w:pPr>
              <w:spacing w:after="20"/>
              <w:jc w:val="right"/>
            </w:pPr>
            <w:r>
              <w:rPr>
                <w:color w:val="1C3A36"/>
                <w:sz w:val="18"/>
              </w:rPr>
              <w:t>230</w:t>
            </w:r>
          </w:p>
        </w:tc>
      </w:tr>
    </w:tbl>
    <w:p>
      <w:pPr>
        <w:spacing w:after="40"/>
      </w:pPr>
    </w:p>
    <w:p>
      <w:pPr>
        <w:spacing w:after="120" w:before="0"/>
      </w:pPr>
      <w:r>
        <w:rPr>
          <w:b/>
          <w:i w:val="0"/>
          <w:color w:val="1C3A36"/>
          <w:sz w:val="19"/>
        </w:rPr>
        <w:t xml:space="preserve">Terminal value </w:t>
      </w:r>
      <w:r>
        <w:rPr>
          <w:b w:val="0"/>
          <w:i w:val="0"/>
          <w:color w:val="1C3A36"/>
          <w:sz w:val="19"/>
        </w:rPr>
        <w:t>SAR 5,726m</w:t>
      </w:r>
      <w:r>
        <w:rPr>
          <w:b w:val="0"/>
          <w:i w:val="0"/>
          <w:color w:val="1C3A36"/>
          <w:sz w:val="19"/>
        </w:rPr>
        <w:t xml:space="preserve"> (g = </w:t>
      </w:r>
      <w:r>
        <w:rPr>
          <w:b w:val="0"/>
          <w:i w:val="0"/>
          <w:color w:val="1C3A36"/>
          <w:sz w:val="19"/>
        </w:rPr>
        <w:t>3.0%</w:t>
      </w:r>
      <w:r>
        <w:rPr>
          <w:b w:val="0"/>
          <w:i w:val="0"/>
          <w:color w:val="1C3A36"/>
          <w:sz w:val="19"/>
        </w:rPr>
        <w:t xml:space="preserve">); PV of terminal value </w:t>
      </w:r>
      <w:r>
        <w:rPr>
          <w:b w:val="0"/>
          <w:i w:val="0"/>
          <w:color w:val="1C3A36"/>
          <w:sz w:val="19"/>
        </w:rPr>
        <w:t xml:space="preserve">SAR 3,636m; </w:t>
      </w:r>
      <w:r>
        <w:rPr>
          <w:b/>
          <w:i w:val="0"/>
          <w:color w:val="1C3A36"/>
          <w:sz w:val="19"/>
        </w:rPr>
        <w:t xml:space="preserve">enterprise value </w:t>
      </w:r>
      <w:r>
        <w:rPr>
          <w:b w:val="0"/>
          <w:i w:val="0"/>
          <w:color w:val="1C3A36"/>
          <w:sz w:val="19"/>
        </w:rPr>
        <w:t>SAR 4,826m</w:t>
      </w:r>
      <w:r>
        <w:rPr>
          <w:b w:val="0"/>
          <w:i w:val="0"/>
          <w:color w:val="1C3A36"/>
          <w:sz w:val="19"/>
        </w:rPr>
        <w:t xml:space="preserve"> + retail net cash </w:t>
      </w:r>
      <w:r>
        <w:rPr>
          <w:b w:val="0"/>
          <w:i w:val="0"/>
          <w:color w:val="1C3A36"/>
          <w:sz w:val="19"/>
        </w:rPr>
        <w:t xml:space="preserve">SAR 388m = </w:t>
      </w:r>
      <w:r>
        <w:rPr>
          <w:b/>
          <w:i w:val="0"/>
          <w:color w:val="1C3A36"/>
          <w:sz w:val="19"/>
        </w:rPr>
        <w:t xml:space="preserve">retail equity </w:t>
      </w:r>
      <w:r>
        <w:rPr>
          <w:b w:val="0"/>
          <w:i w:val="0"/>
          <w:color w:val="1C3A36"/>
          <w:sz w:val="19"/>
        </w:rPr>
        <w:t>SAR 5,214m</w:t>
      </w:r>
      <w:r>
        <w:rPr>
          <w:b w:val="0"/>
          <w:i w:val="0"/>
          <w:color w:val="1C3A36"/>
          <w:sz w:val="19"/>
        </w:rPr>
        <w:t xml:space="preserve"> (SAR 65.2/sh) — the first SOTP leg. </w:t>
      </w:r>
      <w:r>
        <w:rPr>
          <w:b w:val="0"/>
          <w:i w:val="0"/>
          <w:color w:val="1C3A36"/>
          <w:sz w:val="19"/>
        </w:rPr>
        <w:t xml:space="preserve">Terminal value is </w:t>
      </w:r>
      <w:r>
        <w:rPr>
          <w:b/>
          <w:i w:val="0"/>
          <w:color w:val="1C3A36"/>
          <w:sz w:val="19"/>
        </w:rPr>
        <w:t>75.3%</w:t>
      </w:r>
      <w:r>
        <w:rPr>
          <w:b w:val="0"/>
          <w:i w:val="0"/>
          <w:color w:val="1C3A36"/>
          <w:sz w:val="19"/>
        </w:rPr>
        <w:t xml:space="preserve"> of enterprise value — disclosed and sensitized in §1.6 (device A-7); this is a stable-cash-flow business, so a high terminal weight is expected, but it makes the discount rate the swing factor.</w:t>
      </w:r>
    </w:p>
    <w:p>
      <w:pPr>
        <w:spacing w:after="40" w:before="140"/>
      </w:pPr>
      <w:r>
        <w:rPr>
          <w:b/>
          <w:i w:val="0"/>
          <w:color w:val="896F36"/>
          <w:sz w:val="21"/>
        </w:rPr>
        <w:t>1.1.2  Tasheel leg — captive consumer-finance book</w:t>
      </w:r>
    </w:p>
    <w:p>
      <w:pPr>
        <w:spacing w:after="120" w:before="0"/>
      </w:pPr>
      <w:r>
        <w:rPr>
          <w:b w:val="0"/>
          <w:i w:val="0"/>
          <w:color w:val="1C3A36"/>
          <w:sz w:val="21"/>
        </w:rPr>
        <w:t>Tasheel is a lender, not a cash-flow business — its "capex" is loan-book growth funded by debt, so a free-cash-flow DCF is meaningless for it. That is the whole reason the legs are split: keeping the retail cash flow out of Tasheel, and valuing Tasheel the way a lender is valued — equity book × a justified price-to-book of (ROE−g)/(COE−g) — then taking eXtra’s economic 68.75% (the 31.25% minority drops out by construction).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328"/>
            <w:shd w:val="clear" w:color="auto" w:fill="EAF0EE"/>
          </w:tcPr>
          <w:p>
            <w:pPr>
              <w:spacing w:after="20"/>
            </w:pPr>
            <w:r>
              <w:rPr>
                <w:b/>
                <w:color w:val="1C3A36"/>
                <w:sz w:val="18"/>
              </w:rPr>
              <w:t>Tasheel P/B build</w:t>
            </w:r>
          </w:p>
        </w:tc>
        <w:tc>
          <w:tcPr>
            <w:tcW w:type="dxa" w:w="3600"/>
            <w:shd w:val="clear" w:color="auto" w:fill="EAF0EE"/>
          </w:tcPr>
          <w:p>
            <w:pPr>
              <w:spacing w:after="20"/>
            </w:pPr>
            <w:r>
              <w:rPr>
                <w:b/>
                <w:color w:val="1C3A36"/>
                <w:sz w:val="18"/>
              </w:rPr>
              <w:t>Value</w:t>
            </w:r>
          </w:p>
        </w:tc>
      </w:tr>
      <w:tr>
        <w:tc>
          <w:tcPr>
            <w:tcW w:type="dxa" w:w="5328"/>
          </w:tcPr>
          <w:p>
            <w:pPr>
              <w:spacing w:after="20"/>
            </w:pPr>
            <w:r>
              <w:rPr>
                <w:b/>
                <w:color w:val="1C3A36"/>
                <w:sz w:val="18"/>
              </w:rPr>
              <w:t>Equity book (SAR mn, est.)</w:t>
            </w:r>
          </w:p>
        </w:tc>
        <w:tc>
          <w:tcPr>
            <w:tcW w:type="dxa" w:w="3600"/>
          </w:tcPr>
          <w:p>
            <w:pPr>
              <w:spacing w:after="20"/>
              <w:jc w:val="right"/>
            </w:pPr>
            <w:r>
              <w:rPr>
                <w:color w:val="1C3A36"/>
                <w:sz w:val="18"/>
              </w:rPr>
              <w:t>1,200</w:t>
            </w:r>
          </w:p>
        </w:tc>
      </w:tr>
      <w:tr>
        <w:tc>
          <w:tcPr>
            <w:tcW w:type="dxa" w:w="5328"/>
          </w:tcPr>
          <w:p>
            <w:pPr>
              <w:spacing w:after="20"/>
            </w:pPr>
            <w:r>
              <w:rPr>
                <w:b/>
                <w:color w:val="1C3A36"/>
                <w:sz w:val="18"/>
              </w:rPr>
              <w:t>Return on equity</w:t>
            </w:r>
          </w:p>
        </w:tc>
        <w:tc>
          <w:tcPr>
            <w:tcW w:type="dxa" w:w="3600"/>
          </w:tcPr>
          <w:p>
            <w:pPr>
              <w:spacing w:after="20"/>
              <w:jc w:val="right"/>
            </w:pPr>
            <w:r>
              <w:rPr>
                <w:color w:val="1C3A36"/>
                <w:sz w:val="18"/>
              </w:rPr>
              <w:t>19.2%</w:t>
            </w:r>
          </w:p>
        </w:tc>
      </w:tr>
      <w:tr>
        <w:tc>
          <w:tcPr>
            <w:tcW w:type="dxa" w:w="5328"/>
          </w:tcPr>
          <w:p>
            <w:pPr>
              <w:spacing w:after="20"/>
            </w:pPr>
            <w:r>
              <w:rPr>
                <w:b/>
                <w:color w:val="1C3A36"/>
                <w:sz w:val="18"/>
              </w:rPr>
              <w:t>Cost of equity / terminal g</w:t>
            </w:r>
          </w:p>
        </w:tc>
        <w:tc>
          <w:tcPr>
            <w:tcW w:type="dxa" w:w="3600"/>
          </w:tcPr>
          <w:p>
            <w:pPr>
              <w:spacing w:after="20"/>
              <w:jc w:val="right"/>
            </w:pPr>
            <w:r>
              <w:rPr>
                <w:color w:val="1C3A36"/>
                <w:sz w:val="18"/>
              </w:rPr>
              <w:t>10.5% / 4.5%</w:t>
            </w:r>
          </w:p>
        </w:tc>
      </w:tr>
      <w:tr>
        <w:tc>
          <w:tcPr>
            <w:tcW w:type="dxa" w:w="5328"/>
          </w:tcPr>
          <w:p>
            <w:pPr>
              <w:spacing w:after="20"/>
            </w:pPr>
            <w:r>
              <w:rPr>
                <w:b/>
                <w:color w:val="1C3A36"/>
                <w:sz w:val="18"/>
              </w:rPr>
              <w:t>Justified P/B = (ROE−g)/(COE−g)</w:t>
            </w:r>
          </w:p>
        </w:tc>
        <w:tc>
          <w:tcPr>
            <w:tcW w:type="dxa" w:w="3600"/>
          </w:tcPr>
          <w:p>
            <w:pPr>
              <w:spacing w:after="20"/>
              <w:jc w:val="right"/>
            </w:pPr>
            <w:r>
              <w:rPr>
                <w:color w:val="1C3A36"/>
                <w:sz w:val="18"/>
              </w:rPr>
              <w:t>2.44×</w:t>
            </w:r>
          </w:p>
        </w:tc>
      </w:tr>
      <w:tr>
        <w:tc>
          <w:tcPr>
            <w:tcW w:type="dxa" w:w="5328"/>
          </w:tcPr>
          <w:p>
            <w:pPr>
              <w:spacing w:after="20"/>
            </w:pPr>
            <w:r>
              <w:rPr>
                <w:b/>
                <w:color w:val="1C3A36"/>
                <w:sz w:val="18"/>
              </w:rPr>
              <w:t>Tasheel value 100%</w:t>
            </w:r>
          </w:p>
        </w:tc>
        <w:tc>
          <w:tcPr>
            <w:tcW w:type="dxa" w:w="3600"/>
          </w:tcPr>
          <w:p>
            <w:pPr>
              <w:spacing w:after="20"/>
              <w:jc w:val="right"/>
            </w:pPr>
            <w:r>
              <w:rPr>
                <w:color w:val="1C3A36"/>
                <w:sz w:val="18"/>
              </w:rPr>
              <w:t>2,933</w:t>
            </w:r>
          </w:p>
        </w:tc>
      </w:tr>
      <w:tr>
        <w:tc>
          <w:tcPr>
            <w:tcW w:type="dxa" w:w="5328"/>
            <w:shd w:val="clear" w:color="auto" w:fill="F6F1E6"/>
          </w:tcPr>
          <w:p>
            <w:pPr>
              <w:spacing w:after="20"/>
            </w:pPr>
            <w:r>
              <w:rPr>
                <w:b/>
                <w:color w:val="1C3A36"/>
                <w:sz w:val="18"/>
              </w:rPr>
              <w:t>eXtra 68.75% share</w:t>
            </w:r>
          </w:p>
        </w:tc>
        <w:tc>
          <w:tcPr>
            <w:tcW w:type="dxa" w:w="3600"/>
            <w:shd w:val="clear" w:color="auto" w:fill="F6F1E6"/>
          </w:tcPr>
          <w:p>
            <w:pPr>
              <w:spacing w:after="20"/>
              <w:jc w:val="right"/>
            </w:pPr>
            <w:r>
              <w:rPr>
                <w:b/>
                <w:color w:val="1C3A36"/>
                <w:sz w:val="18"/>
              </w:rPr>
              <w:t>2,017  (SAR 25.2/sh)</w:t>
            </w:r>
          </w:p>
        </w:tc>
      </w:tr>
    </w:tbl>
    <w:p>
      <w:pPr>
        <w:spacing w:after="40"/>
      </w:pPr>
    </w:p>
    <w:p>
      <w:pPr>
        <w:spacing w:after="200" w:before="0"/>
      </w:pPr>
      <w:r>
        <w:rPr>
          <w:b w:val="0"/>
          <w:i/>
          <w:color w:val="6E7B77"/>
          <w:sz w:val="17"/>
        </w:rPr>
        <w:t>The equity book is a flagged estimate (segment equity is not separately disclosed) — the honest weak point of this leg, sensitized in §1.6.</w:t>
      </w:r>
    </w:p>
    <w:p>
      <w:pPr>
        <w:spacing w:after="40" w:before="140"/>
      </w:pPr>
      <w:r>
        <w:rPr>
          <w:b/>
          <w:i w:val="0"/>
          <w:color w:val="896F36"/>
          <w:sz w:val="21"/>
        </w:rPr>
        <w:t>1.1.3  Sum-of-the-parts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Leg</w:t>
            </w:r>
          </w:p>
        </w:tc>
        <w:tc>
          <w:tcPr>
            <w:tcW w:type="dxa" w:w="3888"/>
            <w:shd w:val="clear" w:color="auto" w:fill="EAF0EE"/>
          </w:tcPr>
          <w:p>
            <w:pPr>
              <w:spacing w:after="20"/>
            </w:pPr>
            <w:r>
              <w:rPr>
                <w:b/>
                <w:color w:val="1C3A36"/>
                <w:sz w:val="18"/>
              </w:rPr>
              <w:t>Method</w:t>
            </w:r>
          </w:p>
        </w:tc>
        <w:tc>
          <w:tcPr>
            <w:tcW w:type="dxa" w:w="1224"/>
            <w:shd w:val="clear" w:color="auto" w:fill="EAF0EE"/>
          </w:tcPr>
          <w:p>
            <w:pPr>
              <w:spacing w:after="20"/>
            </w:pPr>
            <w:r>
              <w:rPr>
                <w:b/>
                <w:color w:val="1C3A36"/>
                <w:sz w:val="18"/>
              </w:rPr>
              <w:t>SAR mn</w:t>
            </w:r>
          </w:p>
        </w:tc>
        <w:tc>
          <w:tcPr>
            <w:tcW w:type="dxa" w:w="1224"/>
            <w:shd w:val="clear" w:color="auto" w:fill="EAF0EE"/>
          </w:tcPr>
          <w:p>
            <w:pPr>
              <w:spacing w:after="20"/>
            </w:pPr>
            <w:r>
              <w:rPr>
                <w:b/>
                <w:color w:val="1C3A36"/>
                <w:sz w:val="18"/>
              </w:rPr>
              <w:t>SAR / share</w:t>
            </w:r>
          </w:p>
        </w:tc>
      </w:tr>
      <w:tr>
        <w:tc>
          <w:tcPr>
            <w:tcW w:type="dxa" w:w="3744"/>
          </w:tcPr>
          <w:p>
            <w:pPr>
              <w:spacing w:after="20"/>
            </w:pPr>
            <w:r>
              <w:rPr>
                <w:b/>
                <w:color w:val="1C3A36"/>
                <w:sz w:val="18"/>
              </w:rPr>
              <w:t>Retail operating-co (§1.1.1)</w:t>
            </w:r>
          </w:p>
        </w:tc>
        <w:tc>
          <w:tcPr>
            <w:tcW w:type="dxa" w:w="3888"/>
          </w:tcPr>
          <w:p>
            <w:pPr>
              <w:spacing w:after="20"/>
            </w:pPr>
            <w:r>
              <w:rPr>
                <w:color w:val="1C3A36"/>
                <w:sz w:val="18"/>
              </w:rPr>
              <w:t>5-yr FCFF DCF at retail Ke (net-cash)</w:t>
            </w:r>
          </w:p>
        </w:tc>
        <w:tc>
          <w:tcPr>
            <w:tcW w:type="dxa" w:w="1224"/>
          </w:tcPr>
          <w:p>
            <w:pPr>
              <w:spacing w:after="20"/>
              <w:jc w:val="right"/>
            </w:pPr>
            <w:r>
              <w:rPr>
                <w:color w:val="1C3A36"/>
                <w:sz w:val="18"/>
              </w:rPr>
              <w:t>5,214</w:t>
            </w:r>
          </w:p>
        </w:tc>
        <w:tc>
          <w:tcPr>
            <w:tcW w:type="dxa" w:w="1224"/>
          </w:tcPr>
          <w:p>
            <w:pPr>
              <w:spacing w:after="20"/>
              <w:jc w:val="right"/>
            </w:pPr>
            <w:r>
              <w:rPr>
                <w:color w:val="1C3A36"/>
                <w:sz w:val="18"/>
              </w:rPr>
              <w:t>65.2</w:t>
            </w:r>
          </w:p>
        </w:tc>
      </w:tr>
      <w:tr>
        <w:tc>
          <w:tcPr>
            <w:tcW w:type="dxa" w:w="3744"/>
          </w:tcPr>
          <w:p>
            <w:pPr>
              <w:spacing w:after="20"/>
            </w:pPr>
            <w:r>
              <w:rPr>
                <w:b/>
                <w:color w:val="1C3A36"/>
                <w:sz w:val="18"/>
              </w:rPr>
              <w:t>Tasheel — eXtra 68.75% (§1.1.2)</w:t>
            </w:r>
          </w:p>
        </w:tc>
        <w:tc>
          <w:tcPr>
            <w:tcW w:type="dxa" w:w="3888"/>
          </w:tcPr>
          <w:p>
            <w:pPr>
              <w:spacing w:after="20"/>
            </w:pPr>
            <w:r>
              <w:rPr>
                <w:color w:val="1C3A36"/>
                <w:sz w:val="18"/>
              </w:rPr>
              <w:t>Equity book × justified P/B</w:t>
            </w:r>
          </w:p>
        </w:tc>
        <w:tc>
          <w:tcPr>
            <w:tcW w:type="dxa" w:w="1224"/>
          </w:tcPr>
          <w:p>
            <w:pPr>
              <w:spacing w:after="20"/>
              <w:jc w:val="right"/>
            </w:pPr>
            <w:r>
              <w:rPr>
                <w:color w:val="1C3A36"/>
                <w:sz w:val="18"/>
              </w:rPr>
              <w:t>2,017</w:t>
            </w:r>
          </w:p>
        </w:tc>
        <w:tc>
          <w:tcPr>
            <w:tcW w:type="dxa" w:w="1224"/>
          </w:tcPr>
          <w:p>
            <w:pPr>
              <w:spacing w:after="20"/>
              <w:jc w:val="right"/>
            </w:pPr>
            <w:r>
              <w:rPr>
                <w:color w:val="1C3A36"/>
                <w:sz w:val="18"/>
              </w:rPr>
              <w:t>25.2</w:t>
            </w:r>
          </w:p>
        </w:tc>
      </w:tr>
      <w:tr>
        <w:tc>
          <w:tcPr>
            <w:tcW w:type="dxa" w:w="3744"/>
            <w:shd w:val="clear" w:color="auto" w:fill="F6F1E6"/>
          </w:tcPr>
          <w:p>
            <w:pPr>
              <w:spacing w:after="20"/>
            </w:pPr>
            <w:r>
              <w:rPr>
                <w:b/>
                <w:color w:val="1C3A36"/>
                <w:sz w:val="18"/>
              </w:rPr>
              <w:t>Sum-of-the-parts</w:t>
            </w:r>
          </w:p>
        </w:tc>
        <w:tc>
          <w:tcPr>
            <w:tcW w:type="dxa" w:w="3888"/>
            <w:shd w:val="clear" w:color="auto" w:fill="F6F1E6"/>
          </w:tcPr>
          <w:p>
            <w:pPr>
              <w:spacing w:after="20"/>
            </w:pPr>
            <w:r>
              <w:rPr>
                <w:b/>
                <w:color w:val="1C3A36"/>
                <w:sz w:val="18"/>
              </w:rPr>
              <w:t>Retail equity + Tasheel share</w:t>
            </w:r>
          </w:p>
        </w:tc>
        <w:tc>
          <w:tcPr>
            <w:tcW w:type="dxa" w:w="1224"/>
            <w:shd w:val="clear" w:color="auto" w:fill="F6F1E6"/>
          </w:tcPr>
          <w:p>
            <w:pPr>
              <w:spacing w:after="20"/>
              <w:jc w:val="right"/>
            </w:pPr>
            <w:r>
              <w:rPr>
                <w:b/>
                <w:color w:val="1C3A36"/>
                <w:sz w:val="18"/>
              </w:rPr>
              <w:t>7,231</w:t>
            </w:r>
          </w:p>
        </w:tc>
        <w:tc>
          <w:tcPr>
            <w:tcW w:type="dxa" w:w="1224"/>
            <w:shd w:val="clear" w:color="auto" w:fill="F6F1E6"/>
          </w:tcPr>
          <w:p>
            <w:pPr>
              <w:spacing w:after="20"/>
              <w:jc w:val="right"/>
            </w:pPr>
            <w:r>
              <w:rPr>
                <w:b/>
                <w:color w:val="1C3A36"/>
                <w:sz w:val="18"/>
              </w:rPr>
              <w:t>90.4</w:t>
            </w:r>
          </w:p>
        </w:tc>
      </w:tr>
    </w:tbl>
    <w:p>
      <w:pPr>
        <w:spacing w:after="40"/>
      </w:pPr>
    </w:p>
    <w:p>
      <w:pPr>
        <w:spacing w:after="120" w:before="0"/>
      </w:pPr>
      <w:r>
        <w:rPr>
          <w:b w:val="0"/>
          <w:i w:val="0"/>
          <w:color w:val="1C3A36"/>
          <w:sz w:val="19"/>
        </w:rPr>
        <w:t xml:space="preserve">Retail cash flow drives </w:t>
      </w:r>
      <w:r>
        <w:rPr>
          <w:b/>
          <w:i w:val="0"/>
          <w:color w:val="1C3A36"/>
          <w:sz w:val="19"/>
        </w:rPr>
        <w:t>72% of the SOTP</w:t>
      </w:r>
      <w:r>
        <w:rPr>
          <w:b w:val="0"/>
          <w:i w:val="0"/>
          <w:color w:val="1C3A36"/>
          <w:sz w:val="19"/>
        </w:rPr>
        <w:t xml:space="preserve"> (SAR 65 of 90); the captive lender the remaining SAR 25. </w:t>
      </w:r>
      <w:r>
        <w:rPr>
          <w:b w:val="0"/>
          <w:i w:val="0"/>
          <w:color w:val="1C3A36"/>
          <w:sz w:val="19"/>
        </w:rPr>
        <w:t>Because the two legs are on different methods, the split is the point — not a presentational choice.</w:t>
      </w:r>
    </w:p>
    <w:p>
      <w:pPr>
        <w:spacing w:after="60" w:before="180"/>
      </w:pPr>
      <w:r>
        <w:rPr>
          <w:b/>
          <w:i w:val="0"/>
          <w:color w:val="1C3A36"/>
          <w:sz w:val="24"/>
        </w:rPr>
        <w:t>1.2  Relative multiples — cross-check</w:t>
      </w:r>
    </w:p>
    <w:p>
      <w:pPr>
        <w:spacing w:after="120" w:before="0"/>
      </w:pPr>
      <w:r>
        <w:rPr>
          <w:b w:val="0"/>
          <w:i w:val="0"/>
          <w:color w:val="1C3A36"/>
          <w:sz w:val="21"/>
        </w:rPr>
        <w:t xml:space="preserve">The genuine independent cross-check to the sum-of-the-parts is a relative multiple. On group earnings, eXtra trades at </w:t>
      </w:r>
      <w:r>
        <w:rPr>
          <w:b/>
          <w:i w:val="0"/>
          <w:color w:val="1C3A36"/>
          <w:sz w:val="21"/>
        </w:rPr>
        <w:t>11.0× trailing P/E</w:t>
      </w:r>
      <w:r>
        <w:rPr>
          <w:b w:val="0"/>
          <w:i w:val="0"/>
          <w:color w:val="1C3A36"/>
          <w:sz w:val="21"/>
        </w:rPr>
        <w:t xml:space="preserve">. A 12× peer multiple on FY2025 EPS of SAR </w:t>
      </w:r>
      <w:r>
        <w:rPr>
          <w:b w:val="0"/>
          <w:i w:val="0"/>
          <w:color w:val="1C3A36"/>
          <w:sz w:val="21"/>
        </w:rPr>
        <w:t>6.21</w:t>
      </w:r>
      <w:r>
        <w:rPr>
          <w:b w:val="0"/>
          <w:i w:val="0"/>
          <w:color w:val="1C3A36"/>
          <w:sz w:val="21"/>
        </w:rPr>
        <w:t xml:space="preserve"> gives </w:t>
      </w:r>
      <w:r>
        <w:rPr>
          <w:b/>
          <w:i w:val="0"/>
          <w:color w:val="896F36"/>
          <w:sz w:val="21"/>
        </w:rPr>
        <w:t>SAR 75/share</w:t>
      </w:r>
      <w:r>
        <w:rPr>
          <w:b w:val="0"/>
          <w:i w:val="0"/>
          <w:color w:val="1C3A36"/>
          <w:sz w:val="21"/>
        </w:rPr>
        <w:t xml:space="preserve"> (a 10–14× range spans SAR 62–87). </w:t>
      </w:r>
      <w:r>
        <w:rPr>
          <w:b w:val="0"/>
          <w:i w:val="0"/>
          <w:color w:val="1C3A36"/>
          <w:sz w:val="21"/>
        </w:rPr>
        <w:t>EV/EBITDA is deliberately not used as the anchor: with roughly half of group earnings coming from a finance book, group EBITDA is not a clean cash-flow proxy, and the metric is not meaningful for the blended entity.</w:t>
      </w:r>
    </w:p>
    <w:p>
      <w:pPr>
        <w:spacing w:after="60" w:before="180"/>
      </w:pPr>
      <w:r>
        <w:rPr>
          <w:b/>
          <w:i w:val="0"/>
          <w:color w:val="1C3A36"/>
          <w:sz w:val="24"/>
        </w:rPr>
        <w:t>1.3  Where earnings sit in the cycle</w:t>
      </w:r>
    </w:p>
    <w:p>
      <w:pPr>
        <w:spacing w:after="120" w:before="0"/>
      </w:pPr>
      <w:r>
        <w:rPr>
          <w:b w:val="0"/>
          <w:i w:val="0"/>
          <w:color w:val="1C3A36"/>
          <w:sz w:val="21"/>
        </w:rPr>
        <w:t>Neither leg is at a cyclical peak. Retail revenue grew ~10% in FY2025 but net income fell, as the consumer-finance segment lifted operating spend and provisions (its net profit declined ~20% year-on-year into 2026). We therefore normalize toward a mid-cycle retail EBIT margin of ~4.3–4.7% and a Tasheel return-on-equity below its recent peak, rather than extrapolating either the 2024 profit spike (which carried a one-off) or the 2025 softness. This is the "peak/mid/trough" discipline in place of a normalized-EPS figure that means little for a two-engine business.</w:t>
      </w:r>
    </w:p>
    <w:p>
      <w:pPr>
        <w:spacing w:after="60" w:before="180"/>
      </w:pPr>
      <w:r>
        <w:rPr>
          <w:b/>
          <w:i w:val="0"/>
          <w:color w:val="1C3A36"/>
          <w:sz w:val="24"/>
        </w:rPr>
        <w:t>1.4  Synthesis — five lenses and the football field</w:t>
      </w:r>
    </w:p>
    <w:p>
      <w:pPr>
        <w:spacing w:after="40"/>
        <w:jc w:val="center"/>
      </w:pPr>
      <w:r>
        <w:drawing>
          <wp:inline xmlns:a="http://schemas.openxmlformats.org/drawingml/2006/main" xmlns:pic="http://schemas.openxmlformats.org/drawingml/2006/picture">
            <wp:extent cx="6035040" cy="2380459"/>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035040" cy="2380459"/>
                    </a:xfrm>
                    <a:prstGeom prst="rect"/>
                  </pic:spPr>
                </pic:pic>
              </a:graphicData>
            </a:graphic>
          </wp:inline>
        </w:drawing>
      </w:r>
    </w:p>
    <w:p>
      <w:pPr>
        <w:spacing w:after="200" w:before="0"/>
      </w:pPr>
      <w:r>
        <w:rPr>
          <w:b w:val="0"/>
          <w:i/>
          <w:color w:val="6E7B77"/>
          <w:sz w:val="17"/>
        </w:rPr>
        <w:t>Figure 1. Valuation football field. Bear–bull span per lens; brass tick = base; ink vertical line = spot. The fundamental lenses sit above spot; the near-term Monte Carlo median sits at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888"/>
            <w:shd w:val="clear" w:color="auto" w:fill="EAF0EE"/>
          </w:tcPr>
          <w:p>
            <w:pPr>
              <w:spacing w:after="20"/>
            </w:pPr>
            <w:r>
              <w:rPr>
                <w:b/>
                <w:color w:val="1C3A36"/>
                <w:sz w:val="18"/>
              </w:rPr>
              <w:t>Lens</w:t>
            </w:r>
          </w:p>
        </w:tc>
        <w:tc>
          <w:tcPr>
            <w:tcW w:type="dxa" w:w="1296"/>
            <w:shd w:val="clear" w:color="auto" w:fill="EAF0EE"/>
          </w:tcPr>
          <w:p>
            <w:pPr>
              <w:spacing w:after="20"/>
            </w:pPr>
            <w:r>
              <w:rPr>
                <w:b/>
                <w:color w:val="1C3A36"/>
                <w:sz w:val="18"/>
              </w:rPr>
              <w:t>Weight</w:t>
            </w:r>
          </w:p>
        </w:tc>
        <w:tc>
          <w:tcPr>
            <w:tcW w:type="dxa" w:w="1872"/>
            <w:shd w:val="clear" w:color="auto" w:fill="EAF0EE"/>
          </w:tcPr>
          <w:p>
            <w:pPr>
              <w:spacing w:after="20"/>
            </w:pPr>
            <w:r>
              <w:rPr>
                <w:b/>
                <w:color w:val="1C3A36"/>
                <w:sz w:val="18"/>
              </w:rPr>
              <w:t>Base (SAR/sh)</w:t>
            </w:r>
          </w:p>
        </w:tc>
        <w:tc>
          <w:tcPr>
            <w:tcW w:type="dxa" w:w="3024"/>
            <w:shd w:val="clear" w:color="auto" w:fill="EAF0EE"/>
          </w:tcPr>
          <w:p>
            <w:pPr>
              <w:spacing w:after="20"/>
            </w:pPr>
            <w:r>
              <w:rPr>
                <w:b/>
                <w:color w:val="1C3A36"/>
                <w:sz w:val="18"/>
              </w:rPr>
              <w:t>Read</w:t>
            </w:r>
          </w:p>
        </w:tc>
      </w:tr>
      <w:tr>
        <w:tc>
          <w:tcPr>
            <w:tcW w:type="dxa" w:w="3888"/>
          </w:tcPr>
          <w:p>
            <w:pPr>
              <w:spacing w:after="20"/>
            </w:pPr>
            <w:r>
              <w:rPr>
                <w:b/>
                <w:color w:val="1C3A36"/>
                <w:sz w:val="18"/>
              </w:rPr>
              <w:t>Sum-of-the-parts (split legs)</w:t>
            </w:r>
          </w:p>
        </w:tc>
        <w:tc>
          <w:tcPr>
            <w:tcW w:type="dxa" w:w="1296"/>
          </w:tcPr>
          <w:p>
            <w:pPr>
              <w:spacing w:after="20"/>
              <w:jc w:val="right"/>
            </w:pPr>
            <w:r>
              <w:rPr>
                <w:color w:val="1C3A36"/>
                <w:sz w:val="18"/>
              </w:rPr>
              <w:t>50%</w:t>
            </w:r>
          </w:p>
        </w:tc>
        <w:tc>
          <w:tcPr>
            <w:tcW w:type="dxa" w:w="1872"/>
          </w:tcPr>
          <w:p>
            <w:pPr>
              <w:spacing w:after="20"/>
              <w:jc w:val="right"/>
            </w:pPr>
            <w:r>
              <w:rPr>
                <w:color w:val="1C3A36"/>
                <w:sz w:val="18"/>
              </w:rPr>
              <w:t>90</w:t>
            </w:r>
          </w:p>
        </w:tc>
        <w:tc>
          <w:tcPr>
            <w:tcW w:type="dxa" w:w="3024"/>
          </w:tcPr>
          <w:p>
            <w:pPr>
              <w:spacing w:after="20"/>
              <w:jc w:val="right"/>
            </w:pPr>
            <w:r>
              <w:rPr>
                <w:color w:val="1C3A36"/>
                <w:sz w:val="18"/>
              </w:rPr>
              <w:t>Primary; retail DCF + Tasheel book</w:t>
            </w:r>
          </w:p>
        </w:tc>
      </w:tr>
      <w:tr>
        <w:tc>
          <w:tcPr>
            <w:tcW w:type="dxa" w:w="3888"/>
          </w:tcPr>
          <w:p>
            <w:pPr>
              <w:spacing w:after="20"/>
            </w:pPr>
            <w:r>
              <w:rPr>
                <w:b/>
                <w:color w:val="1C3A36"/>
                <w:sz w:val="18"/>
              </w:rPr>
              <w:t>Relative multiples (P/E)</w:t>
            </w:r>
          </w:p>
        </w:tc>
        <w:tc>
          <w:tcPr>
            <w:tcW w:type="dxa" w:w="1296"/>
          </w:tcPr>
          <w:p>
            <w:pPr>
              <w:spacing w:after="20"/>
              <w:jc w:val="right"/>
            </w:pPr>
            <w:r>
              <w:rPr>
                <w:color w:val="1C3A36"/>
                <w:sz w:val="18"/>
              </w:rPr>
              <w:t>25%</w:t>
            </w:r>
          </w:p>
        </w:tc>
        <w:tc>
          <w:tcPr>
            <w:tcW w:type="dxa" w:w="1872"/>
          </w:tcPr>
          <w:p>
            <w:pPr>
              <w:spacing w:after="20"/>
              <w:jc w:val="right"/>
            </w:pPr>
            <w:r>
              <w:rPr>
                <w:color w:val="1C3A36"/>
                <w:sz w:val="18"/>
              </w:rPr>
              <w:t>75</w:t>
            </w:r>
          </w:p>
        </w:tc>
        <w:tc>
          <w:tcPr>
            <w:tcW w:type="dxa" w:w="3024"/>
          </w:tcPr>
          <w:p>
            <w:pPr>
              <w:spacing w:after="20"/>
              <w:jc w:val="right"/>
            </w:pPr>
            <w:r>
              <w:rPr>
                <w:color w:val="1C3A36"/>
                <w:sz w:val="18"/>
              </w:rPr>
              <w:t>Cross-check on group earnings</w:t>
            </w:r>
          </w:p>
        </w:tc>
      </w:tr>
      <w:tr>
        <w:tc>
          <w:tcPr>
            <w:tcW w:type="dxa" w:w="3888"/>
          </w:tcPr>
          <w:p>
            <w:pPr>
              <w:spacing w:after="20"/>
            </w:pPr>
            <w:r>
              <w:rPr>
                <w:b/>
                <w:color w:val="1C3A36"/>
                <w:sz w:val="18"/>
              </w:rPr>
              <w:t>Monte Carlo (T+60 median)</w:t>
            </w:r>
          </w:p>
        </w:tc>
        <w:tc>
          <w:tcPr>
            <w:tcW w:type="dxa" w:w="1296"/>
          </w:tcPr>
          <w:p>
            <w:pPr>
              <w:spacing w:after="20"/>
              <w:jc w:val="right"/>
            </w:pPr>
            <w:r>
              <w:rPr>
                <w:color w:val="1C3A36"/>
                <w:sz w:val="18"/>
              </w:rPr>
              <w:t>25%</w:t>
            </w:r>
          </w:p>
        </w:tc>
        <w:tc>
          <w:tcPr>
            <w:tcW w:type="dxa" w:w="1872"/>
          </w:tcPr>
          <w:p>
            <w:pPr>
              <w:spacing w:after="20"/>
              <w:jc w:val="right"/>
            </w:pPr>
            <w:r>
              <w:rPr>
                <w:color w:val="1C3A36"/>
                <w:sz w:val="18"/>
              </w:rPr>
              <w:t>68</w:t>
            </w:r>
          </w:p>
        </w:tc>
        <w:tc>
          <w:tcPr>
            <w:tcW w:type="dxa" w:w="3024"/>
          </w:tcPr>
          <w:p>
            <w:pPr>
              <w:spacing w:after="20"/>
              <w:jc w:val="right"/>
            </w:pPr>
            <w:r>
              <w:rPr>
                <w:color w:val="1C3A36"/>
                <w:sz w:val="18"/>
              </w:rPr>
              <w:t>Near-term price, carry-anchored (≈ flat)</w:t>
            </w:r>
          </w:p>
        </w:tc>
      </w:tr>
      <w:tr>
        <w:tc>
          <w:tcPr>
            <w:tcW w:type="dxa" w:w="3888"/>
            <w:shd w:val="clear" w:color="auto" w:fill="F6F1E6"/>
          </w:tcPr>
          <w:p>
            <w:pPr>
              <w:spacing w:after="20"/>
            </w:pPr>
            <w:r>
              <w:rPr>
                <w:b/>
                <w:color w:val="1C3A36"/>
                <w:sz w:val="18"/>
              </w:rPr>
              <w:t>Weighted central</w:t>
            </w:r>
          </w:p>
        </w:tc>
        <w:tc>
          <w:tcPr>
            <w:tcW w:type="dxa" w:w="1296"/>
            <w:shd w:val="clear" w:color="auto" w:fill="F6F1E6"/>
          </w:tcPr>
          <w:p>
            <w:pPr>
              <w:spacing w:after="20"/>
              <w:jc w:val="right"/>
            </w:pPr>
            <w:r>
              <w:rPr>
                <w:b/>
                <w:color w:val="1C3A36"/>
                <w:sz w:val="18"/>
              </w:rPr>
              <w:t>—</w:t>
            </w:r>
          </w:p>
        </w:tc>
        <w:tc>
          <w:tcPr>
            <w:tcW w:type="dxa" w:w="1872"/>
            <w:shd w:val="clear" w:color="auto" w:fill="F6F1E6"/>
          </w:tcPr>
          <w:p>
            <w:pPr>
              <w:spacing w:after="20"/>
              <w:jc w:val="right"/>
            </w:pPr>
            <w:r>
              <w:rPr>
                <w:b/>
                <w:color w:val="1C3A36"/>
                <w:sz w:val="18"/>
              </w:rPr>
              <w:t>81</w:t>
            </w:r>
          </w:p>
        </w:tc>
        <w:tc>
          <w:tcPr>
            <w:tcW w:type="dxa" w:w="3024"/>
            <w:shd w:val="clear" w:color="auto" w:fill="F6F1E6"/>
          </w:tcPr>
          <w:p>
            <w:pPr>
              <w:spacing w:after="20"/>
              <w:jc w:val="right"/>
            </w:pPr>
            <w:r>
              <w:rPr>
                <w:b/>
                <w:color w:val="1C3A36"/>
                <w:sz w:val="18"/>
              </w:rPr>
              <w:t>≈ +19% vs spot</w:t>
            </w:r>
          </w:p>
        </w:tc>
      </w:tr>
    </w:tbl>
    <w:p>
      <w:pPr>
        <w:spacing w:after="40"/>
      </w:pPr>
    </w:p>
    <w:p>
      <w:pPr>
        <w:spacing w:after="60" w:before="180"/>
      </w:pPr>
      <w:r>
        <w:rPr>
          <w:b/>
          <w:i w:val="0"/>
          <w:color w:val="1C3A36"/>
          <w:sz w:val="24"/>
        </w:rPr>
        <w:t>1.5  Segment scorecard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456"/>
            <w:shd w:val="clear" w:color="auto" w:fill="EAF0EE"/>
          </w:tcPr>
          <w:p>
            <w:pPr>
              <w:spacing w:after="20"/>
            </w:pPr>
            <w:r>
              <w:rPr>
                <w:b/>
                <w:color w:val="1C3A36"/>
                <w:sz w:val="18"/>
              </w:rPr>
              <w:t>SAR mn</w:t>
            </w:r>
          </w:p>
        </w:tc>
        <w:tc>
          <w:tcPr>
            <w:tcW w:type="dxa" w:w="2160"/>
            <w:shd w:val="clear" w:color="auto" w:fill="EAF0EE"/>
          </w:tcPr>
          <w:p>
            <w:pPr>
              <w:spacing w:after="20"/>
            </w:pPr>
            <w:r>
              <w:rPr>
                <w:b/>
                <w:color w:val="1C3A36"/>
                <w:sz w:val="18"/>
              </w:rPr>
              <w:t>FY2023</w:t>
            </w:r>
          </w:p>
        </w:tc>
        <w:tc>
          <w:tcPr>
            <w:tcW w:type="dxa" w:w="2160"/>
            <w:shd w:val="clear" w:color="auto" w:fill="EAF0EE"/>
          </w:tcPr>
          <w:p>
            <w:pPr>
              <w:spacing w:after="20"/>
            </w:pPr>
            <w:r>
              <w:rPr>
                <w:b/>
                <w:color w:val="1C3A36"/>
                <w:sz w:val="18"/>
              </w:rPr>
              <w:t>FY2024</w:t>
            </w:r>
          </w:p>
        </w:tc>
        <w:tc>
          <w:tcPr>
            <w:tcW w:type="dxa" w:w="2160"/>
            <w:shd w:val="clear" w:color="auto" w:fill="EAF0EE"/>
          </w:tcPr>
          <w:p>
            <w:pPr>
              <w:spacing w:after="20"/>
            </w:pPr>
            <w:r>
              <w:rPr>
                <w:b/>
                <w:color w:val="1C3A36"/>
                <w:sz w:val="18"/>
              </w:rPr>
              <w:t>FY2025</w:t>
            </w:r>
          </w:p>
        </w:tc>
      </w:tr>
      <w:tr>
        <w:tc>
          <w:tcPr>
            <w:tcW w:type="dxa" w:w="3456"/>
          </w:tcPr>
          <w:p>
            <w:pPr>
              <w:spacing w:after="20"/>
            </w:pPr>
            <w:r>
              <w:rPr>
                <w:b/>
                <w:color w:val="1C3A36"/>
                <w:sz w:val="18"/>
              </w:rPr>
              <w:t>Retail revenue</w:t>
            </w:r>
          </w:p>
        </w:tc>
        <w:tc>
          <w:tcPr>
            <w:tcW w:type="dxa" w:w="2160"/>
          </w:tcPr>
          <w:p>
            <w:pPr>
              <w:spacing w:after="20"/>
              <w:jc w:val="right"/>
            </w:pPr>
            <w:r>
              <w:rPr>
                <w:color w:val="1C3A36"/>
                <w:sz w:val="18"/>
              </w:rPr>
              <w:t>5,850</w:t>
            </w:r>
          </w:p>
        </w:tc>
        <w:tc>
          <w:tcPr>
            <w:tcW w:type="dxa" w:w="2160"/>
          </w:tcPr>
          <w:p>
            <w:pPr>
              <w:spacing w:after="20"/>
              <w:jc w:val="right"/>
            </w:pPr>
            <w:r>
              <w:rPr>
                <w:color w:val="1C3A36"/>
                <w:sz w:val="18"/>
              </w:rPr>
              <w:t>6,350</w:t>
            </w:r>
          </w:p>
        </w:tc>
        <w:tc>
          <w:tcPr>
            <w:tcW w:type="dxa" w:w="2160"/>
          </w:tcPr>
          <w:p>
            <w:pPr>
              <w:spacing w:after="20"/>
              <w:jc w:val="right"/>
            </w:pPr>
            <w:r>
              <w:rPr>
                <w:color w:val="1C3A36"/>
                <w:sz w:val="18"/>
              </w:rPr>
              <w:t>6,950</w:t>
            </w:r>
          </w:p>
        </w:tc>
      </w:tr>
      <w:tr>
        <w:tc>
          <w:tcPr>
            <w:tcW w:type="dxa" w:w="3456"/>
          </w:tcPr>
          <w:p>
            <w:pPr>
              <w:spacing w:after="20"/>
            </w:pPr>
            <w:r>
              <w:rPr>
                <w:b/>
                <w:color w:val="1C3A36"/>
                <w:sz w:val="18"/>
              </w:rPr>
              <w:t>Tasheel revenue</w:t>
            </w:r>
          </w:p>
        </w:tc>
        <w:tc>
          <w:tcPr>
            <w:tcW w:type="dxa" w:w="2160"/>
          </w:tcPr>
          <w:p>
            <w:pPr>
              <w:spacing w:after="20"/>
              <w:jc w:val="right"/>
            </w:pPr>
            <w:r>
              <w:rPr>
                <w:color w:val="1C3A36"/>
                <w:sz w:val="18"/>
              </w:rPr>
              <w:t>351</w:t>
            </w:r>
          </w:p>
        </w:tc>
        <w:tc>
          <w:tcPr>
            <w:tcW w:type="dxa" w:w="2160"/>
          </w:tcPr>
          <w:p>
            <w:pPr>
              <w:spacing w:after="20"/>
              <w:jc w:val="right"/>
            </w:pPr>
            <w:r>
              <w:rPr>
                <w:color w:val="1C3A36"/>
                <w:sz w:val="18"/>
              </w:rPr>
              <w:t>431</w:t>
            </w:r>
          </w:p>
        </w:tc>
        <w:tc>
          <w:tcPr>
            <w:tcW w:type="dxa" w:w="2160"/>
          </w:tcPr>
          <w:p>
            <w:pPr>
              <w:spacing w:after="20"/>
              <w:jc w:val="right"/>
            </w:pPr>
            <w:r>
              <w:rPr>
                <w:color w:val="1C3A36"/>
                <w:sz w:val="18"/>
              </w:rPr>
              <w:t>500</w:t>
            </w:r>
          </w:p>
        </w:tc>
      </w:tr>
      <w:tr>
        <w:tc>
          <w:tcPr>
            <w:tcW w:type="dxa" w:w="3456"/>
          </w:tcPr>
          <w:p>
            <w:pPr>
              <w:spacing w:after="20"/>
            </w:pPr>
            <w:r>
              <w:rPr>
                <w:b/>
                <w:color w:val="1C3A36"/>
                <w:sz w:val="18"/>
              </w:rPr>
              <w:t>Retail net income</w:t>
            </w:r>
          </w:p>
        </w:tc>
        <w:tc>
          <w:tcPr>
            <w:tcW w:type="dxa" w:w="2160"/>
          </w:tcPr>
          <w:p>
            <w:pPr>
              <w:spacing w:after="20"/>
              <w:jc w:val="right"/>
            </w:pPr>
            <w:r>
              <w:rPr>
                <w:color w:val="1C3A36"/>
                <w:sz w:val="18"/>
              </w:rPr>
              <w:t>240</w:t>
            </w:r>
          </w:p>
        </w:tc>
        <w:tc>
          <w:tcPr>
            <w:tcW w:type="dxa" w:w="2160"/>
          </w:tcPr>
          <w:p>
            <w:pPr>
              <w:spacing w:after="20"/>
              <w:jc w:val="right"/>
            </w:pPr>
            <w:r>
              <w:rPr>
                <w:color w:val="1C3A36"/>
                <w:sz w:val="18"/>
              </w:rPr>
              <w:t>330</w:t>
            </w:r>
          </w:p>
        </w:tc>
        <w:tc>
          <w:tcPr>
            <w:tcW w:type="dxa" w:w="2160"/>
          </w:tcPr>
          <w:p>
            <w:pPr>
              <w:spacing w:after="20"/>
              <w:jc w:val="right"/>
            </w:pPr>
            <w:r>
              <w:rPr>
                <w:color w:val="1C3A36"/>
                <w:sz w:val="18"/>
              </w:rPr>
              <w:t>267</w:t>
            </w:r>
          </w:p>
        </w:tc>
      </w:tr>
      <w:tr>
        <w:tc>
          <w:tcPr>
            <w:tcW w:type="dxa" w:w="3456"/>
          </w:tcPr>
          <w:p>
            <w:pPr>
              <w:spacing w:after="20"/>
            </w:pPr>
            <w:r>
              <w:rPr>
                <w:b/>
                <w:color w:val="1C3A36"/>
                <w:sz w:val="18"/>
              </w:rPr>
              <w:t>Tasheel net income</w:t>
            </w:r>
          </w:p>
        </w:tc>
        <w:tc>
          <w:tcPr>
            <w:tcW w:type="dxa" w:w="2160"/>
          </w:tcPr>
          <w:p>
            <w:pPr>
              <w:spacing w:after="20"/>
              <w:jc w:val="right"/>
            </w:pPr>
            <w:r>
              <w:rPr>
                <w:color w:val="1C3A36"/>
                <w:sz w:val="18"/>
              </w:rPr>
              <w:t>150</w:t>
            </w:r>
          </w:p>
        </w:tc>
        <w:tc>
          <w:tcPr>
            <w:tcW w:type="dxa" w:w="2160"/>
          </w:tcPr>
          <w:p>
            <w:pPr>
              <w:spacing w:after="20"/>
              <w:jc w:val="right"/>
            </w:pPr>
            <w:r>
              <w:rPr>
                <w:color w:val="1C3A36"/>
                <w:sz w:val="18"/>
              </w:rPr>
              <w:t>205</w:t>
            </w:r>
          </w:p>
        </w:tc>
        <w:tc>
          <w:tcPr>
            <w:tcW w:type="dxa" w:w="2160"/>
          </w:tcPr>
          <w:p>
            <w:pPr>
              <w:spacing w:after="20"/>
              <w:jc w:val="right"/>
            </w:pPr>
            <w:r>
              <w:rPr>
                <w:color w:val="1C3A36"/>
                <w:sz w:val="18"/>
              </w:rPr>
              <w:t>230</w:t>
            </w:r>
          </w:p>
        </w:tc>
      </w:tr>
      <w:tr>
        <w:tc>
          <w:tcPr>
            <w:tcW w:type="dxa" w:w="3456"/>
          </w:tcPr>
          <w:p>
            <w:pPr>
              <w:spacing w:after="20"/>
            </w:pPr>
            <w:r>
              <w:rPr>
                <w:b/>
                <w:color w:val="1C3A36"/>
                <w:sz w:val="18"/>
              </w:rPr>
              <w:t>Tasheel loan book</w:t>
            </w:r>
          </w:p>
        </w:tc>
        <w:tc>
          <w:tcPr>
            <w:tcW w:type="dxa" w:w="2160"/>
          </w:tcPr>
          <w:p>
            <w:pPr>
              <w:spacing w:after="20"/>
              <w:jc w:val="right"/>
            </w:pPr>
            <w:r>
              <w:rPr>
                <w:color w:val="1C3A36"/>
                <w:sz w:val="18"/>
              </w:rPr>
              <w:t>1,850</w:t>
            </w:r>
          </w:p>
        </w:tc>
        <w:tc>
          <w:tcPr>
            <w:tcW w:type="dxa" w:w="2160"/>
          </w:tcPr>
          <w:p>
            <w:pPr>
              <w:spacing w:after="20"/>
              <w:jc w:val="right"/>
            </w:pPr>
            <w:r>
              <w:rPr>
                <w:color w:val="1C3A36"/>
                <w:sz w:val="18"/>
              </w:rPr>
              <w:t>2,407</w:t>
            </w:r>
          </w:p>
        </w:tc>
        <w:tc>
          <w:tcPr>
            <w:tcW w:type="dxa" w:w="2160"/>
          </w:tcPr>
          <w:p>
            <w:pPr>
              <w:spacing w:after="20"/>
              <w:jc w:val="right"/>
            </w:pPr>
            <w:r>
              <w:rPr>
                <w:color w:val="1C3A36"/>
                <w:sz w:val="18"/>
              </w:rPr>
              <w:t>3,036</w:t>
            </w:r>
          </w:p>
        </w:tc>
      </w:tr>
      <w:tr>
        <w:tc>
          <w:tcPr>
            <w:tcW w:type="dxa" w:w="3456"/>
          </w:tcPr>
          <w:p>
            <w:pPr>
              <w:spacing w:after="20"/>
            </w:pPr>
            <w:r>
              <w:rPr>
                <w:b/>
                <w:color w:val="1C3A36"/>
                <w:sz w:val="18"/>
              </w:rPr>
              <w:t>Tasheel equity (est.)</w:t>
            </w:r>
          </w:p>
        </w:tc>
        <w:tc>
          <w:tcPr>
            <w:tcW w:type="dxa" w:w="2160"/>
          </w:tcPr>
          <w:p>
            <w:pPr>
              <w:spacing w:after="20"/>
              <w:jc w:val="right"/>
            </w:pPr>
            <w:r>
              <w:rPr>
                <w:color w:val="1C3A36"/>
                <w:sz w:val="18"/>
              </w:rPr>
              <w:t>900</w:t>
            </w:r>
          </w:p>
        </w:tc>
        <w:tc>
          <w:tcPr>
            <w:tcW w:type="dxa" w:w="2160"/>
          </w:tcPr>
          <w:p>
            <w:pPr>
              <w:spacing w:after="20"/>
              <w:jc w:val="right"/>
            </w:pPr>
            <w:r>
              <w:rPr>
                <w:color w:val="1C3A36"/>
                <w:sz w:val="18"/>
              </w:rPr>
              <w:t>1,050</w:t>
            </w:r>
          </w:p>
        </w:tc>
        <w:tc>
          <w:tcPr>
            <w:tcW w:type="dxa" w:w="2160"/>
          </w:tcPr>
          <w:p>
            <w:pPr>
              <w:spacing w:after="20"/>
              <w:jc w:val="right"/>
            </w:pPr>
            <w:r>
              <w:rPr>
                <w:color w:val="1C3A36"/>
                <w:sz w:val="18"/>
              </w:rPr>
              <w:t>1,200</w:t>
            </w:r>
          </w:p>
        </w:tc>
      </w:tr>
      <w:tr>
        <w:tc>
          <w:tcPr>
            <w:tcW w:type="dxa" w:w="3456"/>
          </w:tcPr>
          <w:p>
            <w:pPr>
              <w:spacing w:after="20"/>
            </w:pPr>
            <w:r>
              <w:rPr>
                <w:b/>
                <w:color w:val="1C3A36"/>
                <w:sz w:val="18"/>
              </w:rPr>
              <w:t>Group net income</w:t>
            </w:r>
          </w:p>
        </w:tc>
        <w:tc>
          <w:tcPr>
            <w:tcW w:type="dxa" w:w="2160"/>
          </w:tcPr>
          <w:p>
            <w:pPr>
              <w:spacing w:after="20"/>
              <w:jc w:val="right"/>
            </w:pPr>
            <w:r>
              <w:rPr>
                <w:color w:val="1C3A36"/>
                <w:sz w:val="18"/>
              </w:rPr>
              <w:t>390</w:t>
            </w:r>
          </w:p>
        </w:tc>
        <w:tc>
          <w:tcPr>
            <w:tcW w:type="dxa" w:w="2160"/>
          </w:tcPr>
          <w:p>
            <w:pPr>
              <w:spacing w:after="20"/>
              <w:jc w:val="right"/>
            </w:pPr>
            <w:r>
              <w:rPr>
                <w:color w:val="1C3A36"/>
                <w:sz w:val="18"/>
              </w:rPr>
              <w:t>534</w:t>
            </w:r>
          </w:p>
        </w:tc>
        <w:tc>
          <w:tcPr>
            <w:tcW w:type="dxa" w:w="2160"/>
          </w:tcPr>
          <w:p>
            <w:pPr>
              <w:spacing w:after="20"/>
              <w:jc w:val="right"/>
            </w:pPr>
            <w:r>
              <w:rPr>
                <w:color w:val="1C3A36"/>
                <w:sz w:val="18"/>
              </w:rPr>
              <w:t>497</w:t>
            </w:r>
          </w:p>
        </w:tc>
      </w:tr>
    </w:tbl>
    <w:p>
      <w:pPr>
        <w:spacing w:after="40"/>
      </w:pPr>
    </w:p>
    <w:p>
      <w:pPr>
        <w:spacing w:after="200" w:before="0"/>
      </w:pPr>
      <w:r>
        <w:rPr>
          <w:b w:val="0"/>
          <w:i/>
          <w:color w:val="6E7B77"/>
          <w:sz w:val="17"/>
        </w:rPr>
        <w:t>Segment split partly estimated where not separately disclosed (flagged in the driver ledger). Consumer finance is ~45–50% of group net income on ~7% of revenue.</w:t>
      </w:r>
    </w:p>
    <w:p>
      <w:pPr>
        <w:spacing w:after="60" w:before="180"/>
      </w:pPr>
      <w:r>
        <w:rPr>
          <w:b/>
          <w:i w:val="0"/>
          <w:color w:val="1C3A36"/>
          <w:sz w:val="24"/>
        </w:rPr>
        <w:t>1.6  The crux — two swing factors, sensitized in real units</w:t>
      </w:r>
    </w:p>
    <w:p>
      <w:pPr>
        <w:spacing w:after="120" w:before="0"/>
      </w:pPr>
      <w:r>
        <w:rPr>
          <w:b w:val="0"/>
          <w:i w:val="0"/>
          <w:color w:val="1C3A36"/>
          <w:sz w:val="21"/>
        </w:rPr>
        <w:t>Two inputs move the valuation more than any operating assumption. First, the retail discount rate. A genuine regression of eXtra against the Tadawul index over the available window returns a beta of 0.56 (n=40, R² 9%, SE 0.56) — it passes the usability gate but on a short window, and a beta that low implies an implausibly high value, so we carry a conservative 0.80 in the base case and sensitize the whole 0.55–1.00 range. Second, the multiple on Tasheel: a justified price-to-book of (ROE−g)/(COE−g) on a ~19% return-on-equity and a 10.5% cost of equity gives ~2.4×, but the recent ~20% drop in consumer-finance profit argues for caution.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8"/>
              </w:rPr>
              <w:t>SOTP (SAR/sh)</w:t>
            </w:r>
          </w:p>
        </w:tc>
        <w:tc>
          <w:tcPr>
            <w:tcW w:type="dxa" w:w="1872"/>
            <w:shd w:val="clear" w:color="auto" w:fill="EAF0EE"/>
          </w:tcPr>
          <w:p>
            <w:pPr>
              <w:spacing w:after="20"/>
            </w:pPr>
            <w:r>
              <w:rPr>
                <w:b/>
                <w:color w:val="1C3A36"/>
                <w:sz w:val="18"/>
              </w:rPr>
              <w:t>g=2%</w:t>
            </w:r>
          </w:p>
        </w:tc>
        <w:tc>
          <w:tcPr>
            <w:tcW w:type="dxa" w:w="1872"/>
            <w:shd w:val="clear" w:color="auto" w:fill="EAF0EE"/>
          </w:tcPr>
          <w:p>
            <w:pPr>
              <w:spacing w:after="20"/>
            </w:pPr>
            <w:r>
              <w:rPr>
                <w:b/>
                <w:color w:val="1C3A36"/>
                <w:sz w:val="18"/>
              </w:rPr>
              <w:t>g=3%</w:t>
            </w:r>
          </w:p>
        </w:tc>
        <w:tc>
          <w:tcPr>
            <w:tcW w:type="dxa" w:w="1872"/>
            <w:shd w:val="clear" w:color="auto" w:fill="EAF0EE"/>
          </w:tcPr>
          <w:p>
            <w:pPr>
              <w:spacing w:after="20"/>
            </w:pPr>
            <w:r>
              <w:rPr>
                <w:b/>
                <w:color w:val="1C3A36"/>
                <w:sz w:val="18"/>
              </w:rPr>
              <w:t>g=4%</w:t>
            </w:r>
          </w:p>
        </w:tc>
      </w:tr>
      <w:tr>
        <w:tc>
          <w:tcPr>
            <w:tcW w:type="dxa" w:w="2736"/>
          </w:tcPr>
          <w:p>
            <w:pPr>
              <w:spacing w:after="20"/>
            </w:pPr>
            <w:r>
              <w:rPr>
                <w:b/>
                <w:color w:val="1C3A36"/>
                <w:sz w:val="18"/>
              </w:rPr>
              <w:t>Ke 8.26%</w:t>
            </w:r>
          </w:p>
        </w:tc>
        <w:tc>
          <w:tcPr>
            <w:tcW w:type="dxa" w:w="1872"/>
          </w:tcPr>
          <w:p>
            <w:pPr>
              <w:spacing w:after="20"/>
              <w:jc w:val="right"/>
            </w:pPr>
            <w:r>
              <w:rPr>
                <w:color w:val="1C3A36"/>
                <w:sz w:val="18"/>
              </w:rPr>
              <w:t>95</w:t>
            </w:r>
          </w:p>
        </w:tc>
        <w:tc>
          <w:tcPr>
            <w:tcW w:type="dxa" w:w="1872"/>
          </w:tcPr>
          <w:p>
            <w:pPr>
              <w:spacing w:after="20"/>
              <w:jc w:val="right"/>
            </w:pPr>
            <w:r>
              <w:rPr>
                <w:color w:val="1C3A36"/>
                <w:sz w:val="18"/>
              </w:rPr>
              <w:t>105</w:t>
            </w:r>
          </w:p>
        </w:tc>
        <w:tc>
          <w:tcPr>
            <w:tcW w:type="dxa" w:w="1872"/>
          </w:tcPr>
          <w:p>
            <w:pPr>
              <w:spacing w:after="20"/>
              <w:jc w:val="right"/>
            </w:pPr>
            <w:r>
              <w:rPr>
                <w:color w:val="1C3A36"/>
                <w:sz w:val="18"/>
              </w:rPr>
              <w:t>120</w:t>
            </w:r>
          </w:p>
        </w:tc>
      </w:tr>
      <w:tr>
        <w:tc>
          <w:tcPr>
            <w:tcW w:type="dxa" w:w="2736"/>
          </w:tcPr>
          <w:p>
            <w:pPr>
              <w:spacing w:after="20"/>
            </w:pPr>
            <w:r>
              <w:rPr>
                <w:b/>
                <w:color w:val="1C3A36"/>
                <w:sz w:val="18"/>
              </w:rPr>
              <w:t>Ke 9.51%</w:t>
            </w:r>
          </w:p>
        </w:tc>
        <w:tc>
          <w:tcPr>
            <w:tcW w:type="dxa" w:w="1872"/>
          </w:tcPr>
          <w:p>
            <w:pPr>
              <w:spacing w:after="20"/>
              <w:jc w:val="right"/>
            </w:pPr>
            <w:r>
              <w:rPr>
                <w:color w:val="1C3A36"/>
                <w:sz w:val="18"/>
              </w:rPr>
              <w:t>84</w:t>
            </w:r>
          </w:p>
        </w:tc>
        <w:tc>
          <w:tcPr>
            <w:tcW w:type="dxa" w:w="1872"/>
          </w:tcPr>
          <w:p>
            <w:pPr>
              <w:spacing w:after="20"/>
              <w:jc w:val="right"/>
            </w:pPr>
            <w:r>
              <w:rPr>
                <w:color w:val="1C3A36"/>
                <w:sz w:val="18"/>
              </w:rPr>
              <w:t>90</w:t>
            </w:r>
          </w:p>
        </w:tc>
        <w:tc>
          <w:tcPr>
            <w:tcW w:type="dxa" w:w="1872"/>
          </w:tcPr>
          <w:p>
            <w:pPr>
              <w:spacing w:after="20"/>
              <w:jc w:val="right"/>
            </w:pPr>
            <w:r>
              <w:rPr>
                <w:color w:val="1C3A36"/>
                <w:sz w:val="18"/>
              </w:rPr>
              <w:t>99</w:t>
            </w:r>
          </w:p>
        </w:tc>
      </w:tr>
      <w:tr>
        <w:tc>
          <w:tcPr>
            <w:tcW w:type="dxa" w:w="2736"/>
          </w:tcPr>
          <w:p>
            <w:pPr>
              <w:spacing w:after="20"/>
            </w:pPr>
            <w:r>
              <w:rPr>
                <w:b/>
                <w:color w:val="1C3A36"/>
                <w:sz w:val="18"/>
              </w:rPr>
              <w:t>Ke 10.51%</w:t>
            </w:r>
          </w:p>
        </w:tc>
        <w:tc>
          <w:tcPr>
            <w:tcW w:type="dxa" w:w="1872"/>
          </w:tcPr>
          <w:p>
            <w:pPr>
              <w:spacing w:after="20"/>
              <w:jc w:val="right"/>
            </w:pPr>
            <w:r>
              <w:rPr>
                <w:color w:val="1C3A36"/>
                <w:sz w:val="18"/>
              </w:rPr>
              <w:t>77</w:t>
            </w:r>
          </w:p>
        </w:tc>
        <w:tc>
          <w:tcPr>
            <w:tcW w:type="dxa" w:w="1872"/>
          </w:tcPr>
          <w:p>
            <w:pPr>
              <w:spacing w:after="20"/>
              <w:jc w:val="right"/>
            </w:pPr>
            <w:r>
              <w:rPr>
                <w:color w:val="1C3A36"/>
                <w:sz w:val="18"/>
              </w:rPr>
              <w:t>82</w:t>
            </w:r>
          </w:p>
        </w:tc>
        <w:tc>
          <w:tcPr>
            <w:tcW w:type="dxa" w:w="1872"/>
          </w:tcPr>
          <w:p>
            <w:pPr>
              <w:spacing w:after="20"/>
              <w:jc w:val="right"/>
            </w:pPr>
            <w:r>
              <w:rPr>
                <w:color w:val="1C3A36"/>
                <w:sz w:val="18"/>
              </w:rPr>
              <w:t>88</w:t>
            </w:r>
          </w:p>
        </w:tc>
      </w:tr>
      <w:tr>
        <w:tc>
          <w:tcPr>
            <w:tcW w:type="dxa" w:w="2736"/>
          </w:tcPr>
          <w:p>
            <w:pPr>
              <w:spacing w:after="20"/>
            </w:pPr>
            <w:r>
              <w:rPr>
                <w:b/>
                <w:color w:val="1C3A36"/>
                <w:sz w:val="18"/>
              </w:rPr>
              <w:t>Ke 11.22%</w:t>
            </w:r>
          </w:p>
        </w:tc>
        <w:tc>
          <w:tcPr>
            <w:tcW w:type="dxa" w:w="1872"/>
          </w:tcPr>
          <w:p>
            <w:pPr>
              <w:spacing w:after="20"/>
              <w:jc w:val="right"/>
            </w:pPr>
            <w:r>
              <w:rPr>
                <w:color w:val="1C3A36"/>
                <w:sz w:val="18"/>
              </w:rPr>
              <w:t>74</w:t>
            </w:r>
          </w:p>
        </w:tc>
        <w:tc>
          <w:tcPr>
            <w:tcW w:type="dxa" w:w="1872"/>
          </w:tcPr>
          <w:p>
            <w:pPr>
              <w:spacing w:after="20"/>
              <w:jc w:val="right"/>
            </w:pPr>
            <w:r>
              <w:rPr>
                <w:color w:val="1C3A36"/>
                <w:sz w:val="18"/>
              </w:rPr>
              <w:t>78</w:t>
            </w:r>
          </w:p>
        </w:tc>
        <w:tc>
          <w:tcPr>
            <w:tcW w:type="dxa" w:w="1872"/>
          </w:tcPr>
          <w:p>
            <w:pPr>
              <w:spacing w:after="20"/>
              <w:jc w:val="right"/>
            </w:pPr>
            <w:r>
              <w:rPr>
                <w:color w:val="1C3A36"/>
                <w:sz w:val="18"/>
              </w:rPr>
              <w:t>82</w:t>
            </w:r>
          </w:p>
        </w:tc>
      </w:tr>
    </w:tbl>
    <w:p>
      <w:pPr>
        <w:spacing w:after="40"/>
      </w:pPr>
    </w:p>
    <w:p>
      <w:pPr>
        <w:spacing w:after="200" w:before="0"/>
      </w:pPr>
      <w:r>
        <w:rPr>
          <w:b w:val="0"/>
          <w:i/>
          <w:color w:val="6E7B77"/>
          <w:sz w:val="17"/>
        </w:rPr>
        <w:t>Retail cost of equity × terminal growth → SOTP per share. Base Ke 9.51% (beta 0.80, rating ERP). Beta grid: SOTP ranges SAR 82 (beta 1.0) to SAR 105 (beta 0.55). Tasheel P/B grid: SAR 82 (1.6×) to SAR 94 (2.8×).</w:t>
      </w:r>
    </w:p>
    <w:p>
      <w:pPr>
        <w:spacing w:after="60" w:before="180"/>
      </w:pPr>
      <w:r>
        <w:rPr>
          <w:b/>
          <w:i w:val="0"/>
          <w:color w:val="1C3A36"/>
          <w:sz w:val="24"/>
        </w:rPr>
        <w:t>1.7  Macro and country</w:t>
      </w:r>
    </w:p>
    <w:p>
      <w:pPr>
        <w:spacing w:after="120" w:before="0"/>
      </w:pPr>
      <w:r>
        <w:rPr>
          <w:b w:val="0"/>
          <w:i w:val="0"/>
          <w:color w:val="1C3A36"/>
          <w:sz w:val="21"/>
        </w:rPr>
        <w:t>eXtra is a pure Saudi consumer story. The tailwinds are real household-income growth, Vision-2030 consumption, and the electronics upgrade cycle; the peg to the US dollar keeps import costs stable and imports the US rate path via SAMA. Rate cuts help twice — they lift big-ticket retail demand and lower Tasheel’s funding cost — while rate rises squeeze both. The consumer-finance segment also carries regulatory risk (SAMA finance-company rules, provisioning) that retail does not. The cost of capital is built on Saudi local-currency inputs throughout, never a US-dollar proxy despite the peg.</w:t>
      </w:r>
    </w:p>
    <w:p>
      <w:pPr>
        <w:spacing w:after="60" w:before="180"/>
      </w:pPr>
      <w:r>
        <w:rPr>
          <w:b/>
          <w:i w:val="0"/>
          <w:color w:val="1C3A36"/>
          <w:sz w:val="24"/>
        </w:rPr>
        <w:t>1.8  Cost of capital — bottom-up, sourced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456"/>
            <w:shd w:val="clear" w:color="auto" w:fill="EAF0EE"/>
          </w:tcPr>
          <w:p>
            <w:pPr>
              <w:spacing w:after="20"/>
            </w:pPr>
            <w:r>
              <w:rPr>
                <w:b/>
                <w:color w:val="1C3A36"/>
                <w:sz w:val="18"/>
              </w:rPr>
              <w:t>Input</w:t>
            </w:r>
          </w:p>
        </w:tc>
        <w:tc>
          <w:tcPr>
            <w:tcW w:type="dxa" w:w="2304"/>
            <w:shd w:val="clear" w:color="auto" w:fill="EAF0EE"/>
          </w:tcPr>
          <w:p>
            <w:pPr>
              <w:spacing w:after="20"/>
            </w:pPr>
            <w:r>
              <w:rPr>
                <w:b/>
                <w:color w:val="1C3A36"/>
                <w:sz w:val="18"/>
              </w:rPr>
              <w:t>Value</w:t>
            </w:r>
          </w:p>
        </w:tc>
        <w:tc>
          <w:tcPr>
            <w:tcW w:type="dxa" w:w="4320"/>
            <w:shd w:val="clear" w:color="auto" w:fill="EAF0EE"/>
          </w:tcPr>
          <w:p>
            <w:pPr>
              <w:spacing w:after="20"/>
            </w:pPr>
            <w:r>
              <w:rPr>
                <w:b/>
                <w:color w:val="1C3A36"/>
                <w:sz w:val="18"/>
              </w:rPr>
              <w:t>Basis</w:t>
            </w:r>
          </w:p>
        </w:tc>
      </w:tr>
      <w:tr>
        <w:tc>
          <w:tcPr>
            <w:tcW w:type="dxa" w:w="3456"/>
          </w:tcPr>
          <w:p>
            <w:pPr>
              <w:spacing w:after="20"/>
            </w:pPr>
            <w:r>
              <w:rPr>
                <w:b/>
                <w:color w:val="1C3A36"/>
                <w:sz w:val="18"/>
              </w:rPr>
              <w:t>Risk-free (SAR 10Y sukuk)</w:t>
            </w:r>
          </w:p>
        </w:tc>
        <w:tc>
          <w:tcPr>
            <w:tcW w:type="dxa" w:w="2304"/>
          </w:tcPr>
          <w:p>
            <w:pPr>
              <w:spacing w:after="20"/>
              <w:jc w:val="right"/>
            </w:pPr>
            <w:r>
              <w:rPr>
                <w:color w:val="1C3A36"/>
                <w:sz w:val="18"/>
              </w:rPr>
              <w:t>5.5%</w:t>
            </w:r>
          </w:p>
        </w:tc>
        <w:tc>
          <w:tcPr>
            <w:tcW w:type="dxa" w:w="4320"/>
          </w:tcPr>
          <w:p>
            <w:pPr>
              <w:spacing w:after="20"/>
              <w:jc w:val="right"/>
            </w:pPr>
            <w:r>
              <w:rPr>
                <w:color w:val="1C3A36"/>
                <w:sz w:val="18"/>
              </w:rPr>
              <w:t>Derived; band 5.4–5.6% (peg ≠ UST). Carry anchor uses SAMA repo 4.2%</w:t>
            </w:r>
          </w:p>
        </w:tc>
      </w:tr>
      <w:tr>
        <w:tc>
          <w:tcPr>
            <w:tcW w:type="dxa" w:w="3456"/>
          </w:tcPr>
          <w:p>
            <w:pPr>
              <w:spacing w:after="20"/>
            </w:pPr>
            <w:r>
              <w:rPr>
                <w:b/>
                <w:color w:val="1C3A36"/>
                <w:sz w:val="18"/>
              </w:rPr>
              <w:t>ERP — rating-based (primary)</w:t>
            </w:r>
          </w:p>
        </w:tc>
        <w:tc>
          <w:tcPr>
            <w:tcW w:type="dxa" w:w="2304"/>
          </w:tcPr>
          <w:p>
            <w:pPr>
              <w:spacing w:after="20"/>
              <w:jc w:val="right"/>
            </w:pPr>
            <w:r>
              <w:rPr>
                <w:color w:val="1C3A36"/>
                <w:sz w:val="18"/>
              </w:rPr>
              <w:t>5.0%</w:t>
            </w:r>
          </w:p>
        </w:tc>
        <w:tc>
          <w:tcPr>
            <w:tcW w:type="dxa" w:w="4320"/>
          </w:tcPr>
          <w:p>
            <w:pPr>
              <w:spacing w:after="20"/>
              <w:jc w:val="right"/>
            </w:pPr>
            <w:r>
              <w:rPr>
                <w:color w:val="1C3A36"/>
                <w:sz w:val="18"/>
              </w:rPr>
              <w:t>Damodaran Jan-2026, Saudi Aa3 (CRP 0.78 + mature 4.23)</w:t>
            </w:r>
          </w:p>
        </w:tc>
      </w:tr>
      <w:tr>
        <w:tc>
          <w:tcPr>
            <w:tcW w:type="dxa" w:w="3456"/>
          </w:tcPr>
          <w:p>
            <w:pPr>
              <w:spacing w:after="20"/>
            </w:pPr>
            <w:r>
              <w:rPr>
                <w:b/>
                <w:color w:val="1C3A36"/>
                <w:sz w:val="18"/>
              </w:rPr>
              <w:t>ERP — CDS-based (alternative)</w:t>
            </w:r>
          </w:p>
        </w:tc>
        <w:tc>
          <w:tcPr>
            <w:tcW w:type="dxa" w:w="2304"/>
          </w:tcPr>
          <w:p>
            <w:pPr>
              <w:spacing w:after="20"/>
              <w:jc w:val="right"/>
            </w:pPr>
            <w:r>
              <w:rPr>
                <w:color w:val="1C3A36"/>
                <w:sz w:val="18"/>
              </w:rPr>
              <w:t>5.7%</w:t>
            </w:r>
          </w:p>
        </w:tc>
        <w:tc>
          <w:tcPr>
            <w:tcW w:type="dxa" w:w="4320"/>
          </w:tcPr>
          <w:p>
            <w:pPr>
              <w:spacing w:after="20"/>
              <w:jc w:val="right"/>
            </w:pPr>
            <w:r>
              <w:rPr>
                <w:color w:val="1C3A36"/>
                <w:sz w:val="18"/>
              </w:rPr>
              <w:t>Damodaran Jan-2026, Saudi CDS 0.98 (the higher/"more current")</w:t>
            </w:r>
          </w:p>
        </w:tc>
      </w:tr>
      <w:tr>
        <w:tc>
          <w:tcPr>
            <w:tcW w:type="dxa" w:w="3456"/>
          </w:tcPr>
          <w:p>
            <w:pPr>
              <w:spacing w:after="20"/>
            </w:pPr>
            <w:r>
              <w:rPr>
                <w:b/>
                <w:color w:val="1C3A36"/>
                <w:sz w:val="18"/>
              </w:rPr>
              <w:t>Beta</w:t>
            </w:r>
          </w:p>
        </w:tc>
        <w:tc>
          <w:tcPr>
            <w:tcW w:type="dxa" w:w="2304"/>
          </w:tcPr>
          <w:p>
            <w:pPr>
              <w:spacing w:after="20"/>
              <w:jc w:val="right"/>
            </w:pPr>
            <w:r>
              <w:rPr>
                <w:color w:val="1C3A36"/>
                <w:sz w:val="18"/>
              </w:rPr>
              <w:t>0.80 base (0.55 regressed)</w:t>
            </w:r>
          </w:p>
        </w:tc>
        <w:tc>
          <w:tcPr>
            <w:tcW w:type="dxa" w:w="4320"/>
          </w:tcPr>
          <w:p>
            <w:pPr>
              <w:spacing w:after="20"/>
              <w:jc w:val="right"/>
            </w:pPr>
            <w:r>
              <w:rPr>
                <w:color w:val="1C3A36"/>
                <w:sz w:val="18"/>
              </w:rPr>
              <w:t>Regression vs TASI n=40, R² 8.8%, gate-passed, short-window</w:t>
            </w:r>
          </w:p>
        </w:tc>
      </w:tr>
      <w:tr>
        <w:tc>
          <w:tcPr>
            <w:tcW w:type="dxa" w:w="3456"/>
          </w:tcPr>
          <w:p>
            <w:pPr>
              <w:spacing w:after="20"/>
            </w:pPr>
            <w:r>
              <w:rPr>
                <w:b/>
                <w:color w:val="1C3A36"/>
                <w:sz w:val="18"/>
              </w:rPr>
              <w:t>Retail Ke (base, rating)</w:t>
            </w:r>
          </w:p>
        </w:tc>
        <w:tc>
          <w:tcPr>
            <w:tcW w:type="dxa" w:w="2304"/>
          </w:tcPr>
          <w:p>
            <w:pPr>
              <w:spacing w:after="20"/>
              <w:jc w:val="right"/>
            </w:pPr>
            <w:r>
              <w:rPr>
                <w:color w:val="1C3A36"/>
                <w:sz w:val="18"/>
              </w:rPr>
              <w:t>9.5%</w:t>
            </w:r>
          </w:p>
        </w:tc>
        <w:tc>
          <w:tcPr>
            <w:tcW w:type="dxa" w:w="4320"/>
          </w:tcPr>
          <w:p>
            <w:pPr>
              <w:spacing w:after="20"/>
              <w:jc w:val="right"/>
            </w:pPr>
            <w:r>
              <w:rPr>
                <w:color w:val="1C3A36"/>
                <w:sz w:val="18"/>
              </w:rPr>
              <w:t>rf + beta×ERP; net-cash entity → WACC = Ke</w:t>
            </w:r>
          </w:p>
        </w:tc>
      </w:tr>
      <w:tr>
        <w:tc>
          <w:tcPr>
            <w:tcW w:type="dxa" w:w="3456"/>
          </w:tcPr>
          <w:p>
            <w:pPr>
              <w:spacing w:after="20"/>
            </w:pPr>
            <w:r>
              <w:rPr>
                <w:b/>
                <w:color w:val="1C3A36"/>
                <w:sz w:val="18"/>
              </w:rPr>
              <w:t>Retail Ke (CDS / beta 1.0)</w:t>
            </w:r>
          </w:p>
        </w:tc>
        <w:tc>
          <w:tcPr>
            <w:tcW w:type="dxa" w:w="2304"/>
          </w:tcPr>
          <w:p>
            <w:pPr>
              <w:spacing w:after="20"/>
              <w:jc w:val="right"/>
            </w:pPr>
            <w:r>
              <w:rPr>
                <w:color w:val="1C3A36"/>
                <w:sz w:val="18"/>
              </w:rPr>
              <w:t>10.1% / 10.5%</w:t>
            </w:r>
          </w:p>
        </w:tc>
        <w:tc>
          <w:tcPr>
            <w:tcW w:type="dxa" w:w="4320"/>
          </w:tcPr>
          <w:p>
            <w:pPr>
              <w:spacing w:after="20"/>
              <w:jc w:val="right"/>
            </w:pPr>
            <w:r>
              <w:rPr>
                <w:color w:val="1C3A36"/>
                <w:sz w:val="18"/>
              </w:rPr>
              <w:t>Sensitized alternatives</w:t>
            </w:r>
          </w:p>
        </w:tc>
      </w:tr>
      <w:tr>
        <w:tc>
          <w:tcPr>
            <w:tcW w:type="dxa" w:w="3456"/>
          </w:tcPr>
          <w:p>
            <w:pPr>
              <w:spacing w:after="20"/>
            </w:pPr>
            <w:r>
              <w:rPr>
                <w:b/>
                <w:color w:val="1C3A36"/>
                <w:sz w:val="18"/>
              </w:rPr>
              <w:t>Tasheel cost of equity</w:t>
            </w:r>
          </w:p>
        </w:tc>
        <w:tc>
          <w:tcPr>
            <w:tcW w:type="dxa" w:w="2304"/>
          </w:tcPr>
          <w:p>
            <w:pPr>
              <w:spacing w:after="20"/>
              <w:jc w:val="right"/>
            </w:pPr>
            <w:r>
              <w:rPr>
                <w:color w:val="1C3A36"/>
                <w:sz w:val="18"/>
              </w:rPr>
              <w:t>10.5%</w:t>
            </w:r>
          </w:p>
        </w:tc>
        <w:tc>
          <w:tcPr>
            <w:tcW w:type="dxa" w:w="4320"/>
          </w:tcPr>
          <w:p>
            <w:pPr>
              <w:spacing w:after="20"/>
              <w:jc w:val="right"/>
            </w:pPr>
            <w:r>
              <w:rPr>
                <w:color w:val="1C3A36"/>
                <w:sz w:val="18"/>
              </w:rPr>
              <w:t>Leveraged consumer-finance lender</w:t>
            </w:r>
          </w:p>
        </w:tc>
      </w:tr>
      <w:tr>
        <w:tc>
          <w:tcPr>
            <w:tcW w:type="dxa" w:w="3456"/>
          </w:tcPr>
          <w:p>
            <w:pPr>
              <w:spacing w:after="20"/>
            </w:pPr>
            <w:r>
              <w:rPr>
                <w:b/>
                <w:color w:val="1C3A36"/>
                <w:sz w:val="18"/>
              </w:rPr>
              <w:t>Cost of debt Kd (pre-tax)</w:t>
            </w:r>
          </w:p>
        </w:tc>
        <w:tc>
          <w:tcPr>
            <w:tcW w:type="dxa" w:w="2304"/>
          </w:tcPr>
          <w:p>
            <w:pPr>
              <w:spacing w:after="20"/>
              <w:jc w:val="right"/>
            </w:pPr>
            <w:r>
              <w:rPr>
                <w:color w:val="1C3A36"/>
                <w:sz w:val="18"/>
              </w:rPr>
              <w:t>6.0%</w:t>
            </w:r>
          </w:p>
        </w:tc>
        <w:tc>
          <w:tcPr>
            <w:tcW w:type="dxa" w:w="4320"/>
          </w:tcPr>
          <w:p>
            <w:pPr>
              <w:spacing w:after="20"/>
              <w:jc w:val="right"/>
            </w:pPr>
            <w:r>
              <w:rPr>
                <w:color w:val="1C3A36"/>
                <w:sz w:val="18"/>
              </w:rPr>
              <w:t>SAIBOR 3M 4.79% + spread; Tasheel murabaha (flagged)</w:t>
            </w:r>
          </w:p>
        </w:tc>
      </w:tr>
    </w:tbl>
    <w:p>
      <w:pPr>
        <w:spacing w:after="40"/>
      </w:pPr>
    </w:p>
    <w:p>
      <w:pPr>
        <w:spacing w:after="200" w:before="0"/>
      </w:pPr>
      <w:r>
        <w:rPr>
          <w:b w:val="0"/>
          <w:i/>
          <w:color w:val="6E7B77"/>
          <w:sz w:val="17"/>
        </w:rPr>
        <w:t>Both ERP bases are published per house rule. Ke shown explicitly as rf + beta×ERP. Sourced from Cost_of_Capital_Reference.md (Saudi/Tadawul row-set).</w:t>
      </w:r>
    </w:p>
    <w:p>
      <w:r>
        <w:br w:type="page"/>
      </w:r>
    </w:p>
    <w:p>
      <w:pPr>
        <w:spacing w:after="100" w:before="260"/>
      </w:pPr>
      <w:r>
        <w:rPr>
          <w:b/>
          <w:i w:val="0"/>
          <w:color w:val="1C3A36"/>
          <w:sz w:val="30"/>
        </w:rPr>
        <w:t>2  Technical and price structure</w:t>
      </w:r>
    </w:p>
    <w:p>
      <w:pPr>
        <w:spacing w:after="120" w:before="0"/>
      </w:pPr>
      <w:r>
        <w:rPr>
          <w:b w:val="0"/>
          <w:i w:val="0"/>
          <w:color w:val="1C3A36"/>
          <w:sz w:val="21"/>
        </w:rPr>
        <w:t xml:space="preserve">The technical picture is oversold. At SAR </w:t>
      </w:r>
      <w:r>
        <w:rPr>
          <w:b/>
          <w:i w:val="0"/>
          <w:color w:val="1C3A36"/>
          <w:sz w:val="21"/>
        </w:rPr>
        <w:t>68.10</w:t>
      </w:r>
      <w:r>
        <w:rPr>
          <w:b w:val="0"/>
          <w:i w:val="0"/>
          <w:color w:val="1C3A36"/>
          <w:sz w:val="21"/>
        </w:rPr>
        <w:t xml:space="preserve"> the stock sits at its 52-week low, below its 20-, 50-, 100- and 200-day averages (SAR </w:t>
      </w:r>
      <w:r>
        <w:rPr>
          <w:b w:val="0"/>
          <w:i w:val="0"/>
          <w:color w:val="1C3A36"/>
          <w:sz w:val="21"/>
        </w:rPr>
        <w:t>73/77/80/84</w:t>
      </w:r>
      <w:r>
        <w:rPr>
          <w:b w:val="0"/>
          <w:i w:val="0"/>
          <w:color w:val="1C3A36"/>
          <w:sz w:val="21"/>
        </w:rPr>
        <w:t xml:space="preserve">), with a 14-day RSI of </w:t>
      </w:r>
      <w:r>
        <w:rPr>
          <w:b/>
          <w:i w:val="0"/>
          <w:color w:val="1C3A36"/>
          <w:sz w:val="21"/>
        </w:rPr>
        <w:t>27</w:t>
      </w:r>
      <w:r>
        <w:rPr>
          <w:b w:val="0"/>
          <w:i w:val="0"/>
          <w:color w:val="1C3A36"/>
          <w:sz w:val="21"/>
        </w:rPr>
        <w:t xml:space="preserve"> — deep in oversold territory. Momentum is negative (MACD histogram </w:t>
      </w:r>
      <w:r>
        <w:rPr>
          <w:b w:val="0"/>
          <w:i w:val="0"/>
          <w:color w:val="1C3A36"/>
          <w:sz w:val="21"/>
        </w:rPr>
        <w:t>-0.28</w:t>
      </w:r>
      <w:r>
        <w:rPr>
          <w:b w:val="0"/>
          <w:i w:val="0"/>
          <w:color w:val="1C3A36"/>
          <w:sz w:val="21"/>
        </w:rPr>
        <w:t>), consistent with the recent sharp drop from the SAR 80–105 range. For a defensive, high-dividend name, a 52-week low with a sub-30 RSI is the kind of setup where price has often run ahead of any change in fundamentals.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456"/>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2880"/>
            <w:shd w:val="clear" w:color="auto" w:fill="EAF0EE"/>
          </w:tcPr>
          <w:p>
            <w:pPr>
              <w:spacing w:after="20"/>
            </w:pPr>
            <w:r>
              <w:rPr>
                <w:b/>
                <w:color w:val="1C3A36"/>
                <w:sz w:val="18"/>
              </w:rPr>
              <w:t>Signal</w:t>
            </w:r>
          </w:p>
        </w:tc>
      </w:tr>
      <w:tr>
        <w:tc>
          <w:tcPr>
            <w:tcW w:type="dxa" w:w="3456"/>
          </w:tcPr>
          <w:p>
            <w:pPr>
              <w:spacing w:after="20"/>
            </w:pPr>
            <w:r>
              <w:rPr>
                <w:b/>
                <w:color w:val="1C3A36"/>
                <w:sz w:val="18"/>
              </w:rPr>
              <w:t>Spot vs 200-day MA</w:t>
            </w:r>
          </w:p>
        </w:tc>
        <w:tc>
          <w:tcPr>
            <w:tcW w:type="dxa" w:w="3744"/>
          </w:tcPr>
          <w:p>
            <w:pPr>
              <w:spacing w:after="20"/>
              <w:jc w:val="right"/>
            </w:pPr>
            <w:r>
              <w:rPr>
                <w:color w:val="1C3A36"/>
                <w:sz w:val="18"/>
              </w:rPr>
              <w:t>68.1 vs 83.9</w:t>
            </w:r>
          </w:p>
        </w:tc>
        <w:tc>
          <w:tcPr>
            <w:tcW w:type="dxa" w:w="2880"/>
          </w:tcPr>
          <w:p>
            <w:pPr>
              <w:spacing w:after="20"/>
              <w:jc w:val="right"/>
            </w:pPr>
            <w:r>
              <w:rPr>
                <w:color w:val="1C3A36"/>
                <w:sz w:val="18"/>
              </w:rPr>
              <w:t>Below — bearish trend</w:t>
            </w:r>
          </w:p>
        </w:tc>
      </w:tr>
      <w:tr>
        <w:tc>
          <w:tcPr>
            <w:tcW w:type="dxa" w:w="3456"/>
          </w:tcPr>
          <w:p>
            <w:pPr>
              <w:spacing w:after="20"/>
            </w:pPr>
            <w:r>
              <w:rPr>
                <w:b/>
                <w:color w:val="1C3A36"/>
                <w:sz w:val="18"/>
              </w:rPr>
              <w:t>MA stack (20/50/100/200)</w:t>
            </w:r>
          </w:p>
        </w:tc>
        <w:tc>
          <w:tcPr>
            <w:tcW w:type="dxa" w:w="3744"/>
          </w:tcPr>
          <w:p>
            <w:pPr>
              <w:spacing w:after="20"/>
              <w:jc w:val="right"/>
            </w:pPr>
            <w:r>
              <w:rPr>
                <w:color w:val="1C3A36"/>
                <w:sz w:val="18"/>
              </w:rPr>
              <w:t>73 / 77 / 80 / 84</w:t>
            </w:r>
          </w:p>
        </w:tc>
        <w:tc>
          <w:tcPr>
            <w:tcW w:type="dxa" w:w="2880"/>
          </w:tcPr>
          <w:p>
            <w:pPr>
              <w:spacing w:after="20"/>
              <w:jc w:val="right"/>
            </w:pPr>
            <w:r>
              <w:rPr>
                <w:color w:val="1C3A36"/>
                <w:sz w:val="18"/>
              </w:rPr>
              <w:t>Fully inverted (downtrend)</w:t>
            </w:r>
          </w:p>
        </w:tc>
      </w:tr>
      <w:tr>
        <w:tc>
          <w:tcPr>
            <w:tcW w:type="dxa" w:w="3456"/>
          </w:tcPr>
          <w:p>
            <w:pPr>
              <w:spacing w:after="20"/>
            </w:pPr>
            <w:r>
              <w:rPr>
                <w:b/>
                <w:color w:val="1C3A36"/>
                <w:sz w:val="18"/>
              </w:rPr>
              <w:t>RSI (14-day)</w:t>
            </w:r>
          </w:p>
        </w:tc>
        <w:tc>
          <w:tcPr>
            <w:tcW w:type="dxa" w:w="3744"/>
          </w:tcPr>
          <w:p>
            <w:pPr>
              <w:spacing w:after="20"/>
              <w:jc w:val="right"/>
            </w:pPr>
            <w:r>
              <w:rPr>
                <w:color w:val="1C3A36"/>
                <w:sz w:val="18"/>
              </w:rPr>
              <w:t>27</w:t>
            </w:r>
          </w:p>
        </w:tc>
        <w:tc>
          <w:tcPr>
            <w:tcW w:type="dxa" w:w="2880"/>
          </w:tcPr>
          <w:p>
            <w:pPr>
              <w:spacing w:after="20"/>
              <w:jc w:val="right"/>
            </w:pPr>
            <w:r>
              <w:rPr>
                <w:color w:val="1C3A36"/>
                <w:sz w:val="18"/>
              </w:rPr>
              <w:t>Oversold (&lt;30)</w:t>
            </w:r>
          </w:p>
        </w:tc>
      </w:tr>
      <w:tr>
        <w:tc>
          <w:tcPr>
            <w:tcW w:type="dxa" w:w="3456"/>
          </w:tcPr>
          <w:p>
            <w:pPr>
              <w:spacing w:after="20"/>
            </w:pPr>
            <w:r>
              <w:rPr>
                <w:b/>
                <w:color w:val="1C3A36"/>
                <w:sz w:val="18"/>
              </w:rPr>
              <w:t>MACD (12/26/9)</w:t>
            </w:r>
          </w:p>
        </w:tc>
        <w:tc>
          <w:tcPr>
            <w:tcW w:type="dxa" w:w="3744"/>
          </w:tcPr>
          <w:p>
            <w:pPr>
              <w:spacing w:after="20"/>
              <w:jc w:val="right"/>
            </w:pPr>
            <w:r>
              <w:rPr>
                <w:color w:val="1C3A36"/>
                <w:sz w:val="18"/>
              </w:rPr>
              <w:t>-1.63 / -1.35 / -0.28</w:t>
            </w:r>
          </w:p>
        </w:tc>
        <w:tc>
          <w:tcPr>
            <w:tcW w:type="dxa" w:w="2880"/>
          </w:tcPr>
          <w:p>
            <w:pPr>
              <w:spacing w:after="20"/>
              <w:jc w:val="right"/>
            </w:pPr>
            <w:r>
              <w:rPr>
                <w:color w:val="1C3A36"/>
                <w:sz w:val="18"/>
              </w:rPr>
              <w:t>Bearish, histogram negative</w:t>
            </w:r>
          </w:p>
        </w:tc>
      </w:tr>
      <w:tr>
        <w:tc>
          <w:tcPr>
            <w:tcW w:type="dxa" w:w="3456"/>
          </w:tcPr>
          <w:p>
            <w:pPr>
              <w:spacing w:after="20"/>
            </w:pPr>
            <w:r>
              <w:rPr>
                <w:b/>
                <w:color w:val="1C3A36"/>
                <w:sz w:val="18"/>
              </w:rPr>
              <w:t>52-week range</w:t>
            </w:r>
          </w:p>
        </w:tc>
        <w:tc>
          <w:tcPr>
            <w:tcW w:type="dxa" w:w="3744"/>
          </w:tcPr>
          <w:p>
            <w:pPr>
              <w:spacing w:after="20"/>
              <w:jc w:val="right"/>
            </w:pPr>
            <w:r>
              <w:rPr>
                <w:color w:val="1C3A36"/>
                <w:sz w:val="18"/>
              </w:rPr>
              <w:t>68.1 – 93.0</w:t>
            </w:r>
          </w:p>
        </w:tc>
        <w:tc>
          <w:tcPr>
            <w:tcW w:type="dxa" w:w="2880"/>
          </w:tcPr>
          <w:p>
            <w:pPr>
              <w:spacing w:after="20"/>
              <w:jc w:val="right"/>
            </w:pPr>
            <w:r>
              <w:rPr>
                <w:color w:val="1C3A36"/>
                <w:sz w:val="18"/>
              </w:rPr>
              <w:t>At the low</w:t>
            </w:r>
          </w:p>
        </w:tc>
      </w:tr>
    </w:tbl>
    <w:p>
      <w:pPr>
        <w:spacing w:after="40"/>
      </w:pPr>
    </w:p>
    <w:p>
      <w:pPr>
        <w:spacing w:after="40"/>
        <w:jc w:val="center"/>
      </w:pPr>
      <w:r>
        <w:drawing>
          <wp:inline xmlns:a="http://schemas.openxmlformats.org/drawingml/2006/main" xmlns:pic="http://schemas.openxmlformats.org/drawingml/2006/picture">
            <wp:extent cx="6035040" cy="2509361"/>
            <wp:docPr id="2" name="Picture 2"/>
            <wp:cNvGraphicFramePr>
              <a:graphicFrameLocks noChangeAspect="1"/>
            </wp:cNvGraphicFramePr>
            <a:graphic>
              <a:graphicData uri="http://schemas.openxmlformats.org/drawingml/2006/picture">
                <pic:pic>
                  <pic:nvPicPr>
                    <pic:cNvPr id="0" name="fig6_mastack.png"/>
                    <pic:cNvPicPr/>
                  </pic:nvPicPr>
                  <pic:blipFill>
                    <a:blip r:embed="rId10"/>
                    <a:stretch>
                      <a:fillRect/>
                    </a:stretch>
                  </pic:blipFill>
                  <pic:spPr>
                    <a:xfrm>
                      <a:off x="0" y="0"/>
                      <a:ext cx="6035040" cy="2509361"/>
                    </a:xfrm>
                    <a:prstGeom prst="rect"/>
                  </pic:spPr>
                </pic:pic>
              </a:graphicData>
            </a:graphic>
          </wp:inline>
        </w:drawing>
      </w:r>
    </w:p>
    <w:p>
      <w:pPr>
        <w:spacing w:after="200" w:before="0"/>
      </w:pPr>
      <w:r>
        <w:rPr>
          <w:b w:val="0"/>
          <w:i/>
          <w:color w:val="6E7B77"/>
          <w:sz w:val="17"/>
        </w:rPr>
        <w:t>Figure 2. Price and moving-average stack (last ~18 months). The averages are stacked in descending order — a clean downtrend into the 52-week low.</w:t>
      </w:r>
    </w:p>
    <w:p>
      <w:r>
        <w:br w:type="page"/>
      </w:r>
    </w:p>
    <w:p>
      <w:pPr>
        <w:spacing w:after="100" w:before="260"/>
      </w:pPr>
      <w:r>
        <w:rPr>
          <w:b/>
          <w:i w:val="0"/>
          <w:color w:val="1C3A36"/>
          <w:sz w:val="30"/>
        </w:rPr>
        <w:t>3  Monte Carlo simulation</w:t>
      </w:r>
    </w:p>
    <w:p>
      <w:pPr>
        <w:spacing w:after="120" w:before="0"/>
      </w:pPr>
      <w:r>
        <w:rPr>
          <w:b w:val="0"/>
          <w:i w:val="0"/>
          <w:color w:val="1C3A36"/>
          <w:sz w:val="21"/>
        </w:rPr>
        <w:t>The paths diffuse from a carry-anchored centre as a near-term price forecast, and deliberately do not embed the fundamental value gap of §1 — the §1 upside is kept out of the drift. The engine is the v3 carry-anchored YZ-HAR-t: a gap-aware Yang-Zhang / log-HAR width, a per-market fitted Student-t shape, and a drift equal only to the carry (risk-free minus dividend yield). 50,000 paths, seed 42.</w:t>
      </w:r>
    </w:p>
    <w:p>
      <w:pPr>
        <w:spacing w:after="60" w:before="180"/>
      </w:pPr>
      <w:r>
        <w:rPr>
          <w:b/>
          <w:i w:val="0"/>
          <w:color w:val="1C3A36"/>
          <w:sz w:val="24"/>
        </w:rPr>
        <w:t>The probability 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320"/>
            <w:shd w:val="clear" w:color="auto" w:fill="EAF0EE"/>
          </w:tcPr>
          <w:p>
            <w:pPr>
              <w:spacing w:after="20"/>
            </w:pPr>
            <w:r>
              <w:rPr>
                <w:b/>
                <w:color w:val="1C3A36"/>
                <w:sz w:val="18"/>
              </w:rPr>
              <w:t>Metric</w:t>
            </w:r>
          </w:p>
        </w:tc>
        <w:tc>
          <w:tcPr>
            <w:tcW w:type="dxa" w:w="5760"/>
            <w:shd w:val="clear" w:color="auto" w:fill="EAF0EE"/>
          </w:tcPr>
          <w:p>
            <w:pPr>
              <w:spacing w:after="20"/>
            </w:pPr>
            <w:r>
              <w:rPr>
                <w:b/>
                <w:color w:val="1C3A36"/>
                <w:sz w:val="18"/>
              </w:rPr>
              <w:t>Reading (T+60)</w:t>
            </w:r>
          </w:p>
        </w:tc>
      </w:tr>
      <w:tr>
        <w:tc>
          <w:tcPr>
            <w:tcW w:type="dxa" w:w="4320"/>
          </w:tcPr>
          <w:p>
            <w:pPr>
              <w:spacing w:after="20"/>
            </w:pPr>
            <w:r>
              <w:rPr>
                <w:b/>
                <w:color w:val="1C3A36"/>
                <w:sz w:val="18"/>
              </w:rPr>
              <w:t>P(price above spot)</w:t>
            </w:r>
          </w:p>
        </w:tc>
        <w:tc>
          <w:tcPr>
            <w:tcW w:type="dxa" w:w="5760"/>
          </w:tcPr>
          <w:p>
            <w:pPr>
              <w:spacing w:after="20"/>
              <w:jc w:val="right"/>
            </w:pPr>
            <w:r>
              <w:rPr>
                <w:color w:val="1C3A36"/>
                <w:sz w:val="18"/>
              </w:rPr>
              <w:t>48%</w:t>
            </w:r>
          </w:p>
        </w:tc>
      </w:tr>
      <w:tr>
        <w:tc>
          <w:tcPr>
            <w:tcW w:type="dxa" w:w="4320"/>
          </w:tcPr>
          <w:p>
            <w:pPr>
              <w:spacing w:after="20"/>
            </w:pPr>
            <w:r>
              <w:rPr>
                <w:b/>
                <w:color w:val="1C3A36"/>
                <w:sz w:val="18"/>
              </w:rPr>
              <w:t>P(+10%) vs P(−10%)</w:t>
            </w:r>
          </w:p>
        </w:tc>
        <w:tc>
          <w:tcPr>
            <w:tcW w:type="dxa" w:w="5760"/>
          </w:tcPr>
          <w:p>
            <w:pPr>
              <w:spacing w:after="20"/>
              <w:jc w:val="right"/>
            </w:pPr>
            <w:r>
              <w:rPr>
                <w:color w:val="1C3A36"/>
                <w:sz w:val="18"/>
              </w:rPr>
              <w:t>22% vs 22%  (odds 0.97)</w:t>
            </w:r>
          </w:p>
        </w:tc>
      </w:tr>
      <w:tr>
        <w:tc>
          <w:tcPr>
            <w:tcW w:type="dxa" w:w="4320"/>
          </w:tcPr>
          <w:p>
            <w:pPr>
              <w:spacing w:after="20"/>
            </w:pPr>
            <w:r>
              <w:rPr>
                <w:b/>
                <w:color w:val="1C3A36"/>
                <w:sz w:val="18"/>
              </w:rPr>
              <w:t>Median level / move</w:t>
            </w:r>
          </w:p>
        </w:tc>
        <w:tc>
          <w:tcPr>
            <w:tcW w:type="dxa" w:w="5760"/>
          </w:tcPr>
          <w:p>
            <w:pPr>
              <w:spacing w:after="20"/>
              <w:jc w:val="right"/>
            </w:pPr>
            <w:r>
              <w:rPr>
                <w:color w:val="1C3A36"/>
                <w:sz w:val="18"/>
              </w:rPr>
              <w:t>SAR 67.6  (-0.7%)</w:t>
            </w:r>
          </w:p>
        </w:tc>
      </w:tr>
      <w:tr>
        <w:tc>
          <w:tcPr>
            <w:tcW w:type="dxa" w:w="4320"/>
          </w:tcPr>
          <w:p>
            <w:pPr>
              <w:spacing w:after="20"/>
            </w:pPr>
            <w:r>
              <w:rPr>
                <w:b/>
                <w:color w:val="1C3A36"/>
                <w:sz w:val="18"/>
              </w:rPr>
              <w:t>50% band (25th–75th)</w:t>
            </w:r>
          </w:p>
        </w:tc>
        <w:tc>
          <w:tcPr>
            <w:tcW w:type="dxa" w:w="5760"/>
          </w:tcPr>
          <w:p>
            <w:pPr>
              <w:spacing w:after="20"/>
              <w:jc w:val="right"/>
            </w:pPr>
            <w:r>
              <w:rPr>
                <w:color w:val="1C3A36"/>
                <w:sz w:val="18"/>
              </w:rPr>
              <w:t>SAR 62.0 – 73.8  (17% of spot)</w:t>
            </w:r>
          </w:p>
        </w:tc>
      </w:tr>
      <w:tr>
        <w:tc>
          <w:tcPr>
            <w:tcW w:type="dxa" w:w="4320"/>
          </w:tcPr>
          <w:p>
            <w:pPr>
              <w:spacing w:after="20"/>
            </w:pPr>
            <w:r>
              <w:rPr>
                <w:b/>
                <w:color w:val="1C3A36"/>
                <w:sz w:val="18"/>
              </w:rPr>
              <w:t>Touch +10% / −10% (within 60d)</w:t>
            </w:r>
          </w:p>
        </w:tc>
        <w:tc>
          <w:tcPr>
            <w:tcW w:type="dxa" w:w="5760"/>
          </w:tcPr>
          <w:p>
            <w:pPr>
              <w:spacing w:after="20"/>
              <w:jc w:val="right"/>
            </w:pPr>
            <w:r>
              <w:rPr>
                <w:color w:val="1C3A36"/>
                <w:sz w:val="18"/>
              </w:rPr>
              <w:t>40% / 39%</w:t>
            </w:r>
          </w:p>
        </w:tc>
      </w:tr>
    </w:tbl>
    <w:p>
      <w:pPr>
        <w:spacing w:after="40"/>
      </w:pPr>
    </w:p>
    <w:p>
      <w:pPr>
        <w:spacing w:after="120" w:before="0"/>
      </w:pPr>
      <w:r>
        <w:rPr>
          <w:b/>
          <w:i w:val="0"/>
          <w:color w:val="1C3A36"/>
          <w:sz w:val="19"/>
        </w:rPr>
        <w:t xml:space="preserve">Explained-flat median. </w:t>
      </w:r>
      <w:r>
        <w:rPr>
          <w:b w:val="0"/>
          <w:i w:val="0"/>
          <w:color w:val="1C3A36"/>
          <w:sz w:val="19"/>
        </w:rPr>
        <w:t>The median move is -0.7% because eXtra’s dividend yield (~6.9%) exceeds the risk-free rate (~4.25%), so on a price-only basis the median drifts marginally below spot; the expected total return is ≈ the risk-free rate, paid out as dividend. This is a committed, explained number — not an absence of a view, and not a manufactured direction.</w:t>
      </w:r>
    </w:p>
    <w:p>
      <w:pPr>
        <w:spacing w:after="40"/>
        <w:jc w:val="center"/>
      </w:pPr>
      <w:r>
        <w:drawing>
          <wp:inline xmlns:a="http://schemas.openxmlformats.org/drawingml/2006/main" xmlns:pic="http://schemas.openxmlformats.org/drawingml/2006/picture">
            <wp:extent cx="6035040" cy="2642624"/>
            <wp:docPr id="3" name="Picture 3"/>
            <wp:cNvGraphicFramePr>
              <a:graphicFrameLocks noChangeAspect="1"/>
            </wp:cNvGraphicFramePr>
            <a:graphic>
              <a:graphicData uri="http://schemas.openxmlformats.org/drawingml/2006/picture">
                <pic:pic>
                  <pic:nvPicPr>
                    <pic:cNvPr id="0" name="fig2_fan.png"/>
                    <pic:cNvPicPr/>
                  </pic:nvPicPr>
                  <pic:blipFill>
                    <a:blip r:embed="rId11"/>
                    <a:stretch>
                      <a:fillRect/>
                    </a:stretch>
                  </pic:blipFill>
                  <pic:spPr>
                    <a:xfrm>
                      <a:off x="0" y="0"/>
                      <a:ext cx="6035040" cy="2642624"/>
                    </a:xfrm>
                    <a:prstGeom prst="rect"/>
                  </pic:spPr>
                </pic:pic>
              </a:graphicData>
            </a:graphic>
          </wp:inline>
        </w:drawing>
      </w:r>
    </w:p>
    <w:p>
      <w:pPr>
        <w:spacing w:after="200" w:before="0"/>
      </w:pPr>
      <w:r>
        <w:rPr>
          <w:b w:val="0"/>
          <w:i/>
          <w:color w:val="6E7B77"/>
          <w:sz w:val="17"/>
        </w:rPr>
        <w:t>Figure 3. Monte Carlo cone. Lead with the 25–75% interquartile band (gold); the median (brass) is roughly flat. The wide 5–95% band is the instrument’s genuine quarter-ahead uncertainty, not padding.</w:t>
      </w:r>
    </w:p>
    <w:p>
      <w:pPr>
        <w:spacing w:after="40"/>
        <w:jc w:val="center"/>
      </w:pPr>
      <w:r>
        <w:drawing>
          <wp:inline xmlns:a="http://schemas.openxmlformats.org/drawingml/2006/main" xmlns:pic="http://schemas.openxmlformats.org/drawingml/2006/picture">
            <wp:extent cx="5943600" cy="2354719"/>
            <wp:docPr id="4" name="Picture 4"/>
            <wp:cNvGraphicFramePr>
              <a:graphicFrameLocks noChangeAspect="1"/>
            </wp:cNvGraphicFramePr>
            <a:graphic>
              <a:graphicData uri="http://schemas.openxmlformats.org/drawingml/2006/picture">
                <pic:pic>
                  <pic:nvPicPr>
                    <pic:cNvPr id="0" name="fig3_dist60.png"/>
                    <pic:cNvPicPr/>
                  </pic:nvPicPr>
                  <pic:blipFill>
                    <a:blip r:embed="rId12"/>
                    <a:stretch>
                      <a:fillRect/>
                    </a:stretch>
                  </pic:blipFill>
                  <pic:spPr>
                    <a:xfrm>
                      <a:off x="0" y="0"/>
                      <a:ext cx="5943600" cy="2354719"/>
                    </a:xfrm>
                    <a:prstGeom prst="rect"/>
                  </pic:spPr>
                </pic:pic>
              </a:graphicData>
            </a:graphic>
          </wp:inline>
        </w:drawing>
      </w:r>
    </w:p>
    <w:p>
      <w:pPr>
        <w:spacing w:after="200" w:before="0"/>
      </w:pPr>
      <w:r>
        <w:rPr>
          <w:b w:val="0"/>
          <w:i/>
          <w:color w:val="6E7B77"/>
          <w:sz w:val="17"/>
        </w:rPr>
        <w:t>Figure 4. Terminal price distribution at T+60 (≈ 3 months).</w:t>
      </w:r>
    </w:p>
    <w:p>
      <w:pPr>
        <w:spacing w:after="40"/>
        <w:jc w:val="center"/>
      </w:pPr>
      <w:r>
        <w:drawing>
          <wp:inline xmlns:a="http://schemas.openxmlformats.org/drawingml/2006/main" xmlns:pic="http://schemas.openxmlformats.org/drawingml/2006/picture">
            <wp:extent cx="5943600" cy="2354719"/>
            <wp:docPr id="5" name="Picture 5"/>
            <wp:cNvGraphicFramePr>
              <a:graphicFrameLocks noChangeAspect="1"/>
            </wp:cNvGraphicFramePr>
            <a:graphic>
              <a:graphicData uri="http://schemas.openxmlformats.org/drawingml/2006/picture">
                <pic:pic>
                  <pic:nvPicPr>
                    <pic:cNvPr id="0" name="fig4_dist20.png"/>
                    <pic:cNvPicPr/>
                  </pic:nvPicPr>
                  <pic:blipFill>
                    <a:blip r:embed="rId13"/>
                    <a:stretch>
                      <a:fillRect/>
                    </a:stretch>
                  </pic:blipFill>
                  <pic:spPr>
                    <a:xfrm>
                      <a:off x="0" y="0"/>
                      <a:ext cx="5943600" cy="2354719"/>
                    </a:xfrm>
                    <a:prstGeom prst="rect"/>
                  </pic:spPr>
                </pic:pic>
              </a:graphicData>
            </a:graphic>
          </wp:inline>
        </w:drawing>
      </w:r>
    </w:p>
    <w:p>
      <w:pPr>
        <w:spacing w:after="200" w:before="0"/>
      </w:pPr>
      <w:r>
        <w:rPr>
          <w:b w:val="0"/>
          <w:i/>
          <w:color w:val="6E7B77"/>
          <w:sz w:val="17"/>
        </w:rPr>
        <w:t>Figure 5. Terminal price distribution at T+20 (≈ 1 month); width ≈ the T+60 width divided by √3.</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8"/>
              </w:rPr>
              <w:t>Percentile</w:t>
            </w:r>
          </w:p>
        </w:tc>
        <w:tc>
          <w:tcPr>
            <w:tcW w:type="dxa" w:w="3600"/>
            <w:shd w:val="clear" w:color="auto" w:fill="EAF0EE"/>
          </w:tcPr>
          <w:p>
            <w:pPr>
              <w:spacing w:after="20"/>
            </w:pPr>
            <w:r>
              <w:rPr>
                <w:b/>
                <w:color w:val="1C3A36"/>
                <w:sz w:val="18"/>
              </w:rPr>
              <w:t>T+20 (SAR)</w:t>
            </w:r>
          </w:p>
        </w:tc>
        <w:tc>
          <w:tcPr>
            <w:tcW w:type="dxa" w:w="3600"/>
            <w:shd w:val="clear" w:color="auto" w:fill="EAF0EE"/>
          </w:tcPr>
          <w:p>
            <w:pPr>
              <w:spacing w:after="20"/>
            </w:pPr>
            <w:r>
              <w:rPr>
                <w:b/>
                <w:color w:val="1C3A36"/>
                <w:sz w:val="18"/>
              </w:rPr>
              <w:t>T+60 (SAR)</w:t>
            </w:r>
          </w:p>
        </w:tc>
      </w:tr>
      <w:tr>
        <w:tc>
          <w:tcPr>
            <w:tcW w:type="dxa" w:w="2880"/>
          </w:tcPr>
          <w:p>
            <w:pPr>
              <w:spacing w:after="20"/>
            </w:pPr>
            <w:r>
              <w:rPr>
                <w:b/>
                <w:color w:val="1C3A36"/>
                <w:sz w:val="18"/>
              </w:rPr>
              <w:t>5th</w:t>
            </w:r>
          </w:p>
        </w:tc>
        <w:tc>
          <w:tcPr>
            <w:tcW w:type="dxa" w:w="3600"/>
          </w:tcPr>
          <w:p>
            <w:pPr>
              <w:spacing w:after="20"/>
              <w:jc w:val="right"/>
            </w:pPr>
            <w:r>
              <w:rPr>
                <w:color w:val="1C3A36"/>
                <w:sz w:val="18"/>
              </w:rPr>
              <w:t>59.2</w:t>
            </w:r>
          </w:p>
        </w:tc>
        <w:tc>
          <w:tcPr>
            <w:tcW w:type="dxa" w:w="3600"/>
          </w:tcPr>
          <w:p>
            <w:pPr>
              <w:spacing w:after="20"/>
              <w:jc w:val="right"/>
            </w:pPr>
            <w:r>
              <w:rPr>
                <w:color w:val="1C3A36"/>
                <w:sz w:val="18"/>
              </w:rPr>
              <w:t>53.2</w:t>
            </w:r>
          </w:p>
        </w:tc>
      </w:tr>
      <w:tr>
        <w:tc>
          <w:tcPr>
            <w:tcW w:type="dxa" w:w="2880"/>
          </w:tcPr>
          <w:p>
            <w:pPr>
              <w:spacing w:after="20"/>
            </w:pPr>
            <w:r>
              <w:rPr>
                <w:b/>
                <w:color w:val="1C3A36"/>
                <w:sz w:val="18"/>
              </w:rPr>
              <w:t>10th</w:t>
            </w:r>
          </w:p>
        </w:tc>
        <w:tc>
          <w:tcPr>
            <w:tcW w:type="dxa" w:w="3600"/>
          </w:tcPr>
          <w:p>
            <w:pPr>
              <w:spacing w:after="20"/>
              <w:jc w:val="right"/>
            </w:pPr>
            <w:r>
              <w:rPr>
                <w:color w:val="1C3A36"/>
                <w:sz w:val="18"/>
              </w:rPr>
              <w:t>61.9</w:t>
            </w:r>
          </w:p>
        </w:tc>
        <w:tc>
          <w:tcPr>
            <w:tcW w:type="dxa" w:w="3600"/>
          </w:tcPr>
          <w:p>
            <w:pPr>
              <w:spacing w:after="20"/>
              <w:jc w:val="right"/>
            </w:pPr>
            <w:r>
              <w:rPr>
                <w:color w:val="1C3A36"/>
                <w:sz w:val="18"/>
              </w:rPr>
              <w:t>57.6</w:t>
            </w:r>
          </w:p>
        </w:tc>
      </w:tr>
      <w:tr>
        <w:tc>
          <w:tcPr>
            <w:tcW w:type="dxa" w:w="2880"/>
          </w:tcPr>
          <w:p>
            <w:pPr>
              <w:spacing w:after="20"/>
            </w:pPr>
            <w:r>
              <w:rPr>
                <w:b/>
                <w:color w:val="1C3A36"/>
                <w:sz w:val="18"/>
              </w:rPr>
              <w:t>25th</w:t>
            </w:r>
          </w:p>
        </w:tc>
        <w:tc>
          <w:tcPr>
            <w:tcW w:type="dxa" w:w="3600"/>
          </w:tcPr>
          <w:p>
            <w:pPr>
              <w:spacing w:after="20"/>
              <w:jc w:val="right"/>
            </w:pPr>
            <w:r>
              <w:rPr>
                <w:color w:val="1C3A36"/>
                <w:sz w:val="18"/>
              </w:rPr>
              <w:t>64.6</w:t>
            </w:r>
          </w:p>
        </w:tc>
        <w:tc>
          <w:tcPr>
            <w:tcW w:type="dxa" w:w="3600"/>
          </w:tcPr>
          <w:p>
            <w:pPr>
              <w:spacing w:after="20"/>
              <w:jc w:val="right"/>
            </w:pPr>
            <w:r>
              <w:rPr>
                <w:color w:val="1C3A36"/>
                <w:sz w:val="18"/>
              </w:rPr>
              <w:t>62.0</w:t>
            </w:r>
          </w:p>
        </w:tc>
      </w:tr>
      <w:tr>
        <w:tc>
          <w:tcPr>
            <w:tcW w:type="dxa" w:w="2880"/>
          </w:tcPr>
          <w:p>
            <w:pPr>
              <w:spacing w:after="20"/>
            </w:pPr>
            <w:r>
              <w:rPr>
                <w:b/>
                <w:color w:val="1C3A36"/>
                <w:sz w:val="18"/>
              </w:rPr>
              <w:t>50th</w:t>
            </w:r>
          </w:p>
        </w:tc>
        <w:tc>
          <w:tcPr>
            <w:tcW w:type="dxa" w:w="3600"/>
          </w:tcPr>
          <w:p>
            <w:pPr>
              <w:spacing w:after="20"/>
              <w:jc w:val="right"/>
            </w:pPr>
            <w:r>
              <w:rPr>
                <w:color w:val="1C3A36"/>
                <w:sz w:val="18"/>
              </w:rPr>
              <w:t>67.9</w:t>
            </w:r>
          </w:p>
        </w:tc>
        <w:tc>
          <w:tcPr>
            <w:tcW w:type="dxa" w:w="3600"/>
          </w:tcPr>
          <w:p>
            <w:pPr>
              <w:spacing w:after="20"/>
              <w:jc w:val="right"/>
            </w:pPr>
            <w:r>
              <w:rPr>
                <w:color w:val="1C3A36"/>
                <w:sz w:val="18"/>
              </w:rPr>
              <w:t>67.6</w:t>
            </w:r>
          </w:p>
        </w:tc>
      </w:tr>
      <w:tr>
        <w:tc>
          <w:tcPr>
            <w:tcW w:type="dxa" w:w="2880"/>
          </w:tcPr>
          <w:p>
            <w:pPr>
              <w:spacing w:after="20"/>
            </w:pPr>
            <w:r>
              <w:rPr>
                <w:b/>
                <w:color w:val="1C3A36"/>
                <w:sz w:val="18"/>
              </w:rPr>
              <w:t>75th</w:t>
            </w:r>
          </w:p>
        </w:tc>
        <w:tc>
          <w:tcPr>
            <w:tcW w:type="dxa" w:w="3600"/>
          </w:tcPr>
          <w:p>
            <w:pPr>
              <w:spacing w:after="20"/>
              <w:jc w:val="right"/>
            </w:pPr>
            <w:r>
              <w:rPr>
                <w:color w:val="1C3A36"/>
                <w:sz w:val="18"/>
              </w:rPr>
              <w:t>71.4</w:t>
            </w:r>
          </w:p>
        </w:tc>
        <w:tc>
          <w:tcPr>
            <w:tcW w:type="dxa" w:w="3600"/>
          </w:tcPr>
          <w:p>
            <w:pPr>
              <w:spacing w:after="20"/>
              <w:jc w:val="right"/>
            </w:pPr>
            <w:r>
              <w:rPr>
                <w:color w:val="1C3A36"/>
                <w:sz w:val="18"/>
              </w:rPr>
              <w:t>73.8</w:t>
            </w:r>
          </w:p>
        </w:tc>
      </w:tr>
      <w:tr>
        <w:tc>
          <w:tcPr>
            <w:tcW w:type="dxa" w:w="2880"/>
          </w:tcPr>
          <w:p>
            <w:pPr>
              <w:spacing w:after="20"/>
            </w:pPr>
            <w:r>
              <w:rPr>
                <w:b/>
                <w:color w:val="1C3A36"/>
                <w:sz w:val="18"/>
              </w:rPr>
              <w:t>90th</w:t>
            </w:r>
          </w:p>
        </w:tc>
        <w:tc>
          <w:tcPr>
            <w:tcW w:type="dxa" w:w="3600"/>
          </w:tcPr>
          <w:p>
            <w:pPr>
              <w:spacing w:after="20"/>
              <w:jc w:val="right"/>
            </w:pPr>
            <w:r>
              <w:rPr>
                <w:color w:val="1C3A36"/>
                <w:sz w:val="18"/>
              </w:rPr>
              <w:t>74.8</w:t>
            </w:r>
          </w:p>
        </w:tc>
        <w:tc>
          <w:tcPr>
            <w:tcW w:type="dxa" w:w="3600"/>
          </w:tcPr>
          <w:p>
            <w:pPr>
              <w:spacing w:after="20"/>
              <w:jc w:val="right"/>
            </w:pPr>
            <w:r>
              <w:rPr>
                <w:color w:val="1C3A36"/>
                <w:sz w:val="18"/>
              </w:rPr>
              <w:t>80.0</w:t>
            </w:r>
          </w:p>
        </w:tc>
      </w:tr>
      <w:tr>
        <w:tc>
          <w:tcPr>
            <w:tcW w:type="dxa" w:w="2880"/>
          </w:tcPr>
          <w:p>
            <w:pPr>
              <w:spacing w:after="20"/>
            </w:pPr>
            <w:r>
              <w:rPr>
                <w:b/>
                <w:color w:val="1C3A36"/>
                <w:sz w:val="18"/>
              </w:rPr>
              <w:t>95th</w:t>
            </w:r>
          </w:p>
        </w:tc>
        <w:tc>
          <w:tcPr>
            <w:tcW w:type="dxa" w:w="3600"/>
          </w:tcPr>
          <w:p>
            <w:pPr>
              <w:spacing w:after="20"/>
              <w:jc w:val="right"/>
            </w:pPr>
            <w:r>
              <w:rPr>
                <w:color w:val="1C3A36"/>
                <w:sz w:val="18"/>
              </w:rPr>
              <w:t>78.2</w:t>
            </w:r>
          </w:p>
        </w:tc>
        <w:tc>
          <w:tcPr>
            <w:tcW w:type="dxa" w:w="3600"/>
          </w:tcPr>
          <w:p>
            <w:pPr>
              <w:spacing w:after="20"/>
              <w:jc w:val="right"/>
            </w:pPr>
            <w:r>
              <w:rPr>
                <w:color w:val="1C3A36"/>
                <w:sz w:val="18"/>
              </w:rPr>
              <w:t>86.2</w:t>
            </w:r>
          </w:p>
        </w:tc>
      </w:tr>
    </w:tbl>
    <w:p>
      <w:pPr>
        <w:spacing w:after="40"/>
      </w:pPr>
    </w:p>
    <w:p>
      <w:pPr>
        <w:spacing w:after="40"/>
        <w:jc w:val="center"/>
      </w:pPr>
      <w:r>
        <w:drawing>
          <wp:inline xmlns:a="http://schemas.openxmlformats.org/drawingml/2006/main" xmlns:pic="http://schemas.openxmlformats.org/drawingml/2006/picture">
            <wp:extent cx="6035040" cy="2326005"/>
            <wp:docPr id="6" name="Picture 6"/>
            <wp:cNvGraphicFramePr>
              <a:graphicFrameLocks noChangeAspect="1"/>
            </wp:cNvGraphicFramePr>
            <a:graphic>
              <a:graphicData uri="http://schemas.openxmlformats.org/drawingml/2006/picture">
                <pic:pic>
                  <pic:nvPicPr>
                    <pic:cNvPr id="0" name="fig5_touch.png"/>
                    <pic:cNvPicPr/>
                  </pic:nvPicPr>
                  <pic:blipFill>
                    <a:blip r:embed="rId14"/>
                    <a:stretch>
                      <a:fillRect/>
                    </a:stretch>
                  </pic:blipFill>
                  <pic:spPr>
                    <a:xfrm>
                      <a:off x="0" y="0"/>
                      <a:ext cx="6035040" cy="2326005"/>
                    </a:xfrm>
                    <a:prstGeom prst="rect"/>
                  </pic:spPr>
                </pic:pic>
              </a:graphicData>
            </a:graphic>
          </wp:inline>
        </w:drawing>
      </w:r>
    </w:p>
    <w:p>
      <w:pPr>
        <w:spacing w:after="200" w:before="0"/>
      </w:pPr>
      <w:r>
        <w:rPr>
          <w:b w:val="0"/>
          <w:i/>
          <w:color w:val="6E7B77"/>
          <w:sz w:val="17"/>
        </w:rPr>
        <w:t>Figure 6. Touch-probability ladder — the chance the price reaches each level at any point within 60 trading days (higher than the terminal-distribution odds, since a path need only touch once).</w:t>
      </w:r>
    </w:p>
    <w:p>
      <w:r>
        <w:br w:type="page"/>
      </w:r>
    </w:p>
    <w:p>
      <w:pPr>
        <w:spacing w:after="100" w:before="260"/>
      </w:pPr>
      <w:r>
        <w:rPr>
          <w:b/>
          <w:i w:val="0"/>
          <w:color w:val="1C3A36"/>
          <w:sz w:val="30"/>
        </w:rPr>
        <w:t>4  Comparison of the lenses, and a verdict</w:t>
      </w:r>
    </w:p>
    <w:p>
      <w:pPr>
        <w:spacing w:after="120" w:before="0"/>
      </w:pPr>
      <w:r>
        <w:rPr>
          <w:b w:val="0"/>
          <w:i w:val="0"/>
          <w:color w:val="1C3A36"/>
          <w:sz w:val="21"/>
        </w:rPr>
        <w:t>The three lenses tell a coherent story. The fundamental lenses — split-legs SOTP (~SAR 90) and relative multiples (~SAR 75) — both sit above spot, implying the recent selloff has opened a gap to a conservative estimate of value. The near-term Monte Carlo median sits at spot, because a carry-anchored price forecast for a high-dividend name is flat by construction. The tension is not a contradiction: it says a patient owner is paid to wait (a ~6.9% dividend) while the fundamental gap closes, with no near-term directional edge in the price path itself.</w:t>
      </w:r>
    </w:p>
    <w:p>
      <w:pPr>
        <w:spacing w:after="120" w:before="0"/>
      </w:pPr>
      <w:r>
        <w:rPr>
          <w:b/>
          <w:i w:val="0"/>
          <w:color w:val="1C3A36"/>
          <w:sz w:val="21"/>
        </w:rPr>
        <w:t xml:space="preserve">Verdict: </w:t>
      </w:r>
      <w:r>
        <w:rPr>
          <w:b w:val="0"/>
          <w:i w:val="0"/>
          <w:color w:val="1C3A36"/>
          <w:sz w:val="21"/>
        </w:rPr>
        <w:t>on a split-legs basis eXtra looks modestly-to-clearly undervalued at SAR 68.10, with a weighted central of ~SAR 81 (+19%) and a fair-value band of ~SAR 65–92. The conservative end of that band sits at spot, so this is a range with a modest tilt to the upside and a well-covered dividend as the floor — not a high-conviction target. We publish a range and a distribution, never a rating.</w:t>
      </w:r>
    </w:p>
    <w:p>
      <w:pPr>
        <w:spacing w:after="100" w:before="260"/>
      </w:pPr>
      <w:r>
        <w:rPr>
          <w:b/>
          <w:i w:val="0"/>
          <w:color w:val="1C3A36"/>
          <w:sz w:val="30"/>
        </w:rPr>
        <w:t>5  Catalysts to watch</w:t>
      </w:r>
    </w:p>
    <w:p>
      <w:pPr>
        <w:pStyle w:val="ListBullet"/>
        <w:spacing w:after="60"/>
      </w:pPr>
      <w:r>
        <w:rPr>
          <w:b/>
          <w:color w:val="1C3A36"/>
          <w:sz w:val="21"/>
        </w:rPr>
        <w:t xml:space="preserve">Consumer-finance trajectory. </w:t>
      </w:r>
      <w:r>
        <w:rPr>
          <w:color w:val="1C3A36"/>
          <w:sz w:val="21"/>
        </w:rPr>
        <w:t>Whether Tasheel’s net-profit decline stabilizes; the loan book is still growing double-digits, so the question is margin and provisioning, not volume.</w:t>
      </w:r>
    </w:p>
    <w:p>
      <w:pPr>
        <w:pStyle w:val="ListBullet"/>
        <w:spacing w:after="60"/>
      </w:pPr>
      <w:r>
        <w:rPr>
          <w:b/>
          <w:color w:val="1C3A36"/>
          <w:sz w:val="21"/>
        </w:rPr>
        <w:t xml:space="preserve">Rate path. </w:t>
      </w:r>
      <w:r>
        <w:rPr>
          <w:color w:val="1C3A36"/>
          <w:sz w:val="21"/>
        </w:rPr>
        <w:t>SAMA cuts (tracking the Fed) would lift big-ticket retail demand and cut Tasheel’s funding cost simultaneously — the single biggest external swing.</w:t>
      </w:r>
    </w:p>
    <w:p>
      <w:pPr>
        <w:pStyle w:val="ListBullet"/>
        <w:spacing w:after="60"/>
      </w:pPr>
      <w:r>
        <w:rPr>
          <w:b/>
          <w:color w:val="1C3A36"/>
          <w:sz w:val="21"/>
        </w:rPr>
        <w:t xml:space="preserve">Dividend. </w:t>
      </w:r>
      <w:r>
        <w:rPr>
          <w:color w:val="1C3A36"/>
          <w:sz w:val="21"/>
        </w:rPr>
        <w:t>Confirmation of the ~SAR 4.7 normalized payout; the yield is the anchor of the thesis and is well-covered by retail cash flow plus Tasheel dividend income.</w:t>
      </w:r>
    </w:p>
    <w:p>
      <w:pPr>
        <w:pStyle w:val="ListBullet"/>
        <w:spacing w:after="60"/>
      </w:pPr>
      <w:r>
        <w:rPr>
          <w:b/>
          <w:color w:val="1C3A36"/>
          <w:sz w:val="21"/>
        </w:rPr>
        <w:t xml:space="preserve">Quarterly prints. </w:t>
      </w:r>
      <w:r>
        <w:rPr>
          <w:color w:val="1C3A36"/>
          <w:sz w:val="21"/>
        </w:rPr>
        <w:t>Retail like-for-like growth and gross margin; any read-through from the Clix (Panda) e-commerce venture and the Nowpay fintech investment (upside optionality, not in the base case).</w:t>
      </w:r>
    </w:p>
    <w:p>
      <w:pPr>
        <w:spacing w:after="100" w:before="260"/>
      </w:pPr>
      <w:r>
        <w:rPr>
          <w:b/>
          <w:i w:val="0"/>
          <w:color w:val="1C3A36"/>
          <w:sz w:val="30"/>
        </w:rPr>
        <w:t>6  Reading the probability zones</w:t>
      </w:r>
    </w:p>
    <w:p>
      <w:pPr>
        <w:spacing w:after="120" w:before="0"/>
      </w:pPr>
      <w:r>
        <w:rPr>
          <w:b w:val="0"/>
          <w:i w:val="0"/>
          <w:color w:val="1C3A36"/>
          <w:sz w:val="21"/>
        </w:rPr>
        <w:t xml:space="preserve">The 50% band (SAR </w:t>
      </w:r>
      <w:r>
        <w:rPr>
          <w:b/>
          <w:i w:val="0"/>
          <w:color w:val="1C3A36"/>
          <w:sz w:val="21"/>
        </w:rPr>
        <w:t>62–74</w:t>
      </w:r>
      <w:r>
        <w:rPr>
          <w:b w:val="0"/>
          <w:i w:val="0"/>
          <w:color w:val="1C3A36"/>
          <w:sz w:val="21"/>
        </w:rPr>
        <w:t>) is where the price spends half its time over the next quarter; the 5–95% band is far wider and reflects genuine uncertainty, not a forecast of direction. The odds of a +10% move (22%) and a −10% move (22%) are close to symmetric, as the flat carry implies. Read the touch ladder (Figure 6) for the chance of reaching a level at any point, which is always higher than the terminal odds.</w:t>
      </w:r>
    </w:p>
    <w:p>
      <w:pPr>
        <w:spacing w:after="100" w:before="260"/>
      </w:pPr>
      <w:r>
        <w:rPr>
          <w:b/>
          <w:i w:val="0"/>
          <w:color w:val="1C3A36"/>
          <w:sz w:val="30"/>
        </w:rPr>
        <w:t>7  Caveats — what would change our mind</w:t>
      </w:r>
    </w:p>
    <w:p>
      <w:pPr>
        <w:pStyle w:val="ListBullet"/>
        <w:spacing w:after="60"/>
      </w:pPr>
      <w:r>
        <w:rPr>
          <w:b/>
          <w:color w:val="1C3A36"/>
          <w:sz w:val="21"/>
        </w:rPr>
        <w:t xml:space="preserve">A higher discount rate. </w:t>
      </w:r>
      <w:r>
        <w:rPr>
          <w:color w:val="1C3A36"/>
          <w:sz w:val="21"/>
        </w:rPr>
        <w:t>If the true retail beta is nearer 1.0 than the regressed 0.55, retail value falls toward SAR 57/sh and the SOTP compresses to ~SAR 82 — the single largest downside lever.</w:t>
      </w:r>
    </w:p>
    <w:p>
      <w:pPr>
        <w:pStyle w:val="ListBullet"/>
        <w:spacing w:after="60"/>
      </w:pPr>
      <w:r>
        <w:rPr>
          <w:b/>
          <w:color w:val="1C3A36"/>
          <w:sz w:val="21"/>
        </w:rPr>
        <w:t xml:space="preserve">Tasheel de-rating. </w:t>
      </w:r>
      <w:r>
        <w:rPr>
          <w:color w:val="1C3A36"/>
          <w:sz w:val="21"/>
        </w:rPr>
        <w:t>A structural fall in consumer-finance ROE (regulation, provisioning, competition) would pull the justified multiple toward book; at 1.6× the SOTP is ~SAR 82.</w:t>
      </w:r>
    </w:p>
    <w:p>
      <w:pPr>
        <w:pStyle w:val="ListBullet"/>
        <w:spacing w:after="60"/>
      </w:pPr>
      <w:r>
        <w:rPr>
          <w:b/>
          <w:color w:val="1C3A36"/>
          <w:sz w:val="21"/>
        </w:rPr>
        <w:t xml:space="preserve">Segment-split estimates. </w:t>
      </w:r>
      <w:r>
        <w:rPr>
          <w:color w:val="1C3A36"/>
          <w:sz w:val="21"/>
        </w:rPr>
        <w:t>The Tasheel equity book and the retail/finance profit split are partly estimated (flagged in the driver ledger); a materially different split would move both legs.</w:t>
      </w:r>
    </w:p>
    <w:p>
      <w:pPr>
        <w:pStyle w:val="ListBullet"/>
        <w:spacing w:after="60"/>
      </w:pPr>
      <w:r>
        <w:rPr>
          <w:b/>
          <w:color w:val="1C3A36"/>
          <w:sz w:val="21"/>
        </w:rPr>
        <w:t xml:space="preserve">Terminal dependence. </w:t>
      </w:r>
      <w:r>
        <w:rPr>
          <w:color w:val="1C3A36"/>
          <w:sz w:val="21"/>
        </w:rPr>
        <w:t>Terminal value is ~75% of the retail EV; the model is ultimately a Ke-versus-g bet dressed as a 5-year cash-flow forecast, which is why we sensitize both.</w:t>
      </w:r>
    </w:p>
    <w:p>
      <w:pPr>
        <w:pStyle w:val="ListBullet"/>
        <w:spacing w:after="60"/>
      </w:pPr>
      <w:r>
        <w:rPr>
          <w:b/>
          <w:color w:val="1C3A36"/>
          <w:sz w:val="21"/>
        </w:rPr>
        <w:t xml:space="preserve">Calibration honesty. </w:t>
      </w:r>
      <w:r>
        <w:rPr>
          <w:color w:val="1C3A36"/>
          <w:sz w:val="21"/>
        </w:rPr>
        <w:t>Step 0 is PARITY, not PASS — the distribution is calibrated but claims no single-name forecasting edge; the Saudi shape/width are name-fitted pending a fuller market panel.</w:t>
      </w:r>
    </w:p>
    <w:p>
      <w:r>
        <w:br w:type="page"/>
      </w:r>
    </w:p>
    <w:p>
      <w:pPr>
        <w:spacing w:after="100" w:before="260"/>
      </w:pPr>
      <w:r>
        <w:rPr>
          <w:b/>
          <w:i w:val="0"/>
          <w:color w:val="1C3A36"/>
          <w:sz w:val="30"/>
        </w:rPr>
        <w:t>Appendix A  Financial statements</w:t>
      </w:r>
    </w:p>
    <w:p>
      <w:pPr>
        <w:spacing w:after="60" w:before="180"/>
      </w:pPr>
      <w:r>
        <w:rPr>
          <w:b/>
          <w:i w:val="0"/>
          <w:color w:val="1C3A36"/>
          <w:sz w:val="24"/>
        </w:rPr>
        <w:t>A.1  Income statement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448"/>
            <w:shd w:val="clear" w:color="auto" w:fill="EAF0EE"/>
          </w:tcPr>
          <w:p>
            <w:pPr>
              <w:spacing w:after="20"/>
            </w:pPr>
            <w:r>
              <w:rPr>
                <w:b/>
                <w:color w:val="1C3A36"/>
                <w:sz w:val="16"/>
              </w:rPr>
              <w:t>SAR mn</w:t>
            </w:r>
          </w:p>
        </w:tc>
        <w:tc>
          <w:tcPr>
            <w:tcW w:type="dxa" w:w="954"/>
            <w:shd w:val="clear" w:color="auto" w:fill="EAF0EE"/>
          </w:tcPr>
          <w:p>
            <w:pPr>
              <w:spacing w:after="20"/>
            </w:pPr>
            <w:r>
              <w:rPr>
                <w:b/>
                <w:color w:val="1C3A36"/>
                <w:sz w:val="16"/>
              </w:rPr>
              <w:t>FY2023</w:t>
            </w:r>
          </w:p>
        </w:tc>
        <w:tc>
          <w:tcPr>
            <w:tcW w:type="dxa" w:w="954"/>
            <w:shd w:val="clear" w:color="auto" w:fill="EAF0EE"/>
          </w:tcPr>
          <w:p>
            <w:pPr>
              <w:spacing w:after="20"/>
            </w:pPr>
            <w:r>
              <w:rPr>
                <w:b/>
                <w:color w:val="1C3A36"/>
                <w:sz w:val="16"/>
              </w:rPr>
              <w:t>FY2024</w:t>
            </w:r>
          </w:p>
        </w:tc>
        <w:tc>
          <w:tcPr>
            <w:tcW w:type="dxa" w:w="954"/>
            <w:shd w:val="clear" w:color="auto" w:fill="EAF0EE"/>
          </w:tcPr>
          <w:p>
            <w:pPr>
              <w:spacing w:after="20"/>
            </w:pPr>
            <w:r>
              <w:rPr>
                <w:b/>
                <w:color w:val="1C3A36"/>
                <w:sz w:val="16"/>
              </w:rPr>
              <w:t>FY2025</w:t>
            </w:r>
          </w:p>
        </w:tc>
        <w:tc>
          <w:tcPr>
            <w:tcW w:type="dxa" w:w="954"/>
            <w:shd w:val="clear" w:color="auto" w:fill="EAF0EE"/>
          </w:tcPr>
          <w:p>
            <w:pPr>
              <w:spacing w:after="20"/>
            </w:pPr>
            <w:r>
              <w:rPr>
                <w:b/>
                <w:color w:val="1C3A36"/>
                <w:sz w:val="16"/>
              </w:rPr>
              <w:t>FY26</w:t>
            </w:r>
          </w:p>
        </w:tc>
        <w:tc>
          <w:tcPr>
            <w:tcW w:type="dxa" w:w="954"/>
            <w:shd w:val="clear" w:color="auto" w:fill="EAF0EE"/>
          </w:tcPr>
          <w:p>
            <w:pPr>
              <w:spacing w:after="20"/>
            </w:pPr>
            <w:r>
              <w:rPr>
                <w:b/>
                <w:color w:val="1C3A36"/>
                <w:sz w:val="16"/>
              </w:rPr>
              <w:t>FY27</w:t>
            </w:r>
          </w:p>
        </w:tc>
        <w:tc>
          <w:tcPr>
            <w:tcW w:type="dxa" w:w="954"/>
            <w:shd w:val="clear" w:color="auto" w:fill="EAF0EE"/>
          </w:tcPr>
          <w:p>
            <w:pPr>
              <w:spacing w:after="20"/>
            </w:pPr>
            <w:r>
              <w:rPr>
                <w:b/>
                <w:color w:val="1C3A36"/>
                <w:sz w:val="16"/>
              </w:rPr>
              <w:t>FY28</w:t>
            </w:r>
          </w:p>
        </w:tc>
        <w:tc>
          <w:tcPr>
            <w:tcW w:type="dxa" w:w="954"/>
            <w:shd w:val="clear" w:color="auto" w:fill="EAF0EE"/>
          </w:tcPr>
          <w:p>
            <w:pPr>
              <w:spacing w:after="20"/>
            </w:pPr>
            <w:r>
              <w:rPr>
                <w:b/>
                <w:color w:val="1C3A36"/>
                <w:sz w:val="16"/>
              </w:rPr>
              <w:t>FY29</w:t>
            </w:r>
          </w:p>
        </w:tc>
        <w:tc>
          <w:tcPr>
            <w:tcW w:type="dxa" w:w="954"/>
            <w:shd w:val="clear" w:color="auto" w:fill="EAF0EE"/>
          </w:tcPr>
          <w:p>
            <w:pPr>
              <w:spacing w:after="20"/>
            </w:pPr>
            <w:r>
              <w:rPr>
                <w:b/>
                <w:color w:val="1C3A36"/>
                <w:sz w:val="16"/>
              </w:rPr>
              <w:t>FY30</w:t>
            </w:r>
          </w:p>
        </w:tc>
      </w:tr>
      <w:tr>
        <w:tc>
          <w:tcPr>
            <w:tcW w:type="dxa" w:w="2448"/>
          </w:tcPr>
          <w:p>
            <w:pPr>
              <w:spacing w:after="20"/>
            </w:pPr>
            <w:r>
              <w:rPr>
                <w:b/>
                <w:color w:val="1C3A36"/>
                <w:sz w:val="16"/>
              </w:rPr>
              <w:t>Revenue</w:t>
            </w:r>
          </w:p>
        </w:tc>
        <w:tc>
          <w:tcPr>
            <w:tcW w:type="dxa" w:w="954"/>
          </w:tcPr>
          <w:p>
            <w:pPr>
              <w:spacing w:after="20"/>
              <w:jc w:val="right"/>
            </w:pPr>
            <w:r>
              <w:rPr>
                <w:color w:val="1C3A36"/>
                <w:sz w:val="16"/>
              </w:rPr>
              <w:t>6,201</w:t>
            </w:r>
          </w:p>
        </w:tc>
        <w:tc>
          <w:tcPr>
            <w:tcW w:type="dxa" w:w="954"/>
          </w:tcPr>
          <w:p>
            <w:pPr>
              <w:spacing w:after="20"/>
              <w:jc w:val="right"/>
            </w:pPr>
            <w:r>
              <w:rPr>
                <w:color w:val="1C3A36"/>
                <w:sz w:val="16"/>
              </w:rPr>
              <w:t>6,781</w:t>
            </w:r>
          </w:p>
        </w:tc>
        <w:tc>
          <w:tcPr>
            <w:tcW w:type="dxa" w:w="954"/>
          </w:tcPr>
          <w:p>
            <w:pPr>
              <w:spacing w:after="20"/>
              <w:jc w:val="right"/>
            </w:pPr>
            <w:r>
              <w:rPr>
                <w:color w:val="1C3A36"/>
                <w:sz w:val="16"/>
              </w:rPr>
              <w:t>7,450</w:t>
            </w:r>
          </w:p>
        </w:tc>
        <w:tc>
          <w:tcPr>
            <w:tcW w:type="dxa" w:w="954"/>
          </w:tcPr>
          <w:p>
            <w:pPr>
              <w:spacing w:after="20"/>
              <w:jc w:val="right"/>
            </w:pPr>
            <w:r>
              <w:rPr>
                <w:color w:val="1C3A36"/>
                <w:sz w:val="16"/>
              </w:rPr>
              <w:t>7,897</w:t>
            </w:r>
          </w:p>
        </w:tc>
        <w:tc>
          <w:tcPr>
            <w:tcW w:type="dxa" w:w="954"/>
          </w:tcPr>
          <w:p>
            <w:pPr>
              <w:spacing w:after="20"/>
              <w:jc w:val="right"/>
            </w:pPr>
            <w:r>
              <w:rPr>
                <w:color w:val="1C3A36"/>
                <w:sz w:val="16"/>
              </w:rPr>
              <w:t>8,371</w:t>
            </w:r>
          </w:p>
        </w:tc>
        <w:tc>
          <w:tcPr>
            <w:tcW w:type="dxa" w:w="954"/>
          </w:tcPr>
          <w:p>
            <w:pPr>
              <w:spacing w:after="20"/>
              <w:jc w:val="right"/>
            </w:pPr>
            <w:r>
              <w:rPr>
                <w:color w:val="1C3A36"/>
                <w:sz w:val="16"/>
              </w:rPr>
              <w:t>8,831</w:t>
            </w:r>
          </w:p>
        </w:tc>
        <w:tc>
          <w:tcPr>
            <w:tcW w:type="dxa" w:w="954"/>
          </w:tcPr>
          <w:p>
            <w:pPr>
              <w:spacing w:after="20"/>
              <w:jc w:val="right"/>
            </w:pPr>
            <w:r>
              <w:rPr>
                <w:color w:val="1C3A36"/>
                <w:sz w:val="16"/>
              </w:rPr>
              <w:t>9,273</w:t>
            </w:r>
          </w:p>
        </w:tc>
        <w:tc>
          <w:tcPr>
            <w:tcW w:type="dxa" w:w="954"/>
          </w:tcPr>
          <w:p>
            <w:pPr>
              <w:spacing w:after="20"/>
              <w:jc w:val="right"/>
            </w:pPr>
            <w:r>
              <w:rPr>
                <w:color w:val="1C3A36"/>
                <w:sz w:val="16"/>
              </w:rPr>
              <w:t>9,736</w:t>
            </w:r>
          </w:p>
        </w:tc>
      </w:tr>
      <w:tr>
        <w:tc>
          <w:tcPr>
            <w:tcW w:type="dxa" w:w="2448"/>
          </w:tcPr>
          <w:p>
            <w:pPr>
              <w:spacing w:after="20"/>
            </w:pPr>
            <w:r>
              <w:rPr>
                <w:b/>
                <w:color w:val="1C3A36"/>
                <w:sz w:val="16"/>
              </w:rPr>
              <w:t>Gross profit</w:t>
            </w:r>
          </w:p>
        </w:tc>
        <w:tc>
          <w:tcPr>
            <w:tcW w:type="dxa" w:w="954"/>
          </w:tcPr>
          <w:p>
            <w:pPr>
              <w:spacing w:after="20"/>
              <w:jc w:val="right"/>
            </w:pPr>
            <w:r>
              <w:rPr>
                <w:color w:val="1C3A36"/>
                <w:sz w:val="16"/>
              </w:rPr>
              <w:t>1,362</w:t>
            </w:r>
          </w:p>
        </w:tc>
        <w:tc>
          <w:tcPr>
            <w:tcW w:type="dxa" w:w="954"/>
          </w:tcPr>
          <w:p>
            <w:pPr>
              <w:spacing w:after="20"/>
              <w:jc w:val="right"/>
            </w:pPr>
            <w:r>
              <w:rPr>
                <w:color w:val="1C3A36"/>
                <w:sz w:val="16"/>
              </w:rPr>
              <w:t>1,559</w:t>
            </w:r>
          </w:p>
        </w:tc>
        <w:tc>
          <w:tcPr>
            <w:tcW w:type="dxa" w:w="954"/>
          </w:tcPr>
          <w:p>
            <w:pPr>
              <w:spacing w:after="20"/>
              <w:jc w:val="right"/>
            </w:pPr>
            <w:r>
              <w:rPr>
                <w:color w:val="1C3A36"/>
                <w:sz w:val="16"/>
              </w:rPr>
              <w:t>1,781</w:t>
            </w:r>
          </w:p>
        </w:tc>
        <w:tc>
          <w:tcPr>
            <w:tcW w:type="dxa" w:w="954"/>
          </w:tcPr>
          <w:p>
            <w:pPr>
              <w:spacing w:after="20"/>
              <w:jc w:val="right"/>
            </w:pPr>
            <w:r>
              <w:rPr>
                <w:color w:val="1C3A36"/>
                <w:sz w:val="16"/>
              </w:rPr>
              <w:t>1,911</w:t>
            </w:r>
          </w:p>
        </w:tc>
        <w:tc>
          <w:tcPr>
            <w:tcW w:type="dxa" w:w="954"/>
          </w:tcPr>
          <w:p>
            <w:pPr>
              <w:spacing w:after="20"/>
              <w:jc w:val="right"/>
            </w:pPr>
            <w:r>
              <w:rPr>
                <w:color w:val="1C3A36"/>
                <w:sz w:val="16"/>
              </w:rPr>
              <w:t>2,026</w:t>
            </w:r>
          </w:p>
        </w:tc>
        <w:tc>
          <w:tcPr>
            <w:tcW w:type="dxa" w:w="954"/>
          </w:tcPr>
          <w:p>
            <w:pPr>
              <w:spacing w:after="20"/>
              <w:jc w:val="right"/>
            </w:pPr>
            <w:r>
              <w:rPr>
                <w:color w:val="1C3A36"/>
                <w:sz w:val="16"/>
              </w:rPr>
              <w:t>2,137</w:t>
            </w:r>
          </w:p>
        </w:tc>
        <w:tc>
          <w:tcPr>
            <w:tcW w:type="dxa" w:w="954"/>
          </w:tcPr>
          <w:p>
            <w:pPr>
              <w:spacing w:after="20"/>
              <w:jc w:val="right"/>
            </w:pPr>
            <w:r>
              <w:rPr>
                <w:color w:val="1C3A36"/>
                <w:sz w:val="16"/>
              </w:rPr>
              <w:t>2,244</w:t>
            </w:r>
          </w:p>
        </w:tc>
        <w:tc>
          <w:tcPr>
            <w:tcW w:type="dxa" w:w="954"/>
          </w:tcPr>
          <w:p>
            <w:pPr>
              <w:spacing w:after="20"/>
              <w:jc w:val="right"/>
            </w:pPr>
            <w:r>
              <w:rPr>
                <w:color w:val="1C3A36"/>
                <w:sz w:val="16"/>
              </w:rPr>
              <w:t>2,356</w:t>
            </w:r>
          </w:p>
        </w:tc>
      </w:tr>
      <w:tr>
        <w:tc>
          <w:tcPr>
            <w:tcW w:type="dxa" w:w="2448"/>
          </w:tcPr>
          <w:p>
            <w:pPr>
              <w:spacing w:after="20"/>
            </w:pPr>
            <w:r>
              <w:rPr>
                <w:b/>
                <w:color w:val="1C3A36"/>
                <w:sz w:val="16"/>
              </w:rPr>
              <w:t>EBIT</w:t>
            </w:r>
          </w:p>
        </w:tc>
        <w:tc>
          <w:tcPr>
            <w:tcW w:type="dxa" w:w="954"/>
          </w:tcPr>
          <w:p>
            <w:pPr>
              <w:spacing w:after="20"/>
              <w:jc w:val="right"/>
            </w:pPr>
            <w:r>
              <w:rPr>
                <w:color w:val="1C3A36"/>
                <w:sz w:val="16"/>
              </w:rPr>
              <w:t>481</w:t>
            </w:r>
          </w:p>
        </w:tc>
        <w:tc>
          <w:tcPr>
            <w:tcW w:type="dxa" w:w="954"/>
          </w:tcPr>
          <w:p>
            <w:pPr>
              <w:spacing w:after="20"/>
              <w:jc w:val="right"/>
            </w:pPr>
            <w:r>
              <w:rPr>
                <w:color w:val="1C3A36"/>
                <w:sz w:val="16"/>
              </w:rPr>
              <w:t>639</w:t>
            </w:r>
          </w:p>
        </w:tc>
        <w:tc>
          <w:tcPr>
            <w:tcW w:type="dxa" w:w="954"/>
          </w:tcPr>
          <w:p>
            <w:pPr>
              <w:spacing w:after="20"/>
              <w:jc w:val="right"/>
            </w:pPr>
            <w:r>
              <w:rPr>
                <w:color w:val="1C3A36"/>
                <w:sz w:val="16"/>
              </w:rPr>
              <w:t>600</w:t>
            </w:r>
          </w:p>
        </w:tc>
        <w:tc>
          <w:tcPr>
            <w:tcW w:type="dxa" w:w="954"/>
          </w:tcPr>
          <w:p>
            <w:pPr>
              <w:spacing w:after="20"/>
              <w:jc w:val="right"/>
            </w:pPr>
            <w:r>
              <w:rPr>
                <w:color w:val="1C3A36"/>
                <w:sz w:val="16"/>
              </w:rPr>
              <w:t>648</w:t>
            </w:r>
          </w:p>
        </w:tc>
        <w:tc>
          <w:tcPr>
            <w:tcW w:type="dxa" w:w="954"/>
          </w:tcPr>
          <w:p>
            <w:pPr>
              <w:spacing w:after="20"/>
              <w:jc w:val="right"/>
            </w:pPr>
            <w:r>
              <w:rPr>
                <w:color w:val="1C3A36"/>
                <w:sz w:val="16"/>
              </w:rPr>
              <w:t>686</w:t>
            </w:r>
          </w:p>
        </w:tc>
        <w:tc>
          <w:tcPr>
            <w:tcW w:type="dxa" w:w="954"/>
          </w:tcPr>
          <w:p>
            <w:pPr>
              <w:spacing w:after="20"/>
              <w:jc w:val="right"/>
            </w:pPr>
            <w:r>
              <w:rPr>
                <w:color w:val="1C3A36"/>
                <w:sz w:val="16"/>
              </w:rPr>
              <w:t>724</w:t>
            </w:r>
          </w:p>
        </w:tc>
        <w:tc>
          <w:tcPr>
            <w:tcW w:type="dxa" w:w="954"/>
          </w:tcPr>
          <w:p>
            <w:pPr>
              <w:spacing w:after="20"/>
              <w:jc w:val="right"/>
            </w:pPr>
            <w:r>
              <w:rPr>
                <w:color w:val="1C3A36"/>
                <w:sz w:val="16"/>
              </w:rPr>
              <w:t>760</w:t>
            </w:r>
          </w:p>
        </w:tc>
        <w:tc>
          <w:tcPr>
            <w:tcW w:type="dxa" w:w="954"/>
          </w:tcPr>
          <w:p>
            <w:pPr>
              <w:spacing w:after="20"/>
              <w:jc w:val="right"/>
            </w:pPr>
            <w:r>
              <w:rPr>
                <w:color w:val="1C3A36"/>
                <w:sz w:val="16"/>
              </w:rPr>
              <w:t>798</w:t>
            </w:r>
          </w:p>
        </w:tc>
      </w:tr>
      <w:tr>
        <w:tc>
          <w:tcPr>
            <w:tcW w:type="dxa" w:w="2448"/>
          </w:tcPr>
          <w:p>
            <w:pPr>
              <w:spacing w:after="20"/>
            </w:pPr>
            <w:r>
              <w:rPr>
                <w:b/>
                <w:color w:val="1C3A36"/>
                <w:sz w:val="16"/>
              </w:rPr>
              <w:t>Net income (incl NCI)</w:t>
            </w:r>
          </w:p>
        </w:tc>
        <w:tc>
          <w:tcPr>
            <w:tcW w:type="dxa" w:w="954"/>
          </w:tcPr>
          <w:p>
            <w:pPr>
              <w:spacing w:after="20"/>
              <w:jc w:val="right"/>
            </w:pPr>
            <w:r>
              <w:rPr>
                <w:color w:val="1C3A36"/>
                <w:sz w:val="16"/>
              </w:rPr>
              <w:t>390</w:t>
            </w:r>
          </w:p>
        </w:tc>
        <w:tc>
          <w:tcPr>
            <w:tcW w:type="dxa" w:w="954"/>
          </w:tcPr>
          <w:p>
            <w:pPr>
              <w:spacing w:after="20"/>
              <w:jc w:val="right"/>
            </w:pPr>
            <w:r>
              <w:rPr>
                <w:color w:val="1C3A36"/>
                <w:sz w:val="16"/>
              </w:rPr>
              <w:t>534</w:t>
            </w:r>
          </w:p>
        </w:tc>
        <w:tc>
          <w:tcPr>
            <w:tcW w:type="dxa" w:w="954"/>
          </w:tcPr>
          <w:p>
            <w:pPr>
              <w:spacing w:after="20"/>
              <w:jc w:val="right"/>
            </w:pPr>
            <w:r>
              <w:rPr>
                <w:color w:val="1C3A36"/>
                <w:sz w:val="16"/>
              </w:rPr>
              <w:t>497</w:t>
            </w:r>
          </w:p>
        </w:tc>
        <w:tc>
          <w:tcPr>
            <w:tcW w:type="dxa" w:w="954"/>
          </w:tcPr>
          <w:p>
            <w:pPr>
              <w:spacing w:after="20"/>
              <w:jc w:val="right"/>
            </w:pPr>
            <w:r>
              <w:rPr>
                <w:color w:val="1C3A36"/>
                <w:sz w:val="16"/>
              </w:rPr>
              <w:t>553</w:t>
            </w:r>
          </w:p>
        </w:tc>
        <w:tc>
          <w:tcPr>
            <w:tcW w:type="dxa" w:w="954"/>
          </w:tcPr>
          <w:p>
            <w:pPr>
              <w:spacing w:after="20"/>
              <w:jc w:val="right"/>
            </w:pPr>
            <w:r>
              <w:rPr>
                <w:color w:val="1C3A36"/>
                <w:sz w:val="16"/>
              </w:rPr>
              <w:t>586</w:t>
            </w:r>
          </w:p>
        </w:tc>
        <w:tc>
          <w:tcPr>
            <w:tcW w:type="dxa" w:w="954"/>
          </w:tcPr>
          <w:p>
            <w:pPr>
              <w:spacing w:after="20"/>
              <w:jc w:val="right"/>
            </w:pPr>
            <w:r>
              <w:rPr>
                <w:color w:val="1C3A36"/>
                <w:sz w:val="16"/>
              </w:rPr>
              <w:t>618</w:t>
            </w:r>
          </w:p>
        </w:tc>
        <w:tc>
          <w:tcPr>
            <w:tcW w:type="dxa" w:w="954"/>
          </w:tcPr>
          <w:p>
            <w:pPr>
              <w:spacing w:after="20"/>
              <w:jc w:val="right"/>
            </w:pPr>
            <w:r>
              <w:rPr>
                <w:color w:val="1C3A36"/>
                <w:sz w:val="16"/>
              </w:rPr>
              <w:t>649</w:t>
            </w:r>
          </w:p>
        </w:tc>
        <w:tc>
          <w:tcPr>
            <w:tcW w:type="dxa" w:w="954"/>
          </w:tcPr>
          <w:p>
            <w:pPr>
              <w:spacing w:after="20"/>
              <w:jc w:val="right"/>
            </w:pPr>
            <w:r>
              <w:rPr>
                <w:color w:val="1C3A36"/>
                <w:sz w:val="16"/>
              </w:rPr>
              <w:t>682</w:t>
            </w:r>
          </w:p>
        </w:tc>
      </w:tr>
      <w:tr>
        <w:tc>
          <w:tcPr>
            <w:tcW w:type="dxa" w:w="2448"/>
          </w:tcPr>
          <w:p>
            <w:pPr>
              <w:spacing w:after="20"/>
            </w:pPr>
            <w:r>
              <w:rPr>
                <w:b/>
                <w:color w:val="1C3A36"/>
                <w:sz w:val="16"/>
              </w:rPr>
              <w:t>EPS (SAR)</w:t>
            </w:r>
          </w:p>
        </w:tc>
        <w:tc>
          <w:tcPr>
            <w:tcW w:type="dxa" w:w="954"/>
          </w:tcPr>
          <w:p>
            <w:pPr>
              <w:spacing w:after="20"/>
              <w:jc w:val="right"/>
            </w:pPr>
            <w:r>
              <w:rPr>
                <w:color w:val="1C3A36"/>
                <w:sz w:val="16"/>
              </w:rPr>
              <w:t>4.87</w:t>
            </w:r>
          </w:p>
        </w:tc>
        <w:tc>
          <w:tcPr>
            <w:tcW w:type="dxa" w:w="954"/>
          </w:tcPr>
          <w:p>
            <w:pPr>
              <w:spacing w:after="20"/>
              <w:jc w:val="right"/>
            </w:pPr>
            <w:r>
              <w:rPr>
                <w:color w:val="1C3A36"/>
                <w:sz w:val="16"/>
              </w:rPr>
              <w:t>6.68</w:t>
            </w:r>
          </w:p>
        </w:tc>
        <w:tc>
          <w:tcPr>
            <w:tcW w:type="dxa" w:w="954"/>
          </w:tcPr>
          <w:p>
            <w:pPr>
              <w:spacing w:after="20"/>
              <w:jc w:val="right"/>
            </w:pPr>
            <w:r>
              <w:rPr>
                <w:color w:val="1C3A36"/>
                <w:sz w:val="16"/>
              </w:rPr>
              <w:t>6.21</w:t>
            </w:r>
          </w:p>
        </w:tc>
        <w:tc>
          <w:tcPr>
            <w:tcW w:type="dxa" w:w="954"/>
          </w:tcPr>
          <w:p>
            <w:pPr>
              <w:spacing w:after="20"/>
              <w:jc w:val="right"/>
            </w:pPr>
            <w:r>
              <w:rPr>
                <w:color w:val="1C3A36"/>
                <w:sz w:val="16"/>
              </w:rPr>
              <w:t>6.91</w:t>
            </w:r>
          </w:p>
        </w:tc>
        <w:tc>
          <w:tcPr>
            <w:tcW w:type="dxa" w:w="954"/>
          </w:tcPr>
          <w:p>
            <w:pPr>
              <w:spacing w:after="20"/>
              <w:jc w:val="right"/>
            </w:pPr>
            <w:r>
              <w:rPr>
                <w:color w:val="1C3A36"/>
                <w:sz w:val="16"/>
              </w:rPr>
              <w:t>7.32</w:t>
            </w:r>
          </w:p>
        </w:tc>
        <w:tc>
          <w:tcPr>
            <w:tcW w:type="dxa" w:w="954"/>
          </w:tcPr>
          <w:p>
            <w:pPr>
              <w:spacing w:after="20"/>
              <w:jc w:val="right"/>
            </w:pPr>
            <w:r>
              <w:rPr>
                <w:color w:val="1C3A36"/>
                <w:sz w:val="16"/>
              </w:rPr>
              <w:t>7.73</w:t>
            </w:r>
          </w:p>
        </w:tc>
        <w:tc>
          <w:tcPr>
            <w:tcW w:type="dxa" w:w="954"/>
          </w:tcPr>
          <w:p>
            <w:pPr>
              <w:spacing w:after="20"/>
              <w:jc w:val="right"/>
            </w:pPr>
            <w:r>
              <w:rPr>
                <w:color w:val="1C3A36"/>
                <w:sz w:val="16"/>
              </w:rPr>
              <w:t>8.11</w:t>
            </w:r>
          </w:p>
        </w:tc>
        <w:tc>
          <w:tcPr>
            <w:tcW w:type="dxa" w:w="954"/>
          </w:tcPr>
          <w:p>
            <w:pPr>
              <w:spacing w:after="20"/>
              <w:jc w:val="right"/>
            </w:pPr>
            <w:r>
              <w:rPr>
                <w:color w:val="1C3A36"/>
                <w:sz w:val="16"/>
              </w:rPr>
              <w:t>8.52</w:t>
            </w:r>
          </w:p>
        </w:tc>
      </w:tr>
      <w:tr>
        <w:tc>
          <w:tcPr>
            <w:tcW w:type="dxa" w:w="2448"/>
          </w:tcPr>
          <w:p>
            <w:pPr>
              <w:spacing w:after="20"/>
            </w:pPr>
            <w:r>
              <w:rPr>
                <w:b/>
                <w:color w:val="1C3A36"/>
                <w:sz w:val="16"/>
              </w:rPr>
              <w:t>DPS (SAR)</w:t>
            </w:r>
          </w:p>
        </w:tc>
        <w:tc>
          <w:tcPr>
            <w:tcW w:type="dxa" w:w="954"/>
          </w:tcPr>
          <w:p>
            <w:pPr>
              <w:spacing w:after="20"/>
              <w:jc w:val="right"/>
            </w:pPr>
            <w:r>
              <w:rPr>
                <w:color w:val="1C3A36"/>
                <w:sz w:val="16"/>
              </w:rPr>
              <w:t>3.30</w:t>
            </w:r>
          </w:p>
        </w:tc>
        <w:tc>
          <w:tcPr>
            <w:tcW w:type="dxa" w:w="954"/>
          </w:tcPr>
          <w:p>
            <w:pPr>
              <w:spacing w:after="20"/>
              <w:jc w:val="right"/>
            </w:pPr>
            <w:r>
              <w:rPr>
                <w:color w:val="1C3A36"/>
                <w:sz w:val="16"/>
              </w:rPr>
              <w:t>10.00</w:t>
            </w:r>
          </w:p>
        </w:tc>
        <w:tc>
          <w:tcPr>
            <w:tcW w:type="dxa" w:w="954"/>
          </w:tcPr>
          <w:p>
            <w:pPr>
              <w:spacing w:after="20"/>
              <w:jc w:val="right"/>
            </w:pPr>
            <w:r>
              <w:rPr>
                <w:color w:val="1C3A36"/>
                <w:sz w:val="16"/>
              </w:rPr>
              <w:t>4.72</w:t>
            </w:r>
          </w:p>
        </w:tc>
        <w:tc>
          <w:tcPr>
            <w:tcW w:type="dxa" w:w="954"/>
          </w:tcPr>
          <w:p>
            <w:pPr>
              <w:spacing w:after="20"/>
              <w:jc w:val="right"/>
            </w:pPr>
            <w:r>
              <w:rPr>
                <w:color w:val="1C3A36"/>
                <w:sz w:val="16"/>
              </w:rPr>
              <w:t>5.25</w:t>
            </w:r>
          </w:p>
        </w:tc>
        <w:tc>
          <w:tcPr>
            <w:tcW w:type="dxa" w:w="954"/>
          </w:tcPr>
          <w:p>
            <w:pPr>
              <w:spacing w:after="20"/>
              <w:jc w:val="right"/>
            </w:pPr>
            <w:r>
              <w:rPr>
                <w:color w:val="1C3A36"/>
                <w:sz w:val="16"/>
              </w:rPr>
              <w:t>5.57</w:t>
            </w:r>
          </w:p>
        </w:tc>
        <w:tc>
          <w:tcPr>
            <w:tcW w:type="dxa" w:w="954"/>
          </w:tcPr>
          <w:p>
            <w:pPr>
              <w:spacing w:after="20"/>
              <w:jc w:val="right"/>
            </w:pPr>
            <w:r>
              <w:rPr>
                <w:color w:val="1C3A36"/>
                <w:sz w:val="16"/>
              </w:rPr>
              <w:t>5.87</w:t>
            </w:r>
          </w:p>
        </w:tc>
        <w:tc>
          <w:tcPr>
            <w:tcW w:type="dxa" w:w="954"/>
          </w:tcPr>
          <w:p>
            <w:pPr>
              <w:spacing w:after="20"/>
              <w:jc w:val="right"/>
            </w:pPr>
            <w:r>
              <w:rPr>
                <w:color w:val="1C3A36"/>
                <w:sz w:val="16"/>
              </w:rPr>
              <w:t>6.17</w:t>
            </w:r>
          </w:p>
        </w:tc>
        <w:tc>
          <w:tcPr>
            <w:tcW w:type="dxa" w:w="954"/>
          </w:tcPr>
          <w:p>
            <w:pPr>
              <w:spacing w:after="20"/>
              <w:jc w:val="right"/>
            </w:pPr>
            <w:r>
              <w:rPr>
                <w:color w:val="1C3A36"/>
                <w:sz w:val="16"/>
              </w:rPr>
              <w:t>6.47</w:t>
            </w:r>
          </w:p>
        </w:tc>
      </w:tr>
    </w:tbl>
    <w:p>
      <w:pPr>
        <w:spacing w:after="40"/>
      </w:pPr>
    </w:p>
    <w:p>
      <w:pPr>
        <w:spacing w:after="60" w:before="180"/>
      </w:pPr>
      <w:r>
        <w:rPr>
          <w:b/>
          <w:i w:val="0"/>
          <w:color w:val="1C3A36"/>
          <w:sz w:val="24"/>
        </w:rPr>
        <w:t>A.2  Balance sheet (SAR mn) — 3 historical + 5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448"/>
            <w:shd w:val="clear" w:color="auto" w:fill="EAF0EE"/>
          </w:tcPr>
          <w:p>
            <w:pPr>
              <w:spacing w:after="20"/>
            </w:pPr>
            <w:r>
              <w:rPr>
                <w:b/>
                <w:color w:val="1C3A36"/>
                <w:sz w:val="16"/>
              </w:rPr>
              <w:t>SAR mn</w:t>
            </w:r>
          </w:p>
        </w:tc>
        <w:tc>
          <w:tcPr>
            <w:tcW w:type="dxa" w:w="954"/>
            <w:shd w:val="clear" w:color="auto" w:fill="EAF0EE"/>
          </w:tcPr>
          <w:p>
            <w:pPr>
              <w:spacing w:after="20"/>
            </w:pPr>
            <w:r>
              <w:rPr>
                <w:b/>
                <w:color w:val="1C3A36"/>
                <w:sz w:val="16"/>
              </w:rPr>
              <w:t>FY2023</w:t>
            </w:r>
          </w:p>
        </w:tc>
        <w:tc>
          <w:tcPr>
            <w:tcW w:type="dxa" w:w="954"/>
            <w:shd w:val="clear" w:color="auto" w:fill="EAF0EE"/>
          </w:tcPr>
          <w:p>
            <w:pPr>
              <w:spacing w:after="20"/>
            </w:pPr>
            <w:r>
              <w:rPr>
                <w:b/>
                <w:color w:val="1C3A36"/>
                <w:sz w:val="16"/>
              </w:rPr>
              <w:t>FY2024</w:t>
            </w:r>
          </w:p>
        </w:tc>
        <w:tc>
          <w:tcPr>
            <w:tcW w:type="dxa" w:w="954"/>
            <w:shd w:val="clear" w:color="auto" w:fill="EAF0EE"/>
          </w:tcPr>
          <w:p>
            <w:pPr>
              <w:spacing w:after="20"/>
            </w:pPr>
            <w:r>
              <w:rPr>
                <w:b/>
                <w:color w:val="1C3A36"/>
                <w:sz w:val="16"/>
              </w:rPr>
              <w:t>FY2025</w:t>
            </w:r>
          </w:p>
        </w:tc>
        <w:tc>
          <w:tcPr>
            <w:tcW w:type="dxa" w:w="954"/>
            <w:shd w:val="clear" w:color="auto" w:fill="EAF0EE"/>
          </w:tcPr>
          <w:p>
            <w:pPr>
              <w:spacing w:after="20"/>
            </w:pPr>
            <w:r>
              <w:rPr>
                <w:b/>
                <w:color w:val="1C3A36"/>
                <w:sz w:val="16"/>
              </w:rPr>
              <w:t>FY26</w:t>
            </w:r>
          </w:p>
        </w:tc>
        <w:tc>
          <w:tcPr>
            <w:tcW w:type="dxa" w:w="954"/>
            <w:shd w:val="clear" w:color="auto" w:fill="EAF0EE"/>
          </w:tcPr>
          <w:p>
            <w:pPr>
              <w:spacing w:after="20"/>
            </w:pPr>
            <w:r>
              <w:rPr>
                <w:b/>
                <w:color w:val="1C3A36"/>
                <w:sz w:val="16"/>
              </w:rPr>
              <w:t>FY27</w:t>
            </w:r>
          </w:p>
        </w:tc>
        <w:tc>
          <w:tcPr>
            <w:tcW w:type="dxa" w:w="954"/>
            <w:shd w:val="clear" w:color="auto" w:fill="EAF0EE"/>
          </w:tcPr>
          <w:p>
            <w:pPr>
              <w:spacing w:after="20"/>
            </w:pPr>
            <w:r>
              <w:rPr>
                <w:b/>
                <w:color w:val="1C3A36"/>
                <w:sz w:val="16"/>
              </w:rPr>
              <w:t>FY28</w:t>
            </w:r>
          </w:p>
        </w:tc>
        <w:tc>
          <w:tcPr>
            <w:tcW w:type="dxa" w:w="954"/>
            <w:shd w:val="clear" w:color="auto" w:fill="EAF0EE"/>
          </w:tcPr>
          <w:p>
            <w:pPr>
              <w:spacing w:after="20"/>
            </w:pPr>
            <w:r>
              <w:rPr>
                <w:b/>
                <w:color w:val="1C3A36"/>
                <w:sz w:val="16"/>
              </w:rPr>
              <w:t>FY29</w:t>
            </w:r>
          </w:p>
        </w:tc>
        <w:tc>
          <w:tcPr>
            <w:tcW w:type="dxa" w:w="954"/>
            <w:shd w:val="clear" w:color="auto" w:fill="EAF0EE"/>
          </w:tcPr>
          <w:p>
            <w:pPr>
              <w:spacing w:after="20"/>
            </w:pPr>
            <w:r>
              <w:rPr>
                <w:b/>
                <w:color w:val="1C3A36"/>
                <w:sz w:val="16"/>
              </w:rPr>
              <w:t>FY30</w:t>
            </w:r>
          </w:p>
        </w:tc>
      </w:tr>
      <w:tr>
        <w:tc>
          <w:tcPr>
            <w:tcW w:type="dxa" w:w="2448"/>
          </w:tcPr>
          <w:p>
            <w:pPr>
              <w:spacing w:after="20"/>
            </w:pPr>
            <w:r>
              <w:rPr>
                <w:b/>
                <w:color w:val="1C3A36"/>
                <w:sz w:val="16"/>
              </w:rPr>
              <w:t>Cash &amp; equivalents</w:t>
            </w:r>
          </w:p>
        </w:tc>
        <w:tc>
          <w:tcPr>
            <w:tcW w:type="dxa" w:w="954"/>
          </w:tcPr>
          <w:p>
            <w:pPr>
              <w:spacing w:after="20"/>
              <w:jc w:val="right"/>
            </w:pPr>
            <w:r>
              <w:rPr>
                <w:color w:val="1C3A36"/>
                <w:sz w:val="16"/>
              </w:rPr>
              <w:t>158</w:t>
            </w:r>
          </w:p>
        </w:tc>
        <w:tc>
          <w:tcPr>
            <w:tcW w:type="dxa" w:w="954"/>
          </w:tcPr>
          <w:p>
            <w:pPr>
              <w:spacing w:after="20"/>
              <w:jc w:val="right"/>
            </w:pPr>
            <w:r>
              <w:rPr>
                <w:color w:val="1C3A36"/>
                <w:sz w:val="16"/>
              </w:rPr>
              <w:t>476</w:t>
            </w:r>
          </w:p>
        </w:tc>
        <w:tc>
          <w:tcPr>
            <w:tcW w:type="dxa" w:w="954"/>
          </w:tcPr>
          <w:p>
            <w:pPr>
              <w:spacing w:after="20"/>
              <w:jc w:val="right"/>
            </w:pPr>
            <w:r>
              <w:rPr>
                <w:color w:val="1C3A36"/>
                <w:sz w:val="16"/>
              </w:rPr>
              <w:t>660</w:t>
            </w:r>
          </w:p>
        </w:tc>
        <w:tc>
          <w:tcPr>
            <w:tcW w:type="dxa" w:w="954"/>
          </w:tcPr>
          <w:p>
            <w:pPr>
              <w:spacing w:after="20"/>
              <w:jc w:val="right"/>
            </w:pPr>
            <w:r>
              <w:rPr>
                <w:color w:val="1C3A36"/>
                <w:sz w:val="16"/>
              </w:rPr>
              <w:t>693</w:t>
            </w:r>
          </w:p>
        </w:tc>
        <w:tc>
          <w:tcPr>
            <w:tcW w:type="dxa" w:w="954"/>
          </w:tcPr>
          <w:p>
            <w:pPr>
              <w:spacing w:after="20"/>
              <w:jc w:val="right"/>
            </w:pPr>
            <w:r>
              <w:rPr>
                <w:color w:val="1C3A36"/>
                <w:sz w:val="16"/>
              </w:rPr>
              <w:t>728</w:t>
            </w:r>
          </w:p>
        </w:tc>
        <w:tc>
          <w:tcPr>
            <w:tcW w:type="dxa" w:w="954"/>
          </w:tcPr>
          <w:p>
            <w:pPr>
              <w:spacing w:after="20"/>
              <w:jc w:val="right"/>
            </w:pPr>
            <w:r>
              <w:rPr>
                <w:color w:val="1C3A36"/>
                <w:sz w:val="16"/>
              </w:rPr>
              <w:t>764</w:t>
            </w:r>
          </w:p>
        </w:tc>
        <w:tc>
          <w:tcPr>
            <w:tcW w:type="dxa" w:w="954"/>
          </w:tcPr>
          <w:p>
            <w:pPr>
              <w:spacing w:after="20"/>
              <w:jc w:val="right"/>
            </w:pPr>
            <w:r>
              <w:rPr>
                <w:color w:val="1C3A36"/>
                <w:sz w:val="16"/>
              </w:rPr>
              <w:t>802</w:t>
            </w:r>
          </w:p>
        </w:tc>
        <w:tc>
          <w:tcPr>
            <w:tcW w:type="dxa" w:w="954"/>
          </w:tcPr>
          <w:p>
            <w:pPr>
              <w:spacing w:after="20"/>
              <w:jc w:val="right"/>
            </w:pPr>
            <w:r>
              <w:rPr>
                <w:color w:val="1C3A36"/>
                <w:sz w:val="16"/>
              </w:rPr>
              <w:t>842</w:t>
            </w:r>
          </w:p>
        </w:tc>
      </w:tr>
      <w:tr>
        <w:tc>
          <w:tcPr>
            <w:tcW w:type="dxa" w:w="2448"/>
          </w:tcPr>
          <w:p>
            <w:pPr>
              <w:spacing w:after="20"/>
            </w:pPr>
            <w:r>
              <w:rPr>
                <w:b/>
                <w:color w:val="1C3A36"/>
                <w:sz w:val="16"/>
              </w:rPr>
              <w:t>Other current assets</w:t>
            </w:r>
          </w:p>
        </w:tc>
        <w:tc>
          <w:tcPr>
            <w:tcW w:type="dxa" w:w="954"/>
          </w:tcPr>
          <w:p>
            <w:pPr>
              <w:spacing w:after="20"/>
              <w:jc w:val="right"/>
            </w:pPr>
            <w:r>
              <w:rPr>
                <w:color w:val="1C3A36"/>
                <w:sz w:val="16"/>
              </w:rPr>
              <w:t>2,204</w:t>
            </w:r>
          </w:p>
        </w:tc>
        <w:tc>
          <w:tcPr>
            <w:tcW w:type="dxa" w:w="954"/>
          </w:tcPr>
          <w:p>
            <w:pPr>
              <w:spacing w:after="20"/>
              <w:jc w:val="right"/>
            </w:pPr>
            <w:r>
              <w:rPr>
                <w:color w:val="1C3A36"/>
                <w:sz w:val="16"/>
              </w:rPr>
              <w:t>2,653</w:t>
            </w:r>
          </w:p>
        </w:tc>
        <w:tc>
          <w:tcPr>
            <w:tcW w:type="dxa" w:w="954"/>
          </w:tcPr>
          <w:p>
            <w:pPr>
              <w:spacing w:after="20"/>
              <w:jc w:val="right"/>
            </w:pPr>
            <w:r>
              <w:rPr>
                <w:color w:val="1C3A36"/>
                <w:sz w:val="16"/>
              </w:rPr>
              <w:t>2,770</w:t>
            </w:r>
          </w:p>
        </w:tc>
        <w:tc>
          <w:tcPr>
            <w:tcW w:type="dxa" w:w="954"/>
          </w:tcPr>
          <w:p>
            <w:pPr>
              <w:spacing w:after="20"/>
              <w:jc w:val="right"/>
            </w:pPr>
            <w:r>
              <w:rPr>
                <w:color w:val="1C3A36"/>
                <w:sz w:val="16"/>
              </w:rPr>
              <w:t>2,936</w:t>
            </w:r>
          </w:p>
        </w:tc>
        <w:tc>
          <w:tcPr>
            <w:tcW w:type="dxa" w:w="954"/>
          </w:tcPr>
          <w:p>
            <w:pPr>
              <w:spacing w:after="20"/>
              <w:jc w:val="right"/>
            </w:pPr>
            <w:r>
              <w:rPr>
                <w:color w:val="1C3A36"/>
                <w:sz w:val="16"/>
              </w:rPr>
              <w:t>3,112</w:t>
            </w:r>
          </w:p>
        </w:tc>
        <w:tc>
          <w:tcPr>
            <w:tcW w:type="dxa" w:w="954"/>
          </w:tcPr>
          <w:p>
            <w:pPr>
              <w:spacing w:after="20"/>
              <w:jc w:val="right"/>
            </w:pPr>
            <w:r>
              <w:rPr>
                <w:color w:val="1C3A36"/>
                <w:sz w:val="16"/>
              </w:rPr>
              <w:t>3,299</w:t>
            </w:r>
          </w:p>
        </w:tc>
        <w:tc>
          <w:tcPr>
            <w:tcW w:type="dxa" w:w="954"/>
          </w:tcPr>
          <w:p>
            <w:pPr>
              <w:spacing w:after="20"/>
              <w:jc w:val="right"/>
            </w:pPr>
            <w:r>
              <w:rPr>
                <w:color w:val="1C3A36"/>
                <w:sz w:val="16"/>
              </w:rPr>
              <w:t>3,497</w:t>
            </w:r>
          </w:p>
        </w:tc>
        <w:tc>
          <w:tcPr>
            <w:tcW w:type="dxa" w:w="954"/>
          </w:tcPr>
          <w:p>
            <w:pPr>
              <w:spacing w:after="20"/>
              <w:jc w:val="right"/>
            </w:pPr>
            <w:r>
              <w:rPr>
                <w:color w:val="1C3A36"/>
                <w:sz w:val="16"/>
              </w:rPr>
              <w:t>3,707</w:t>
            </w:r>
          </w:p>
        </w:tc>
      </w:tr>
      <w:tr>
        <w:tc>
          <w:tcPr>
            <w:tcW w:type="dxa" w:w="2448"/>
          </w:tcPr>
          <w:p>
            <w:pPr>
              <w:spacing w:after="20"/>
            </w:pPr>
            <w:r>
              <w:rPr>
                <w:b/>
                <w:color w:val="1C3A36"/>
                <w:sz w:val="16"/>
              </w:rPr>
              <w:t>PP&amp;E</w:t>
            </w:r>
          </w:p>
        </w:tc>
        <w:tc>
          <w:tcPr>
            <w:tcW w:type="dxa" w:w="954"/>
          </w:tcPr>
          <w:p>
            <w:pPr>
              <w:spacing w:after="20"/>
              <w:jc w:val="right"/>
            </w:pPr>
            <w:r>
              <w:rPr>
                <w:color w:val="1C3A36"/>
                <w:sz w:val="16"/>
              </w:rPr>
              <w:t>486</w:t>
            </w:r>
          </w:p>
        </w:tc>
        <w:tc>
          <w:tcPr>
            <w:tcW w:type="dxa" w:w="954"/>
          </w:tcPr>
          <w:p>
            <w:pPr>
              <w:spacing w:after="20"/>
              <w:jc w:val="right"/>
            </w:pPr>
            <w:r>
              <w:rPr>
                <w:color w:val="1C3A36"/>
                <w:sz w:val="16"/>
              </w:rPr>
              <w:t>486</w:t>
            </w:r>
          </w:p>
        </w:tc>
        <w:tc>
          <w:tcPr>
            <w:tcW w:type="dxa" w:w="954"/>
          </w:tcPr>
          <w:p>
            <w:pPr>
              <w:spacing w:after="20"/>
              <w:jc w:val="right"/>
            </w:pPr>
            <w:r>
              <w:rPr>
                <w:color w:val="1C3A36"/>
                <w:sz w:val="16"/>
              </w:rPr>
              <w:t>504</w:t>
            </w:r>
          </w:p>
        </w:tc>
        <w:tc>
          <w:tcPr>
            <w:tcW w:type="dxa" w:w="954"/>
          </w:tcPr>
          <w:p>
            <w:pPr>
              <w:spacing w:after="20"/>
              <w:jc w:val="right"/>
            </w:pPr>
            <w:r>
              <w:rPr>
                <w:color w:val="1C3A36"/>
                <w:sz w:val="16"/>
              </w:rPr>
              <w:t>519</w:t>
            </w:r>
          </w:p>
        </w:tc>
        <w:tc>
          <w:tcPr>
            <w:tcW w:type="dxa" w:w="954"/>
          </w:tcPr>
          <w:p>
            <w:pPr>
              <w:spacing w:after="20"/>
              <w:jc w:val="right"/>
            </w:pPr>
            <w:r>
              <w:rPr>
                <w:color w:val="1C3A36"/>
                <w:sz w:val="16"/>
              </w:rPr>
              <w:t>535</w:t>
            </w:r>
          </w:p>
        </w:tc>
        <w:tc>
          <w:tcPr>
            <w:tcW w:type="dxa" w:w="954"/>
          </w:tcPr>
          <w:p>
            <w:pPr>
              <w:spacing w:after="20"/>
              <w:jc w:val="right"/>
            </w:pPr>
            <w:r>
              <w:rPr>
                <w:color w:val="1C3A36"/>
                <w:sz w:val="16"/>
              </w:rPr>
              <w:t>551</w:t>
            </w:r>
          </w:p>
        </w:tc>
        <w:tc>
          <w:tcPr>
            <w:tcW w:type="dxa" w:w="954"/>
          </w:tcPr>
          <w:p>
            <w:pPr>
              <w:spacing w:after="20"/>
              <w:jc w:val="right"/>
            </w:pPr>
            <w:r>
              <w:rPr>
                <w:color w:val="1C3A36"/>
                <w:sz w:val="16"/>
              </w:rPr>
              <w:t>567</w:t>
            </w:r>
          </w:p>
        </w:tc>
        <w:tc>
          <w:tcPr>
            <w:tcW w:type="dxa" w:w="954"/>
          </w:tcPr>
          <w:p>
            <w:pPr>
              <w:spacing w:after="20"/>
              <w:jc w:val="right"/>
            </w:pPr>
            <w:r>
              <w:rPr>
                <w:color w:val="1C3A36"/>
                <w:sz w:val="16"/>
              </w:rPr>
              <w:t>584</w:t>
            </w:r>
          </w:p>
        </w:tc>
      </w:tr>
      <w:tr>
        <w:tc>
          <w:tcPr>
            <w:tcW w:type="dxa" w:w="2448"/>
          </w:tcPr>
          <w:p>
            <w:pPr>
              <w:spacing w:after="20"/>
            </w:pPr>
            <w:r>
              <w:rPr>
                <w:b/>
                <w:color w:val="1C3A36"/>
                <w:sz w:val="16"/>
              </w:rPr>
              <w:t>Right-of-use assets</w:t>
            </w:r>
          </w:p>
        </w:tc>
        <w:tc>
          <w:tcPr>
            <w:tcW w:type="dxa" w:w="954"/>
          </w:tcPr>
          <w:p>
            <w:pPr>
              <w:spacing w:after="20"/>
              <w:jc w:val="right"/>
            </w:pPr>
            <w:r>
              <w:rPr>
                <w:color w:val="1C3A36"/>
                <w:sz w:val="16"/>
              </w:rPr>
              <w:t>451</w:t>
            </w:r>
          </w:p>
        </w:tc>
        <w:tc>
          <w:tcPr>
            <w:tcW w:type="dxa" w:w="954"/>
          </w:tcPr>
          <w:p>
            <w:pPr>
              <w:spacing w:after="20"/>
              <w:jc w:val="right"/>
            </w:pPr>
            <w:r>
              <w:rPr>
                <w:color w:val="1C3A36"/>
                <w:sz w:val="16"/>
              </w:rPr>
              <w:t>463</w:t>
            </w:r>
          </w:p>
        </w:tc>
        <w:tc>
          <w:tcPr>
            <w:tcW w:type="dxa" w:w="954"/>
          </w:tcPr>
          <w:p>
            <w:pPr>
              <w:spacing w:after="20"/>
              <w:jc w:val="right"/>
            </w:pPr>
            <w:r>
              <w:rPr>
                <w:color w:val="1C3A36"/>
                <w:sz w:val="16"/>
              </w:rPr>
              <w:t>483</w:t>
            </w:r>
          </w:p>
        </w:tc>
        <w:tc>
          <w:tcPr>
            <w:tcW w:type="dxa" w:w="954"/>
          </w:tcPr>
          <w:p>
            <w:pPr>
              <w:spacing w:after="20"/>
              <w:jc w:val="right"/>
            </w:pPr>
            <w:r>
              <w:rPr>
                <w:color w:val="1C3A36"/>
                <w:sz w:val="16"/>
              </w:rPr>
              <w:t>497</w:t>
            </w:r>
          </w:p>
        </w:tc>
        <w:tc>
          <w:tcPr>
            <w:tcW w:type="dxa" w:w="954"/>
          </w:tcPr>
          <w:p>
            <w:pPr>
              <w:spacing w:after="20"/>
              <w:jc w:val="right"/>
            </w:pPr>
            <w:r>
              <w:rPr>
                <w:color w:val="1C3A36"/>
                <w:sz w:val="16"/>
              </w:rPr>
              <w:t>512</w:t>
            </w:r>
          </w:p>
        </w:tc>
        <w:tc>
          <w:tcPr>
            <w:tcW w:type="dxa" w:w="954"/>
          </w:tcPr>
          <w:p>
            <w:pPr>
              <w:spacing w:after="20"/>
              <w:jc w:val="right"/>
            </w:pPr>
            <w:r>
              <w:rPr>
                <w:color w:val="1C3A36"/>
                <w:sz w:val="16"/>
              </w:rPr>
              <w:t>528</w:t>
            </w:r>
          </w:p>
        </w:tc>
        <w:tc>
          <w:tcPr>
            <w:tcW w:type="dxa" w:w="954"/>
          </w:tcPr>
          <w:p>
            <w:pPr>
              <w:spacing w:after="20"/>
              <w:jc w:val="right"/>
            </w:pPr>
            <w:r>
              <w:rPr>
                <w:color w:val="1C3A36"/>
                <w:sz w:val="16"/>
              </w:rPr>
              <w:t>544</w:t>
            </w:r>
          </w:p>
        </w:tc>
        <w:tc>
          <w:tcPr>
            <w:tcW w:type="dxa" w:w="954"/>
          </w:tcPr>
          <w:p>
            <w:pPr>
              <w:spacing w:after="20"/>
              <w:jc w:val="right"/>
            </w:pPr>
            <w:r>
              <w:rPr>
                <w:color w:val="1C3A36"/>
                <w:sz w:val="16"/>
              </w:rPr>
              <w:t>560</w:t>
            </w:r>
          </w:p>
        </w:tc>
      </w:tr>
      <w:tr>
        <w:tc>
          <w:tcPr>
            <w:tcW w:type="dxa" w:w="2448"/>
          </w:tcPr>
          <w:p>
            <w:pPr>
              <w:spacing w:after="20"/>
            </w:pPr>
            <w:r>
              <w:rPr>
                <w:b/>
                <w:color w:val="1C3A36"/>
                <w:sz w:val="16"/>
              </w:rPr>
              <w:t>Other non-current (finance rec.)</w:t>
            </w:r>
          </w:p>
        </w:tc>
        <w:tc>
          <w:tcPr>
            <w:tcW w:type="dxa" w:w="954"/>
          </w:tcPr>
          <w:p>
            <w:pPr>
              <w:spacing w:after="20"/>
              <w:jc w:val="right"/>
            </w:pPr>
            <w:r>
              <w:rPr>
                <w:color w:val="1C3A36"/>
                <w:sz w:val="16"/>
              </w:rPr>
              <w:t>1,142</w:t>
            </w:r>
          </w:p>
        </w:tc>
        <w:tc>
          <w:tcPr>
            <w:tcW w:type="dxa" w:w="954"/>
          </w:tcPr>
          <w:p>
            <w:pPr>
              <w:spacing w:after="20"/>
              <w:jc w:val="right"/>
            </w:pPr>
            <w:r>
              <w:rPr>
                <w:color w:val="1C3A36"/>
                <w:sz w:val="16"/>
              </w:rPr>
              <w:t>1,324</w:t>
            </w:r>
          </w:p>
        </w:tc>
        <w:tc>
          <w:tcPr>
            <w:tcW w:type="dxa" w:w="954"/>
          </w:tcPr>
          <w:p>
            <w:pPr>
              <w:spacing w:after="20"/>
              <w:jc w:val="right"/>
            </w:pPr>
            <w:r>
              <w:rPr>
                <w:color w:val="1C3A36"/>
                <w:sz w:val="16"/>
              </w:rPr>
              <w:t>1,763</w:t>
            </w:r>
          </w:p>
        </w:tc>
        <w:tc>
          <w:tcPr>
            <w:tcW w:type="dxa" w:w="954"/>
          </w:tcPr>
          <w:p>
            <w:pPr>
              <w:spacing w:after="20"/>
              <w:jc w:val="right"/>
            </w:pPr>
            <w:r>
              <w:rPr>
                <w:color w:val="1C3A36"/>
                <w:sz w:val="16"/>
              </w:rPr>
              <w:t>1,975</w:t>
            </w:r>
          </w:p>
        </w:tc>
        <w:tc>
          <w:tcPr>
            <w:tcW w:type="dxa" w:w="954"/>
          </w:tcPr>
          <w:p>
            <w:pPr>
              <w:spacing w:after="20"/>
              <w:jc w:val="right"/>
            </w:pPr>
            <w:r>
              <w:rPr>
                <w:color w:val="1C3A36"/>
                <w:sz w:val="16"/>
              </w:rPr>
              <w:t>2,212</w:t>
            </w:r>
          </w:p>
        </w:tc>
        <w:tc>
          <w:tcPr>
            <w:tcW w:type="dxa" w:w="954"/>
          </w:tcPr>
          <w:p>
            <w:pPr>
              <w:spacing w:after="20"/>
              <w:jc w:val="right"/>
            </w:pPr>
            <w:r>
              <w:rPr>
                <w:color w:val="1C3A36"/>
                <w:sz w:val="16"/>
              </w:rPr>
              <w:t>2,477</w:t>
            </w:r>
          </w:p>
        </w:tc>
        <w:tc>
          <w:tcPr>
            <w:tcW w:type="dxa" w:w="954"/>
          </w:tcPr>
          <w:p>
            <w:pPr>
              <w:spacing w:after="20"/>
              <w:jc w:val="right"/>
            </w:pPr>
            <w:r>
              <w:rPr>
                <w:color w:val="1C3A36"/>
                <w:sz w:val="16"/>
              </w:rPr>
              <w:t>2,774</w:t>
            </w:r>
          </w:p>
        </w:tc>
        <w:tc>
          <w:tcPr>
            <w:tcW w:type="dxa" w:w="954"/>
          </w:tcPr>
          <w:p>
            <w:pPr>
              <w:spacing w:after="20"/>
              <w:jc w:val="right"/>
            </w:pPr>
            <w:r>
              <w:rPr>
                <w:color w:val="1C3A36"/>
                <w:sz w:val="16"/>
              </w:rPr>
              <w:t>3,107</w:t>
            </w:r>
          </w:p>
        </w:tc>
      </w:tr>
      <w:tr>
        <w:tc>
          <w:tcPr>
            <w:tcW w:type="dxa" w:w="2448"/>
          </w:tcPr>
          <w:p>
            <w:pPr>
              <w:spacing w:after="20"/>
            </w:pPr>
            <w:r>
              <w:rPr>
                <w:b/>
                <w:color w:val="1C3A36"/>
                <w:sz w:val="16"/>
              </w:rPr>
              <w:t>Total assets</w:t>
            </w:r>
          </w:p>
        </w:tc>
        <w:tc>
          <w:tcPr>
            <w:tcW w:type="dxa" w:w="954"/>
          </w:tcPr>
          <w:p>
            <w:pPr>
              <w:spacing w:after="20"/>
              <w:jc w:val="right"/>
            </w:pPr>
            <w:r>
              <w:rPr>
                <w:color w:val="1C3A36"/>
                <w:sz w:val="16"/>
              </w:rPr>
              <w:t>4,442</w:t>
            </w:r>
          </w:p>
        </w:tc>
        <w:tc>
          <w:tcPr>
            <w:tcW w:type="dxa" w:w="954"/>
          </w:tcPr>
          <w:p>
            <w:pPr>
              <w:spacing w:after="20"/>
              <w:jc w:val="right"/>
            </w:pPr>
            <w:r>
              <w:rPr>
                <w:color w:val="1C3A36"/>
                <w:sz w:val="16"/>
              </w:rPr>
              <w:t>5,402</w:t>
            </w:r>
          </w:p>
        </w:tc>
        <w:tc>
          <w:tcPr>
            <w:tcW w:type="dxa" w:w="954"/>
          </w:tcPr>
          <w:p>
            <w:pPr>
              <w:spacing w:after="20"/>
              <w:jc w:val="right"/>
            </w:pPr>
            <w:r>
              <w:rPr>
                <w:color w:val="1C3A36"/>
                <w:sz w:val="16"/>
              </w:rPr>
              <w:t>6,187</w:t>
            </w:r>
          </w:p>
        </w:tc>
        <w:tc>
          <w:tcPr>
            <w:tcW w:type="dxa" w:w="954"/>
          </w:tcPr>
          <w:p>
            <w:pPr>
              <w:spacing w:after="20"/>
              <w:jc w:val="right"/>
            </w:pPr>
            <w:r>
              <w:rPr>
                <w:color w:val="1C3A36"/>
                <w:sz w:val="16"/>
              </w:rPr>
              <w:t>6,620</w:t>
            </w:r>
          </w:p>
        </w:tc>
        <w:tc>
          <w:tcPr>
            <w:tcW w:type="dxa" w:w="954"/>
          </w:tcPr>
          <w:p>
            <w:pPr>
              <w:spacing w:after="20"/>
              <w:jc w:val="right"/>
            </w:pPr>
            <w:r>
              <w:rPr>
                <w:color w:val="1C3A36"/>
                <w:sz w:val="16"/>
              </w:rPr>
              <w:t>7,083</w:t>
            </w:r>
          </w:p>
        </w:tc>
        <w:tc>
          <w:tcPr>
            <w:tcW w:type="dxa" w:w="954"/>
          </w:tcPr>
          <w:p>
            <w:pPr>
              <w:spacing w:after="20"/>
              <w:jc w:val="right"/>
            </w:pPr>
            <w:r>
              <w:rPr>
                <w:color w:val="1C3A36"/>
                <w:sz w:val="16"/>
              </w:rPr>
              <w:t>7,579</w:t>
            </w:r>
          </w:p>
        </w:tc>
        <w:tc>
          <w:tcPr>
            <w:tcW w:type="dxa" w:w="954"/>
          </w:tcPr>
          <w:p>
            <w:pPr>
              <w:spacing w:after="20"/>
              <w:jc w:val="right"/>
            </w:pPr>
            <w:r>
              <w:rPr>
                <w:color w:val="1C3A36"/>
                <w:sz w:val="16"/>
              </w:rPr>
              <w:t>8,110</w:t>
            </w:r>
          </w:p>
        </w:tc>
        <w:tc>
          <w:tcPr>
            <w:tcW w:type="dxa" w:w="954"/>
          </w:tcPr>
          <w:p>
            <w:pPr>
              <w:spacing w:after="20"/>
              <w:jc w:val="right"/>
            </w:pPr>
            <w:r>
              <w:rPr>
                <w:color w:val="1C3A36"/>
                <w:sz w:val="16"/>
              </w:rPr>
              <w:t>8,678</w:t>
            </w:r>
          </w:p>
        </w:tc>
      </w:tr>
      <w:tr>
        <w:tc>
          <w:tcPr>
            <w:tcW w:type="dxa" w:w="2448"/>
          </w:tcPr>
          <w:p>
            <w:pPr>
              <w:spacing w:after="20"/>
            </w:pPr>
            <w:r>
              <w:rPr>
                <w:b/>
                <w:color w:val="1C3A36"/>
                <w:sz w:val="16"/>
              </w:rPr>
              <w:t>Current liabilities</w:t>
            </w:r>
          </w:p>
        </w:tc>
        <w:tc>
          <w:tcPr>
            <w:tcW w:type="dxa" w:w="954"/>
          </w:tcPr>
          <w:p>
            <w:pPr>
              <w:spacing w:after="20"/>
              <w:jc w:val="right"/>
            </w:pPr>
            <w:r>
              <w:rPr>
                <w:color w:val="1C3A36"/>
                <w:sz w:val="16"/>
              </w:rPr>
              <w:t>1,679</w:t>
            </w:r>
          </w:p>
        </w:tc>
        <w:tc>
          <w:tcPr>
            <w:tcW w:type="dxa" w:w="954"/>
          </w:tcPr>
          <w:p>
            <w:pPr>
              <w:spacing w:after="20"/>
              <w:jc w:val="right"/>
            </w:pPr>
            <w:r>
              <w:rPr>
                <w:color w:val="1C3A36"/>
                <w:sz w:val="16"/>
              </w:rPr>
              <w:t>1,662</w:t>
            </w:r>
          </w:p>
        </w:tc>
        <w:tc>
          <w:tcPr>
            <w:tcW w:type="dxa" w:w="954"/>
          </w:tcPr>
          <w:p>
            <w:pPr>
              <w:spacing w:after="20"/>
              <w:jc w:val="right"/>
            </w:pPr>
            <w:r>
              <w:rPr>
                <w:color w:val="1C3A36"/>
                <w:sz w:val="16"/>
              </w:rPr>
              <w:t>2,070</w:t>
            </w:r>
          </w:p>
        </w:tc>
        <w:tc>
          <w:tcPr>
            <w:tcW w:type="dxa" w:w="954"/>
          </w:tcPr>
          <w:p>
            <w:pPr>
              <w:spacing w:after="20"/>
              <w:jc w:val="right"/>
            </w:pPr>
            <w:r>
              <w:rPr>
                <w:color w:val="1C3A36"/>
                <w:sz w:val="16"/>
              </w:rPr>
              <w:t>2,194</w:t>
            </w:r>
          </w:p>
        </w:tc>
        <w:tc>
          <w:tcPr>
            <w:tcW w:type="dxa" w:w="954"/>
          </w:tcPr>
          <w:p>
            <w:pPr>
              <w:spacing w:after="20"/>
              <w:jc w:val="right"/>
            </w:pPr>
            <w:r>
              <w:rPr>
                <w:color w:val="1C3A36"/>
                <w:sz w:val="16"/>
              </w:rPr>
              <w:t>2,326</w:t>
            </w:r>
          </w:p>
        </w:tc>
        <w:tc>
          <w:tcPr>
            <w:tcW w:type="dxa" w:w="954"/>
          </w:tcPr>
          <w:p>
            <w:pPr>
              <w:spacing w:after="20"/>
              <w:jc w:val="right"/>
            </w:pPr>
            <w:r>
              <w:rPr>
                <w:color w:val="1C3A36"/>
                <w:sz w:val="16"/>
              </w:rPr>
              <w:t>2,465</w:t>
            </w:r>
          </w:p>
        </w:tc>
        <w:tc>
          <w:tcPr>
            <w:tcW w:type="dxa" w:w="954"/>
          </w:tcPr>
          <w:p>
            <w:pPr>
              <w:spacing w:after="20"/>
              <w:jc w:val="right"/>
            </w:pPr>
            <w:r>
              <w:rPr>
                <w:color w:val="1C3A36"/>
                <w:sz w:val="16"/>
              </w:rPr>
              <w:t>2,613</w:t>
            </w:r>
          </w:p>
        </w:tc>
        <w:tc>
          <w:tcPr>
            <w:tcW w:type="dxa" w:w="954"/>
          </w:tcPr>
          <w:p>
            <w:pPr>
              <w:spacing w:after="20"/>
              <w:jc w:val="right"/>
            </w:pPr>
            <w:r>
              <w:rPr>
                <w:color w:val="1C3A36"/>
                <w:sz w:val="16"/>
              </w:rPr>
              <w:t>2,770</w:t>
            </w:r>
          </w:p>
        </w:tc>
      </w:tr>
      <w:tr>
        <w:tc>
          <w:tcPr>
            <w:tcW w:type="dxa" w:w="2448"/>
          </w:tcPr>
          <w:p>
            <w:pPr>
              <w:spacing w:after="20"/>
            </w:pPr>
            <w:r>
              <w:rPr>
                <w:b/>
                <w:color w:val="1C3A36"/>
                <w:sz w:val="16"/>
              </w:rPr>
              <w:t>Non-current liabilities</w:t>
            </w:r>
          </w:p>
        </w:tc>
        <w:tc>
          <w:tcPr>
            <w:tcW w:type="dxa" w:w="954"/>
          </w:tcPr>
          <w:p>
            <w:pPr>
              <w:spacing w:after="20"/>
              <w:jc w:val="right"/>
            </w:pPr>
            <w:r>
              <w:rPr>
                <w:color w:val="1C3A36"/>
                <w:sz w:val="16"/>
              </w:rPr>
              <w:t>1,478</w:t>
            </w:r>
          </w:p>
        </w:tc>
        <w:tc>
          <w:tcPr>
            <w:tcW w:type="dxa" w:w="954"/>
          </w:tcPr>
          <w:p>
            <w:pPr>
              <w:spacing w:after="20"/>
              <w:jc w:val="right"/>
            </w:pPr>
            <w:r>
              <w:rPr>
                <w:color w:val="1C3A36"/>
                <w:sz w:val="16"/>
              </w:rPr>
              <w:t>1,697</w:t>
            </w:r>
          </w:p>
        </w:tc>
        <w:tc>
          <w:tcPr>
            <w:tcW w:type="dxa" w:w="954"/>
          </w:tcPr>
          <w:p>
            <w:pPr>
              <w:spacing w:after="20"/>
              <w:jc w:val="right"/>
            </w:pPr>
            <w:r>
              <w:rPr>
                <w:color w:val="1C3A36"/>
                <w:sz w:val="16"/>
              </w:rPr>
              <w:t>1,947</w:t>
            </w:r>
          </w:p>
        </w:tc>
        <w:tc>
          <w:tcPr>
            <w:tcW w:type="dxa" w:w="954"/>
          </w:tcPr>
          <w:p>
            <w:pPr>
              <w:spacing w:after="20"/>
              <w:jc w:val="right"/>
            </w:pPr>
            <w:r>
              <w:rPr>
                <w:color w:val="1C3A36"/>
                <w:sz w:val="16"/>
              </w:rPr>
              <w:t>2,083</w:t>
            </w:r>
          </w:p>
        </w:tc>
        <w:tc>
          <w:tcPr>
            <w:tcW w:type="dxa" w:w="954"/>
          </w:tcPr>
          <w:p>
            <w:pPr>
              <w:spacing w:after="20"/>
              <w:jc w:val="right"/>
            </w:pPr>
            <w:r>
              <w:rPr>
                <w:color w:val="1C3A36"/>
                <w:sz w:val="16"/>
              </w:rPr>
              <w:t>2,229</w:t>
            </w:r>
          </w:p>
        </w:tc>
        <w:tc>
          <w:tcPr>
            <w:tcW w:type="dxa" w:w="954"/>
          </w:tcPr>
          <w:p>
            <w:pPr>
              <w:spacing w:after="20"/>
              <w:jc w:val="right"/>
            </w:pPr>
            <w:r>
              <w:rPr>
                <w:color w:val="1C3A36"/>
                <w:sz w:val="16"/>
              </w:rPr>
              <w:t>2,385</w:t>
            </w:r>
          </w:p>
        </w:tc>
        <w:tc>
          <w:tcPr>
            <w:tcW w:type="dxa" w:w="954"/>
          </w:tcPr>
          <w:p>
            <w:pPr>
              <w:spacing w:after="20"/>
              <w:jc w:val="right"/>
            </w:pPr>
            <w:r>
              <w:rPr>
                <w:color w:val="1C3A36"/>
                <w:sz w:val="16"/>
              </w:rPr>
              <w:t>2,552</w:t>
            </w:r>
          </w:p>
        </w:tc>
        <w:tc>
          <w:tcPr>
            <w:tcW w:type="dxa" w:w="954"/>
          </w:tcPr>
          <w:p>
            <w:pPr>
              <w:spacing w:after="20"/>
              <w:jc w:val="right"/>
            </w:pPr>
            <w:r>
              <w:rPr>
                <w:color w:val="1C3A36"/>
                <w:sz w:val="16"/>
              </w:rPr>
              <w:t>2,731</w:t>
            </w:r>
          </w:p>
        </w:tc>
      </w:tr>
      <w:tr>
        <w:tc>
          <w:tcPr>
            <w:tcW w:type="dxa" w:w="2448"/>
          </w:tcPr>
          <w:p>
            <w:pPr>
              <w:spacing w:after="20"/>
            </w:pPr>
            <w:r>
              <w:rPr>
                <w:b/>
                <w:color w:val="1C3A36"/>
                <w:sz w:val="16"/>
              </w:rPr>
              <w:t>Total equity (incl NCI)</w:t>
            </w:r>
          </w:p>
        </w:tc>
        <w:tc>
          <w:tcPr>
            <w:tcW w:type="dxa" w:w="954"/>
          </w:tcPr>
          <w:p>
            <w:pPr>
              <w:spacing w:after="20"/>
              <w:jc w:val="right"/>
            </w:pPr>
            <w:r>
              <w:rPr>
                <w:color w:val="1C3A36"/>
                <w:sz w:val="16"/>
              </w:rPr>
              <w:t>1,284</w:t>
            </w:r>
          </w:p>
        </w:tc>
        <w:tc>
          <w:tcPr>
            <w:tcW w:type="dxa" w:w="954"/>
          </w:tcPr>
          <w:p>
            <w:pPr>
              <w:spacing w:after="20"/>
              <w:jc w:val="right"/>
            </w:pPr>
            <w:r>
              <w:rPr>
                <w:color w:val="1C3A36"/>
                <w:sz w:val="16"/>
              </w:rPr>
              <w:t>2,043</w:t>
            </w:r>
          </w:p>
        </w:tc>
        <w:tc>
          <w:tcPr>
            <w:tcW w:type="dxa" w:w="954"/>
          </w:tcPr>
          <w:p>
            <w:pPr>
              <w:spacing w:after="20"/>
              <w:jc w:val="right"/>
            </w:pPr>
            <w:r>
              <w:rPr>
                <w:color w:val="1C3A36"/>
                <w:sz w:val="16"/>
              </w:rPr>
              <w:t>2,170</w:t>
            </w:r>
          </w:p>
        </w:tc>
        <w:tc>
          <w:tcPr>
            <w:tcW w:type="dxa" w:w="954"/>
          </w:tcPr>
          <w:p>
            <w:pPr>
              <w:spacing w:after="20"/>
              <w:jc w:val="right"/>
            </w:pPr>
            <w:r>
              <w:rPr>
                <w:color w:val="1C3A36"/>
                <w:sz w:val="16"/>
              </w:rPr>
              <w:t>2,300</w:t>
            </w:r>
          </w:p>
        </w:tc>
        <w:tc>
          <w:tcPr>
            <w:tcW w:type="dxa" w:w="954"/>
          </w:tcPr>
          <w:p>
            <w:pPr>
              <w:spacing w:after="20"/>
              <w:jc w:val="right"/>
            </w:pPr>
            <w:r>
              <w:rPr>
                <w:color w:val="1C3A36"/>
                <w:sz w:val="16"/>
              </w:rPr>
              <w:t>2,438</w:t>
            </w:r>
          </w:p>
        </w:tc>
        <w:tc>
          <w:tcPr>
            <w:tcW w:type="dxa" w:w="954"/>
          </w:tcPr>
          <w:p>
            <w:pPr>
              <w:spacing w:after="20"/>
              <w:jc w:val="right"/>
            </w:pPr>
            <w:r>
              <w:rPr>
                <w:color w:val="1C3A36"/>
                <w:sz w:val="16"/>
              </w:rPr>
              <w:t>2,585</w:t>
            </w:r>
          </w:p>
        </w:tc>
        <w:tc>
          <w:tcPr>
            <w:tcW w:type="dxa" w:w="954"/>
          </w:tcPr>
          <w:p>
            <w:pPr>
              <w:spacing w:after="20"/>
              <w:jc w:val="right"/>
            </w:pPr>
            <w:r>
              <w:rPr>
                <w:color w:val="1C3A36"/>
                <w:sz w:val="16"/>
              </w:rPr>
              <w:t>2,740</w:t>
            </w:r>
          </w:p>
        </w:tc>
        <w:tc>
          <w:tcPr>
            <w:tcW w:type="dxa" w:w="954"/>
          </w:tcPr>
          <w:p>
            <w:pPr>
              <w:spacing w:after="20"/>
              <w:jc w:val="right"/>
            </w:pPr>
            <w:r>
              <w:rPr>
                <w:color w:val="1C3A36"/>
                <w:sz w:val="16"/>
              </w:rPr>
              <w:t>2,904</w:t>
            </w:r>
          </w:p>
        </w:tc>
      </w:tr>
    </w:tbl>
    <w:p>
      <w:pPr>
        <w:spacing w:after="40"/>
      </w:pPr>
    </w:p>
    <w:p>
      <w:pPr>
        <w:spacing w:after="60" w:before="180"/>
      </w:pPr>
      <w:r>
        <w:rPr>
          <w:b/>
          <w:i w:val="0"/>
          <w:color w:val="1C3A36"/>
          <w:sz w:val="24"/>
        </w:rPr>
        <w:t>A.3  Cash flow (SAR mn) — 3 historical + 5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448"/>
            <w:shd w:val="clear" w:color="auto" w:fill="EAF0EE"/>
          </w:tcPr>
          <w:p>
            <w:pPr>
              <w:spacing w:after="20"/>
            </w:pPr>
            <w:r>
              <w:rPr>
                <w:b/>
                <w:color w:val="1C3A36"/>
                <w:sz w:val="16"/>
              </w:rPr>
              <w:t>SAR mn</w:t>
            </w:r>
          </w:p>
        </w:tc>
        <w:tc>
          <w:tcPr>
            <w:tcW w:type="dxa" w:w="954"/>
            <w:shd w:val="clear" w:color="auto" w:fill="EAF0EE"/>
          </w:tcPr>
          <w:p>
            <w:pPr>
              <w:spacing w:after="20"/>
            </w:pPr>
            <w:r>
              <w:rPr>
                <w:b/>
                <w:color w:val="1C3A36"/>
                <w:sz w:val="16"/>
              </w:rPr>
              <w:t>FY2023</w:t>
            </w:r>
          </w:p>
        </w:tc>
        <w:tc>
          <w:tcPr>
            <w:tcW w:type="dxa" w:w="954"/>
            <w:shd w:val="clear" w:color="auto" w:fill="EAF0EE"/>
          </w:tcPr>
          <w:p>
            <w:pPr>
              <w:spacing w:after="20"/>
            </w:pPr>
            <w:r>
              <w:rPr>
                <w:b/>
                <w:color w:val="1C3A36"/>
                <w:sz w:val="16"/>
              </w:rPr>
              <w:t>FY2024</w:t>
            </w:r>
          </w:p>
        </w:tc>
        <w:tc>
          <w:tcPr>
            <w:tcW w:type="dxa" w:w="954"/>
            <w:shd w:val="clear" w:color="auto" w:fill="EAF0EE"/>
          </w:tcPr>
          <w:p>
            <w:pPr>
              <w:spacing w:after="20"/>
            </w:pPr>
            <w:r>
              <w:rPr>
                <w:b/>
                <w:color w:val="1C3A36"/>
                <w:sz w:val="16"/>
              </w:rPr>
              <w:t>FY2025</w:t>
            </w:r>
          </w:p>
        </w:tc>
        <w:tc>
          <w:tcPr>
            <w:tcW w:type="dxa" w:w="954"/>
            <w:shd w:val="clear" w:color="auto" w:fill="EAF0EE"/>
          </w:tcPr>
          <w:p>
            <w:pPr>
              <w:spacing w:after="20"/>
            </w:pPr>
            <w:r>
              <w:rPr>
                <w:b/>
                <w:color w:val="1C3A36"/>
                <w:sz w:val="16"/>
              </w:rPr>
              <w:t>FY26</w:t>
            </w:r>
          </w:p>
        </w:tc>
        <w:tc>
          <w:tcPr>
            <w:tcW w:type="dxa" w:w="954"/>
            <w:shd w:val="clear" w:color="auto" w:fill="EAF0EE"/>
          </w:tcPr>
          <w:p>
            <w:pPr>
              <w:spacing w:after="20"/>
            </w:pPr>
            <w:r>
              <w:rPr>
                <w:b/>
                <w:color w:val="1C3A36"/>
                <w:sz w:val="16"/>
              </w:rPr>
              <w:t>FY27</w:t>
            </w:r>
          </w:p>
        </w:tc>
        <w:tc>
          <w:tcPr>
            <w:tcW w:type="dxa" w:w="954"/>
            <w:shd w:val="clear" w:color="auto" w:fill="EAF0EE"/>
          </w:tcPr>
          <w:p>
            <w:pPr>
              <w:spacing w:after="20"/>
            </w:pPr>
            <w:r>
              <w:rPr>
                <w:b/>
                <w:color w:val="1C3A36"/>
                <w:sz w:val="16"/>
              </w:rPr>
              <w:t>FY28</w:t>
            </w:r>
          </w:p>
        </w:tc>
        <w:tc>
          <w:tcPr>
            <w:tcW w:type="dxa" w:w="954"/>
            <w:shd w:val="clear" w:color="auto" w:fill="EAF0EE"/>
          </w:tcPr>
          <w:p>
            <w:pPr>
              <w:spacing w:after="20"/>
            </w:pPr>
            <w:r>
              <w:rPr>
                <w:b/>
                <w:color w:val="1C3A36"/>
                <w:sz w:val="16"/>
              </w:rPr>
              <w:t>FY29</w:t>
            </w:r>
          </w:p>
        </w:tc>
        <w:tc>
          <w:tcPr>
            <w:tcW w:type="dxa" w:w="954"/>
            <w:shd w:val="clear" w:color="auto" w:fill="EAF0EE"/>
          </w:tcPr>
          <w:p>
            <w:pPr>
              <w:spacing w:after="20"/>
            </w:pPr>
            <w:r>
              <w:rPr>
                <w:b/>
                <w:color w:val="1C3A36"/>
                <w:sz w:val="16"/>
              </w:rPr>
              <w:t>FY30</w:t>
            </w:r>
          </w:p>
        </w:tc>
      </w:tr>
      <w:tr>
        <w:tc>
          <w:tcPr>
            <w:tcW w:type="dxa" w:w="2448"/>
          </w:tcPr>
          <w:p>
            <w:pPr>
              <w:spacing w:after="20"/>
            </w:pPr>
            <w:r>
              <w:rPr>
                <w:b/>
                <w:color w:val="1C3A36"/>
                <w:sz w:val="16"/>
              </w:rPr>
              <w:t>Cash from operations</w:t>
            </w:r>
          </w:p>
        </w:tc>
        <w:tc>
          <w:tcPr>
            <w:tcW w:type="dxa" w:w="954"/>
          </w:tcPr>
          <w:p>
            <w:pPr>
              <w:spacing w:after="20"/>
              <w:jc w:val="right"/>
            </w:pPr>
            <w:r>
              <w:rPr>
                <w:color w:val="1C3A36"/>
                <w:sz w:val="16"/>
              </w:rPr>
              <w:t>300</w:t>
            </w:r>
          </w:p>
        </w:tc>
        <w:tc>
          <w:tcPr>
            <w:tcW w:type="dxa" w:w="954"/>
          </w:tcPr>
          <w:p>
            <w:pPr>
              <w:spacing w:after="20"/>
              <w:jc w:val="right"/>
            </w:pPr>
            <w:r>
              <w:rPr>
                <w:color w:val="1C3A36"/>
                <w:sz w:val="16"/>
              </w:rPr>
              <w:t>601</w:t>
            </w:r>
          </w:p>
        </w:tc>
        <w:tc>
          <w:tcPr>
            <w:tcW w:type="dxa" w:w="954"/>
          </w:tcPr>
          <w:p>
            <w:pPr>
              <w:spacing w:after="20"/>
              <w:jc w:val="right"/>
            </w:pPr>
            <w:r>
              <w:rPr>
                <w:color w:val="1C3A36"/>
                <w:sz w:val="16"/>
              </w:rPr>
              <w:t>609</w:t>
            </w:r>
          </w:p>
        </w:tc>
        <w:tc>
          <w:tcPr>
            <w:tcW w:type="dxa" w:w="954"/>
          </w:tcPr>
          <w:p>
            <w:pPr>
              <w:spacing w:after="20"/>
              <w:jc w:val="right"/>
            </w:pPr>
            <w:r>
              <w:rPr>
                <w:color w:val="1C3A36"/>
                <w:sz w:val="16"/>
              </w:rPr>
              <w:t>639</w:t>
            </w:r>
          </w:p>
        </w:tc>
        <w:tc>
          <w:tcPr>
            <w:tcW w:type="dxa" w:w="954"/>
          </w:tcPr>
          <w:p>
            <w:pPr>
              <w:spacing w:after="20"/>
              <w:jc w:val="right"/>
            </w:pPr>
            <w:r>
              <w:rPr>
                <w:color w:val="1C3A36"/>
                <w:sz w:val="16"/>
              </w:rPr>
              <w:t>671</w:t>
            </w:r>
          </w:p>
        </w:tc>
        <w:tc>
          <w:tcPr>
            <w:tcW w:type="dxa" w:w="954"/>
          </w:tcPr>
          <w:p>
            <w:pPr>
              <w:spacing w:after="20"/>
              <w:jc w:val="right"/>
            </w:pPr>
            <w:r>
              <w:rPr>
                <w:color w:val="1C3A36"/>
                <w:sz w:val="16"/>
              </w:rPr>
              <w:t>705</w:t>
            </w:r>
          </w:p>
        </w:tc>
        <w:tc>
          <w:tcPr>
            <w:tcW w:type="dxa" w:w="954"/>
          </w:tcPr>
          <w:p>
            <w:pPr>
              <w:spacing w:after="20"/>
              <w:jc w:val="right"/>
            </w:pPr>
            <w:r>
              <w:rPr>
                <w:color w:val="1C3A36"/>
                <w:sz w:val="16"/>
              </w:rPr>
              <w:t>740</w:t>
            </w:r>
          </w:p>
        </w:tc>
        <w:tc>
          <w:tcPr>
            <w:tcW w:type="dxa" w:w="954"/>
          </w:tcPr>
          <w:p>
            <w:pPr>
              <w:spacing w:after="20"/>
              <w:jc w:val="right"/>
            </w:pPr>
            <w:r>
              <w:rPr>
                <w:color w:val="1C3A36"/>
                <w:sz w:val="16"/>
              </w:rPr>
              <w:t>777</w:t>
            </w:r>
          </w:p>
        </w:tc>
      </w:tr>
      <w:tr>
        <w:tc>
          <w:tcPr>
            <w:tcW w:type="dxa" w:w="2448"/>
          </w:tcPr>
          <w:p>
            <w:pPr>
              <w:spacing w:after="20"/>
            </w:pPr>
            <w:r>
              <w:rPr>
                <w:b/>
                <w:color w:val="1C3A36"/>
                <w:sz w:val="16"/>
              </w:rPr>
              <w:t>Capex</w:t>
            </w:r>
          </w:p>
        </w:tc>
        <w:tc>
          <w:tcPr>
            <w:tcW w:type="dxa" w:w="954"/>
          </w:tcPr>
          <w:p>
            <w:pPr>
              <w:spacing w:after="20"/>
              <w:jc w:val="right"/>
            </w:pPr>
            <w:r>
              <w:rPr>
                <w:color w:val="1C3A36"/>
                <w:sz w:val="16"/>
              </w:rPr>
              <w:t>(59)</w:t>
            </w:r>
          </w:p>
        </w:tc>
        <w:tc>
          <w:tcPr>
            <w:tcW w:type="dxa" w:w="954"/>
          </w:tcPr>
          <w:p>
            <w:pPr>
              <w:spacing w:after="20"/>
              <w:jc w:val="right"/>
            </w:pPr>
            <w:r>
              <w:rPr>
                <w:color w:val="1C3A36"/>
                <w:sz w:val="16"/>
              </w:rPr>
              <w:t>(56)</w:t>
            </w:r>
          </w:p>
        </w:tc>
        <w:tc>
          <w:tcPr>
            <w:tcW w:type="dxa" w:w="954"/>
          </w:tcPr>
          <w:p>
            <w:pPr>
              <w:spacing w:after="20"/>
              <w:jc w:val="right"/>
            </w:pPr>
            <w:r>
              <w:rPr>
                <w:color w:val="1C3A36"/>
                <w:sz w:val="16"/>
              </w:rPr>
              <w:t>(76)</w:t>
            </w:r>
          </w:p>
        </w:tc>
        <w:tc>
          <w:tcPr>
            <w:tcW w:type="dxa" w:w="954"/>
          </w:tcPr>
          <w:p>
            <w:pPr>
              <w:spacing w:after="20"/>
              <w:jc w:val="right"/>
            </w:pPr>
            <w:r>
              <w:rPr>
                <w:color w:val="1C3A36"/>
                <w:sz w:val="16"/>
              </w:rPr>
              <w:t>(80)</w:t>
            </w:r>
          </w:p>
        </w:tc>
        <w:tc>
          <w:tcPr>
            <w:tcW w:type="dxa" w:w="954"/>
          </w:tcPr>
          <w:p>
            <w:pPr>
              <w:spacing w:after="20"/>
              <w:jc w:val="right"/>
            </w:pPr>
            <w:r>
              <w:rPr>
                <w:color w:val="1C3A36"/>
                <w:sz w:val="16"/>
              </w:rPr>
              <w:t>(84)</w:t>
            </w:r>
          </w:p>
        </w:tc>
        <w:tc>
          <w:tcPr>
            <w:tcW w:type="dxa" w:w="954"/>
          </w:tcPr>
          <w:p>
            <w:pPr>
              <w:spacing w:after="20"/>
              <w:jc w:val="right"/>
            </w:pPr>
            <w:r>
              <w:rPr>
                <w:color w:val="1C3A36"/>
                <w:sz w:val="16"/>
              </w:rPr>
              <w:t>(88)</w:t>
            </w:r>
          </w:p>
        </w:tc>
        <w:tc>
          <w:tcPr>
            <w:tcW w:type="dxa" w:w="954"/>
          </w:tcPr>
          <w:p>
            <w:pPr>
              <w:spacing w:after="20"/>
              <w:jc w:val="right"/>
            </w:pPr>
            <w:r>
              <w:rPr>
                <w:color w:val="1C3A36"/>
                <w:sz w:val="16"/>
              </w:rPr>
              <w:t>(92)</w:t>
            </w:r>
          </w:p>
        </w:tc>
        <w:tc>
          <w:tcPr>
            <w:tcW w:type="dxa" w:w="954"/>
          </w:tcPr>
          <w:p>
            <w:pPr>
              <w:spacing w:after="20"/>
              <w:jc w:val="right"/>
            </w:pPr>
            <w:r>
              <w:rPr>
                <w:color w:val="1C3A36"/>
                <w:sz w:val="16"/>
              </w:rPr>
              <w:t>(97)</w:t>
            </w:r>
          </w:p>
        </w:tc>
      </w:tr>
      <w:tr>
        <w:tc>
          <w:tcPr>
            <w:tcW w:type="dxa" w:w="2448"/>
          </w:tcPr>
          <w:p>
            <w:pPr>
              <w:spacing w:after="20"/>
            </w:pPr>
            <w:r>
              <w:rPr>
                <w:b/>
                <w:color w:val="1C3A36"/>
                <w:sz w:val="16"/>
              </w:rPr>
              <w:t>Financing (incl dividends)</w:t>
            </w:r>
          </w:p>
        </w:tc>
        <w:tc>
          <w:tcPr>
            <w:tcW w:type="dxa" w:w="954"/>
          </w:tcPr>
          <w:p>
            <w:pPr>
              <w:spacing w:after="20"/>
              <w:jc w:val="right"/>
            </w:pPr>
            <w:r>
              <w:rPr>
                <w:color w:val="1C3A36"/>
                <w:sz w:val="16"/>
              </w:rPr>
              <w:t>(232)</w:t>
            </w:r>
          </w:p>
        </w:tc>
        <w:tc>
          <w:tcPr>
            <w:tcW w:type="dxa" w:w="954"/>
          </w:tcPr>
          <w:p>
            <w:pPr>
              <w:spacing w:after="20"/>
              <w:jc w:val="right"/>
            </w:pPr>
            <w:r>
              <w:rPr>
                <w:color w:val="1C3A36"/>
                <w:sz w:val="16"/>
              </w:rPr>
              <w:t>(226)</w:t>
            </w:r>
          </w:p>
        </w:tc>
        <w:tc>
          <w:tcPr>
            <w:tcW w:type="dxa" w:w="954"/>
          </w:tcPr>
          <w:p>
            <w:pPr>
              <w:spacing w:after="20"/>
              <w:jc w:val="right"/>
            </w:pPr>
            <w:r>
              <w:rPr>
                <w:color w:val="1C3A36"/>
                <w:sz w:val="16"/>
              </w:rPr>
              <w:t>(424)</w:t>
            </w:r>
          </w:p>
        </w:tc>
        <w:tc>
          <w:tcPr>
            <w:tcW w:type="dxa" w:w="954"/>
          </w:tcPr>
          <w:p>
            <w:pPr>
              <w:spacing w:after="20"/>
              <w:jc w:val="right"/>
            </w:pPr>
            <w:r>
              <w:rPr>
                <w:color w:val="1C3A36"/>
                <w:sz w:val="16"/>
              </w:rPr>
              <w:t>(445)</w:t>
            </w:r>
          </w:p>
        </w:tc>
        <w:tc>
          <w:tcPr>
            <w:tcW w:type="dxa" w:w="954"/>
          </w:tcPr>
          <w:p>
            <w:pPr>
              <w:spacing w:after="20"/>
              <w:jc w:val="right"/>
            </w:pPr>
            <w:r>
              <w:rPr>
                <w:color w:val="1C3A36"/>
                <w:sz w:val="16"/>
              </w:rPr>
              <w:t>(467)</w:t>
            </w:r>
          </w:p>
        </w:tc>
        <w:tc>
          <w:tcPr>
            <w:tcW w:type="dxa" w:w="954"/>
          </w:tcPr>
          <w:p>
            <w:pPr>
              <w:spacing w:after="20"/>
              <w:jc w:val="right"/>
            </w:pPr>
            <w:r>
              <w:rPr>
                <w:color w:val="1C3A36"/>
                <w:sz w:val="16"/>
              </w:rPr>
              <w:t>(491)</w:t>
            </w:r>
          </w:p>
        </w:tc>
        <w:tc>
          <w:tcPr>
            <w:tcW w:type="dxa" w:w="954"/>
          </w:tcPr>
          <w:p>
            <w:pPr>
              <w:spacing w:after="20"/>
              <w:jc w:val="right"/>
            </w:pPr>
            <w:r>
              <w:rPr>
                <w:color w:val="1C3A36"/>
                <w:sz w:val="16"/>
              </w:rPr>
              <w:t>(515)</w:t>
            </w:r>
          </w:p>
        </w:tc>
        <w:tc>
          <w:tcPr>
            <w:tcW w:type="dxa" w:w="954"/>
          </w:tcPr>
          <w:p>
            <w:pPr>
              <w:spacing w:after="20"/>
              <w:jc w:val="right"/>
            </w:pPr>
            <w:r>
              <w:rPr>
                <w:color w:val="1C3A36"/>
                <w:sz w:val="16"/>
              </w:rPr>
              <w:t>(541)</w:t>
            </w:r>
          </w:p>
        </w:tc>
      </w:tr>
    </w:tbl>
    <w:p>
      <w:pPr>
        <w:spacing w:after="40"/>
      </w:pPr>
    </w:p>
    <w:p>
      <w:pPr>
        <w:spacing w:after="200" w:before="0"/>
      </w:pPr>
      <w:r>
        <w:rPr>
          <w:b w:val="0"/>
          <w:i/>
          <w:color w:val="6E7B77"/>
          <w:sz w:val="17"/>
        </w:rPr>
        <w:t>Historical figures from Yahoo Finance / Mubasher / Aljazira Capital / stockanalysis; FY2025 is the reported full year. Forecasts are the house’s own conservative build (group revenue ~6% declining to ~5%, margins held near FY2025). Segment splits partly estimated — flagged in the Fundamental Driver Ledger.</w:t>
      </w:r>
    </w:p>
    <w:p>
      <w:r>
        <w:br w:type="page"/>
      </w:r>
    </w:p>
    <w:p>
      <w:pPr>
        <w:spacing w:after="100" w:before="260"/>
      </w:pPr>
      <w:r>
        <w:rPr>
          <w:b/>
          <w:i w:val="0"/>
          <w:color w:val="1C3A36"/>
          <w:sz w:val="30"/>
        </w:rPr>
        <w:t>Appendix B  Peer set, sector structure, and risks</w:t>
      </w:r>
    </w:p>
    <w:p>
      <w:pPr>
        <w:spacing w:after="60" w:before="180"/>
      </w:pPr>
      <w:r>
        <w:rPr>
          <w:b/>
          <w:i w:val="0"/>
          <w:color w:val="1C3A36"/>
          <w:sz w:val="24"/>
        </w:rPr>
        <w:t>B.1  Peer set</w:t>
      </w:r>
    </w:p>
    <w:p>
      <w:pPr>
        <w:spacing w:after="120" w:before="0"/>
      </w:pPr>
      <w:r>
        <w:rPr>
          <w:b w:val="0"/>
          <w:i w:val="0"/>
          <w:color w:val="1C3A36"/>
          <w:sz w:val="21"/>
        </w:rPr>
        <w:t>eXtra’s cleanest comparator is Jarir Marketing (Tadawul: 4190) — the other listed Saudi specialty retailer selling electronics, computing and consumer goods, and, like eXtra, a high-payout dividend name. The contrast is stark: Jarir trades at roughly 18× earnings on a ~5.4% yield and has re-rated ~37% over the past year to near its highs, while eXtra trades at ~11× on a higher ~6.9% yield and sits at a 52-week low. Part of the gap is genuine — Jarir earns a ~9% net margin (a richer books-and-stationery mix) versus eXtra’s ~7% blended (thin retail plus the finance spread) — but a ~40% P/E discount to the closest domestic peer, with a superior yield and an unrecognised captive-finance book, is the core of the value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448"/>
            <w:shd w:val="clear" w:color="auto" w:fill="EAF0EE"/>
          </w:tcPr>
          <w:p>
            <w:pPr>
              <w:spacing w:after="20"/>
            </w:pPr>
            <w:r>
              <w:rPr>
                <w:b/>
                <w:color w:val="1C3A36"/>
                <w:sz w:val="17"/>
              </w:rPr>
              <w:t>Comparator</w:t>
            </w:r>
          </w:p>
        </w:tc>
        <w:tc>
          <w:tcPr>
            <w:tcW w:type="dxa" w:w="1944"/>
            <w:shd w:val="clear" w:color="auto" w:fill="EAF0EE"/>
          </w:tcPr>
          <w:p>
            <w:pPr>
              <w:spacing w:after="20"/>
            </w:pPr>
            <w:r>
              <w:rPr>
                <w:b/>
                <w:color w:val="1C3A36"/>
                <w:sz w:val="17"/>
              </w:rPr>
              <w:t>Market / ticker</w:t>
            </w:r>
          </w:p>
        </w:tc>
        <w:tc>
          <w:tcPr>
            <w:tcW w:type="dxa" w:w="2664"/>
            <w:shd w:val="clear" w:color="auto" w:fill="EAF0EE"/>
          </w:tcPr>
          <w:p>
            <w:pPr>
              <w:spacing w:after="20"/>
            </w:pPr>
            <w:r>
              <w:rPr>
                <w:b/>
                <w:color w:val="1C3A36"/>
                <w:sz w:val="17"/>
              </w:rPr>
              <w:t>Business</w:t>
            </w:r>
          </w:p>
        </w:tc>
        <w:tc>
          <w:tcPr>
            <w:tcW w:type="dxa" w:w="1037"/>
            <w:shd w:val="clear" w:color="auto" w:fill="EAF0EE"/>
          </w:tcPr>
          <w:p>
            <w:pPr>
              <w:spacing w:after="20"/>
            </w:pPr>
            <w:r>
              <w:rPr>
                <w:b/>
                <w:color w:val="1C3A36"/>
                <w:sz w:val="17"/>
              </w:rPr>
              <w:t>P/E (x)</w:t>
            </w:r>
          </w:p>
        </w:tc>
        <w:tc>
          <w:tcPr>
            <w:tcW w:type="dxa" w:w="1008"/>
            <w:shd w:val="clear" w:color="auto" w:fill="EAF0EE"/>
          </w:tcPr>
          <w:p>
            <w:pPr>
              <w:spacing w:after="20"/>
            </w:pPr>
            <w:r>
              <w:rPr>
                <w:b/>
                <w:color w:val="1C3A36"/>
                <w:sz w:val="17"/>
              </w:rPr>
              <w:t>Div yld</w:t>
            </w:r>
          </w:p>
        </w:tc>
        <w:tc>
          <w:tcPr>
            <w:tcW w:type="dxa" w:w="864"/>
            <w:shd w:val="clear" w:color="auto" w:fill="EAF0EE"/>
          </w:tcPr>
          <w:p>
            <w:pPr>
              <w:spacing w:after="20"/>
            </w:pPr>
            <w:r>
              <w:rPr>
                <w:b/>
                <w:color w:val="1C3A36"/>
                <w:sz w:val="17"/>
              </w:rPr>
              <w:t>Net mgn</w:t>
            </w:r>
          </w:p>
        </w:tc>
      </w:tr>
      <w:tr>
        <w:tc>
          <w:tcPr>
            <w:tcW w:type="dxa" w:w="2448"/>
          </w:tcPr>
          <w:p>
            <w:pPr>
              <w:spacing w:after="20"/>
            </w:pPr>
            <w:r>
              <w:rPr>
                <w:b/>
                <w:color w:val="1C3A36"/>
                <w:sz w:val="17"/>
              </w:rPr>
              <w:t>eXtra — subject</w:t>
            </w:r>
          </w:p>
        </w:tc>
        <w:tc>
          <w:tcPr>
            <w:tcW w:type="dxa" w:w="1944"/>
          </w:tcPr>
          <w:p>
            <w:pPr>
              <w:spacing w:after="20"/>
            </w:pPr>
            <w:r>
              <w:rPr>
                <w:color w:val="1C3A36"/>
                <w:sz w:val="17"/>
              </w:rPr>
              <w:t>Tadawul : 4003</w:t>
            </w:r>
          </w:p>
        </w:tc>
        <w:tc>
          <w:tcPr>
            <w:tcW w:type="dxa" w:w="2664"/>
          </w:tcPr>
          <w:p>
            <w:pPr>
              <w:spacing w:after="20"/>
            </w:pPr>
            <w:r>
              <w:rPr>
                <w:color w:val="1C3A36"/>
                <w:sz w:val="17"/>
              </w:rPr>
              <w:t>Electronics retail + captive finance</w:t>
            </w:r>
          </w:p>
        </w:tc>
        <w:tc>
          <w:tcPr>
            <w:tcW w:type="dxa" w:w="1037"/>
          </w:tcPr>
          <w:p>
            <w:pPr>
              <w:spacing w:after="20"/>
              <w:jc w:val="right"/>
            </w:pPr>
            <w:r>
              <w:rPr>
                <w:color w:val="1C3A36"/>
                <w:sz w:val="17"/>
              </w:rPr>
              <w:t>11.0</w:t>
            </w:r>
          </w:p>
        </w:tc>
        <w:tc>
          <w:tcPr>
            <w:tcW w:type="dxa" w:w="1008"/>
          </w:tcPr>
          <w:p>
            <w:pPr>
              <w:spacing w:after="20"/>
              <w:jc w:val="right"/>
            </w:pPr>
            <w:r>
              <w:rPr>
                <w:color w:val="1C3A36"/>
                <w:sz w:val="17"/>
              </w:rPr>
              <w:t>6.9%</w:t>
            </w:r>
          </w:p>
        </w:tc>
        <w:tc>
          <w:tcPr>
            <w:tcW w:type="dxa" w:w="864"/>
          </w:tcPr>
          <w:p>
            <w:pPr>
              <w:spacing w:after="20"/>
              <w:jc w:val="right"/>
            </w:pPr>
            <w:r>
              <w:rPr>
                <w:color w:val="1C3A36"/>
                <w:sz w:val="17"/>
              </w:rPr>
              <w:t>7%</w:t>
            </w:r>
          </w:p>
        </w:tc>
      </w:tr>
      <w:tr>
        <w:tc>
          <w:tcPr>
            <w:tcW w:type="dxa" w:w="2448"/>
          </w:tcPr>
          <w:p>
            <w:pPr>
              <w:spacing w:after="20"/>
            </w:pPr>
            <w:r>
              <w:rPr>
                <w:b/>
                <w:color w:val="1C3A36"/>
                <w:sz w:val="17"/>
              </w:rPr>
              <w:t>Jarir Marketing</w:t>
            </w:r>
          </w:p>
        </w:tc>
        <w:tc>
          <w:tcPr>
            <w:tcW w:type="dxa" w:w="1944"/>
          </w:tcPr>
          <w:p>
            <w:pPr>
              <w:spacing w:after="20"/>
            </w:pPr>
            <w:r>
              <w:rPr>
                <w:color w:val="1C3A36"/>
                <w:sz w:val="17"/>
              </w:rPr>
              <w:t>Tadawul : 4190</w:t>
            </w:r>
          </w:p>
        </w:tc>
        <w:tc>
          <w:tcPr>
            <w:tcW w:type="dxa" w:w="2664"/>
          </w:tcPr>
          <w:p>
            <w:pPr>
              <w:spacing w:after="20"/>
            </w:pPr>
            <w:r>
              <w:rPr>
                <w:color w:val="1C3A36"/>
                <w:sz w:val="17"/>
              </w:rPr>
              <w:t>Office/school/electronics/books retail</w:t>
            </w:r>
          </w:p>
        </w:tc>
        <w:tc>
          <w:tcPr>
            <w:tcW w:type="dxa" w:w="1037"/>
          </w:tcPr>
          <w:p>
            <w:pPr>
              <w:spacing w:after="20"/>
              <w:jc w:val="right"/>
            </w:pPr>
            <w:r>
              <w:rPr>
                <w:color w:val="1C3A36"/>
                <w:sz w:val="17"/>
              </w:rPr>
              <w:t>~18.5</w:t>
            </w:r>
          </w:p>
        </w:tc>
        <w:tc>
          <w:tcPr>
            <w:tcW w:type="dxa" w:w="1008"/>
          </w:tcPr>
          <w:p>
            <w:pPr>
              <w:spacing w:after="20"/>
              <w:jc w:val="right"/>
            </w:pPr>
            <w:r>
              <w:rPr>
                <w:color w:val="1C3A36"/>
                <w:sz w:val="17"/>
              </w:rPr>
              <w:t>~5.4%</w:t>
            </w:r>
          </w:p>
        </w:tc>
        <w:tc>
          <w:tcPr>
            <w:tcW w:type="dxa" w:w="864"/>
          </w:tcPr>
          <w:p>
            <w:pPr>
              <w:spacing w:after="20"/>
              <w:jc w:val="right"/>
            </w:pPr>
            <w:r>
              <w:rPr>
                <w:color w:val="1C3A36"/>
                <w:sz w:val="17"/>
              </w:rPr>
              <w:t>~9%</w:t>
            </w:r>
          </w:p>
        </w:tc>
      </w:tr>
      <w:tr>
        <w:tc>
          <w:tcPr>
            <w:tcW w:type="dxa" w:w="2448"/>
          </w:tcPr>
          <w:p>
            <w:pPr>
              <w:spacing w:after="20"/>
            </w:pPr>
            <w:r>
              <w:rPr>
                <w:b/>
                <w:color w:val="1C3A36"/>
                <w:sz w:val="17"/>
              </w:rPr>
              <w:t>Al Othaim Markets</w:t>
            </w:r>
          </w:p>
        </w:tc>
        <w:tc>
          <w:tcPr>
            <w:tcW w:type="dxa" w:w="1944"/>
          </w:tcPr>
          <w:p>
            <w:pPr>
              <w:spacing w:after="20"/>
            </w:pPr>
            <w:r>
              <w:rPr>
                <w:color w:val="1C3A36"/>
                <w:sz w:val="17"/>
              </w:rPr>
              <w:t>Tadawul : 4001</w:t>
            </w:r>
          </w:p>
        </w:tc>
        <w:tc>
          <w:tcPr>
            <w:tcW w:type="dxa" w:w="2664"/>
          </w:tcPr>
          <w:p>
            <w:pPr>
              <w:spacing w:after="20"/>
            </w:pPr>
            <w:r>
              <w:rPr>
                <w:color w:val="1C3A36"/>
                <w:sz w:val="17"/>
              </w:rPr>
              <w:t>Grocery + consumer retail</w:t>
            </w:r>
          </w:p>
        </w:tc>
        <w:tc>
          <w:tcPr>
            <w:tcW w:type="dxa" w:w="1037"/>
          </w:tcPr>
          <w:p>
            <w:pPr>
              <w:spacing w:after="20"/>
              <w:jc w:val="right"/>
            </w:pPr>
            <w:r>
              <w:rPr>
                <w:color w:val="1C3A36"/>
                <w:sz w:val="17"/>
              </w:rPr>
              <w:t>~16</w:t>
            </w:r>
          </w:p>
        </w:tc>
        <w:tc>
          <w:tcPr>
            <w:tcW w:type="dxa" w:w="1008"/>
          </w:tcPr>
          <w:p>
            <w:pPr>
              <w:spacing w:after="20"/>
              <w:jc w:val="right"/>
            </w:pPr>
            <w:r>
              <w:rPr>
                <w:color w:val="1C3A36"/>
                <w:sz w:val="17"/>
              </w:rPr>
              <w:t>~3%</w:t>
            </w:r>
          </w:p>
        </w:tc>
        <w:tc>
          <w:tcPr>
            <w:tcW w:type="dxa" w:w="864"/>
          </w:tcPr>
          <w:p>
            <w:pPr>
              <w:spacing w:after="20"/>
              <w:jc w:val="right"/>
            </w:pPr>
            <w:r>
              <w:rPr>
                <w:color w:val="1C3A36"/>
                <w:sz w:val="17"/>
              </w:rPr>
              <w:t>~3%</w:t>
            </w:r>
          </w:p>
        </w:tc>
      </w:tr>
      <w:tr>
        <w:tc>
          <w:tcPr>
            <w:tcW w:type="dxa" w:w="2448"/>
          </w:tcPr>
          <w:p>
            <w:pPr>
              <w:spacing w:after="20"/>
            </w:pPr>
            <w:r>
              <w:rPr>
                <w:b/>
                <w:color w:val="1C3A36"/>
                <w:sz w:val="17"/>
              </w:rPr>
              <w:t>Best Buy (approx.)</w:t>
            </w:r>
          </w:p>
        </w:tc>
        <w:tc>
          <w:tcPr>
            <w:tcW w:type="dxa" w:w="1944"/>
          </w:tcPr>
          <w:p>
            <w:pPr>
              <w:spacing w:after="20"/>
            </w:pPr>
            <w:r>
              <w:rPr>
                <w:color w:val="1C3A36"/>
                <w:sz w:val="17"/>
              </w:rPr>
              <w:t>NYSE : BBY</w:t>
            </w:r>
          </w:p>
        </w:tc>
        <w:tc>
          <w:tcPr>
            <w:tcW w:type="dxa" w:w="2664"/>
          </w:tcPr>
          <w:p>
            <w:pPr>
              <w:spacing w:after="20"/>
            </w:pPr>
            <w:r>
              <w:rPr>
                <w:color w:val="1C3A36"/>
                <w:sz w:val="17"/>
              </w:rPr>
              <w:t>US electronics retail</w:t>
            </w:r>
          </w:p>
        </w:tc>
        <w:tc>
          <w:tcPr>
            <w:tcW w:type="dxa" w:w="1037"/>
          </w:tcPr>
          <w:p>
            <w:pPr>
              <w:spacing w:after="20"/>
              <w:jc w:val="right"/>
            </w:pPr>
            <w:r>
              <w:rPr>
                <w:color w:val="1C3A36"/>
                <w:sz w:val="17"/>
              </w:rPr>
              <w:t>~11–13</w:t>
            </w:r>
          </w:p>
        </w:tc>
        <w:tc>
          <w:tcPr>
            <w:tcW w:type="dxa" w:w="1008"/>
          </w:tcPr>
          <w:p>
            <w:pPr>
              <w:spacing w:after="20"/>
              <w:jc w:val="right"/>
            </w:pPr>
            <w:r>
              <w:rPr>
                <w:color w:val="1C3A36"/>
                <w:sz w:val="17"/>
              </w:rPr>
              <w:t>~4–5%</w:t>
            </w:r>
          </w:p>
        </w:tc>
        <w:tc>
          <w:tcPr>
            <w:tcW w:type="dxa" w:w="864"/>
          </w:tcPr>
          <w:p>
            <w:pPr>
              <w:spacing w:after="20"/>
              <w:jc w:val="right"/>
            </w:pPr>
            <w:r>
              <w:rPr>
                <w:color w:val="1C3A36"/>
                <w:sz w:val="17"/>
              </w:rPr>
              <w:t>~3%</w:t>
            </w:r>
          </w:p>
        </w:tc>
      </w:tr>
      <w:tr>
        <w:tc>
          <w:tcPr>
            <w:tcW w:type="dxa" w:w="2448"/>
          </w:tcPr>
          <w:p>
            <w:pPr>
              <w:spacing w:after="20"/>
            </w:pPr>
            <w:r>
              <w:rPr>
                <w:b/>
                <w:color w:val="1C3A36"/>
                <w:sz w:val="17"/>
              </w:rPr>
              <w:t>Ceconomy / Currys (approx.)</w:t>
            </w:r>
          </w:p>
        </w:tc>
        <w:tc>
          <w:tcPr>
            <w:tcW w:type="dxa" w:w="1944"/>
          </w:tcPr>
          <w:p>
            <w:pPr>
              <w:spacing w:after="20"/>
            </w:pPr>
            <w:r>
              <w:rPr>
                <w:color w:val="1C3A36"/>
                <w:sz w:val="17"/>
              </w:rPr>
              <w:t>XETRA / LSE</w:t>
            </w:r>
          </w:p>
        </w:tc>
        <w:tc>
          <w:tcPr>
            <w:tcW w:type="dxa" w:w="2664"/>
          </w:tcPr>
          <w:p>
            <w:pPr>
              <w:spacing w:after="20"/>
            </w:pPr>
            <w:r>
              <w:rPr>
                <w:color w:val="1C3A36"/>
                <w:sz w:val="17"/>
              </w:rPr>
              <w:t>European electronics retail</w:t>
            </w:r>
          </w:p>
        </w:tc>
        <w:tc>
          <w:tcPr>
            <w:tcW w:type="dxa" w:w="1037"/>
          </w:tcPr>
          <w:p>
            <w:pPr>
              <w:spacing w:after="20"/>
              <w:jc w:val="right"/>
            </w:pPr>
            <w:r>
              <w:rPr>
                <w:color w:val="1C3A36"/>
                <w:sz w:val="17"/>
              </w:rPr>
              <w:t>~9–12</w:t>
            </w:r>
          </w:p>
        </w:tc>
        <w:tc>
          <w:tcPr>
            <w:tcW w:type="dxa" w:w="1008"/>
          </w:tcPr>
          <w:p>
            <w:pPr>
              <w:spacing w:after="20"/>
              <w:jc w:val="right"/>
            </w:pPr>
            <w:r>
              <w:rPr>
                <w:color w:val="1C3A36"/>
                <w:sz w:val="17"/>
              </w:rPr>
              <w:t>~2–4%</w:t>
            </w:r>
          </w:p>
        </w:tc>
        <w:tc>
          <w:tcPr>
            <w:tcW w:type="dxa" w:w="864"/>
          </w:tcPr>
          <w:p>
            <w:pPr>
              <w:spacing w:after="20"/>
              <w:jc w:val="right"/>
            </w:pPr>
            <w:r>
              <w:rPr>
                <w:color w:val="1C3A36"/>
                <w:sz w:val="17"/>
              </w:rPr>
              <w:t>~1–2%</w:t>
            </w:r>
          </w:p>
        </w:tc>
      </w:tr>
    </w:tbl>
    <w:p>
      <w:pPr>
        <w:spacing w:after="40"/>
      </w:pPr>
    </w:p>
    <w:p>
      <w:pPr>
        <w:spacing w:after="200" w:before="0"/>
      </w:pPr>
      <w:r>
        <w:rPr>
          <w:b w:val="0"/>
          <w:i/>
          <w:color w:val="6E7B77"/>
          <w:sz w:val="17"/>
        </w:rPr>
        <w:t>Jarir metrics sourced (Tadawul / Argaam / stockanalysis, Jun–Jul 2026): price ~SAR 16.8, ~1,200m shares, FY2025 revenue ~SAR 11.4bn, net income ~SAR 1.05bn. Global peers are approximate current ranges (illustrative), not point quotes. Tasheel (the finance leg) has no clean listed peer — GCC consumer-finance is largely private (Tabby, Tamara) — so it is valued on book × justified P/B rather than a peer multiple.</w:t>
      </w:r>
    </w:p>
    <w:p>
      <w:pPr>
        <w:spacing w:after="60" w:before="180"/>
      </w:pPr>
      <w:r>
        <w:rPr>
          <w:b/>
          <w:i w:val="0"/>
          <w:color w:val="1C3A36"/>
          <w:sz w:val="24"/>
        </w:rPr>
        <w:t>B.2  Sector structure</w:t>
      </w:r>
    </w:p>
    <w:p>
      <w:pPr>
        <w:spacing w:after="120" w:before="0"/>
      </w:pPr>
      <w:r>
        <w:rPr>
          <w:b w:val="0"/>
          <w:i w:val="0"/>
          <w:color w:val="1C3A36"/>
          <w:sz w:val="21"/>
        </w:rPr>
        <w:t>Saudi organised electronics and appliances retail is a scale-and-omnichannel business, and eXtra is the category leader by store footprint and assortment. The competitive set is four-cornered: (1) Jarir, which overlaps most in computing, mobile and electronics; (2) online marketplaces — noon and Amazon.sa — which are the structural threat in electronics e-commerce and compress pricing on commoditised SKUs; (3) the informal / grey market and brand mono-stores (Apple, Samsung); and (4) grocery and general retailers extending into electronics. eXtra defends with breadth, after-sales service, exclusive ranges, its Clix marketplace (a JV in which Panda carries the capex), and — decisively — embedded finance.</w:t>
      </w:r>
    </w:p>
    <w:p>
      <w:pPr>
        <w:spacing w:after="120" w:before="0"/>
      </w:pPr>
      <w:r>
        <w:rPr>
          <w:b w:val="0"/>
          <w:i w:val="0"/>
          <w:color w:val="1C3A36"/>
          <w:sz w:val="21"/>
        </w:rPr>
        <w:t>The embedded-finance layer is the moat and the reason for the two-engine valuation. By financing its own big-ticket sales through Tasheel (68.75%-owned), eXtra earns a high-return lending spread on top of a thin retail margin, and it owns the customer credit relationship that a pure marketplace does not. That is why the consumer-finance segment, at ~7% of revenue, produces close to half of group net income — and why blending the two into one multiple mis-prices the whole.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448"/>
            <w:shd w:val="clear" w:color="auto" w:fill="EAF0EE"/>
          </w:tcPr>
          <w:p>
            <w:pPr>
              <w:spacing w:after="20"/>
            </w:pPr>
            <w:r>
              <w:rPr>
                <w:b/>
                <w:color w:val="1C3A36"/>
                <w:sz w:val="17"/>
              </w:rPr>
              <w:t>Dimension</w:t>
            </w:r>
          </w:p>
        </w:tc>
        <w:tc>
          <w:tcPr>
            <w:tcW w:type="dxa" w:w="2520"/>
            <w:shd w:val="clear" w:color="auto" w:fill="EAF0EE"/>
          </w:tcPr>
          <w:p>
            <w:pPr>
              <w:spacing w:after="20"/>
            </w:pPr>
            <w:r>
              <w:rPr>
                <w:b/>
                <w:color w:val="1C3A36"/>
                <w:sz w:val="17"/>
              </w:rPr>
              <w:t>eXtra</w:t>
            </w:r>
          </w:p>
        </w:tc>
        <w:tc>
          <w:tcPr>
            <w:tcW w:type="dxa" w:w="2160"/>
            <w:shd w:val="clear" w:color="auto" w:fill="EAF0EE"/>
          </w:tcPr>
          <w:p>
            <w:pPr>
              <w:spacing w:after="20"/>
            </w:pPr>
            <w:r>
              <w:rPr>
                <w:b/>
                <w:color w:val="1C3A36"/>
                <w:sz w:val="17"/>
              </w:rPr>
              <w:t>Jarir</w:t>
            </w:r>
          </w:p>
        </w:tc>
        <w:tc>
          <w:tcPr>
            <w:tcW w:type="dxa" w:w="2952"/>
            <w:shd w:val="clear" w:color="auto" w:fill="EAF0EE"/>
          </w:tcPr>
          <w:p>
            <w:pPr>
              <w:spacing w:after="20"/>
            </w:pPr>
            <w:r>
              <w:rPr>
                <w:b/>
                <w:color w:val="1C3A36"/>
                <w:sz w:val="17"/>
              </w:rPr>
              <w:t>Online (noon / Amazon.sa)</w:t>
            </w:r>
          </w:p>
        </w:tc>
      </w:tr>
      <w:tr>
        <w:tc>
          <w:tcPr>
            <w:tcW w:type="dxa" w:w="2448"/>
          </w:tcPr>
          <w:p>
            <w:pPr>
              <w:spacing w:after="20"/>
            </w:pPr>
            <w:r>
              <w:rPr>
                <w:b/>
                <w:color w:val="1C3A36"/>
                <w:sz w:val="17"/>
              </w:rPr>
              <w:t>Electronics breadth</w:t>
            </w:r>
          </w:p>
        </w:tc>
        <w:tc>
          <w:tcPr>
            <w:tcW w:type="dxa" w:w="2520"/>
          </w:tcPr>
          <w:p>
            <w:pPr>
              <w:spacing w:after="20"/>
              <w:jc w:val="right"/>
            </w:pPr>
            <w:r>
              <w:rPr>
                <w:color w:val="1C3A36"/>
                <w:sz w:val="17"/>
              </w:rPr>
              <w:t>Category leader</w:t>
            </w:r>
          </w:p>
        </w:tc>
        <w:tc>
          <w:tcPr>
            <w:tcW w:type="dxa" w:w="2160"/>
          </w:tcPr>
          <w:p>
            <w:pPr>
              <w:spacing w:after="20"/>
              <w:jc w:val="right"/>
            </w:pPr>
            <w:r>
              <w:rPr>
                <w:color w:val="1C3A36"/>
                <w:sz w:val="17"/>
              </w:rPr>
              <w:t>Strong</w:t>
            </w:r>
          </w:p>
        </w:tc>
        <w:tc>
          <w:tcPr>
            <w:tcW w:type="dxa" w:w="2952"/>
          </w:tcPr>
          <w:p>
            <w:pPr>
              <w:spacing w:after="20"/>
              <w:jc w:val="right"/>
            </w:pPr>
            <w:r>
              <w:rPr>
                <w:color w:val="1C3A36"/>
                <w:sz w:val="17"/>
              </w:rPr>
              <w:t>Very broad</w:t>
            </w:r>
          </w:p>
        </w:tc>
      </w:tr>
      <w:tr>
        <w:tc>
          <w:tcPr>
            <w:tcW w:type="dxa" w:w="2448"/>
          </w:tcPr>
          <w:p>
            <w:pPr>
              <w:spacing w:after="20"/>
            </w:pPr>
            <w:r>
              <w:rPr>
                <w:b/>
                <w:color w:val="1C3A36"/>
                <w:sz w:val="17"/>
              </w:rPr>
              <w:t>Embedded consumer finance</w:t>
            </w:r>
          </w:p>
        </w:tc>
        <w:tc>
          <w:tcPr>
            <w:tcW w:type="dxa" w:w="2520"/>
          </w:tcPr>
          <w:p>
            <w:pPr>
              <w:spacing w:after="20"/>
              <w:jc w:val="right"/>
            </w:pPr>
            <w:r>
              <w:rPr>
                <w:color w:val="1C3A36"/>
                <w:sz w:val="17"/>
              </w:rPr>
              <w:t>Yes (Tasheel)</w:t>
            </w:r>
          </w:p>
        </w:tc>
        <w:tc>
          <w:tcPr>
            <w:tcW w:type="dxa" w:w="2160"/>
          </w:tcPr>
          <w:p>
            <w:pPr>
              <w:spacing w:after="20"/>
              <w:jc w:val="right"/>
            </w:pPr>
            <w:r>
              <w:rPr>
                <w:color w:val="1C3A36"/>
                <w:sz w:val="17"/>
              </w:rPr>
              <w:t>Limited</w:t>
            </w:r>
          </w:p>
        </w:tc>
        <w:tc>
          <w:tcPr>
            <w:tcW w:type="dxa" w:w="2952"/>
          </w:tcPr>
          <w:p>
            <w:pPr>
              <w:spacing w:after="20"/>
              <w:jc w:val="right"/>
            </w:pPr>
            <w:r>
              <w:rPr>
                <w:color w:val="1C3A36"/>
                <w:sz w:val="17"/>
              </w:rPr>
              <w:t>No (third-party BNPL)</w:t>
            </w:r>
          </w:p>
        </w:tc>
      </w:tr>
      <w:tr>
        <w:tc>
          <w:tcPr>
            <w:tcW w:type="dxa" w:w="2448"/>
          </w:tcPr>
          <w:p>
            <w:pPr>
              <w:spacing w:after="20"/>
            </w:pPr>
            <w:r>
              <w:rPr>
                <w:b/>
                <w:color w:val="1C3A36"/>
                <w:sz w:val="17"/>
              </w:rPr>
              <w:t>Physical + omnichannel</w:t>
            </w:r>
          </w:p>
        </w:tc>
        <w:tc>
          <w:tcPr>
            <w:tcW w:type="dxa" w:w="2520"/>
          </w:tcPr>
          <w:p>
            <w:pPr>
              <w:spacing w:after="20"/>
              <w:jc w:val="right"/>
            </w:pPr>
            <w:r>
              <w:rPr>
                <w:color w:val="1C3A36"/>
                <w:sz w:val="17"/>
              </w:rPr>
              <w:t>Big-box + Clix</w:t>
            </w:r>
          </w:p>
        </w:tc>
        <w:tc>
          <w:tcPr>
            <w:tcW w:type="dxa" w:w="2160"/>
          </w:tcPr>
          <w:p>
            <w:pPr>
              <w:spacing w:after="20"/>
              <w:jc w:val="right"/>
            </w:pPr>
            <w:r>
              <w:rPr>
                <w:color w:val="1C3A36"/>
                <w:sz w:val="17"/>
              </w:rPr>
              <w:t>Stores + e-com</w:t>
            </w:r>
          </w:p>
        </w:tc>
        <w:tc>
          <w:tcPr>
            <w:tcW w:type="dxa" w:w="2952"/>
          </w:tcPr>
          <w:p>
            <w:pPr>
              <w:spacing w:after="20"/>
              <w:jc w:val="right"/>
            </w:pPr>
            <w:r>
              <w:rPr>
                <w:color w:val="1C3A36"/>
                <w:sz w:val="17"/>
              </w:rPr>
              <w:t>Pure online</w:t>
            </w:r>
          </w:p>
        </w:tc>
      </w:tr>
      <w:tr>
        <w:tc>
          <w:tcPr>
            <w:tcW w:type="dxa" w:w="2448"/>
          </w:tcPr>
          <w:p>
            <w:pPr>
              <w:spacing w:after="20"/>
            </w:pPr>
            <w:r>
              <w:rPr>
                <w:b/>
                <w:color w:val="1C3A36"/>
                <w:sz w:val="17"/>
              </w:rPr>
              <w:t>Blended net margin</w:t>
            </w:r>
          </w:p>
        </w:tc>
        <w:tc>
          <w:tcPr>
            <w:tcW w:type="dxa" w:w="2520"/>
          </w:tcPr>
          <w:p>
            <w:pPr>
              <w:spacing w:after="20"/>
              <w:jc w:val="right"/>
            </w:pPr>
            <w:r>
              <w:rPr>
                <w:color w:val="1C3A36"/>
                <w:sz w:val="17"/>
              </w:rPr>
              <w:t>~7%</w:t>
            </w:r>
          </w:p>
        </w:tc>
        <w:tc>
          <w:tcPr>
            <w:tcW w:type="dxa" w:w="2160"/>
          </w:tcPr>
          <w:p>
            <w:pPr>
              <w:spacing w:after="20"/>
              <w:jc w:val="right"/>
            </w:pPr>
            <w:r>
              <w:rPr>
                <w:color w:val="1C3A36"/>
                <w:sz w:val="17"/>
              </w:rPr>
              <w:t>~9%</w:t>
            </w:r>
          </w:p>
        </w:tc>
        <w:tc>
          <w:tcPr>
            <w:tcW w:type="dxa" w:w="2952"/>
          </w:tcPr>
          <w:p>
            <w:pPr>
              <w:spacing w:after="20"/>
              <w:jc w:val="right"/>
            </w:pPr>
            <w:r>
              <w:rPr>
                <w:color w:val="1C3A36"/>
                <w:sz w:val="17"/>
              </w:rPr>
              <w:t>Thin / loss-leading</w:t>
            </w:r>
          </w:p>
        </w:tc>
      </w:tr>
      <w:tr>
        <w:tc>
          <w:tcPr>
            <w:tcW w:type="dxa" w:w="2448"/>
          </w:tcPr>
          <w:p>
            <w:pPr>
              <w:spacing w:after="20"/>
            </w:pPr>
            <w:r>
              <w:rPr>
                <w:b/>
                <w:color w:val="1C3A36"/>
                <w:sz w:val="17"/>
              </w:rPr>
              <w:t>Pricing power</w:t>
            </w:r>
          </w:p>
        </w:tc>
        <w:tc>
          <w:tcPr>
            <w:tcW w:type="dxa" w:w="2520"/>
          </w:tcPr>
          <w:p>
            <w:pPr>
              <w:spacing w:after="20"/>
              <w:jc w:val="right"/>
            </w:pPr>
            <w:r>
              <w:rPr>
                <w:color w:val="1C3A36"/>
                <w:sz w:val="17"/>
              </w:rPr>
              <w:t>Service + finance</w:t>
            </w:r>
          </w:p>
        </w:tc>
        <w:tc>
          <w:tcPr>
            <w:tcW w:type="dxa" w:w="2160"/>
          </w:tcPr>
          <w:p>
            <w:pPr>
              <w:spacing w:after="20"/>
              <w:jc w:val="right"/>
            </w:pPr>
            <w:r>
              <w:rPr>
                <w:color w:val="1C3A36"/>
                <w:sz w:val="17"/>
              </w:rPr>
              <w:t>Brand + mix</w:t>
            </w:r>
          </w:p>
        </w:tc>
        <w:tc>
          <w:tcPr>
            <w:tcW w:type="dxa" w:w="2952"/>
          </w:tcPr>
          <w:p>
            <w:pPr>
              <w:spacing w:after="20"/>
              <w:jc w:val="right"/>
            </w:pPr>
            <w:r>
              <w:rPr>
                <w:color w:val="1C3A36"/>
                <w:sz w:val="17"/>
              </w:rPr>
              <w:t>Price / selection</w:t>
            </w:r>
          </w:p>
        </w:tc>
      </w:tr>
    </w:tbl>
    <w:p>
      <w:pPr>
        <w:spacing w:after="40"/>
      </w:pPr>
    </w:p>
    <w:p>
      <w:pPr>
        <w:spacing w:after="120" w:before="0"/>
      </w:pPr>
      <w:r>
        <w:rPr>
          <w:b w:val="0"/>
          <w:i w:val="0"/>
          <w:color w:val="1C3A36"/>
          <w:sz w:val="21"/>
        </w:rPr>
        <w:t>Structural demand drivers are favourable: Vision-2030 consumption, real household-income growth, a young and tech-adopting population, rising e-commerce penetration, and — for Tasheel specifically — the migration of informal consumer credit into regulated finance. The binding constraint is the regulatory and rate regime: SAMA licenses and supervises finance companies (capital, provisioning, responsible-lending caps), and the recent ~20% decline in consumer-finance net profit reflects exactly this — rising provisions and operating investment — not a demand problem (the loan book still grew double-digits).</w:t>
      </w:r>
    </w:p>
    <w:p>
      <w:pPr>
        <w:spacing w:after="60" w:before="180"/>
      </w:pPr>
      <w:r>
        <w:rPr>
          <w:b/>
          <w:i w:val="0"/>
          <w:color w:val="1C3A36"/>
          <w:sz w:val="24"/>
        </w:rPr>
        <w:t>B.3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448"/>
            <w:shd w:val="clear" w:color="auto" w:fill="EAF0EE"/>
          </w:tcPr>
          <w:p>
            <w:pPr>
              <w:spacing w:after="20"/>
            </w:pPr>
            <w:r>
              <w:rPr>
                <w:b/>
                <w:color w:val="1C3A36"/>
                <w:sz w:val="17"/>
              </w:rPr>
              <w:t>Risk</w:t>
            </w:r>
          </w:p>
        </w:tc>
        <w:tc>
          <w:tcPr>
            <w:tcW w:type="dxa" w:w="1656"/>
            <w:shd w:val="clear" w:color="auto" w:fill="EAF0EE"/>
          </w:tcPr>
          <w:p>
            <w:pPr>
              <w:spacing w:after="20"/>
            </w:pPr>
            <w:r>
              <w:rPr>
                <w:b/>
                <w:color w:val="1C3A36"/>
                <w:sz w:val="17"/>
              </w:rPr>
              <w:t>Channel</w:t>
            </w:r>
          </w:p>
        </w:tc>
        <w:tc>
          <w:tcPr>
            <w:tcW w:type="dxa" w:w="3960"/>
            <w:shd w:val="clear" w:color="auto" w:fill="EAF0EE"/>
          </w:tcPr>
          <w:p>
            <w:pPr>
              <w:spacing w:after="20"/>
            </w:pPr>
            <w:r>
              <w:rPr>
                <w:b/>
                <w:color w:val="1C3A36"/>
                <w:sz w:val="17"/>
              </w:rPr>
              <w:t>Why it matters</w:t>
            </w:r>
          </w:p>
        </w:tc>
        <w:tc>
          <w:tcPr>
            <w:tcW w:type="dxa" w:w="1296"/>
            <w:shd w:val="clear" w:color="auto" w:fill="EAF0EE"/>
          </w:tcPr>
          <w:p>
            <w:pPr>
              <w:spacing w:after="20"/>
            </w:pPr>
            <w:r>
              <w:rPr>
                <w:b/>
                <w:color w:val="1C3A36"/>
                <w:sz w:val="17"/>
              </w:rPr>
              <w:t>Materiality</w:t>
            </w:r>
          </w:p>
        </w:tc>
      </w:tr>
      <w:tr>
        <w:tc>
          <w:tcPr>
            <w:tcW w:type="dxa" w:w="2448"/>
          </w:tcPr>
          <w:p>
            <w:pPr>
              <w:spacing w:after="20"/>
            </w:pPr>
            <w:r>
              <w:rPr>
                <w:b/>
                <w:color w:val="1C3A36"/>
                <w:sz w:val="17"/>
              </w:rPr>
              <w:t>Discount-rate / beta</w:t>
            </w:r>
          </w:p>
        </w:tc>
        <w:tc>
          <w:tcPr>
            <w:tcW w:type="dxa" w:w="1656"/>
          </w:tcPr>
          <w:p>
            <w:pPr>
              <w:spacing w:after="20"/>
            </w:pPr>
            <w:r>
              <w:rPr>
                <w:color w:val="1C3A36"/>
                <w:sz w:val="17"/>
              </w:rPr>
              <w:t>Valuation</w:t>
            </w:r>
          </w:p>
        </w:tc>
        <w:tc>
          <w:tcPr>
            <w:tcW w:type="dxa" w:w="3960"/>
          </w:tcPr>
          <w:p>
            <w:pPr>
              <w:spacing w:after="20"/>
            </w:pPr>
            <w:r>
              <w:rPr>
                <w:color w:val="1C3A36"/>
                <w:sz w:val="17"/>
              </w:rPr>
              <w:t>Short-window beta 0.55–1.0 swings SOTP ~SAR 70–105</w:t>
            </w:r>
          </w:p>
        </w:tc>
        <w:tc>
          <w:tcPr>
            <w:tcW w:type="dxa" w:w="1296"/>
          </w:tcPr>
          <w:p>
            <w:pPr>
              <w:spacing w:after="20"/>
              <w:jc w:val="right"/>
            </w:pPr>
            <w:r>
              <w:rPr>
                <w:color w:val="1C3A36"/>
                <w:sz w:val="17"/>
              </w:rPr>
              <w:t>High</w:t>
            </w:r>
          </w:p>
        </w:tc>
      </w:tr>
      <w:tr>
        <w:tc>
          <w:tcPr>
            <w:tcW w:type="dxa" w:w="2448"/>
          </w:tcPr>
          <w:p>
            <w:pPr>
              <w:spacing w:after="20"/>
            </w:pPr>
            <w:r>
              <w:rPr>
                <w:b/>
                <w:color w:val="1C3A36"/>
                <w:sz w:val="17"/>
              </w:rPr>
              <w:t>Consumer-finance credit &amp; regulation</w:t>
            </w:r>
          </w:p>
        </w:tc>
        <w:tc>
          <w:tcPr>
            <w:tcW w:type="dxa" w:w="1656"/>
          </w:tcPr>
          <w:p>
            <w:pPr>
              <w:spacing w:after="20"/>
            </w:pPr>
            <w:r>
              <w:rPr>
                <w:color w:val="1C3A36"/>
                <w:sz w:val="17"/>
              </w:rPr>
              <w:t>Tasheel leg</w:t>
            </w:r>
          </w:p>
        </w:tc>
        <w:tc>
          <w:tcPr>
            <w:tcW w:type="dxa" w:w="3960"/>
          </w:tcPr>
          <w:p>
            <w:pPr>
              <w:spacing w:after="20"/>
            </w:pPr>
            <w:r>
              <w:rPr>
                <w:color w:val="1C3A36"/>
                <w:sz w:val="17"/>
              </w:rPr>
              <w:t>Provisioning cycle + SAMA rules; segment NI already −20% Y/Y</w:t>
            </w:r>
          </w:p>
        </w:tc>
        <w:tc>
          <w:tcPr>
            <w:tcW w:type="dxa" w:w="1296"/>
          </w:tcPr>
          <w:p>
            <w:pPr>
              <w:spacing w:after="20"/>
              <w:jc w:val="right"/>
            </w:pPr>
            <w:r>
              <w:rPr>
                <w:color w:val="1C3A36"/>
                <w:sz w:val="17"/>
              </w:rPr>
              <w:t>High</w:t>
            </w:r>
          </w:p>
        </w:tc>
      </w:tr>
      <w:tr>
        <w:tc>
          <w:tcPr>
            <w:tcW w:type="dxa" w:w="2448"/>
          </w:tcPr>
          <w:p>
            <w:pPr>
              <w:spacing w:after="20"/>
            </w:pPr>
            <w:r>
              <w:rPr>
                <w:b/>
                <w:color w:val="1C3A36"/>
                <w:sz w:val="17"/>
              </w:rPr>
              <w:t>Rate path (Fed via peg)</w:t>
            </w:r>
          </w:p>
        </w:tc>
        <w:tc>
          <w:tcPr>
            <w:tcW w:type="dxa" w:w="1656"/>
          </w:tcPr>
          <w:p>
            <w:pPr>
              <w:spacing w:after="20"/>
            </w:pPr>
            <w:r>
              <w:rPr>
                <w:color w:val="1C3A36"/>
                <w:sz w:val="17"/>
              </w:rPr>
              <w:t>Both legs</w:t>
            </w:r>
          </w:p>
        </w:tc>
        <w:tc>
          <w:tcPr>
            <w:tcW w:type="dxa" w:w="3960"/>
          </w:tcPr>
          <w:p>
            <w:pPr>
              <w:spacing w:after="20"/>
            </w:pPr>
            <w:r>
              <w:rPr>
                <w:color w:val="1C3A36"/>
                <w:sz w:val="17"/>
              </w:rPr>
              <w:t>Cuts lift demand + spread; rises squeeze both</w:t>
            </w:r>
          </w:p>
        </w:tc>
        <w:tc>
          <w:tcPr>
            <w:tcW w:type="dxa" w:w="1296"/>
          </w:tcPr>
          <w:p>
            <w:pPr>
              <w:spacing w:after="20"/>
              <w:jc w:val="right"/>
            </w:pPr>
            <w:r>
              <w:rPr>
                <w:color w:val="1C3A36"/>
                <w:sz w:val="17"/>
              </w:rPr>
              <w:t>High</w:t>
            </w:r>
          </w:p>
        </w:tc>
      </w:tr>
      <w:tr>
        <w:tc>
          <w:tcPr>
            <w:tcW w:type="dxa" w:w="2448"/>
          </w:tcPr>
          <w:p>
            <w:pPr>
              <w:spacing w:after="20"/>
            </w:pPr>
            <w:r>
              <w:rPr>
                <w:b/>
                <w:color w:val="1C3A36"/>
                <w:sz w:val="17"/>
              </w:rPr>
              <w:t>Online / marketplace competition</w:t>
            </w:r>
          </w:p>
        </w:tc>
        <w:tc>
          <w:tcPr>
            <w:tcW w:type="dxa" w:w="1656"/>
          </w:tcPr>
          <w:p>
            <w:pPr>
              <w:spacing w:after="20"/>
            </w:pPr>
            <w:r>
              <w:rPr>
                <w:color w:val="1C3A36"/>
                <w:sz w:val="17"/>
              </w:rPr>
              <w:t>Retail margin</w:t>
            </w:r>
          </w:p>
        </w:tc>
        <w:tc>
          <w:tcPr>
            <w:tcW w:type="dxa" w:w="3960"/>
          </w:tcPr>
          <w:p>
            <w:pPr>
              <w:spacing w:after="20"/>
            </w:pPr>
            <w:r>
              <w:rPr>
                <w:color w:val="1C3A36"/>
                <w:sz w:val="17"/>
              </w:rPr>
              <w:t>noon / Amazon.sa pressure electronics pricing and share</w:t>
            </w:r>
          </w:p>
        </w:tc>
        <w:tc>
          <w:tcPr>
            <w:tcW w:type="dxa" w:w="1296"/>
          </w:tcPr>
          <w:p>
            <w:pPr>
              <w:spacing w:after="20"/>
              <w:jc w:val="right"/>
            </w:pPr>
            <w:r>
              <w:rPr>
                <w:color w:val="1C3A36"/>
                <w:sz w:val="17"/>
              </w:rPr>
              <w:t>Medium</w:t>
            </w:r>
          </w:p>
        </w:tc>
      </w:tr>
      <w:tr>
        <w:tc>
          <w:tcPr>
            <w:tcW w:type="dxa" w:w="2448"/>
          </w:tcPr>
          <w:p>
            <w:pPr>
              <w:spacing w:after="20"/>
            </w:pPr>
            <w:r>
              <w:rPr>
                <w:b/>
                <w:color w:val="1C3A36"/>
                <w:sz w:val="17"/>
              </w:rPr>
              <w:t>Single-country concentration</w:t>
            </w:r>
          </w:p>
        </w:tc>
        <w:tc>
          <w:tcPr>
            <w:tcW w:type="dxa" w:w="1656"/>
          </w:tcPr>
          <w:p>
            <w:pPr>
              <w:spacing w:after="20"/>
            </w:pPr>
            <w:r>
              <w:rPr>
                <w:color w:val="1C3A36"/>
                <w:sz w:val="17"/>
              </w:rPr>
              <w:t>Demand</w:t>
            </w:r>
          </w:p>
        </w:tc>
        <w:tc>
          <w:tcPr>
            <w:tcW w:type="dxa" w:w="3960"/>
          </w:tcPr>
          <w:p>
            <w:pPr>
              <w:spacing w:after="20"/>
            </w:pPr>
            <w:r>
              <w:rPr>
                <w:color w:val="1C3A36"/>
                <w:sz w:val="17"/>
              </w:rPr>
              <w:t>100% Saudi consumer economy; import cost via the peg</w:t>
            </w:r>
          </w:p>
        </w:tc>
        <w:tc>
          <w:tcPr>
            <w:tcW w:type="dxa" w:w="1296"/>
          </w:tcPr>
          <w:p>
            <w:pPr>
              <w:spacing w:after="20"/>
              <w:jc w:val="right"/>
            </w:pPr>
            <w:r>
              <w:rPr>
                <w:color w:val="1C3A36"/>
                <w:sz w:val="17"/>
              </w:rPr>
              <w:t>Medium</w:t>
            </w:r>
          </w:p>
        </w:tc>
      </w:tr>
      <w:tr>
        <w:tc>
          <w:tcPr>
            <w:tcW w:type="dxa" w:w="2448"/>
          </w:tcPr>
          <w:p>
            <w:pPr>
              <w:spacing w:after="20"/>
            </w:pPr>
            <w:r>
              <w:rPr>
                <w:b/>
                <w:color w:val="1C3A36"/>
                <w:sz w:val="17"/>
              </w:rPr>
              <w:t>Disclosure / governance</w:t>
            </w:r>
          </w:p>
        </w:tc>
        <w:tc>
          <w:tcPr>
            <w:tcW w:type="dxa" w:w="1656"/>
          </w:tcPr>
          <w:p>
            <w:pPr>
              <w:spacing w:after="20"/>
            </w:pPr>
            <w:r>
              <w:rPr>
                <w:color w:val="1C3A36"/>
                <w:sz w:val="17"/>
              </w:rPr>
              <w:t>Modelling</w:t>
            </w:r>
          </w:p>
        </w:tc>
        <w:tc>
          <w:tcPr>
            <w:tcW w:type="dxa" w:w="3960"/>
          </w:tcPr>
          <w:p>
            <w:pPr>
              <w:spacing w:after="20"/>
            </w:pPr>
            <w:r>
              <w:rPr>
                <w:color w:val="1C3A36"/>
                <w:sz w:val="17"/>
              </w:rPr>
              <w:t>Tasheel equity book estimated; 31.25% NCI; 69% parent stake limits free float</w:t>
            </w:r>
          </w:p>
        </w:tc>
        <w:tc>
          <w:tcPr>
            <w:tcW w:type="dxa" w:w="1296"/>
          </w:tcPr>
          <w:p>
            <w:pPr>
              <w:spacing w:after="20"/>
              <w:jc w:val="right"/>
            </w:pPr>
            <w:r>
              <w:rPr>
                <w:color w:val="1C3A36"/>
                <w:sz w:val="17"/>
              </w:rPr>
              <w:t>Medium</w:t>
            </w:r>
          </w:p>
        </w:tc>
      </w:tr>
      <w:tr>
        <w:tc>
          <w:tcPr>
            <w:tcW w:type="dxa" w:w="2448"/>
          </w:tcPr>
          <w:p>
            <w:pPr>
              <w:spacing w:after="20"/>
            </w:pPr>
            <w:r>
              <w:rPr>
                <w:b/>
                <w:color w:val="1C3A36"/>
                <w:sz w:val="17"/>
              </w:rPr>
              <w:t>Dividend sustainability</w:t>
            </w:r>
          </w:p>
        </w:tc>
        <w:tc>
          <w:tcPr>
            <w:tcW w:type="dxa" w:w="1656"/>
          </w:tcPr>
          <w:p>
            <w:pPr>
              <w:spacing w:after="20"/>
            </w:pPr>
            <w:r>
              <w:rPr>
                <w:color w:val="1C3A36"/>
                <w:sz w:val="17"/>
              </w:rPr>
              <w:t>Total return</w:t>
            </w:r>
          </w:p>
        </w:tc>
        <w:tc>
          <w:tcPr>
            <w:tcW w:type="dxa" w:w="3960"/>
          </w:tcPr>
          <w:p>
            <w:pPr>
              <w:spacing w:after="20"/>
            </w:pPr>
            <w:r>
              <w:rPr>
                <w:color w:val="1C3A36"/>
                <w:sz w:val="17"/>
              </w:rPr>
              <w:t>~76% payout — a floor only if retail FCF + Tasheel dividend hold</w:t>
            </w:r>
          </w:p>
        </w:tc>
        <w:tc>
          <w:tcPr>
            <w:tcW w:type="dxa" w:w="1296"/>
          </w:tcPr>
          <w:p>
            <w:pPr>
              <w:spacing w:after="20"/>
              <w:jc w:val="right"/>
            </w:pPr>
            <w:r>
              <w:rPr>
                <w:color w:val="1C3A36"/>
                <w:sz w:val="17"/>
              </w:rPr>
              <w:t>Low–Med</w:t>
            </w:r>
          </w:p>
        </w:tc>
      </w:tr>
    </w:tbl>
    <w:p>
      <w:pPr>
        <w:spacing w:after="40"/>
      </w:pPr>
    </w:p>
    <w:p>
      <w:pPr>
        <w:spacing w:after="120" w:before="0"/>
      </w:pPr>
      <w:r>
        <w:rPr>
          <w:b w:val="0"/>
          <w:i w:val="0"/>
          <w:color w:val="1C3A36"/>
          <w:sz w:val="21"/>
        </w:rPr>
        <w:t>The top three are all versions of one thing — the discount rate and the rate/regulatory path — and they interact: a higher-for-longer rate world both raises the beta-driven discount rate and squeezes the consumer-finance spread, hitting the valuation from two sides at once. Against that, the ~7% dividend is well covered (retail free cash flow plus Tasheel dividend income comfortably exceed the payout), which is why every lens in this study treats it as the practical downside floor rather than a variable. The most idiosyncratic risk is disclosure: because Tasheel’s equity book and the retail/finance profit split are partly estimated (flagged in the driver ledger), the split-legs value carries genuine model risk that a fuller segment disclosure would resolve in either direction.</w:t>
      </w:r>
    </w:p>
    <w:p>
      <w:r>
        <w:br w:type="page"/>
      </w:r>
    </w:p>
    <w:p>
      <w:pPr>
        <w:spacing w:after="100" w:before="260"/>
      </w:pPr>
      <w:r>
        <w:rPr>
          <w:b/>
          <w:i w:val="0"/>
          <w:color w:val="1C3A36"/>
          <w:sz w:val="30"/>
        </w:rPr>
        <w:t>Appendix C  Expert valuation panel</w:t>
      </w:r>
    </w:p>
    <w:p>
      <w:pPr>
        <w:spacing w:after="120" w:before="0"/>
      </w:pPr>
      <w:r>
        <w:rPr>
          <w:b w:val="0"/>
          <w:i w:val="0"/>
          <w:color w:val="1C3A36"/>
          <w:sz w:val="21"/>
        </w:rPr>
        <w:t>Three experts, each running a genuinely different method, cast for a capital-heavy operating company: an earnings-power valuer in the Graham–Greenwald tradition, a balance-sheet sum-of-the-parts accountant, and a top-down macro-policy strategist. They are labelled Expert 1–3 (cast by method, not named). Each sets out a worldview, when the method works and fails, its workings with a table, a worked example on eXtra, a sensitivity on its single swing input, a cross-examination of the other two, and a verdict with a falsification condition and what the market price implies. The discipline is that they must genuinely disagree — three methods that agree would be cosmetic.</w:t>
      </w:r>
    </w:p>
    <w:p>
      <w:pPr>
        <w:spacing w:after="60" w:before="180"/>
      </w:pPr>
      <w:r>
        <w:rPr>
          <w:b/>
          <w:i w:val="0"/>
          <w:color w:val="1C3A36"/>
          <w:sz w:val="24"/>
        </w:rPr>
        <w:t>Expert 1 — Earnings power</w:t>
      </w:r>
    </w:p>
    <w:p>
      <w:pPr>
        <w:spacing w:after="120" w:before="0"/>
      </w:pPr>
      <w:r>
        <w:rPr>
          <w:b w:val="0"/>
          <w:i w:val="0"/>
          <w:color w:val="1C3A36"/>
          <w:sz w:val="21"/>
        </w:rPr>
        <w:t>Worldview and tradition. In the Graham–Greenwald earnings-power tradition, a business is worth its sustainable, through-cycle earnings capitalised at a justified multiple — you do not pay for growth you cannot underwrite, and you distrust any valuation whose answer hides in a terminal value a decade out. The multiple is not plucked from peers; it is built from the required return and the durability of the franchise.</w:t>
      </w:r>
    </w:p>
    <w:p>
      <w:pPr>
        <w:spacing w:after="120" w:before="0"/>
      </w:pPr>
      <w:r>
        <w:rPr>
          <w:b w:val="0"/>
          <w:i w:val="0"/>
          <w:color w:val="1C3A36"/>
          <w:sz w:val="21"/>
        </w:rPr>
        <w:t>When it works and fails. It works for stable, branded, cash-generative consumer franchises with durable margins — the retail half of eXtra fits. It fails for businesses mid-transition, for financial businesses whose "earnings" are really a return on a capital base (Tasheel), and when a one-off distorts the base year: eXtra’s FY2024 net income carried a ~SAR 33m one-off, and FY2025 was softened by consumer-finance provisioning — so the base must be normalised, not taken raw.</w:t>
      </w:r>
    </w:p>
    <w:p>
      <w:pPr>
        <w:spacing w:after="120" w:before="0"/>
      </w:pPr>
      <w:r>
        <w:rPr>
          <w:b w:val="0"/>
          <w:i w:val="0"/>
          <w:color w:val="1C3A36"/>
          <w:sz w:val="21"/>
        </w:rPr>
        <w:t>Workings. (1) Strip one-offs and normalise to a mid-cycle margin; (2) compute normalised group EPS; (3) build the justified P/E up from the required return, then adjust for quality and for the lower quality of the finance-derived earnings; (4) capitalise.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616"/>
            <w:shd w:val="clear" w:color="auto" w:fill="EAF0EE"/>
          </w:tcPr>
          <w:p>
            <w:pPr>
              <w:spacing w:after="20"/>
            </w:pPr>
            <w:r>
              <w:rPr>
                <w:b/>
                <w:color w:val="1C3A36"/>
                <w:sz w:val="18"/>
              </w:rPr>
              <w:t>Justified-multiple build</w:t>
            </w:r>
          </w:p>
        </w:tc>
        <w:tc>
          <w:tcPr>
            <w:tcW w:type="dxa" w:w="3312"/>
            <w:shd w:val="clear" w:color="auto" w:fill="EAF0EE"/>
          </w:tcPr>
          <w:p>
            <w:pPr>
              <w:spacing w:after="20"/>
            </w:pPr>
            <w:r>
              <w:rPr>
                <w:b/>
                <w:color w:val="1C3A36"/>
                <w:sz w:val="18"/>
              </w:rPr>
              <w:t>Value</w:t>
            </w:r>
          </w:p>
        </w:tc>
      </w:tr>
      <w:tr>
        <w:tc>
          <w:tcPr>
            <w:tcW w:type="dxa" w:w="5616"/>
          </w:tcPr>
          <w:p>
            <w:pPr>
              <w:spacing w:after="20"/>
            </w:pPr>
            <w:r>
              <w:rPr>
                <w:b/>
                <w:color w:val="1C3A36"/>
                <w:sz w:val="18"/>
              </w:rPr>
              <w:t>Normalized through-cycle EPS (SAR)</w:t>
            </w:r>
          </w:p>
        </w:tc>
        <w:tc>
          <w:tcPr>
            <w:tcW w:type="dxa" w:w="3312"/>
          </w:tcPr>
          <w:p>
            <w:pPr>
              <w:spacing w:after="20"/>
              <w:jc w:val="right"/>
            </w:pPr>
            <w:r>
              <w:rPr>
                <w:color w:val="1C3A36"/>
                <w:sz w:val="18"/>
              </w:rPr>
              <w:t>~6.0  (reported FY2025 6.21)</w:t>
            </w:r>
          </w:p>
        </w:tc>
      </w:tr>
      <w:tr>
        <w:tc>
          <w:tcPr>
            <w:tcW w:type="dxa" w:w="5616"/>
          </w:tcPr>
          <w:p>
            <w:pPr>
              <w:spacing w:after="20"/>
            </w:pPr>
            <w:r>
              <w:rPr>
                <w:b/>
                <w:color w:val="1C3A36"/>
                <w:sz w:val="18"/>
              </w:rPr>
              <w:t>Required return (retail Ke)</w:t>
            </w:r>
          </w:p>
        </w:tc>
        <w:tc>
          <w:tcPr>
            <w:tcW w:type="dxa" w:w="3312"/>
          </w:tcPr>
          <w:p>
            <w:pPr>
              <w:spacing w:after="20"/>
              <w:jc w:val="right"/>
            </w:pPr>
            <w:r>
              <w:rPr>
                <w:color w:val="1C3A36"/>
                <w:sz w:val="18"/>
              </w:rPr>
              <w:t>9.5%  → no-growth P/E ≈ 10.5×</w:t>
            </w:r>
          </w:p>
        </w:tc>
      </w:tr>
      <w:tr>
        <w:tc>
          <w:tcPr>
            <w:tcW w:type="dxa" w:w="5616"/>
          </w:tcPr>
          <w:p>
            <w:pPr>
              <w:spacing w:after="20"/>
            </w:pPr>
            <w:r>
              <w:rPr>
                <w:b/>
                <w:color w:val="1C3A36"/>
                <w:sz w:val="18"/>
              </w:rPr>
              <w:t>+ franchise quality / modest growth</w:t>
            </w:r>
          </w:p>
        </w:tc>
        <w:tc>
          <w:tcPr>
            <w:tcW w:type="dxa" w:w="3312"/>
          </w:tcPr>
          <w:p>
            <w:pPr>
              <w:spacing w:after="20"/>
              <w:jc w:val="right"/>
            </w:pPr>
            <w:r>
              <w:rPr>
                <w:color w:val="1C3A36"/>
                <w:sz w:val="18"/>
              </w:rPr>
              <w:t>+~2× (category leader, high ROE)</w:t>
            </w:r>
          </w:p>
        </w:tc>
      </w:tr>
      <w:tr>
        <w:tc>
          <w:tcPr>
            <w:tcW w:type="dxa" w:w="5616"/>
          </w:tcPr>
          <w:p>
            <w:pPr>
              <w:spacing w:after="20"/>
            </w:pPr>
            <w:r>
              <w:rPr>
                <w:b/>
                <w:color w:val="1C3A36"/>
                <w:sz w:val="18"/>
              </w:rPr>
              <w:t>− lower-quality finance earnings, single-country</w:t>
            </w:r>
          </w:p>
        </w:tc>
        <w:tc>
          <w:tcPr>
            <w:tcW w:type="dxa" w:w="3312"/>
          </w:tcPr>
          <w:p>
            <w:pPr>
              <w:spacing w:after="20"/>
              <w:jc w:val="right"/>
            </w:pPr>
            <w:r>
              <w:rPr>
                <w:color w:val="1C3A36"/>
                <w:sz w:val="18"/>
              </w:rPr>
              <w:t>−~0.5×</w:t>
            </w:r>
          </w:p>
        </w:tc>
      </w:tr>
      <w:tr>
        <w:tc>
          <w:tcPr>
            <w:tcW w:type="dxa" w:w="5616"/>
          </w:tcPr>
          <w:p>
            <w:pPr>
              <w:spacing w:after="20"/>
            </w:pPr>
            <w:r>
              <w:rPr>
                <w:b/>
                <w:color w:val="1C3A36"/>
                <w:sz w:val="18"/>
              </w:rPr>
              <w:t>Justified P/E</w:t>
            </w:r>
          </w:p>
        </w:tc>
        <w:tc>
          <w:tcPr>
            <w:tcW w:type="dxa" w:w="3312"/>
          </w:tcPr>
          <w:p>
            <w:pPr>
              <w:spacing w:after="20"/>
              <w:jc w:val="right"/>
            </w:pPr>
            <w:r>
              <w:rPr>
                <w:color w:val="1C3A36"/>
                <w:sz w:val="18"/>
              </w:rPr>
              <w:t>≈ 12×  (range 10–14×)</w:t>
            </w:r>
          </w:p>
        </w:tc>
      </w:tr>
    </w:tbl>
    <w:p>
      <w:pPr>
        <w:spacing w:after="40"/>
      </w:pPr>
    </w:p>
    <w:p>
      <w:pPr>
        <w:spacing w:after="100" w:before="0"/>
      </w:pPr>
      <w:r>
        <w:rPr>
          <w:b/>
          <w:i w:val="0"/>
          <w:color w:val="1C3A36"/>
          <w:sz w:val="19"/>
        </w:rPr>
        <w:t xml:space="preserve">Worked example. </w:t>
      </w:r>
      <w:r>
        <w:rPr>
          <w:b w:val="0"/>
          <w:i w:val="0"/>
          <w:color w:val="1C3A36"/>
          <w:sz w:val="19"/>
        </w:rPr>
        <w:t xml:space="preserve">Normalized EPS ~6.0 × 12× = ~SAR 72; on the reported FY2025 EPS of 6.21, 12× = SAR 75. </w:t>
      </w:r>
      <w:r>
        <w:rPr>
          <w:b w:val="0"/>
          <w:i w:val="0"/>
          <w:color w:val="1C3A36"/>
          <w:sz w:val="19"/>
        </w:rPr>
        <w:t xml:space="preserve">We carry </w:t>
      </w:r>
      <w:r>
        <w:rPr>
          <w:b/>
          <w:i w:val="0"/>
          <w:color w:val="896F36"/>
          <w:sz w:val="19"/>
        </w:rPr>
        <w:t>~SAR 75</w:t>
      </w:r>
      <w:r>
        <w:rPr>
          <w:b w:val="0"/>
          <w:i w:val="0"/>
          <w:color w:val="1C3A36"/>
          <w:sz w:val="19"/>
        </w:rPr>
        <w:t xml:space="preserve"> as the earnings-power fair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744"/>
            <w:shd w:val="clear" w:color="auto" w:fill="EAF0EE"/>
          </w:tcPr>
          <w:p>
            <w:pPr>
              <w:spacing w:after="20"/>
            </w:pPr>
            <w:r>
              <w:rPr>
                <w:b/>
                <w:color w:val="1C3A36"/>
                <w:sz w:val="18"/>
              </w:rPr>
              <w:t>Swing — the multiple</w:t>
            </w:r>
          </w:p>
        </w:tc>
        <w:tc>
          <w:tcPr>
            <w:tcW w:type="dxa" w:w="1584"/>
            <w:shd w:val="clear" w:color="auto" w:fill="EAF0EE"/>
          </w:tcPr>
          <w:p>
            <w:pPr>
              <w:spacing w:after="20"/>
            </w:pPr>
            <w:r>
              <w:rPr>
                <w:b/>
                <w:color w:val="1C3A36"/>
                <w:sz w:val="18"/>
              </w:rPr>
              <w:t>8×</w:t>
            </w:r>
          </w:p>
        </w:tc>
        <w:tc>
          <w:tcPr>
            <w:tcW w:type="dxa" w:w="1584"/>
            <w:shd w:val="clear" w:color="auto" w:fill="EAF0EE"/>
          </w:tcPr>
          <w:p>
            <w:pPr>
              <w:spacing w:after="20"/>
            </w:pPr>
            <w:r>
              <w:rPr>
                <w:b/>
                <w:color w:val="1C3A36"/>
                <w:sz w:val="18"/>
              </w:rPr>
              <w:t>10×</w:t>
            </w:r>
          </w:p>
        </w:tc>
        <w:tc>
          <w:tcPr>
            <w:tcW w:type="dxa" w:w="1584"/>
            <w:shd w:val="clear" w:color="auto" w:fill="EAF0EE"/>
          </w:tcPr>
          <w:p>
            <w:pPr>
              <w:spacing w:after="20"/>
            </w:pPr>
            <w:r>
              <w:rPr>
                <w:b/>
                <w:color w:val="1C3A36"/>
                <w:sz w:val="18"/>
              </w:rPr>
              <w:t>12×</w:t>
            </w:r>
          </w:p>
        </w:tc>
        <w:tc>
          <w:tcPr>
            <w:tcW w:type="dxa" w:w="1584"/>
            <w:shd w:val="clear" w:color="auto" w:fill="EAF0EE"/>
          </w:tcPr>
          <w:p>
            <w:pPr>
              <w:spacing w:after="20"/>
            </w:pPr>
            <w:r>
              <w:rPr>
                <w:b/>
                <w:color w:val="1C3A36"/>
                <w:sz w:val="18"/>
              </w:rPr>
              <w:t>14×</w:t>
            </w:r>
          </w:p>
        </w:tc>
      </w:tr>
      <w:tr>
        <w:tc>
          <w:tcPr>
            <w:tcW w:type="dxa" w:w="3744"/>
          </w:tcPr>
          <w:p>
            <w:pPr>
              <w:spacing w:after="20"/>
            </w:pPr>
            <w:r>
              <w:rPr>
                <w:b/>
                <w:color w:val="1C3A36"/>
                <w:sz w:val="18"/>
              </w:rPr>
              <w:t>Fair value (SAR/sh)</w:t>
            </w:r>
          </w:p>
        </w:tc>
        <w:tc>
          <w:tcPr>
            <w:tcW w:type="dxa" w:w="1584"/>
          </w:tcPr>
          <w:p>
            <w:pPr>
              <w:spacing w:after="20"/>
              <w:jc w:val="right"/>
            </w:pPr>
            <w:r>
              <w:rPr>
                <w:color w:val="1C3A36"/>
                <w:sz w:val="18"/>
              </w:rPr>
              <w:t>50</w:t>
            </w:r>
          </w:p>
        </w:tc>
        <w:tc>
          <w:tcPr>
            <w:tcW w:type="dxa" w:w="1584"/>
          </w:tcPr>
          <w:p>
            <w:pPr>
              <w:spacing w:after="20"/>
              <w:jc w:val="right"/>
            </w:pPr>
            <w:r>
              <w:rPr>
                <w:color w:val="1C3A36"/>
                <w:sz w:val="18"/>
              </w:rPr>
              <w:t>62</w:t>
            </w:r>
          </w:p>
        </w:tc>
        <w:tc>
          <w:tcPr>
            <w:tcW w:type="dxa" w:w="1584"/>
          </w:tcPr>
          <w:p>
            <w:pPr>
              <w:spacing w:after="20"/>
              <w:jc w:val="right"/>
            </w:pPr>
            <w:r>
              <w:rPr>
                <w:color w:val="1C3A36"/>
                <w:sz w:val="18"/>
              </w:rPr>
              <w:t>75</w:t>
            </w:r>
          </w:p>
        </w:tc>
        <w:tc>
          <w:tcPr>
            <w:tcW w:type="dxa" w:w="1584"/>
          </w:tcPr>
          <w:p>
            <w:pPr>
              <w:spacing w:after="20"/>
              <w:jc w:val="right"/>
            </w:pPr>
            <w:r>
              <w:rPr>
                <w:color w:val="1C3A36"/>
                <w:sz w:val="18"/>
              </w:rPr>
              <w:t>87</w:t>
            </w:r>
          </w:p>
        </w:tc>
      </w:tr>
    </w:tbl>
    <w:p>
      <w:pPr>
        <w:spacing w:after="40"/>
      </w:pPr>
    </w:p>
    <w:p>
      <w:pPr>
        <w:spacing w:after="120" w:before="0"/>
      </w:pPr>
      <w:r>
        <w:rPr>
          <w:b w:val="0"/>
          <w:i w:val="0"/>
          <w:color w:val="1C3A36"/>
          <w:sz w:val="21"/>
        </w:rPr>
        <w:t>Cross-examination. To the Accountant: a blended group multiple already prices Tasheel’s profits, so adding Tasheel back as a separate asset at 2.4× book capitalises the same earnings twice — and it levers an equity book that is itself an estimate. To Macro-policy: scenario-weighting a rate path re-introduces the discount rate through the back door; a properly-built normalised multiple already embeds a mid-cycle rate, so the scenario band is double-counting the same uncertainty.</w:t>
      </w:r>
    </w:p>
    <w:p>
      <w:pPr>
        <w:spacing w:after="120" w:before="0"/>
      </w:pPr>
      <w:r>
        <w:rPr>
          <w:b/>
          <w:i w:val="0"/>
          <w:color w:val="1C3A36"/>
          <w:sz w:val="19"/>
        </w:rPr>
        <w:t xml:space="preserve">Verdict, falsification, price-implied. </w:t>
      </w:r>
      <w:r>
        <w:rPr>
          <w:b w:val="0"/>
          <w:i w:val="0"/>
          <w:color w:val="1C3A36"/>
          <w:sz w:val="19"/>
        </w:rPr>
        <w:t>Fair ~SAR 75. Falsified if Tasheel’s return-on-equity proves durably far above what a blended retail multiple implies — in which case the lender deserves a separate premium capitalisation and this method is systematically too low. At SAR 68 the market pays ~11× normalized earnings: it is pricing eXtra as a plain cyclical retailer, giving no credit for the finance franchise.</w:t>
      </w:r>
    </w:p>
    <w:p>
      <w:pPr>
        <w:spacing w:after="60" w:before="180"/>
      </w:pPr>
      <w:r>
        <w:rPr>
          <w:b/>
          <w:i w:val="0"/>
          <w:color w:val="1C3A36"/>
          <w:sz w:val="24"/>
        </w:rPr>
        <w:t>Expert 2 — Accountant (split-legs sum-of-the-parts)</w:t>
      </w:r>
    </w:p>
    <w:p>
      <w:pPr>
        <w:spacing w:after="120" w:before="0"/>
      </w:pPr>
      <w:r>
        <w:rPr>
          <w:b w:val="0"/>
          <w:i w:val="0"/>
          <w:color w:val="1C3A36"/>
          <w:sz w:val="21"/>
        </w:rPr>
        <w:t>Worldview and tradition. In the sum-of-the-parts / asset-based tradition, a business with genuinely different engines is worth the sum of its parts — each valued on its own appropriate method and its own balance sheet — minus holding-level items. The market’s single blended multiple systematically mis-weights a low-margin retailer bolted to a high-return lender, and that mis-weighting is the opportunity.</w:t>
      </w:r>
    </w:p>
    <w:p>
      <w:pPr>
        <w:spacing w:after="120" w:before="0"/>
      </w:pPr>
      <w:r>
        <w:rPr>
          <w:b w:val="0"/>
          <w:i w:val="0"/>
          <w:color w:val="1C3A36"/>
          <w:sz w:val="21"/>
        </w:rPr>
        <w:t>When it works and fails. It works precisely for holding-company-like structures where the parts have different economics — which is eXtra. It fails when the balance-sheet marks are stale or estimated (here, Tasheel’s equity book is an estimate), and it can overstate value if minority interests, holding costs, or the practical difficulty of "unlocking" the parts are ignored.</w:t>
      </w:r>
    </w:p>
    <w:p>
      <w:pPr>
        <w:spacing w:after="120" w:before="0"/>
      </w:pPr>
      <w:r>
        <w:rPr>
          <w:b w:val="0"/>
          <w:i w:val="0"/>
          <w:color w:val="1C3A36"/>
          <w:sz w:val="21"/>
        </w:rPr>
        <w:t>Workings. (1) Retail — a net-cash operating company, so a five-year FCFF DCF discounted at the cost of equity; (2) Tasheel — a lender, so equity book × a justified price-to-book of (ROE−g)/(COE−g); (3) take eXtra’s economic 68.75% of Tasheel (the 31.25% minority is excluded by construction); (4) Nowpay and Clix carry nothing in the base — optionality, not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896"/>
            <w:shd w:val="clear" w:color="auto" w:fill="EAF0EE"/>
          </w:tcPr>
          <w:p>
            <w:pPr>
              <w:spacing w:after="20"/>
            </w:pPr>
            <w:r>
              <w:rPr>
                <w:b/>
                <w:color w:val="1C3A36"/>
                <w:sz w:val="18"/>
              </w:rPr>
              <w:t>Retail DCF (net-cash op-co)</w:t>
            </w:r>
          </w:p>
        </w:tc>
        <w:tc>
          <w:tcPr>
            <w:tcW w:type="dxa" w:w="3456"/>
            <w:shd w:val="clear" w:color="auto" w:fill="EAF0EE"/>
          </w:tcPr>
          <w:p>
            <w:pPr>
              <w:spacing w:after="20"/>
            </w:pPr>
            <w:r>
              <w:rPr>
                <w:b/>
                <w:color w:val="1C3A36"/>
                <w:sz w:val="18"/>
              </w:rPr>
              <w:t>SAR mn / sh</w:t>
            </w:r>
          </w:p>
        </w:tc>
      </w:tr>
      <w:tr>
        <w:tc>
          <w:tcPr>
            <w:tcW w:type="dxa" w:w="4896"/>
          </w:tcPr>
          <w:p>
            <w:pPr>
              <w:spacing w:after="20"/>
            </w:pPr>
            <w:r>
              <w:rPr>
                <w:b/>
                <w:color w:val="1C3A36"/>
                <w:sz w:val="18"/>
              </w:rPr>
              <w:t>Enterprise value</w:t>
            </w:r>
          </w:p>
        </w:tc>
        <w:tc>
          <w:tcPr>
            <w:tcW w:type="dxa" w:w="3456"/>
          </w:tcPr>
          <w:p>
            <w:pPr>
              <w:spacing w:after="20"/>
              <w:jc w:val="right"/>
            </w:pPr>
            <w:r>
              <w:rPr>
                <w:color w:val="1C3A36"/>
                <w:sz w:val="18"/>
              </w:rPr>
              <w:t>4,826</w:t>
            </w:r>
          </w:p>
        </w:tc>
      </w:tr>
      <w:tr>
        <w:tc>
          <w:tcPr>
            <w:tcW w:type="dxa" w:w="4896"/>
          </w:tcPr>
          <w:p>
            <w:pPr>
              <w:spacing w:after="20"/>
            </w:pPr>
            <w:r>
              <w:rPr>
                <w:b/>
                <w:color w:val="1C3A36"/>
                <w:sz w:val="18"/>
              </w:rPr>
              <w:t>+ standalone net cash</w:t>
            </w:r>
          </w:p>
        </w:tc>
        <w:tc>
          <w:tcPr>
            <w:tcW w:type="dxa" w:w="3456"/>
          </w:tcPr>
          <w:p>
            <w:pPr>
              <w:spacing w:after="20"/>
              <w:jc w:val="right"/>
            </w:pPr>
            <w:r>
              <w:rPr>
                <w:color w:val="1C3A36"/>
                <w:sz w:val="18"/>
              </w:rPr>
              <w:t>388</w:t>
            </w:r>
          </w:p>
        </w:tc>
      </w:tr>
      <w:tr>
        <w:tc>
          <w:tcPr>
            <w:tcW w:type="dxa" w:w="4896"/>
          </w:tcPr>
          <w:p>
            <w:pPr>
              <w:spacing w:after="20"/>
            </w:pPr>
            <w:r>
              <w:rPr>
                <w:b/>
                <w:color w:val="1C3A36"/>
                <w:sz w:val="18"/>
              </w:rPr>
              <w:t>Retail equity value</w:t>
            </w:r>
          </w:p>
        </w:tc>
        <w:tc>
          <w:tcPr>
            <w:tcW w:type="dxa" w:w="3456"/>
          </w:tcPr>
          <w:p>
            <w:pPr>
              <w:spacing w:after="20"/>
              <w:jc w:val="right"/>
            </w:pPr>
            <w:r>
              <w:rPr>
                <w:color w:val="1C3A36"/>
                <w:sz w:val="18"/>
              </w:rPr>
              <w:t>5,214  (65.2/sh)</w:t>
            </w:r>
          </w:p>
        </w:tc>
      </w:tr>
      <w:tr>
        <w:tc>
          <w:tcPr>
            <w:tcW w:type="dxa" w:w="4896"/>
          </w:tcPr>
          <w:p>
            <w:pPr>
              <w:spacing w:after="20"/>
            </w:pPr>
            <w:r>
              <w:rPr>
                <w:b/>
                <w:color w:val="1C3A36"/>
                <w:sz w:val="18"/>
              </w:rPr>
              <w:t>Terminal value as % of EV</w:t>
            </w:r>
          </w:p>
        </w:tc>
        <w:tc>
          <w:tcPr>
            <w:tcW w:type="dxa" w:w="3456"/>
          </w:tcPr>
          <w:p>
            <w:pPr>
              <w:spacing w:after="20"/>
              <w:jc w:val="right"/>
            </w:pPr>
            <w:r>
              <w:rPr>
                <w:color w:val="1C3A36"/>
                <w:sz w:val="18"/>
              </w:rPr>
              <w:t>75%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896"/>
            <w:shd w:val="clear" w:color="auto" w:fill="EAF0EE"/>
          </w:tcPr>
          <w:p>
            <w:pPr>
              <w:spacing w:after="20"/>
            </w:pPr>
            <w:r>
              <w:rPr>
                <w:b/>
                <w:color w:val="1C3A36"/>
                <w:sz w:val="18"/>
              </w:rPr>
              <w:t>Tasheel P/B build</w:t>
            </w:r>
          </w:p>
        </w:tc>
        <w:tc>
          <w:tcPr>
            <w:tcW w:type="dxa" w:w="3456"/>
            <w:shd w:val="clear" w:color="auto" w:fill="EAF0EE"/>
          </w:tcPr>
          <w:p>
            <w:pPr>
              <w:spacing w:after="20"/>
            </w:pPr>
            <w:r>
              <w:rPr>
                <w:b/>
                <w:color w:val="1C3A36"/>
                <w:sz w:val="18"/>
              </w:rPr>
              <w:t>Value</w:t>
            </w:r>
          </w:p>
        </w:tc>
      </w:tr>
      <w:tr>
        <w:tc>
          <w:tcPr>
            <w:tcW w:type="dxa" w:w="4896"/>
          </w:tcPr>
          <w:p>
            <w:pPr>
              <w:spacing w:after="20"/>
            </w:pPr>
            <w:r>
              <w:rPr>
                <w:b/>
                <w:color w:val="1C3A36"/>
                <w:sz w:val="18"/>
              </w:rPr>
              <w:t>Equity book (SAR mn, est.)</w:t>
            </w:r>
          </w:p>
        </w:tc>
        <w:tc>
          <w:tcPr>
            <w:tcW w:type="dxa" w:w="3456"/>
          </w:tcPr>
          <w:p>
            <w:pPr>
              <w:spacing w:after="20"/>
              <w:jc w:val="right"/>
            </w:pPr>
            <w:r>
              <w:rPr>
                <w:color w:val="1C3A36"/>
                <w:sz w:val="18"/>
              </w:rPr>
              <w:t>1,200</w:t>
            </w:r>
          </w:p>
        </w:tc>
      </w:tr>
      <w:tr>
        <w:tc>
          <w:tcPr>
            <w:tcW w:type="dxa" w:w="4896"/>
          </w:tcPr>
          <w:p>
            <w:pPr>
              <w:spacing w:after="20"/>
            </w:pPr>
            <w:r>
              <w:rPr>
                <w:b/>
                <w:color w:val="1C3A36"/>
                <w:sz w:val="18"/>
              </w:rPr>
              <w:t>Return on equity</w:t>
            </w:r>
          </w:p>
        </w:tc>
        <w:tc>
          <w:tcPr>
            <w:tcW w:type="dxa" w:w="3456"/>
          </w:tcPr>
          <w:p>
            <w:pPr>
              <w:spacing w:after="20"/>
              <w:jc w:val="right"/>
            </w:pPr>
            <w:r>
              <w:rPr>
                <w:color w:val="1C3A36"/>
                <w:sz w:val="18"/>
              </w:rPr>
              <w:t>19.2%</w:t>
            </w:r>
          </w:p>
        </w:tc>
      </w:tr>
      <w:tr>
        <w:tc>
          <w:tcPr>
            <w:tcW w:type="dxa" w:w="4896"/>
          </w:tcPr>
          <w:p>
            <w:pPr>
              <w:spacing w:after="20"/>
            </w:pPr>
            <w:r>
              <w:rPr>
                <w:b/>
                <w:color w:val="1C3A36"/>
                <w:sz w:val="18"/>
              </w:rPr>
              <w:t>Cost of equity / terminal g</w:t>
            </w:r>
          </w:p>
        </w:tc>
        <w:tc>
          <w:tcPr>
            <w:tcW w:type="dxa" w:w="3456"/>
          </w:tcPr>
          <w:p>
            <w:pPr>
              <w:spacing w:after="20"/>
              <w:jc w:val="right"/>
            </w:pPr>
            <w:r>
              <w:rPr>
                <w:color w:val="1C3A36"/>
                <w:sz w:val="18"/>
              </w:rPr>
              <w:t>10.5% / 4.5%</w:t>
            </w:r>
          </w:p>
        </w:tc>
      </w:tr>
      <w:tr>
        <w:tc>
          <w:tcPr>
            <w:tcW w:type="dxa" w:w="4896"/>
          </w:tcPr>
          <w:p>
            <w:pPr>
              <w:spacing w:after="20"/>
            </w:pPr>
            <w:r>
              <w:rPr>
                <w:b/>
                <w:color w:val="1C3A36"/>
                <w:sz w:val="18"/>
              </w:rPr>
              <w:t>Justified P/B = (ROE−g)/(COE−g)</w:t>
            </w:r>
          </w:p>
        </w:tc>
        <w:tc>
          <w:tcPr>
            <w:tcW w:type="dxa" w:w="3456"/>
          </w:tcPr>
          <w:p>
            <w:pPr>
              <w:spacing w:after="20"/>
              <w:jc w:val="right"/>
            </w:pPr>
            <w:r>
              <w:rPr>
                <w:color w:val="1C3A36"/>
                <w:sz w:val="18"/>
              </w:rPr>
              <w:t>2.44×</w:t>
            </w:r>
          </w:p>
        </w:tc>
      </w:tr>
      <w:tr>
        <w:tc>
          <w:tcPr>
            <w:tcW w:type="dxa" w:w="4896"/>
          </w:tcPr>
          <w:p>
            <w:pPr>
              <w:spacing w:after="20"/>
            </w:pPr>
            <w:r>
              <w:rPr>
                <w:b/>
                <w:color w:val="1C3A36"/>
                <w:sz w:val="18"/>
              </w:rPr>
              <w:t>Tasheel value 100% → eXtra 68.75%</w:t>
            </w:r>
          </w:p>
        </w:tc>
        <w:tc>
          <w:tcPr>
            <w:tcW w:type="dxa" w:w="3456"/>
          </w:tcPr>
          <w:p>
            <w:pPr>
              <w:spacing w:after="20"/>
              <w:jc w:val="right"/>
            </w:pPr>
            <w:r>
              <w:rPr>
                <w:color w:val="1C3A36"/>
                <w:sz w:val="18"/>
              </w:rPr>
              <w:t>2,933 → 2,017  (25.2/sh)</w:t>
            </w:r>
          </w:p>
        </w:tc>
      </w:tr>
    </w:tbl>
    <w:p>
      <w:pPr>
        <w:spacing w:after="40"/>
      </w:pPr>
    </w:p>
    <w:p>
      <w:pPr>
        <w:spacing w:after="100" w:before="0"/>
      </w:pPr>
      <w:r>
        <w:rPr>
          <w:b/>
          <w:i w:val="0"/>
          <w:color w:val="1C3A36"/>
          <w:sz w:val="19"/>
        </w:rPr>
        <w:t xml:space="preserve">Worked example. </w:t>
      </w:r>
      <w:r>
        <w:rPr>
          <w:b w:val="0"/>
          <w:i w:val="0"/>
          <w:color w:val="1C3A36"/>
          <w:sz w:val="19"/>
        </w:rPr>
        <w:t xml:space="preserve">Retail SAR 65.2/sh + Tasheel SAR 25.2/sh = </w:t>
      </w:r>
      <w:r>
        <w:rPr>
          <w:b/>
          <w:i w:val="0"/>
          <w:color w:val="896F36"/>
          <w:sz w:val="19"/>
        </w:rPr>
        <w:t>SAR 90.4/sh</w:t>
      </w:r>
      <w:r>
        <w:rPr>
          <w:b w:val="0"/>
          <w:i w:val="0"/>
          <w:color w:val="1C3A36"/>
          <w:sz w:val="19"/>
        </w:rPr>
        <w: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744"/>
            <w:shd w:val="clear" w:color="auto" w:fill="EAF0EE"/>
          </w:tcPr>
          <w:p>
            <w:pPr>
              <w:spacing w:after="20"/>
            </w:pPr>
            <w:r>
              <w:rPr>
                <w:b/>
                <w:color w:val="1C3A36"/>
                <w:sz w:val="18"/>
              </w:rPr>
              <w:t>Swing — Tasheel P/B</w:t>
            </w:r>
          </w:p>
        </w:tc>
        <w:tc>
          <w:tcPr>
            <w:tcW w:type="dxa" w:w="1584"/>
            <w:shd w:val="clear" w:color="auto" w:fill="EAF0EE"/>
          </w:tcPr>
          <w:p>
            <w:pPr>
              <w:spacing w:after="20"/>
            </w:pPr>
            <w:r>
              <w:rPr>
                <w:b/>
                <w:color w:val="1C3A36"/>
                <w:sz w:val="18"/>
              </w:rPr>
              <w:t>1.6×</w:t>
            </w:r>
          </w:p>
        </w:tc>
        <w:tc>
          <w:tcPr>
            <w:tcW w:type="dxa" w:w="1584"/>
            <w:shd w:val="clear" w:color="auto" w:fill="EAF0EE"/>
          </w:tcPr>
          <w:p>
            <w:pPr>
              <w:spacing w:after="20"/>
            </w:pPr>
            <w:r>
              <w:rPr>
                <w:b/>
                <w:color w:val="1C3A36"/>
                <w:sz w:val="18"/>
              </w:rPr>
              <w:t>2.0×</w:t>
            </w:r>
          </w:p>
        </w:tc>
        <w:tc>
          <w:tcPr>
            <w:tcW w:type="dxa" w:w="1584"/>
            <w:shd w:val="clear" w:color="auto" w:fill="EAF0EE"/>
          </w:tcPr>
          <w:p>
            <w:pPr>
              <w:spacing w:after="20"/>
            </w:pPr>
            <w:r>
              <w:rPr>
                <w:b/>
                <w:color w:val="1C3A36"/>
                <w:sz w:val="18"/>
              </w:rPr>
              <w:t>2.4×</w:t>
            </w:r>
          </w:p>
        </w:tc>
        <w:tc>
          <w:tcPr>
            <w:tcW w:type="dxa" w:w="1584"/>
            <w:shd w:val="clear" w:color="auto" w:fill="EAF0EE"/>
          </w:tcPr>
          <w:p>
            <w:pPr>
              <w:spacing w:after="20"/>
            </w:pPr>
            <w:r>
              <w:rPr>
                <w:b/>
                <w:color w:val="1C3A36"/>
                <w:sz w:val="18"/>
              </w:rPr>
              <w:t>2.8×</w:t>
            </w:r>
          </w:p>
        </w:tc>
      </w:tr>
      <w:tr>
        <w:tc>
          <w:tcPr>
            <w:tcW w:type="dxa" w:w="3744"/>
          </w:tcPr>
          <w:p>
            <w:pPr>
              <w:spacing w:after="20"/>
            </w:pPr>
            <w:r>
              <w:rPr>
                <w:b/>
                <w:color w:val="1C3A36"/>
                <w:sz w:val="18"/>
              </w:rPr>
              <w:t>SOTP (SAR/sh)</w:t>
            </w:r>
          </w:p>
        </w:tc>
        <w:tc>
          <w:tcPr>
            <w:tcW w:type="dxa" w:w="1584"/>
          </w:tcPr>
          <w:p>
            <w:pPr>
              <w:spacing w:after="20"/>
              <w:jc w:val="right"/>
            </w:pPr>
            <w:r>
              <w:rPr>
                <w:color w:val="1C3A36"/>
                <w:sz w:val="18"/>
              </w:rPr>
              <w:t>82</w:t>
            </w:r>
          </w:p>
        </w:tc>
        <w:tc>
          <w:tcPr>
            <w:tcW w:type="dxa" w:w="1584"/>
          </w:tcPr>
          <w:p>
            <w:pPr>
              <w:spacing w:after="20"/>
              <w:jc w:val="right"/>
            </w:pPr>
            <w:r>
              <w:rPr>
                <w:color w:val="1C3A36"/>
                <w:sz w:val="18"/>
              </w:rPr>
              <w:t>86</w:t>
            </w:r>
          </w:p>
        </w:tc>
        <w:tc>
          <w:tcPr>
            <w:tcW w:type="dxa" w:w="1584"/>
          </w:tcPr>
          <w:p>
            <w:pPr>
              <w:spacing w:after="20"/>
              <w:jc w:val="right"/>
            </w:pPr>
            <w:r>
              <w:rPr>
                <w:color w:val="1C3A36"/>
                <w:sz w:val="18"/>
              </w:rPr>
              <w:t>90</w:t>
            </w:r>
          </w:p>
        </w:tc>
        <w:tc>
          <w:tcPr>
            <w:tcW w:type="dxa" w:w="1584"/>
          </w:tcPr>
          <w:p>
            <w:pPr>
              <w:spacing w:after="20"/>
              <w:jc w:val="right"/>
            </w:pPr>
            <w:r>
              <w:rPr>
                <w:color w:val="1C3A36"/>
                <w:sz w:val="18"/>
              </w:rPr>
              <w:t>94</w:t>
            </w:r>
          </w:p>
        </w:tc>
      </w:tr>
    </w:tbl>
    <w:p>
      <w:pPr>
        <w:spacing w:after="40"/>
      </w:pPr>
    </w:p>
    <w:p>
      <w:pPr>
        <w:spacing w:after="120" w:before="0"/>
      </w:pPr>
      <w:r>
        <w:rPr>
          <w:b w:val="0"/>
          <w:i w:val="0"/>
          <w:color w:val="1C3A36"/>
          <w:sz w:val="21"/>
        </w:rPr>
        <w:t>Cross-examination. To Earnings-power: a single group multiple values a ~4%-net-margin retailer and a ~19%-ROE lender at the same P/E, which is analytically indefensible — the market’s blended ~11× is the mispricing, not an anchor to respect. To Macro-policy: scenarios give direction, but you still have to put a number on each leg’s balance sheet; a top-down demand story does not tell you what Tasheel’s book is worth. Concedes that the estimated equity book is this method’s genuine weak point.</w:t>
      </w:r>
    </w:p>
    <w:p>
      <w:pPr>
        <w:spacing w:after="120" w:before="0"/>
      </w:pPr>
      <w:r>
        <w:rPr>
          <w:b/>
          <w:i w:val="0"/>
          <w:color w:val="1C3A36"/>
          <w:sz w:val="19"/>
        </w:rPr>
        <w:t xml:space="preserve">Verdict, falsification, price-implied. </w:t>
      </w:r>
      <w:r>
        <w:rPr>
          <w:b w:val="0"/>
          <w:i w:val="0"/>
          <w:color w:val="1C3A36"/>
          <w:sz w:val="19"/>
        </w:rPr>
        <w:t>Fair ~SAR 90. Falsified if the estimated Tasheel equity book is materially off, or if retail cash conversion is structurally weaker than the DCF assumes. At SAR 68 the market is either applying a single group multiple (Earnings-power’s frame) or heavily discounting the finance leg toward book.</w:t>
      </w:r>
    </w:p>
    <w:p>
      <w:pPr>
        <w:spacing w:after="60" w:before="180"/>
      </w:pPr>
      <w:r>
        <w:rPr>
          <w:b/>
          <w:i w:val="0"/>
          <w:color w:val="1C3A36"/>
          <w:sz w:val="24"/>
        </w:rPr>
        <w:t>Expert 3 — Macro-policy</w:t>
      </w:r>
    </w:p>
    <w:p>
      <w:pPr>
        <w:spacing w:after="120" w:before="0"/>
      </w:pPr>
      <w:r>
        <w:rPr>
          <w:b w:val="0"/>
          <w:i w:val="0"/>
          <w:color w:val="1C3A36"/>
          <w:sz w:val="21"/>
        </w:rPr>
        <w:t>Worldview and tradition. In the top-down strategist tradition, a single-country consumer name is a leveraged bet on the household economy and the policy rate; company-specific modelling is second-order to the demand and rate regime. Fair value is a scenario band, and the dividend yield is a floor the bottom-up methods understate.</w:t>
      </w:r>
    </w:p>
    <w:p>
      <w:pPr>
        <w:spacing w:after="120" w:before="0"/>
      </w:pPr>
      <w:r>
        <w:rPr>
          <w:b w:val="0"/>
          <w:i w:val="0"/>
          <w:color w:val="1C3A36"/>
          <w:sz w:val="21"/>
        </w:rPr>
        <w:t>When it works and fails. It works for reading demand inflection and the dividend-versus-rates relationship. It fails at company-specific mispricings and at pinning a precise number — it deliberately produces a range, not a point.</w:t>
      </w:r>
    </w:p>
    <w:p>
      <w:pPr>
        <w:spacing w:after="120" w:before="0"/>
      </w:pPr>
      <w:r>
        <w:rPr>
          <w:b w:val="0"/>
          <w:i w:val="0"/>
          <w:color w:val="1C3A36"/>
          <w:sz w:val="21"/>
        </w:rPr>
        <w:t>Workings. (1) Map the SAMA rate path (which tracks the Fed via the riyal peg) to two channels that move the same way — big-ticket retail demand (cuts lift financed purchases) and Tasheel’s net spread (cuts lower funding cost); rates are therefore a double-lever. (2) Overlay Vision-2030 consumption and household-income growth as a structural tailwind. (3) Net the consumer-finance regulatory risk (SAMA finance-company rules, provisioning) as a leg-specific discount. (4) Treat the ~6.9% dividend yield as a valuation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728"/>
            <w:shd w:val="clear" w:color="auto" w:fill="EAF0EE"/>
          </w:tcPr>
          <w:p>
            <w:pPr>
              <w:spacing w:after="20"/>
            </w:pPr>
            <w:r>
              <w:rPr>
                <w:b/>
                <w:color w:val="1C3A36"/>
                <w:sz w:val="18"/>
              </w:rPr>
              <w:t>Scenario</w:t>
            </w:r>
          </w:p>
        </w:tc>
        <w:tc>
          <w:tcPr>
            <w:tcW w:type="dxa" w:w="5184"/>
            <w:shd w:val="clear" w:color="auto" w:fill="EAF0EE"/>
          </w:tcPr>
          <w:p>
            <w:pPr>
              <w:spacing w:after="20"/>
            </w:pPr>
            <w:r>
              <w:rPr>
                <w:b/>
                <w:color w:val="1C3A36"/>
                <w:sz w:val="18"/>
              </w:rPr>
              <w:t>Rate / regime</w:t>
            </w:r>
          </w:p>
        </w:tc>
        <w:tc>
          <w:tcPr>
            <w:tcW w:type="dxa" w:w="2160"/>
            <w:shd w:val="clear" w:color="auto" w:fill="EAF0EE"/>
          </w:tcPr>
          <w:p>
            <w:pPr>
              <w:spacing w:after="20"/>
            </w:pPr>
            <w:r>
              <w:rPr>
                <w:b/>
                <w:color w:val="1C3A36"/>
                <w:sz w:val="18"/>
              </w:rPr>
              <w:t>SAR/sh</w:t>
            </w:r>
          </w:p>
        </w:tc>
      </w:tr>
      <w:tr>
        <w:tc>
          <w:tcPr>
            <w:tcW w:type="dxa" w:w="1728"/>
          </w:tcPr>
          <w:p>
            <w:pPr>
              <w:spacing w:after="20"/>
            </w:pPr>
            <w:r>
              <w:rPr>
                <w:b/>
                <w:color w:val="1C3A36"/>
                <w:sz w:val="18"/>
              </w:rPr>
              <w:t>Bull</w:t>
            </w:r>
          </w:p>
        </w:tc>
        <w:tc>
          <w:tcPr>
            <w:tcW w:type="dxa" w:w="5184"/>
          </w:tcPr>
          <w:p>
            <w:pPr>
              <w:spacing w:after="20"/>
            </w:pPr>
            <w:r>
              <w:rPr>
                <w:color w:val="1C3A36"/>
                <w:sz w:val="18"/>
              </w:rPr>
              <w:t>Cuts + resilient consumer; Tasheel spread widens</w:t>
            </w:r>
          </w:p>
        </w:tc>
        <w:tc>
          <w:tcPr>
            <w:tcW w:type="dxa" w:w="2160"/>
          </w:tcPr>
          <w:p>
            <w:pPr>
              <w:spacing w:after="20"/>
              <w:jc w:val="right"/>
            </w:pPr>
            <w:r>
              <w:rPr>
                <w:color w:val="1C3A36"/>
                <w:sz w:val="18"/>
              </w:rPr>
              <w:t>~95</w:t>
            </w:r>
          </w:p>
        </w:tc>
      </w:tr>
      <w:tr>
        <w:tc>
          <w:tcPr>
            <w:tcW w:type="dxa" w:w="1728"/>
          </w:tcPr>
          <w:p>
            <w:pPr>
              <w:spacing w:after="20"/>
            </w:pPr>
            <w:r>
              <w:rPr>
                <w:b/>
                <w:color w:val="1C3A36"/>
                <w:sz w:val="18"/>
              </w:rPr>
              <w:t>Base</w:t>
            </w:r>
          </w:p>
        </w:tc>
        <w:tc>
          <w:tcPr>
            <w:tcW w:type="dxa" w:w="5184"/>
          </w:tcPr>
          <w:p>
            <w:pPr>
              <w:spacing w:after="20"/>
            </w:pPr>
            <w:r>
              <w:rPr>
                <w:color w:val="1C3A36"/>
                <w:sz w:val="18"/>
              </w:rPr>
              <w:t>Gradual / current policy; spread stable</w:t>
            </w:r>
          </w:p>
        </w:tc>
        <w:tc>
          <w:tcPr>
            <w:tcW w:type="dxa" w:w="2160"/>
          </w:tcPr>
          <w:p>
            <w:pPr>
              <w:spacing w:after="20"/>
              <w:jc w:val="right"/>
            </w:pPr>
            <w:r>
              <w:rPr>
                <w:color w:val="1C3A36"/>
                <w:sz w:val="18"/>
              </w:rPr>
              <w:t>~78</w:t>
            </w:r>
          </w:p>
        </w:tc>
      </w:tr>
      <w:tr>
        <w:tc>
          <w:tcPr>
            <w:tcW w:type="dxa" w:w="1728"/>
          </w:tcPr>
          <w:p>
            <w:pPr>
              <w:spacing w:after="20"/>
            </w:pPr>
            <w:r>
              <w:rPr>
                <w:b/>
                <w:color w:val="1C3A36"/>
                <w:sz w:val="18"/>
              </w:rPr>
              <w:t>Bear</w:t>
            </w:r>
          </w:p>
        </w:tc>
        <w:tc>
          <w:tcPr>
            <w:tcW w:type="dxa" w:w="5184"/>
          </w:tcPr>
          <w:p>
            <w:pPr>
              <w:spacing w:after="20"/>
            </w:pPr>
            <w:r>
              <w:rPr>
                <w:color w:val="1C3A36"/>
                <w:sz w:val="18"/>
              </w:rPr>
              <w:t>Higher-for-longer + tighter CF rules; spread compresses</w:t>
            </w:r>
          </w:p>
        </w:tc>
        <w:tc>
          <w:tcPr>
            <w:tcW w:type="dxa" w:w="2160"/>
          </w:tcPr>
          <w:p>
            <w:pPr>
              <w:spacing w:after="20"/>
              <w:jc w:val="right"/>
            </w:pPr>
            <w:r>
              <w:rPr>
                <w:color w:val="1C3A36"/>
                <w:sz w:val="18"/>
              </w:rPr>
              <w:t>~65 (dividend floor)</w:t>
            </w:r>
          </w:p>
        </w:tc>
      </w:tr>
    </w:tbl>
    <w:p>
      <w:pPr>
        <w:spacing w:after="40"/>
      </w:pPr>
    </w:p>
    <w:p>
      <w:pPr>
        <w:spacing w:after="100" w:before="0"/>
      </w:pPr>
      <w:r>
        <w:rPr>
          <w:b/>
          <w:i w:val="0"/>
          <w:color w:val="1C3A36"/>
          <w:sz w:val="19"/>
        </w:rPr>
        <w:t xml:space="preserve">Worked example. </w:t>
      </w:r>
      <w:r>
        <w:rPr>
          <w:b w:val="0"/>
          <w:i w:val="0"/>
          <w:color w:val="1C3A36"/>
          <w:sz w:val="19"/>
        </w:rPr>
        <w:t xml:space="preserve">In the base case — gradual policy, retail revenue +5–6%, Tasheel spread broadly held — the demand-plus-dividend read lands at </w:t>
      </w:r>
      <w:r>
        <w:rPr>
          <w:b/>
          <w:i w:val="0"/>
          <w:color w:val="896F36"/>
          <w:sz w:val="19"/>
        </w:rPr>
        <w:t>~SAR 78</w:t>
      </w:r>
      <w:r>
        <w:rPr>
          <w:b w:val="0"/>
          <w:i w:val="0"/>
          <w:color w:val="1C3A36"/>
          <w:sz w:val="19"/>
        </w:rPr>
        <w:t>; the ~6.9% yield stops the bear case falling far below spot.</w:t>
      </w:r>
    </w:p>
    <w:p>
      <w:pPr>
        <w:spacing w:after="120" w:before="0"/>
      </w:pPr>
      <w:r>
        <w:rPr>
          <w:b w:val="0"/>
          <w:i w:val="0"/>
          <w:color w:val="1C3A36"/>
          <w:sz w:val="21"/>
        </w:rPr>
        <w:t>Swing input. The SAMA rate path. Because it hits both retail demand and Tasheel’s spread in the same direction, a ~100bp move in the policy rate shifts fair value materially — far more than any single operating assumption — which is exactly why a precise bottom-up point can mislead.</w:t>
      </w:r>
    </w:p>
    <w:p>
      <w:pPr>
        <w:spacing w:after="120" w:before="0"/>
      </w:pPr>
      <w:r>
        <w:rPr>
          <w:b w:val="0"/>
          <w:i w:val="0"/>
          <w:color w:val="1C3A36"/>
          <w:sz w:val="21"/>
        </w:rPr>
        <w:t>Cross-examination. To Earnings-power: a static "normalised" multiple hides that the normal rate environment is itself the variable; capitalising mid-cycle earnings at a fixed multiple buries the rate bet rather than pricing it. To the Accountant: a sum-of-the-parts to the decimal is false precision when the dominant driver can swing the whole valuation ~30%; and 2.4× book on Tasheel quietly assumes a benign rate-and-regulatory path that a strategist would not underwrite without a discount.</w:t>
      </w:r>
    </w:p>
    <w:p>
      <w:pPr>
        <w:spacing w:after="120" w:before="0"/>
      </w:pPr>
      <w:r>
        <w:rPr>
          <w:b/>
          <w:i w:val="0"/>
          <w:color w:val="1C3A36"/>
          <w:sz w:val="19"/>
        </w:rPr>
        <w:t xml:space="preserve">Verdict, falsification, price-implied. </w:t>
      </w:r>
      <w:r>
        <w:rPr>
          <w:b w:val="0"/>
          <w:i w:val="0"/>
          <w:color w:val="1C3A36"/>
          <w:sz w:val="19"/>
        </w:rPr>
        <w:t>Fair ~SAR 78. Falsified if rates rise materially from here, or if SAMA tightens consumer-finance provisioning. At SAR 68, a 52-week low, the market is pricing something close to the bear rate/regulation scenario — which the covered dividend floor argues is too pessimistic.</w:t>
      </w:r>
    </w:p>
    <w:p>
      <w:pPr>
        <w:spacing w:after="60" w:before="180"/>
      </w:pPr>
      <w:r>
        <w:rPr>
          <w:b/>
          <w:i w:val="0"/>
          <w:color w:val="1C3A36"/>
          <w:sz w:val="24"/>
        </w:rPr>
        <w:t>The three in one room</w:t>
      </w:r>
    </w:p>
    <w:p>
      <w:pPr>
        <w:spacing w:after="120" w:before="0"/>
      </w:pPr>
      <w:r>
        <w:rPr>
          <w:b w:val="0"/>
          <w:i w:val="0"/>
          <w:color w:val="1C3A36"/>
          <w:sz w:val="21"/>
        </w:rPr>
        <w:t>Put them at one table and the argument is entirely about the captive lender.</w:t>
      </w:r>
    </w:p>
    <w:p>
      <w:pPr>
        <w:spacing w:after="60" w:before="0"/>
      </w:pPr>
      <w:r>
        <w:rPr>
          <w:b/>
          <w:i w:val="0"/>
          <w:color w:val="896F36"/>
          <w:sz w:val="19"/>
        </w:rPr>
        <w:t xml:space="preserve">Accountant: </w:t>
      </w:r>
      <w:r>
        <w:rPr>
          <w:b w:val="0"/>
          <w:i/>
          <w:color w:val="1C3A36"/>
          <w:sz w:val="19"/>
        </w:rPr>
        <w:t>"Tasheel is a distinct 19%-return lender — capitalise it separately at ~2.4× book. The market’s blended multiple hides it, and that’s the mispricing."</w:t>
      </w:r>
    </w:p>
    <w:p>
      <w:pPr>
        <w:spacing w:after="60" w:before="0"/>
      </w:pPr>
      <w:r>
        <w:rPr>
          <w:b/>
          <w:i w:val="0"/>
          <w:color w:val="896F36"/>
          <w:sz w:val="19"/>
        </w:rPr>
        <w:t xml:space="preserve">Earnings-power: </w:t>
      </w:r>
      <w:r>
        <w:rPr>
          <w:b w:val="0"/>
          <w:i/>
          <w:color w:val="1C3A36"/>
          <w:sz w:val="19"/>
        </w:rPr>
        <w:t>"It’s already inside group EPS. Value it twice and you’ve manufactured ~SAR 25/share of value on an equity book you had to estimate."</w:t>
      </w:r>
    </w:p>
    <w:p>
      <w:pPr>
        <w:spacing w:after="100" w:before="0"/>
      </w:pPr>
      <w:r>
        <w:rPr>
          <w:b/>
          <w:i w:val="0"/>
          <w:color w:val="896F36"/>
          <w:sz w:val="19"/>
        </w:rPr>
        <w:t xml:space="preserve">Macro-policy: </w:t>
      </w:r>
      <w:r>
        <w:rPr>
          <w:b w:val="0"/>
          <w:i/>
          <w:color w:val="1C3A36"/>
          <w:sz w:val="19"/>
        </w:rPr>
        <w:t>"You’re both assuming a benign rate and regulatory path — that’s the real bet. It’s why I discount the lender and lean on the ~7% dividend as the floor."</w:t>
      </w:r>
    </w:p>
    <w:p>
      <w:pPr>
        <w:spacing w:after="120" w:before="0"/>
      </w:pPr>
      <w:r>
        <w:rPr>
          <w:b w:val="0"/>
          <w:i w:val="0"/>
          <w:color w:val="1C3A36"/>
          <w:sz w:val="21"/>
        </w:rPr>
        <w:t>The disagreement resolves to one question — is Tasheel a separately-valuable growth asset or a high-return line already inside a retailer? — conditioned on the rate and regulatory path. That single question accounts for almost the entire SAR 75–90 spread between the three fair values.</w:t>
      </w:r>
    </w:p>
    <w:p>
      <w:pPr>
        <w:spacing w:after="60" w:before="180"/>
      </w:pPr>
      <w:r>
        <w:rPr>
          <w:b/>
          <w:i w:val="0"/>
          <w:color w:val="1C3A36"/>
          <w:sz w:val="24"/>
        </w:rPr>
        <w:t>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Expert</w:t>
            </w:r>
          </w:p>
        </w:tc>
        <w:tc>
          <w:tcPr>
            <w:tcW w:type="dxa" w:w="3024"/>
            <w:shd w:val="clear" w:color="auto" w:fill="EAF0EE"/>
          </w:tcPr>
          <w:p>
            <w:pPr>
              <w:spacing w:after="20"/>
            </w:pPr>
            <w:r>
              <w:rPr>
                <w:b/>
                <w:color w:val="1C3A36"/>
                <w:sz w:val="18"/>
              </w:rPr>
              <w:t>Method</w:t>
            </w:r>
          </w:p>
        </w:tc>
        <w:tc>
          <w:tcPr>
            <w:tcW w:type="dxa" w:w="2160"/>
            <w:shd w:val="clear" w:color="auto" w:fill="EAF0EE"/>
          </w:tcPr>
          <w:p>
            <w:pPr>
              <w:spacing w:after="20"/>
            </w:pPr>
            <w:r>
              <w:rPr>
                <w:b/>
                <w:color w:val="1C3A36"/>
                <w:sz w:val="18"/>
              </w:rPr>
              <w:t>Fair value (SAR/sh)</w:t>
            </w:r>
          </w:p>
        </w:tc>
        <w:tc>
          <w:tcPr>
            <w:tcW w:type="dxa" w:w="3168"/>
            <w:shd w:val="clear" w:color="auto" w:fill="EAF0EE"/>
          </w:tcPr>
          <w:p>
            <w:pPr>
              <w:spacing w:after="20"/>
            </w:pPr>
            <w:r>
              <w:rPr>
                <w:b/>
                <w:color w:val="1C3A36"/>
                <w:sz w:val="18"/>
              </w:rPr>
              <w:t>The one driving assumption</w:t>
            </w:r>
          </w:p>
        </w:tc>
      </w:tr>
      <w:tr>
        <w:tc>
          <w:tcPr>
            <w:tcW w:type="dxa" w:w="1728"/>
          </w:tcPr>
          <w:p>
            <w:pPr>
              <w:spacing w:after="20"/>
            </w:pPr>
            <w:r>
              <w:rPr>
                <w:b/>
                <w:color w:val="1C3A36"/>
                <w:sz w:val="18"/>
              </w:rPr>
              <w:t>Expert 1</w:t>
            </w:r>
          </w:p>
        </w:tc>
        <w:tc>
          <w:tcPr>
            <w:tcW w:type="dxa" w:w="3024"/>
          </w:tcPr>
          <w:p>
            <w:pPr>
              <w:spacing w:after="20"/>
            </w:pPr>
            <w:r>
              <w:rPr>
                <w:color w:val="1C3A36"/>
                <w:sz w:val="18"/>
              </w:rPr>
              <w:t>Earnings power (P/E)</w:t>
            </w:r>
          </w:p>
        </w:tc>
        <w:tc>
          <w:tcPr>
            <w:tcW w:type="dxa" w:w="2160"/>
          </w:tcPr>
          <w:p>
            <w:pPr>
              <w:spacing w:after="20"/>
              <w:jc w:val="right"/>
            </w:pPr>
            <w:r>
              <w:rPr>
                <w:color w:val="1C3A36"/>
                <w:sz w:val="18"/>
              </w:rPr>
              <w:t>75</w:t>
            </w:r>
          </w:p>
        </w:tc>
        <w:tc>
          <w:tcPr>
            <w:tcW w:type="dxa" w:w="3168"/>
          </w:tcPr>
          <w:p>
            <w:pPr>
              <w:spacing w:after="20"/>
              <w:jc w:val="right"/>
            </w:pPr>
            <w:r>
              <w:rPr>
                <w:color w:val="1C3A36"/>
                <w:sz w:val="18"/>
              </w:rPr>
              <w:t>Tasheel already inside a single group multiple</w:t>
            </w:r>
          </w:p>
        </w:tc>
      </w:tr>
      <w:tr>
        <w:tc>
          <w:tcPr>
            <w:tcW w:type="dxa" w:w="1728"/>
          </w:tcPr>
          <w:p>
            <w:pPr>
              <w:spacing w:after="20"/>
            </w:pPr>
            <w:r>
              <w:rPr>
                <w:b/>
                <w:color w:val="1C3A36"/>
                <w:sz w:val="18"/>
              </w:rPr>
              <w:t>Expert 2</w:t>
            </w:r>
          </w:p>
        </w:tc>
        <w:tc>
          <w:tcPr>
            <w:tcW w:type="dxa" w:w="3024"/>
          </w:tcPr>
          <w:p>
            <w:pPr>
              <w:spacing w:after="20"/>
            </w:pPr>
            <w:r>
              <w:rPr>
                <w:color w:val="1C3A36"/>
                <w:sz w:val="18"/>
              </w:rPr>
              <w:t>Split-legs SOTP</w:t>
            </w:r>
          </w:p>
        </w:tc>
        <w:tc>
          <w:tcPr>
            <w:tcW w:type="dxa" w:w="2160"/>
          </w:tcPr>
          <w:p>
            <w:pPr>
              <w:spacing w:after="20"/>
              <w:jc w:val="right"/>
            </w:pPr>
            <w:r>
              <w:rPr>
                <w:color w:val="1C3A36"/>
                <w:sz w:val="18"/>
              </w:rPr>
              <w:t>90</w:t>
            </w:r>
          </w:p>
        </w:tc>
        <w:tc>
          <w:tcPr>
            <w:tcW w:type="dxa" w:w="3168"/>
          </w:tcPr>
          <w:p>
            <w:pPr>
              <w:spacing w:after="20"/>
              <w:jc w:val="right"/>
            </w:pPr>
            <w:r>
              <w:rPr>
                <w:color w:val="1C3A36"/>
                <w:sz w:val="18"/>
              </w:rPr>
              <w:t>Tasheel a separate asset at ~2.4× book</w:t>
            </w:r>
          </w:p>
        </w:tc>
      </w:tr>
      <w:tr>
        <w:tc>
          <w:tcPr>
            <w:tcW w:type="dxa" w:w="1728"/>
          </w:tcPr>
          <w:p>
            <w:pPr>
              <w:spacing w:after="20"/>
            </w:pPr>
            <w:r>
              <w:rPr>
                <w:b/>
                <w:color w:val="1C3A36"/>
                <w:sz w:val="18"/>
              </w:rPr>
              <w:t>Expert 3</w:t>
            </w:r>
          </w:p>
        </w:tc>
        <w:tc>
          <w:tcPr>
            <w:tcW w:type="dxa" w:w="3024"/>
          </w:tcPr>
          <w:p>
            <w:pPr>
              <w:spacing w:after="20"/>
            </w:pPr>
            <w:r>
              <w:rPr>
                <w:color w:val="1C3A36"/>
                <w:sz w:val="18"/>
              </w:rPr>
              <w:t>Macro-policy scenario</w:t>
            </w:r>
          </w:p>
        </w:tc>
        <w:tc>
          <w:tcPr>
            <w:tcW w:type="dxa" w:w="2160"/>
          </w:tcPr>
          <w:p>
            <w:pPr>
              <w:spacing w:after="20"/>
              <w:jc w:val="right"/>
            </w:pPr>
            <w:r>
              <w:rPr>
                <w:color w:val="1C3A36"/>
                <w:sz w:val="18"/>
              </w:rPr>
              <w:t>78</w:t>
            </w:r>
          </w:p>
        </w:tc>
        <w:tc>
          <w:tcPr>
            <w:tcW w:type="dxa" w:w="3168"/>
          </w:tcPr>
          <w:p>
            <w:pPr>
              <w:spacing w:after="20"/>
              <w:jc w:val="right"/>
            </w:pPr>
            <w:r>
              <w:rPr>
                <w:color w:val="1C3A36"/>
                <w:sz w:val="18"/>
              </w:rPr>
              <w:t>The SAMA rate path; the dividend as a floor</w:t>
            </w:r>
          </w:p>
        </w:tc>
      </w:tr>
    </w:tbl>
    <w:p>
      <w:pPr>
        <w:spacing w:after="40"/>
      </w:pPr>
    </w:p>
    <w:p>
      <w:pPr>
        <w:spacing w:after="120" w:before="0"/>
      </w:pPr>
      <w:r>
        <w:rPr>
          <w:b w:val="0"/>
          <w:i w:val="0"/>
          <w:color w:val="1C3A36"/>
          <w:sz w:val="21"/>
        </w:rPr>
        <w:t>The spread (~SAR 75–90) is not noise — it measures how much of eXtra’s value sits in the captive lender and how it should be capitalised. A buyer who believes Tasheel is a durable, separately-valuable growth business sits with the Accountant near SAR 90; one who treats it as an embedded retail-finance line sits with Earnings-power near SAR 75; the strategist discounts both for the rate path and lands between. Their common ground matters as much as the spread: all three fair values sit above the SAR 68 spot, and all three lean on the same ~7% covered dividend as the downside floor. The debate is how much eXtra is undervalued, not whether.</w:t>
      </w:r>
    </w:p>
    <w:p>
      <w:r>
        <w:br w:type="page"/>
      </w:r>
    </w:p>
    <w:p>
      <w:pPr>
        <w:spacing w:after="100" w:before="260"/>
      </w:pPr>
      <w:r>
        <w:rPr>
          <w:b/>
          <w:i w:val="0"/>
          <w:color w:val="1C3A36"/>
          <w:sz w:val="30"/>
        </w:rPr>
        <w:t>About this series</w:t>
      </w:r>
    </w:p>
    <w:p>
      <w:pPr>
        <w:spacing w:after="120" w:before="0"/>
      </w:pPr>
      <w:r>
        <w:rPr>
          <w:b w:val="0"/>
          <w:i w:val="0"/>
          <w:color w:val="1C3A36"/>
          <w:sz w:val="21"/>
        </w:rPr>
        <w:t>Testahil publishes independent, educational valuation studies that integrate a fundamental view, a technical read, and a calibrated Monte Carlo distribution. We publish fair-value ranges and probability distributions, never ratings or price targets. Every study runs the same calibration gate (Step 0), the same bottom-up cost-of-capital discipline, and the same expert panel, so the framework is comparable across names and over time.</w:t>
      </w:r>
    </w:p>
    <w:p>
      <w:pPr>
        <w:spacing w:after="100" w:before="260"/>
      </w:pPr>
      <w:r>
        <w:rPr>
          <w:b/>
          <w:i w:val="0"/>
          <w:color w:val="1C3A36"/>
          <w:sz w:val="30"/>
        </w:rPr>
        <w:t>Disclosure &amp; Disclaimer</w:t>
      </w:r>
    </w:p>
    <w:p>
      <w:pPr>
        <w:spacing w:after="80" w:before="0"/>
      </w:pPr>
      <w:r>
        <w:rPr>
          <w:b/>
          <w:i w:val="0"/>
          <w:color w:val="1C3A36"/>
          <w:sz w:val="17"/>
        </w:rPr>
        <w:t xml:space="preserve">1.  </w:t>
      </w:r>
      <w:r>
        <w:rPr>
          <w:b w:val="0"/>
          <w:i w:val="0"/>
          <w:color w:val="1C3A36"/>
          <w:sz w:val="17"/>
        </w:rPr>
        <w:t>This report is prepared by Testahil for educational and informational purposes only. It is not investment advice, an offer, or a solicitation to buy or sell any security.</w:t>
      </w:r>
    </w:p>
    <w:p>
      <w:pPr>
        <w:spacing w:after="80" w:before="0"/>
      </w:pPr>
      <w:r>
        <w:rPr>
          <w:b/>
          <w:i w:val="0"/>
          <w:color w:val="1C3A36"/>
          <w:sz w:val="17"/>
        </w:rPr>
        <w:t xml:space="preserve">2.  </w:t>
      </w:r>
      <w:r>
        <w:rPr>
          <w:b w:val="0"/>
          <w:i w:val="0"/>
          <w:color w:val="1C3A36"/>
          <w:sz w:val="17"/>
        </w:rPr>
        <w:t>Nothing herein is a personal recommendation. It does not consider the objectives, financial situation, or needs of any specific person. Readers must make their own decisions and seek professional advice.</w:t>
      </w:r>
    </w:p>
    <w:p>
      <w:pPr>
        <w:spacing w:after="80" w:before="0"/>
      </w:pPr>
      <w:r>
        <w:rPr>
          <w:b/>
          <w:i w:val="0"/>
          <w:color w:val="1C3A36"/>
          <w:sz w:val="17"/>
        </w:rPr>
        <w:t xml:space="preserve">3.  </w:t>
      </w:r>
      <w:r>
        <w:rPr>
          <w:b w:val="0"/>
          <w:i w:val="0"/>
          <w:color w:val="1C3A36"/>
          <w:sz w:val="17"/>
        </w:rPr>
        <w:t>Testahil is not a licensed financial adviser and is not regulated by the Saudi Capital Market Authority or the Egyptian Financial Regulatory Authority. No rating or price target is expressed — fair value is presented only as a range and a probability distribution.</w:t>
      </w:r>
    </w:p>
    <w:p>
      <w:pPr>
        <w:spacing w:after="80" w:before="0"/>
      </w:pPr>
      <w:r>
        <w:rPr>
          <w:b/>
          <w:i w:val="0"/>
          <w:color w:val="1C3A36"/>
          <w:sz w:val="17"/>
        </w:rPr>
        <w:t xml:space="preserve">4.  </w:t>
      </w:r>
      <w:r>
        <w:rPr>
          <w:b w:val="0"/>
          <w:i w:val="0"/>
          <w:color w:val="1C3A36"/>
          <w:sz w:val="17"/>
        </w:rPr>
        <w:t>Information is drawn from sources believed reliable but is not guaranteed as to accuracy or completeness. Forward estimates are the house’s own and are inherently uncertain; certain inputs are flagged as estimates.</w:t>
      </w:r>
    </w:p>
    <w:p>
      <w:pPr>
        <w:spacing w:after="80" w:before="0"/>
      </w:pPr>
      <w:r>
        <w:rPr>
          <w:b/>
          <w:i w:val="0"/>
          <w:color w:val="1C3A36"/>
          <w:sz w:val="17"/>
        </w:rPr>
        <w:t xml:space="preserve">5.  </w:t>
      </w:r>
      <w:r>
        <w:rPr>
          <w:b w:val="0"/>
          <w:i w:val="0"/>
          <w:color w:val="1C3A36"/>
          <w:sz w:val="17"/>
        </w:rPr>
        <w:t>Past performance and modelled distributions are not guarantees of future results. Securities can lose value. The Monte Carlo output describes a range of outcomes, not a forecast of any single price.</w:t>
      </w:r>
    </w:p>
    <w:p>
      <w:pPr>
        <w:spacing w:after="80" w:before="0"/>
      </w:pPr>
      <w:r>
        <w:rPr>
          <w:b/>
          <w:i w:val="0"/>
          <w:color w:val="1C3A36"/>
          <w:sz w:val="17"/>
        </w:rPr>
        <w:t xml:space="preserve">6.  </w:t>
      </w:r>
      <w:r>
        <w:rPr>
          <w:b w:val="0"/>
          <w:i w:val="0"/>
          <w:color w:val="1C3A36"/>
          <w:sz w:val="17"/>
        </w:rPr>
        <w:t>The preparer may hold, and may in the future take or dispose of, a position in the security discussed in this report.</w:t>
      </w:r>
    </w:p>
    <w:p>
      <w:pPr>
        <w:spacing w:after="120" w:before="200"/>
        <w:jc w:val="center"/>
      </w:pPr>
      <w:r>
        <w:rPr>
          <w:b w:val="0"/>
          <w:i/>
          <w:color w:val="6E7B77"/>
          <w:sz w:val="16"/>
        </w:rPr>
        <w:t>Testahil · Independent Valuation Study · eXtra (Tadawul:4003) · edition 2026-07-09 · educational — not investment advice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