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Elsewedy Electric Company S.A.E. (EGX: SWDY)</w:t>
      </w:r>
    </w:p>
    <w:p>
      <w:pPr>
        <w:spacing w:after="120" w:before="0"/>
      </w:pPr>
      <w:r>
        <w:rPr>
          <w:b w:val="0"/>
          <w:i w:val="0"/>
          <w:color w:val="6E7B77"/>
          <w:sz w:val="20"/>
        </w:rPr>
        <w:t>Diversified industrial group — wires and cables, engineering and construction, electrical products, digital solutions and infrastructure investment · Egyptian Exchange · reporting currency EGP · analysis anchored on the closing price of 105.20 on 2026-08-05.</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rating and no price target. What it contains is a fair-value range built from disclosed financial statements, a stated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it carries no implied timeframe. A share can trade above or below an intrinsic estimate for years.</w:t>
            </w:r>
          </w:p>
          <w:p>
            <w:pPr>
              <w:spacing w:after="100"/>
            </w:pPr>
            <w:r>
              <w:rPr>
                <w:b/>
                <w:color w:val="1C3A36"/>
                <w:sz w:val="19"/>
              </w:rPr>
              <w:t xml:space="preserve">Where the numbers come from. </w:t>
            </w:r>
            <w:r>
              <w:rPr>
                <w:color w:val="1C3A36"/>
                <w:sz w:val="19"/>
              </w:rPr>
              <w:t>Every figure traces to a source recorded in the accompanying source register: the company's own audited and interim financial statements and earnings releases, exchange filings, and named market data. Where a figure is derived rather than disclosed, it is labelled as derived and the derivation is shown.</w:t>
            </w:r>
          </w:p>
          <w:p>
            <w:pPr>
              <w:spacing w:after="100"/>
            </w:pPr>
            <w:r>
              <w:rPr>
                <w:b/>
                <w:color w:val="1C3A36"/>
                <w:sz w:val="19"/>
              </w:rPr>
              <w:t xml:space="preserve">The single largest uncertainty. </w:t>
            </w:r>
            <w:r>
              <w:rPr>
                <w:color w:val="1C3A36"/>
                <w:sz w:val="19"/>
              </w:rPr>
              <w:t>This company earns just over half its revenue on a hard-currency-linked basis, but it reports, is listed and is financed in Egyptian pounds. The answer therefore depends heavily on which currency's cost of capital you believe applies. Both readings are computed and both are shown.</w:t>
            </w:r>
          </w:p>
        </w:tc>
      </w:tr>
    </w:tbl>
    <w:p>
      <w:pPr>
        <w:spacing w:after="40"/>
      </w:pPr>
    </w:p>
    <w:p>
      <w:pPr>
        <w:spacing w:after="80" w:before="200"/>
      </w:pPr>
      <w:r>
        <w:rPr>
          <w:b/>
          <w:i w:val="0"/>
          <w:color w:val="1C3A36"/>
          <w:sz w:val="24"/>
        </w:rPr>
        <w:t>Headline</w:t>
      </w:r>
    </w:p>
    <w:p>
      <w:pPr>
        <w:spacing w:after="120" w:before="0"/>
      </w:pPr>
      <w:r>
        <w:rPr>
          <w:b w:val="0"/>
          <w:i w:val="0"/>
          <w:color w:val="1C3A36"/>
          <w:sz w:val="21"/>
        </w:rPr>
        <w:t>Elsewedy Electric is the largest listed industrial group on the Egyptian Exchange by revenue: EGP 281,049mn in FY2025, up +21% on FY2024 and +36% a year compounded over the last two years. It converts copper into cable, builds substations and power plants under turnkey contract, and sells meters, transformers and digital grid products across 15 countries. The company discloses exactly three reportable segments — Cables and its accessories, Constructions and infrastructure, and Electrical products and digital solutions — and just over half of group revenue is earned on a hard-currency-linked basis.</w:t>
      </w:r>
    </w:p>
    <w:p>
      <w:pPr>
        <w:spacing w:after="120" w:before="0"/>
      </w:pPr>
      <w:r>
        <w:rPr>
          <w:b w:val="0"/>
          <w:i w:val="0"/>
          <w:color w:val="1C3A36"/>
          <w:sz w:val="21"/>
        </w:rPr>
        <w:t>The operating story of the last two years is a margin normalisation, not a deterioration. The gross margin ran at 18.9% in FY2024 when a collapsing pound turned cheaply bought copper inventory into windfall profit; it settled to roughly 14.5% in FY2025 as that effect washed out. Revenue kept compounding through it. Net profit after minority interests was essentially flat at EGP 17,330mn against EGP 17,461mn — a flat result on a +21% revenue increase is the whole of the margin story in one line. The first quarter of 2026 reaccelerated: revenue EGP 75,298mn (+27%) and attributable profit EGP 4,845mn (+17%).</w:t>
      </w:r>
    </w:p>
    <w:p>
      <w:pPr>
        <w:spacing w:after="120" w:before="0"/>
      </w:pPr>
      <w:r>
        <w:rPr>
          <w:b w:val="0"/>
          <w:i w:val="0"/>
          <w:color w:val="1C3A36"/>
          <w:sz w:val="21"/>
        </w:rPr>
        <w:t>The balance sheet is not the constraint people assume. Gross borrowings are large because the working-capital cycle is large, but the group holds very substantial offsetting cash: net bank debt was EGP 20,560mn at the end of FY2025, only 0.7× EBITDA. And the debt is cheap in a way that is easy to miss: the audited notes disclose average rates of 21.3% on Egyptian-pound liabilities but only 5.3% on the blended hard-currency book. The blended rate actually paid works out near 9.8%, less than half what a purely domestic Egyptian borrower pays.</w:t>
      </w:r>
    </w:p>
    <w:p>
      <w:pPr>
        <w:spacing w:after="200" w:before="0"/>
      </w:pPr>
      <w:r>
        <w:rPr>
          <w:b w:val="0"/>
          <w:i w:val="0"/>
          <w:color w:val="1C3A36"/>
          <w:sz w:val="21"/>
        </w:rPr>
        <w:t>On our primary construction the four lenses centre at EGP 69.73 per share against a market price of 105.20 — the price sits about +51% above the central estimate. That gap is not mainly an argument about the business; it is an argument about the discount rate. Discounted at an Egyptian cost of capital gliding 26.6% to 15.9%, the cash flows support roughly EGP 56.08. Discount the hard-currency share of those same cash flows at a hard-currency cost of capital of about 10.1% and the same model produces EGP 85.97 — still -18% against today's price, but +53% above the primary reading. The market appears to be applying something at least as generous as the second view. Both are shown, and neither is hidden inside an average.</w:t>
      </w: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3960"/>
        <w:gridCol w:w="1656"/>
        <w:gridCol w:w="1037"/>
        <w:gridCol w:w="907"/>
      </w:tblGrid>
      <w:tr>
        <w:tc>
          <w:tcPr>
            <w:tcW w:type="dxa" w:w="1872"/>
            <w:shd w:val="clear" w:color="auto" w:fill="EAF0EE"/>
          </w:tcPr>
          <w:p>
            <w:pPr>
              <w:spacing w:after="20"/>
            </w:pPr>
            <w:r>
              <w:rPr>
                <w:b/>
                <w:color w:val="1C3A36"/>
                <w:sz w:val="17"/>
              </w:rPr>
              <w:t>Read</w:t>
            </w:r>
          </w:p>
        </w:tc>
        <w:tc>
          <w:tcPr>
            <w:tcW w:type="dxa" w:w="3960"/>
            <w:shd w:val="clear" w:color="auto" w:fill="EAF0EE"/>
          </w:tcPr>
          <w:p>
            <w:pPr>
              <w:spacing w:after="20"/>
            </w:pPr>
            <w:r>
              <w:rPr>
                <w:b/>
                <w:color w:val="1C3A36"/>
                <w:sz w:val="17"/>
              </w:rPr>
              <w:t>Basis</w:t>
            </w:r>
          </w:p>
        </w:tc>
        <w:tc>
          <w:tcPr>
            <w:tcW w:type="dxa" w:w="1656"/>
            <w:shd w:val="clear" w:color="auto" w:fill="EAF0EE"/>
          </w:tcPr>
          <w:p>
            <w:pPr>
              <w:spacing w:after="20"/>
            </w:pPr>
            <w:r>
              <w:rPr>
                <w:b/>
                <w:color w:val="1C3A36"/>
                <w:sz w:val="17"/>
              </w:rPr>
              <w:t>Range (EGP/share)</w:t>
            </w:r>
          </w:p>
        </w:tc>
        <w:tc>
          <w:tcPr>
            <w:tcW w:type="dxa" w:w="1037"/>
            <w:shd w:val="clear" w:color="auto" w:fill="EAF0EE"/>
          </w:tcPr>
          <w:p>
            <w:pPr>
              <w:spacing w:after="20"/>
            </w:pPr>
            <w:r>
              <w:rPr>
                <w:b/>
                <w:color w:val="1C3A36"/>
                <w:sz w:val="17"/>
              </w:rPr>
              <w:t>Central</w:t>
            </w:r>
          </w:p>
        </w:tc>
        <w:tc>
          <w:tcPr>
            <w:tcW w:type="dxa" w:w="907"/>
            <w:shd w:val="clear" w:color="auto" w:fill="EAF0EE"/>
          </w:tcPr>
          <w:p>
            <w:pPr>
              <w:spacing w:after="20"/>
            </w:pPr>
            <w:r>
              <w:rPr>
                <w:b/>
                <w:color w:val="1C3A36"/>
                <w:sz w:val="17"/>
              </w:rPr>
              <w:t>vs spot</w:t>
            </w:r>
          </w:p>
        </w:tc>
      </w:tr>
      <w:tr>
        <w:tc>
          <w:tcPr>
            <w:tcW w:type="dxa" w:w="1872"/>
          </w:tcPr>
          <w:p>
            <w:pPr>
              <w:spacing w:after="20"/>
            </w:pPr>
            <w:r>
              <w:rPr>
                <w:color w:val="1C3A36"/>
                <w:sz w:val="17"/>
              </w:rPr>
              <w:t>Discounted cash flow</w:t>
            </w:r>
          </w:p>
        </w:tc>
        <w:tc>
          <w:tcPr>
            <w:tcW w:type="dxa" w:w="3960"/>
          </w:tcPr>
          <w:p>
            <w:pPr>
              <w:spacing w:after="20"/>
              <w:jc w:val="right"/>
            </w:pPr>
            <w:r>
              <w:rPr>
                <w:color w:val="1C3A36"/>
                <w:sz w:val="17"/>
              </w:rPr>
              <w:t>5-year FCFF, cost of capital gliding 26.6% → 15.9%, terminal growth 5%; 85% of enterprise value comes from the terminal value</w:t>
            </w:r>
          </w:p>
        </w:tc>
        <w:tc>
          <w:tcPr>
            <w:tcW w:type="dxa" w:w="1656"/>
          </w:tcPr>
          <w:p>
            <w:pPr>
              <w:spacing w:after="20"/>
              <w:jc w:val="right"/>
            </w:pPr>
            <w:r>
              <w:rPr>
                <w:color w:val="1C3A36"/>
                <w:sz w:val="17"/>
              </w:rPr>
              <w:t>19.95 – 122.33</w:t>
            </w:r>
          </w:p>
        </w:tc>
        <w:tc>
          <w:tcPr>
            <w:tcW w:type="dxa" w:w="1037"/>
          </w:tcPr>
          <w:p>
            <w:pPr>
              <w:spacing w:after="20"/>
              <w:jc w:val="right"/>
            </w:pPr>
            <w:r>
              <w:rPr>
                <w:color w:val="1C3A36"/>
                <w:sz w:val="17"/>
              </w:rPr>
              <w:t>56.08</w:t>
            </w:r>
          </w:p>
        </w:tc>
        <w:tc>
          <w:tcPr>
            <w:tcW w:type="dxa" w:w="907"/>
          </w:tcPr>
          <w:p>
            <w:pPr>
              <w:spacing w:after="20"/>
              <w:jc w:val="right"/>
            </w:pPr>
            <w:r>
              <w:rPr>
                <w:color w:val="1C3A36"/>
                <w:sz w:val="17"/>
              </w:rPr>
              <w:t>-47%</w:t>
            </w:r>
          </w:p>
        </w:tc>
      </w:tr>
      <w:tr>
        <w:tc>
          <w:tcPr>
            <w:tcW w:type="dxa" w:w="1872"/>
          </w:tcPr>
          <w:p>
            <w:pPr>
              <w:spacing w:after="20"/>
            </w:pPr>
            <w:r>
              <w:rPr>
                <w:color w:val="1C3A36"/>
                <w:sz w:val="17"/>
              </w:rPr>
              <w:t>Relative multiples</w:t>
            </w:r>
          </w:p>
        </w:tc>
        <w:tc>
          <w:tcPr>
            <w:tcW w:type="dxa" w:w="3960"/>
          </w:tcPr>
          <w:p>
            <w:pPr>
              <w:spacing w:after="20"/>
              <w:jc w:val="right"/>
            </w:pPr>
            <w:r>
              <w:rPr>
                <w:color w:val="1C3A36"/>
                <w:sz w:val="17"/>
              </w:rPr>
              <w:t>6.5× mid-cycle EV/EBITDA (trailing 8.7×; trailing P/E 13.0×)</w:t>
            </w:r>
          </w:p>
        </w:tc>
        <w:tc>
          <w:tcPr>
            <w:tcW w:type="dxa" w:w="1656"/>
          </w:tcPr>
          <w:p>
            <w:pPr>
              <w:spacing w:after="20"/>
              <w:jc w:val="right"/>
            </w:pPr>
            <w:r>
              <w:rPr>
                <w:color w:val="1C3A36"/>
                <w:sz w:val="17"/>
              </w:rPr>
              <w:t>62.57 – 95.28</w:t>
            </w:r>
          </w:p>
        </w:tc>
        <w:tc>
          <w:tcPr>
            <w:tcW w:type="dxa" w:w="1037"/>
          </w:tcPr>
          <w:p>
            <w:pPr>
              <w:spacing w:after="20"/>
              <w:jc w:val="right"/>
            </w:pPr>
            <w:r>
              <w:rPr>
                <w:color w:val="1C3A36"/>
                <w:sz w:val="17"/>
              </w:rPr>
              <w:t>75.65</w:t>
            </w:r>
          </w:p>
        </w:tc>
        <w:tc>
          <w:tcPr>
            <w:tcW w:type="dxa" w:w="907"/>
          </w:tcPr>
          <w:p>
            <w:pPr>
              <w:spacing w:after="20"/>
              <w:jc w:val="right"/>
            </w:pPr>
            <w:r>
              <w:rPr>
                <w:color w:val="1C3A36"/>
                <w:sz w:val="17"/>
              </w:rPr>
              <w:t>-28%</w:t>
            </w:r>
          </w:p>
        </w:tc>
      </w:tr>
      <w:tr>
        <w:tc>
          <w:tcPr>
            <w:tcW w:type="dxa" w:w="1872"/>
          </w:tcPr>
          <w:p>
            <w:pPr>
              <w:spacing w:after="20"/>
            </w:pPr>
            <w:r>
              <w:rPr>
                <w:color w:val="1C3A36"/>
                <w:sz w:val="17"/>
              </w:rPr>
              <w:t>Normalised earnings power</w:t>
            </w:r>
          </w:p>
        </w:tc>
        <w:tc>
          <w:tcPr>
            <w:tcW w:type="dxa" w:w="3960"/>
          </w:tcPr>
          <w:p>
            <w:pPr>
              <w:spacing w:after="20"/>
              <w:jc w:val="right"/>
            </w:pPr>
            <w:r>
              <w:rPr>
                <w:color w:val="1C3A36"/>
                <w:sz w:val="17"/>
              </w:rPr>
              <w:t>mid-cycle EBITDA margin 10.2% at a justified 9.0× P/E</w:t>
            </w:r>
          </w:p>
        </w:tc>
        <w:tc>
          <w:tcPr>
            <w:tcW w:type="dxa" w:w="1656"/>
          </w:tcPr>
          <w:p>
            <w:pPr>
              <w:spacing w:after="20"/>
              <w:jc w:val="right"/>
            </w:pPr>
            <w:r>
              <w:rPr>
                <w:color w:val="1C3A36"/>
                <w:sz w:val="17"/>
              </w:rPr>
              <w:t>83.72 – 138.73</w:t>
            </w:r>
          </w:p>
        </w:tc>
        <w:tc>
          <w:tcPr>
            <w:tcW w:type="dxa" w:w="1037"/>
          </w:tcPr>
          <w:p>
            <w:pPr>
              <w:spacing w:after="20"/>
              <w:jc w:val="right"/>
            </w:pPr>
            <w:r>
              <w:rPr>
                <w:color w:val="1C3A36"/>
                <w:sz w:val="17"/>
              </w:rPr>
              <w:t>108.17</w:t>
            </w:r>
          </w:p>
        </w:tc>
        <w:tc>
          <w:tcPr>
            <w:tcW w:type="dxa" w:w="907"/>
          </w:tcPr>
          <w:p>
            <w:pPr>
              <w:spacing w:after="20"/>
              <w:jc w:val="right"/>
            </w:pPr>
            <w:r>
              <w:rPr>
                <w:color w:val="1C3A36"/>
                <w:sz w:val="17"/>
              </w:rPr>
              <w:t>+3%</w:t>
            </w:r>
          </w:p>
        </w:tc>
      </w:tr>
      <w:tr>
        <w:tc>
          <w:tcPr>
            <w:tcW w:type="dxa" w:w="1872"/>
          </w:tcPr>
          <w:p>
            <w:pPr>
              <w:spacing w:after="20"/>
            </w:pPr>
            <w:r>
              <w:rPr>
                <w:color w:val="1C3A36"/>
                <w:sz w:val="17"/>
              </w:rPr>
              <w:t>Book value and sustainable return</w:t>
            </w:r>
          </w:p>
        </w:tc>
        <w:tc>
          <w:tcPr>
            <w:tcW w:type="dxa" w:w="3960"/>
          </w:tcPr>
          <w:p>
            <w:pPr>
              <w:spacing w:after="20"/>
              <w:jc w:val="right"/>
            </w:pPr>
            <w:r>
              <w:rPr>
                <w:color w:val="1C3A36"/>
                <w:sz w:val="17"/>
              </w:rPr>
              <w:t>justified price-to-book 1.5× on book value of 31.24/share at a sustainable return on equity of 23.5%</w:t>
            </w:r>
          </w:p>
        </w:tc>
        <w:tc>
          <w:tcPr>
            <w:tcW w:type="dxa" w:w="1656"/>
          </w:tcPr>
          <w:p>
            <w:pPr>
              <w:spacing w:after="20"/>
              <w:jc w:val="right"/>
            </w:pPr>
            <w:r>
              <w:rPr>
                <w:color w:val="1C3A36"/>
                <w:sz w:val="17"/>
              </w:rPr>
              <w:t>35.33 – 57.29</w:t>
            </w:r>
          </w:p>
        </w:tc>
        <w:tc>
          <w:tcPr>
            <w:tcW w:type="dxa" w:w="1037"/>
          </w:tcPr>
          <w:p>
            <w:pPr>
              <w:spacing w:after="20"/>
              <w:jc w:val="right"/>
            </w:pPr>
            <w:r>
              <w:rPr>
                <w:color w:val="1C3A36"/>
                <w:sz w:val="17"/>
              </w:rPr>
              <w:t>51.52</w:t>
            </w:r>
          </w:p>
        </w:tc>
        <w:tc>
          <w:tcPr>
            <w:tcW w:type="dxa" w:w="907"/>
          </w:tcPr>
          <w:p>
            <w:pPr>
              <w:spacing w:after="20"/>
              <w:jc w:val="right"/>
            </w:pPr>
            <w:r>
              <w:rPr>
                <w:color w:val="1C3A36"/>
                <w:sz w:val="17"/>
              </w:rPr>
              <w:t>-51%</w:t>
            </w:r>
          </w:p>
        </w:tc>
      </w:tr>
      <w:tr>
        <w:tc>
          <w:tcPr>
            <w:tcW w:type="dxa" w:w="1872"/>
            <w:shd w:val="clear" w:color="auto" w:fill="F6F1E6"/>
          </w:tcPr>
          <w:p>
            <w:pPr>
              <w:spacing w:after="20"/>
            </w:pPr>
            <w:r>
              <w:rPr>
                <w:b/>
                <w:color w:val="1C3A36"/>
                <w:sz w:val="17"/>
              </w:rPr>
              <w:t>Weighted central</w:t>
            </w:r>
          </w:p>
        </w:tc>
        <w:tc>
          <w:tcPr>
            <w:tcW w:type="dxa" w:w="3960"/>
            <w:shd w:val="clear" w:color="auto" w:fill="F6F1E6"/>
          </w:tcPr>
          <w:p>
            <w:pPr>
              <w:spacing w:after="20"/>
              <w:jc w:val="right"/>
            </w:pPr>
            <w:r>
              <w:rPr>
                <w:b/>
                <w:color w:val="1C3A36"/>
                <w:sz w:val="17"/>
              </w:rPr>
              <w:t>DCF 45% · relative 20% · normalised 20% · book 15%</w:t>
            </w:r>
          </w:p>
        </w:tc>
        <w:tc>
          <w:tcPr>
            <w:tcW w:type="dxa" w:w="1656"/>
            <w:shd w:val="clear" w:color="auto" w:fill="F6F1E6"/>
          </w:tcPr>
          <w:p>
            <w:pPr>
              <w:spacing w:after="20"/>
              <w:jc w:val="right"/>
            </w:pPr>
            <w:r>
              <w:rPr>
                <w:b/>
                <w:color w:val="1C3A36"/>
                <w:sz w:val="17"/>
              </w:rPr>
              <w:t>19.95 – 138.73</w:t>
            </w:r>
          </w:p>
        </w:tc>
        <w:tc>
          <w:tcPr>
            <w:tcW w:type="dxa" w:w="1037"/>
            <w:shd w:val="clear" w:color="auto" w:fill="F6F1E6"/>
          </w:tcPr>
          <w:p>
            <w:pPr>
              <w:spacing w:after="20"/>
              <w:jc w:val="right"/>
            </w:pPr>
            <w:r>
              <w:rPr>
                <w:b/>
                <w:color w:val="1C3A36"/>
                <w:sz w:val="17"/>
              </w:rPr>
              <w:t>69.73</w:t>
            </w:r>
          </w:p>
        </w:tc>
        <w:tc>
          <w:tcPr>
            <w:tcW w:type="dxa" w:w="907"/>
            <w:shd w:val="clear" w:color="auto" w:fill="F6F1E6"/>
          </w:tcPr>
          <w:p>
            <w:pPr>
              <w:spacing w:after="20"/>
              <w:jc w:val="right"/>
            </w:pPr>
            <w:r>
              <w:rPr>
                <w:b/>
                <w:color w:val="1C3A36"/>
                <w:sz w:val="17"/>
              </w:rPr>
              <w:t>-34%</w:t>
            </w:r>
          </w:p>
        </w:tc>
      </w:tr>
      <w:tr>
        <w:tc>
          <w:tcPr>
            <w:tcW w:type="dxa" w:w="1872"/>
          </w:tcPr>
          <w:p>
            <w:pPr>
              <w:spacing w:after="20"/>
            </w:pPr>
            <w:r>
              <w:rPr>
                <w:color w:val="1C3A36"/>
                <w:sz w:val="17"/>
              </w:rPr>
              <w:t>Market price</w:t>
            </w:r>
          </w:p>
        </w:tc>
        <w:tc>
          <w:tcPr>
            <w:tcW w:type="dxa" w:w="3960"/>
          </w:tcPr>
          <w:p>
            <w:pPr>
              <w:spacing w:after="20"/>
              <w:jc w:val="right"/>
            </w:pPr>
            <w:r>
              <w:rPr>
                <w:color w:val="1C3A36"/>
                <w:sz w:val="17"/>
              </w:rPr>
              <w:t>closing price on the anchor date</w:t>
            </w:r>
          </w:p>
        </w:tc>
        <w:tc>
          <w:tcPr>
            <w:tcW w:type="dxa" w:w="1656"/>
          </w:tcPr>
          <w:p>
            <w:pPr>
              <w:spacing w:after="20"/>
              <w:jc w:val="right"/>
            </w:pPr>
            <w:r>
              <w:rPr>
                <w:color w:val="1C3A36"/>
                <w:sz w:val="17"/>
              </w:rPr>
              <w:t>—</w:t>
            </w:r>
          </w:p>
        </w:tc>
        <w:tc>
          <w:tcPr>
            <w:tcW w:type="dxa" w:w="1037"/>
          </w:tcPr>
          <w:p>
            <w:pPr>
              <w:spacing w:after="20"/>
              <w:jc w:val="right"/>
            </w:pPr>
            <w:r>
              <w:rPr>
                <w:color w:val="1C3A36"/>
                <w:sz w:val="17"/>
              </w:rPr>
              <w:t>105.20</w:t>
            </w:r>
          </w:p>
        </w:tc>
        <w:tc>
          <w:tcPr>
            <w:tcW w:type="dxa" w:w="907"/>
          </w:tcPr>
          <w:p>
            <w:pPr>
              <w:spacing w:after="20"/>
              <w:jc w:val="right"/>
            </w:pPr>
            <w:r>
              <w:rPr>
                <w:color w:val="1C3A36"/>
                <w:sz w:val="17"/>
              </w:rPr>
              <w:t>—</w:t>
            </w:r>
          </w:p>
        </w:tc>
      </w:tr>
      <w:tr>
        <w:tc>
          <w:tcPr>
            <w:tcW w:type="dxa" w:w="1872"/>
            <w:shd w:val="clear" w:color="auto" w:fill="F6F1E6"/>
          </w:tcPr>
          <w:p>
            <w:pPr>
              <w:spacing w:after="20"/>
            </w:pPr>
            <w:r>
              <w:rPr>
                <w:b/>
                <w:color w:val="1C3A36"/>
                <w:sz w:val="17"/>
              </w:rPr>
              <w:t>ALTERNATIVE READINGS — not included in the weighted central above</w:t>
            </w:r>
          </w:p>
        </w:tc>
        <w:tc>
          <w:tcPr>
            <w:tcW w:type="dxa" w:w="3960"/>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c>
          <w:tcPr>
            <w:tcW w:type="dxa" w:w="1037"/>
            <w:shd w:val="clear" w:color="auto" w:fill="F6F1E6"/>
          </w:tcPr>
          <w:p>
            <w:pPr>
              <w:spacing w:after="20"/>
              <w:jc w:val="right"/>
            </w:pPr>
            <w:r>
              <w:rPr>
                <w:b/>
                <w:color w:val="1C3A36"/>
                <w:sz w:val="17"/>
              </w:rPr>
            </w:r>
          </w:p>
        </w:tc>
        <w:tc>
          <w:tcPr>
            <w:tcW w:type="dxa" w:w="907"/>
            <w:shd w:val="clear" w:color="auto" w:fill="F6F1E6"/>
          </w:tcPr>
          <w:p>
            <w:pPr>
              <w:spacing w:after="20"/>
              <w:jc w:val="right"/>
            </w:pPr>
            <w:r>
              <w:rPr>
                <w:b/>
                <w:color w:val="1C3A36"/>
                <w:sz w:val="17"/>
              </w:rPr>
            </w:r>
          </w:p>
        </w:tc>
      </w:tr>
      <w:tr>
        <w:tc>
          <w:tcPr>
            <w:tcW w:type="dxa" w:w="1872"/>
          </w:tcPr>
          <w:p>
            <w:pPr>
              <w:spacing w:after="20"/>
            </w:pPr>
            <w:r>
              <w:rPr>
                <w:color w:val="1C3A36"/>
                <w:sz w:val="17"/>
              </w:rPr>
              <w:t>Currency of discounting</w:t>
            </w:r>
          </w:p>
        </w:tc>
        <w:tc>
          <w:tcPr>
            <w:tcW w:type="dxa" w:w="3960"/>
          </w:tcPr>
          <w:p>
            <w:pPr>
              <w:spacing w:after="20"/>
              <w:jc w:val="right"/>
            </w:pPr>
            <w:r>
              <w:rPr>
                <w:color w:val="1C3A36"/>
                <w:sz w:val="17"/>
              </w:rPr>
              <w:t>the same cash flows with the hard-currency leg discounted at 10.1% instead of the Egyptian rate — a different view of country risk, not a fifth lens</w:t>
            </w:r>
          </w:p>
        </w:tc>
        <w:tc>
          <w:tcPr>
            <w:tcW w:type="dxa" w:w="1656"/>
          </w:tcPr>
          <w:p>
            <w:pPr>
              <w:spacing w:after="20"/>
              <w:jc w:val="right"/>
            </w:pPr>
            <w:r>
              <w:rPr>
                <w:color w:val="1C3A36"/>
                <w:sz w:val="17"/>
              </w:rPr>
              <w:t>—</w:t>
            </w:r>
          </w:p>
        </w:tc>
        <w:tc>
          <w:tcPr>
            <w:tcW w:type="dxa" w:w="1037"/>
          </w:tcPr>
          <w:p>
            <w:pPr>
              <w:spacing w:after="20"/>
              <w:jc w:val="right"/>
            </w:pPr>
            <w:r>
              <w:rPr>
                <w:color w:val="1C3A36"/>
                <w:sz w:val="17"/>
              </w:rPr>
              <w:t>85.97</w:t>
            </w:r>
          </w:p>
        </w:tc>
        <w:tc>
          <w:tcPr>
            <w:tcW w:type="dxa" w:w="907"/>
          </w:tcPr>
          <w:p>
            <w:pPr>
              <w:spacing w:after="20"/>
              <w:jc w:val="right"/>
            </w:pPr>
            <w:r>
              <w:rPr>
                <w:color w:val="1C3A36"/>
                <w:sz w:val="17"/>
              </w:rPr>
              <w:t>-18%</w:t>
            </w:r>
          </w:p>
        </w:tc>
      </w:tr>
      <w:tr>
        <w:tc>
          <w:tcPr>
            <w:tcW w:type="dxa" w:w="1872"/>
          </w:tcPr>
          <w:p>
            <w:pPr>
              <w:spacing w:after="20"/>
            </w:pPr>
            <w:r>
              <w:rPr>
                <w:color w:val="1C3A36"/>
                <w:sz w:val="17"/>
              </w:rPr>
              <w:t>Rating-basis cost of capital</w:t>
            </w:r>
          </w:p>
        </w:tc>
        <w:tc>
          <w:tcPr>
            <w:tcW w:type="dxa" w:w="3960"/>
          </w:tcPr>
          <w:p>
            <w:pPr>
              <w:spacing w:after="20"/>
              <w:jc w:val="right"/>
            </w:pPr>
            <w:r>
              <w:rPr>
                <w:color w:val="1C3A36"/>
                <w:sz w:val="17"/>
              </w:rPr>
              <w:t>the same model on the rating column of the published country-risk table rather than the market-spread column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36.46</w:t>
            </w:r>
          </w:p>
        </w:tc>
        <w:tc>
          <w:tcPr>
            <w:tcW w:type="dxa" w:w="907"/>
          </w:tcPr>
          <w:p>
            <w:pPr>
              <w:spacing w:after="20"/>
              <w:jc w:val="right"/>
            </w:pPr>
            <w:r>
              <w:rPr>
                <w:color w:val="1C3A36"/>
                <w:sz w:val="17"/>
              </w:rPr>
              <w:t>-65%</w:t>
            </w:r>
          </w:p>
        </w:tc>
      </w:tr>
      <w:tr>
        <w:tc>
          <w:tcPr>
            <w:tcW w:type="dxa" w:w="1872"/>
          </w:tcPr>
          <w:p>
            <w:pPr>
              <w:spacing w:after="20"/>
            </w:pPr>
            <w:r>
              <w:rPr>
                <w:color w:val="1C3A36"/>
                <w:sz w:val="17"/>
              </w:rPr>
              <w:t>Minority interests charged before net debt</w:t>
            </w:r>
          </w:p>
        </w:tc>
        <w:tc>
          <w:tcPr>
            <w:tcW w:type="dxa" w:w="3960"/>
          </w:tcPr>
          <w:p>
            <w:pPr>
              <w:spacing w:after="20"/>
              <w:jc w:val="right"/>
            </w:pPr>
            <w:r>
              <w:rPr>
                <w:color w:val="1C3A36"/>
                <w:sz w:val="17"/>
              </w:rPr>
              <w:t>an alternative sequencing of one line of the bridge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55.01</w:t>
            </w:r>
          </w:p>
        </w:tc>
        <w:tc>
          <w:tcPr>
            <w:tcW w:type="dxa" w:w="907"/>
          </w:tcPr>
          <w:p>
            <w:pPr>
              <w:spacing w:after="20"/>
              <w:jc w:val="right"/>
            </w:pPr>
            <w:r>
              <w:rPr>
                <w:color w:val="1C3A36"/>
                <w:sz w:val="17"/>
              </w:rPr>
              <w:t>-48%</w:t>
            </w:r>
          </w:p>
        </w:tc>
      </w:tr>
    </w:tbl>
    <w:p>
      <w:pPr>
        <w:spacing w:after="40"/>
      </w:pPr>
    </w:p>
    <w:p>
      <w:pPr>
        <w:spacing w:after="200" w:before="0"/>
      </w:pPr>
      <w:r>
        <w:rPr>
          <w:b w:val="0"/>
          <w:i/>
          <w:color w:val="6E7B77"/>
          <w:sz w:val="17"/>
        </w:rPr>
        <w:t>The alternative readings are shown so that each genuinely contested choice carries a number the reader can see, rather than being averaged silently into the headline. They are deliberately excluded from the weighted central because each answers a different question — which currency's cost of capital applies, which column of a risk table to use, how to sequence one line of the bridge — and blending them would hide the disagreement instead of showing it. Ranges are bear-to-bull within each lens; the central is the weighted base. Terminal value is 85% of the discounted-cash-flow enterprise value — a high share, disclosed here and again in the bridge, and the reason the terminal assumptions are stress-tested in section 1.9.</w:t>
      </w:r>
    </w:p>
    <w:p>
      <w:pPr>
        <w:spacing w:after="80" w:before="200"/>
      </w:pPr>
      <w:r>
        <w:rPr>
          <w:b/>
          <w:i w:val="0"/>
          <w:color w:val="1C3A36"/>
          <w:sz w:val="24"/>
        </w:rPr>
        <w:t>Company overview — Elsewedy Electric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7848"/>
      </w:tblGrid>
      <w:tr>
        <w:tc>
          <w:tcPr>
            <w:tcW w:type="dxa" w:w="2232"/>
            <w:shd w:val="clear" w:color="auto" w:fill="EAF0EE"/>
          </w:tcPr>
          <w:p>
            <w:pPr>
              <w:spacing w:after="20"/>
            </w:pPr>
            <w:r>
              <w:rPr>
                <w:b/>
                <w:color w:val="1C3A36"/>
                <w:sz w:val="17"/>
              </w:rPr>
              <w:t>Item</w:t>
            </w:r>
          </w:p>
        </w:tc>
        <w:tc>
          <w:tcPr>
            <w:tcW w:type="dxa" w:w="7848"/>
            <w:shd w:val="clear" w:color="auto" w:fill="EAF0EE"/>
          </w:tcPr>
          <w:p>
            <w:pPr>
              <w:spacing w:after="20"/>
            </w:pPr>
            <w:r>
              <w:rPr>
                <w:b/>
                <w:color w:val="1C3A36"/>
                <w:sz w:val="17"/>
              </w:rPr>
              <w:t>Detail</w:t>
            </w:r>
          </w:p>
        </w:tc>
      </w:tr>
      <w:tr>
        <w:tc>
          <w:tcPr>
            <w:tcW w:type="dxa" w:w="2232"/>
          </w:tcPr>
          <w:p>
            <w:pPr>
              <w:spacing w:after="20"/>
            </w:pPr>
            <w:r>
              <w:rPr>
                <w:color w:val="1C3A36"/>
                <w:sz w:val="17"/>
              </w:rPr>
              <w:t>Founded / listed</w:t>
            </w:r>
          </w:p>
        </w:tc>
        <w:tc>
          <w:tcPr>
            <w:tcW w:type="dxa" w:w="7848"/>
          </w:tcPr>
          <w:p>
            <w:pPr>
              <w:spacing w:after="20"/>
            </w:pPr>
            <w:r>
              <w:rPr>
                <w:color w:val="1C3A36"/>
                <w:sz w:val="17"/>
              </w:rPr>
              <w:t>Established 1938 by the Elsewedy family; listed on the Egyptian Exchange as SWDY</w:t>
            </w:r>
          </w:p>
        </w:tc>
      </w:tr>
      <w:tr>
        <w:tc>
          <w:tcPr>
            <w:tcW w:type="dxa" w:w="2232"/>
          </w:tcPr>
          <w:p>
            <w:pPr>
              <w:spacing w:after="20"/>
            </w:pPr>
            <w:r>
              <w:rPr>
                <w:color w:val="1C3A36"/>
                <w:sz w:val="17"/>
              </w:rPr>
              <w:t>What it does</w:t>
            </w:r>
          </w:p>
        </w:tc>
        <w:tc>
          <w:tcPr>
            <w:tcW w:type="dxa" w:w="7848"/>
          </w:tcPr>
          <w:p>
            <w:pPr>
              <w:spacing w:after="20"/>
            </w:pPr>
            <w:r>
              <w:rPr>
                <w:color w:val="1C3A36"/>
                <w:sz w:val="17"/>
              </w:rPr>
              <w:t>Manufactures wires, cables and accessories; executes turnkey engineering and construction projects (substations, transmission and distribution, power generation, civil works); makes transformers, busway and electrical products; supplies meters and digital grid solutions; and holds infrastructure assets including industrial development, logistics, utilities and independent power projects</w:t>
            </w:r>
          </w:p>
        </w:tc>
      </w:tr>
      <w:tr>
        <w:tc>
          <w:tcPr>
            <w:tcW w:type="dxa" w:w="2232"/>
          </w:tcPr>
          <w:p>
            <w:pPr>
              <w:spacing w:after="20"/>
            </w:pPr>
            <w:r>
              <w:rPr>
                <w:color w:val="1C3A36"/>
                <w:sz w:val="17"/>
              </w:rPr>
              <w:t>Scale</w:t>
            </w:r>
          </w:p>
        </w:tc>
        <w:tc>
          <w:tcPr>
            <w:tcW w:type="dxa" w:w="7848"/>
          </w:tcPr>
          <w:p>
            <w:pPr>
              <w:spacing w:after="20"/>
            </w:pPr>
            <w:r>
              <w:rPr>
                <w:color w:val="1C3A36"/>
                <w:sz w:val="17"/>
              </w:rPr>
              <w:t>More than 20,000 employees across 31 production facilities in 15 countries; FY2025 revenue EGP 281,049mn</w:t>
            </w:r>
          </w:p>
        </w:tc>
      </w:tr>
      <w:tr>
        <w:tc>
          <w:tcPr>
            <w:tcW w:type="dxa" w:w="2232"/>
          </w:tcPr>
          <w:p>
            <w:pPr>
              <w:spacing w:after="20"/>
            </w:pPr>
            <w:r>
              <w:rPr>
                <w:color w:val="1C3A36"/>
                <w:sz w:val="17"/>
              </w:rPr>
              <w:t>Geographic mix</w:t>
            </w:r>
          </w:p>
        </w:tc>
        <w:tc>
          <w:tcPr>
            <w:tcW w:type="dxa" w:w="7848"/>
          </w:tcPr>
          <w:p>
            <w:pPr>
              <w:spacing w:after="20"/>
            </w:pPr>
            <w:r>
              <w:rPr>
                <w:color w:val="1C3A36"/>
                <w:sz w:val="17"/>
              </w:rPr>
              <w:t>The audited FY2025 geographic note (Note 5-2) shows 40.7% of revenue booked outside Egypt — a statement about where the customer sits, not about pricing currency. Separately, this study derives the share that is hard-currency LINKED, i.e. dollar-priced, at about 51% using segment-level export-intensity weights of Cables 65% / Constructions 30% / Electrical products 45% (house judgements, stated so they can be disputed; the forecast-year share runs ~53% as Cables' weight in the mix rises); that is the figure used wherever the currency question is valued</w:t>
            </w:r>
          </w:p>
        </w:tc>
      </w:tr>
      <w:tr>
        <w:tc>
          <w:tcPr>
            <w:tcW w:type="dxa" w:w="2232"/>
          </w:tcPr>
          <w:p>
            <w:pPr>
              <w:spacing w:after="20"/>
            </w:pPr>
            <w:r>
              <w:rPr>
                <w:color w:val="1C3A36"/>
                <w:sz w:val="17"/>
              </w:rPr>
              <w:t>Order book</w:t>
            </w:r>
          </w:p>
        </w:tc>
        <w:tc>
          <w:tcPr>
            <w:tcW w:type="dxa" w:w="7848"/>
          </w:tcPr>
          <w:p>
            <w:pPr>
              <w:spacing w:after="20"/>
            </w:pPr>
            <w:r>
              <w:rPr>
                <w:color w:val="1C3A36"/>
                <w:sz w:val="17"/>
              </w:rPr>
              <w:t>Not disclosed in any of the audited FY2023-25 statements or the Q1-2026 interim, which are the primary sources this build is confined to. The company's quarterly earnings releases have historically disclosed order-book and volume data (the FY2024 release, for example, disclosed 167,665 tons of cable sold); those releases were not reachable from this research environment, so the forecast is built on segment revenue growth rather than a backlog figure — a cross-check against the released backlog is the first refinement to make when they become obtainable</w:t>
            </w:r>
          </w:p>
        </w:tc>
      </w:tr>
      <w:tr>
        <w:tc>
          <w:tcPr>
            <w:tcW w:type="dxa" w:w="2232"/>
          </w:tcPr>
          <w:p>
            <w:pPr>
              <w:spacing w:after="20"/>
            </w:pPr>
            <w:r>
              <w:rPr>
                <w:color w:val="1C3A36"/>
                <w:sz w:val="17"/>
              </w:rPr>
              <w:t>Shares outstanding</w:t>
            </w:r>
          </w:p>
        </w:tc>
        <w:tc>
          <w:tcPr>
            <w:tcW w:type="dxa" w:w="7848"/>
          </w:tcPr>
          <w:p>
            <w:pPr>
              <w:spacing w:after="20"/>
            </w:pPr>
            <w:r>
              <w:rPr>
                <w:color w:val="1C3A36"/>
                <w:sz w:val="17"/>
              </w:rPr>
              <w:t>2,141mn</w:t>
            </w:r>
          </w:p>
        </w:tc>
      </w:tr>
      <w:tr>
        <w:tc>
          <w:tcPr>
            <w:tcW w:type="dxa" w:w="2232"/>
          </w:tcPr>
          <w:p>
            <w:pPr>
              <w:spacing w:after="20"/>
            </w:pPr>
            <w:r>
              <w:rPr>
                <w:color w:val="1C3A36"/>
                <w:sz w:val="17"/>
              </w:rPr>
              <w:t>Market capitalisation</w:t>
            </w:r>
          </w:p>
        </w:tc>
        <w:tc>
          <w:tcPr>
            <w:tcW w:type="dxa" w:w="7848"/>
          </w:tcPr>
          <w:p>
            <w:pPr>
              <w:spacing w:after="20"/>
            </w:pPr>
            <w:r>
              <w:rPr>
                <w:color w:val="1C3A36"/>
                <w:sz w:val="17"/>
              </w:rPr>
              <w:t>EGP 225,210mn at the anchor price</w:t>
            </w:r>
          </w:p>
        </w:tc>
      </w:tr>
      <w:tr>
        <w:tc>
          <w:tcPr>
            <w:tcW w:type="dxa" w:w="2232"/>
          </w:tcPr>
          <w:p>
            <w:pPr>
              <w:spacing w:after="20"/>
            </w:pPr>
            <w:r>
              <w:rPr>
                <w:color w:val="1C3A36"/>
                <w:sz w:val="17"/>
              </w:rPr>
              <w:t>Ownership</w:t>
            </w:r>
          </w:p>
        </w:tc>
        <w:tc>
          <w:tcPr>
            <w:tcW w:type="dxa" w:w="7848"/>
          </w:tcPr>
          <w:p>
            <w:pPr>
              <w:spacing w:after="20"/>
            </w:pPr>
            <w:r>
              <w:rPr>
                <w:color w:val="1C3A36"/>
                <w:sz w:val="17"/>
              </w:rPr>
              <w:t>El Sewedy family ~68.0% · Electra Investment Holding 18.9% · free float ~13.1%, per the audited FY2025 shareholder table. Electra, an Abu Dhabi holding vehicle, acquired 19.98% in a July-2024 tender offer at USD 1.05 per share (~USD 449mn) and topped up to 20.37% by FY2024-end; over 2025 it SOLD roughly 32.1mn shares into the market, taking its stake to 18.9% — a disposal, not dilution: the share count is unchanged. The 13.07% 'other shareholders' line is an upper bound on the true free float, since family-linked vehicles may sit inside it</w:t>
            </w:r>
          </w:p>
        </w:tc>
      </w:tr>
      <w:tr>
        <w:tc>
          <w:tcPr>
            <w:tcW w:type="dxa" w:w="2232"/>
          </w:tcPr>
          <w:p>
            <w:pPr>
              <w:spacing w:after="20"/>
            </w:pPr>
            <w:r>
              <w:rPr>
                <w:color w:val="1C3A36"/>
                <w:sz w:val="17"/>
              </w:rPr>
              <w:t>Net bank debt</w:t>
            </w:r>
          </w:p>
        </w:tc>
        <w:tc>
          <w:tcPr>
            <w:tcW w:type="dxa" w:w="7848"/>
          </w:tcPr>
          <w:p>
            <w:pPr>
              <w:spacing w:after="20"/>
            </w:pPr>
            <w:r>
              <w:rPr>
                <w:color w:val="1C3A36"/>
                <w:sz w:val="17"/>
              </w:rPr>
              <w:t>EGP 20,560mn at 31 December 2025 (0.7× EBITDA), computed from the audited balance sheet: loans and borrowings including leases 62,509 less cash 41,949. The company's own FY2025 earnings release quotes EGP 19,789mn on its own narrower basis; the audited-statement computation is used, and the ~771mn definitional gap is noted rather than resolved</w:t>
            </w:r>
          </w:p>
        </w:tc>
      </w:tr>
      <w:tr>
        <w:tc>
          <w:tcPr>
            <w:tcW w:type="dxa" w:w="2232"/>
          </w:tcPr>
          <w:p>
            <w:pPr>
              <w:spacing w:after="20"/>
            </w:pPr>
            <w:r>
              <w:rPr>
                <w:color w:val="1C3A36"/>
                <w:sz w:val="17"/>
              </w:rPr>
              <w:t>Last strategic transaction</w:t>
            </w:r>
          </w:p>
        </w:tc>
        <w:tc>
          <w:tcPr>
            <w:tcW w:type="dxa" w:w="7848"/>
          </w:tcPr>
          <w:p>
            <w:pPr>
              <w:spacing w:after="20"/>
            </w:pPr>
            <w:r>
              <w:rPr>
                <w:color w:val="1C3A36"/>
                <w:sz w:val="17"/>
              </w:rPr>
              <w:t>Electra Investment Holding's tender offer concluded July 2024: 428mn shares (20.0%) at USD 1.05, about USD 449mn — roughly EGP 50 per share at the rate then prevailing. Recorded because it is the last price at which a strategic buyer cleared a fifth of the company, but NOT used as a valuation anchor: it is two years stale, struck before the earnings base grew by about half, and sits at under half today's price</w:t>
            </w:r>
          </w:p>
        </w:tc>
      </w:tr>
      <w:tr>
        <w:tc>
          <w:tcPr>
            <w:tcW w:type="dxa" w:w="2232"/>
          </w:tcPr>
          <w:p>
            <w:pPr>
              <w:spacing w:after="20"/>
            </w:pPr>
            <w:r>
              <w:rPr>
                <w:color w:val="1C3A36"/>
                <w:sz w:val="17"/>
              </w:rPr>
              <w:t>Dividend record</w:t>
            </w:r>
          </w:p>
        </w:tc>
        <w:tc>
          <w:tcPr>
            <w:tcW w:type="dxa" w:w="7848"/>
          </w:tcPr>
          <w:p>
            <w:pPr>
              <w:spacing w:after="20"/>
            </w:pPr>
            <w:r>
              <w:rPr>
                <w:color w:val="1C3A36"/>
                <w:sz w:val="17"/>
              </w:rPr>
              <w:t>EGP 1.00 per share on the FY2024 result (12.3% of attributable profit), then EGP 1.85 on FY2025 — ratified by the general assembly on 6 May 2026, rights with the share through 1 June, paid from 4 June 2026 — 22.9% of FY2025 attributable EPS, an +85% step-up. An earlier revision of this study wrongly stated no FY2025 dividend existed, reasoning from the silence of the annual and interim filings; the interim covers a period ending before the assembly met, so its silence was never evidence. The forecast payout ratio is 25%, struck at the actual FY2025 rate</w:t>
            </w:r>
          </w:p>
        </w:tc>
      </w:tr>
    </w:tbl>
    <w:p>
      <w:pPr>
        <w:spacing w:after="40"/>
      </w:pPr>
    </w:p>
    <w:p>
      <w:pPr>
        <w:spacing w:after="200" w:before="0"/>
      </w:pPr>
      <w:r>
        <w:rPr>
          <w:b w:val="0"/>
          <w:i w:val="0"/>
          <w:color w:val="1C3A36"/>
          <w:sz w:val="21"/>
        </w:rPr>
        <w:t>Two structural facts govern everything that follows. First, the revenue base is just over half hard-currency linked while the share, the accounts and the borrowing are Egyptian — so the company is a natural hedge against the currency its shareholders are exposed to. Second, the business consumes working capital in direct proportion to its growth: inventories, contract assets and receivables less payables and contract liabilities ran at 24.1% of revenue in FY2023, 23.1% in FY2024 and 19.9% in FY2025. In FY2025 the group earned EBITDA of EGP 28,363mn and converted only EGP 12,766mn of it into operating cash after interest and tax (45.0%). Growth here is expensive, and that is the crux of the valuation.</w:t>
      </w:r>
    </w:p>
    <w:p>
      <w:pPr>
        <w:spacing w:after="120" w:before="280"/>
      </w:pPr>
      <w:r>
        <w:rPr>
          <w:b/>
          <w:i w:val="0"/>
          <w:color w:val="1C3A36"/>
          <w:sz w:val="30"/>
        </w:rPr>
        <w:t>1  Fundamental valuation</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primary lens is a five-year free-cash-flow-to-the-firm model. Revenue is not forecast as a single growth rate applied to a revenue line: it is built from the three segments the company itself discloses — Cables and its accessories, Constructions and infrastructure, Electrical products and digital solutions — each grown and margined on its own driver, then summed. Margins are therefore OUTPUTS of the build rather than assumptions fed into it, and the historical version of that build reconciles to the audited income statement EXACTLY on revenue in all three years (Note 5-3) and to the audited operating profit through an explicit, exactly-reconciling corporate cost load (Note 16 less G&amp;A, net impairment on receivables, other expenses and other income). Section 1.6 sets out the segment build. Cash flow is then taken all the way to present value, line by line,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7"/>
              </w:rPr>
              <w:t>EGP mn</w:t>
            </w:r>
          </w:p>
        </w:tc>
        <w:tc>
          <w:tcPr>
            <w:tcW w:type="dxa" w:w="1426"/>
            <w:shd w:val="clear" w:color="auto" w:fill="EAF0EE"/>
          </w:tcPr>
          <w:p>
            <w:pPr>
              <w:spacing w:after="20"/>
            </w:pPr>
            <w:r>
              <w:rPr>
                <w:b/>
                <w:color w:val="1C3A36"/>
                <w:sz w:val="17"/>
              </w:rPr>
              <w:t>FY26E</w:t>
            </w:r>
          </w:p>
        </w:tc>
        <w:tc>
          <w:tcPr>
            <w:tcW w:type="dxa" w:w="1426"/>
            <w:shd w:val="clear" w:color="auto" w:fill="EAF0EE"/>
          </w:tcPr>
          <w:p>
            <w:pPr>
              <w:spacing w:after="20"/>
            </w:pPr>
            <w:r>
              <w:rPr>
                <w:b/>
                <w:color w:val="1C3A36"/>
                <w:sz w:val="17"/>
              </w:rPr>
              <w:t>FY27E</w:t>
            </w:r>
          </w:p>
        </w:tc>
        <w:tc>
          <w:tcPr>
            <w:tcW w:type="dxa" w:w="1426"/>
            <w:shd w:val="clear" w:color="auto" w:fill="EAF0EE"/>
          </w:tcPr>
          <w:p>
            <w:pPr>
              <w:spacing w:after="20"/>
            </w:pPr>
            <w:r>
              <w:rPr>
                <w:b/>
                <w:color w:val="1C3A36"/>
                <w:sz w:val="17"/>
              </w:rPr>
              <w:t>FY28E</w:t>
            </w:r>
          </w:p>
        </w:tc>
        <w:tc>
          <w:tcPr>
            <w:tcW w:type="dxa" w:w="1426"/>
            <w:shd w:val="clear" w:color="auto" w:fill="EAF0EE"/>
          </w:tcPr>
          <w:p>
            <w:pPr>
              <w:spacing w:after="20"/>
            </w:pPr>
            <w:r>
              <w:rPr>
                <w:b/>
                <w:color w:val="1C3A36"/>
                <w:sz w:val="17"/>
              </w:rPr>
              <w:t>FY29E</w:t>
            </w:r>
          </w:p>
        </w:tc>
        <w:tc>
          <w:tcPr>
            <w:tcW w:type="dxa" w:w="1426"/>
            <w:shd w:val="clear" w:color="auto" w:fill="EAF0EE"/>
          </w:tcPr>
          <w:p>
            <w:pPr>
              <w:spacing w:after="20"/>
            </w:pPr>
            <w:r>
              <w:rPr>
                <w:b/>
                <w:color w:val="1C3A36"/>
                <w:sz w:val="17"/>
              </w:rPr>
              <w:t>FY30E</w:t>
            </w:r>
          </w:p>
        </w:tc>
      </w:tr>
      <w:tr>
        <w:tc>
          <w:tcPr>
            <w:tcW w:type="dxa" w:w="2952"/>
          </w:tcPr>
          <w:p>
            <w:pPr>
              <w:spacing w:after="20"/>
            </w:pPr>
            <w:r>
              <w:rPr>
                <w:color w:val="1C3A36"/>
                <w:sz w:val="17"/>
              </w:rPr>
              <w:t>Revenue</w:t>
            </w:r>
          </w:p>
        </w:tc>
        <w:tc>
          <w:tcPr>
            <w:tcW w:type="dxa" w:w="1426"/>
          </w:tcPr>
          <w:p>
            <w:pPr>
              <w:spacing w:after="20"/>
              <w:jc w:val="right"/>
            </w:pPr>
            <w:r>
              <w:rPr>
                <w:color w:val="1C3A36"/>
                <w:sz w:val="17"/>
              </w:rPr>
              <w:t>370,030</w:t>
            </w:r>
          </w:p>
        </w:tc>
        <w:tc>
          <w:tcPr>
            <w:tcW w:type="dxa" w:w="1426"/>
          </w:tcPr>
          <w:p>
            <w:pPr>
              <w:spacing w:after="20"/>
              <w:jc w:val="right"/>
            </w:pPr>
            <w:r>
              <w:rPr>
                <w:color w:val="1C3A36"/>
                <w:sz w:val="17"/>
              </w:rPr>
              <w:t>422,528</w:t>
            </w:r>
          </w:p>
        </w:tc>
        <w:tc>
          <w:tcPr>
            <w:tcW w:type="dxa" w:w="1426"/>
          </w:tcPr>
          <w:p>
            <w:pPr>
              <w:spacing w:after="20"/>
              <w:jc w:val="right"/>
            </w:pPr>
            <w:r>
              <w:rPr>
                <w:color w:val="1C3A36"/>
                <w:sz w:val="17"/>
              </w:rPr>
              <w:t>466,619</w:t>
            </w:r>
          </w:p>
        </w:tc>
        <w:tc>
          <w:tcPr>
            <w:tcW w:type="dxa" w:w="1426"/>
          </w:tcPr>
          <w:p>
            <w:pPr>
              <w:spacing w:after="20"/>
              <w:jc w:val="right"/>
            </w:pPr>
            <w:r>
              <w:rPr>
                <w:color w:val="1C3A36"/>
                <w:sz w:val="17"/>
              </w:rPr>
              <w:t>510,440</w:t>
            </w:r>
          </w:p>
        </w:tc>
        <w:tc>
          <w:tcPr>
            <w:tcW w:type="dxa" w:w="1426"/>
          </w:tcPr>
          <w:p>
            <w:pPr>
              <w:spacing w:after="20"/>
              <w:jc w:val="right"/>
            </w:pPr>
            <w:r>
              <w:rPr>
                <w:color w:val="1C3A36"/>
                <w:sz w:val="17"/>
              </w:rPr>
              <w:t>555,225</w:t>
            </w:r>
          </w:p>
        </w:tc>
      </w:tr>
      <w:tr>
        <w:tc>
          <w:tcPr>
            <w:tcW w:type="dxa" w:w="2952"/>
          </w:tcPr>
          <w:p>
            <w:pPr>
              <w:spacing w:after="20"/>
            </w:pPr>
            <w:r>
              <w:rPr>
                <w:color w:val="1C3A36"/>
                <w:sz w:val="17"/>
              </w:rPr>
              <w:t xml:space="preserve">  of which domestic</w:t>
            </w:r>
          </w:p>
        </w:tc>
        <w:tc>
          <w:tcPr>
            <w:tcW w:type="dxa" w:w="1426"/>
          </w:tcPr>
          <w:p>
            <w:pPr>
              <w:spacing w:after="20"/>
              <w:jc w:val="right"/>
            </w:pPr>
            <w:r>
              <w:rPr>
                <w:color w:val="1C3A36"/>
                <w:sz w:val="17"/>
              </w:rPr>
              <w:t>175,308</w:t>
            </w:r>
          </w:p>
        </w:tc>
        <w:tc>
          <w:tcPr>
            <w:tcW w:type="dxa" w:w="1426"/>
          </w:tcPr>
          <w:p>
            <w:pPr>
              <w:spacing w:after="20"/>
              <w:jc w:val="right"/>
            </w:pPr>
            <w:r>
              <w:rPr>
                <w:color w:val="1C3A36"/>
                <w:sz w:val="17"/>
              </w:rPr>
              <w:t>200,259</w:t>
            </w:r>
          </w:p>
        </w:tc>
        <w:tc>
          <w:tcPr>
            <w:tcW w:type="dxa" w:w="1426"/>
          </w:tcPr>
          <w:p>
            <w:pPr>
              <w:spacing w:after="20"/>
              <w:jc w:val="right"/>
            </w:pPr>
            <w:r>
              <w:rPr>
                <w:color w:val="1C3A36"/>
                <w:sz w:val="17"/>
              </w:rPr>
              <w:t>221,642</w:t>
            </w:r>
          </w:p>
        </w:tc>
        <w:tc>
          <w:tcPr>
            <w:tcW w:type="dxa" w:w="1426"/>
          </w:tcPr>
          <w:p>
            <w:pPr>
              <w:spacing w:after="20"/>
              <w:jc w:val="right"/>
            </w:pPr>
            <w:r>
              <w:rPr>
                <w:color w:val="1C3A36"/>
                <w:sz w:val="17"/>
              </w:rPr>
              <w:t>242,445</w:t>
            </w:r>
          </w:p>
        </w:tc>
        <w:tc>
          <w:tcPr>
            <w:tcW w:type="dxa" w:w="1426"/>
          </w:tcPr>
          <w:p>
            <w:pPr>
              <w:spacing w:after="20"/>
              <w:jc w:val="right"/>
            </w:pPr>
            <w:r>
              <w:rPr>
                <w:color w:val="1C3A36"/>
                <w:sz w:val="17"/>
              </w:rPr>
              <w:t>263,462</w:t>
            </w:r>
          </w:p>
        </w:tc>
      </w:tr>
      <w:tr>
        <w:tc>
          <w:tcPr>
            <w:tcW w:type="dxa" w:w="2952"/>
          </w:tcPr>
          <w:p>
            <w:pPr>
              <w:spacing w:after="20"/>
            </w:pPr>
            <w:r>
              <w:rPr>
                <w:color w:val="1C3A36"/>
                <w:sz w:val="17"/>
              </w:rPr>
              <w:t xml:space="preserve">  of which foreign</w:t>
            </w:r>
          </w:p>
        </w:tc>
        <w:tc>
          <w:tcPr>
            <w:tcW w:type="dxa" w:w="1426"/>
          </w:tcPr>
          <w:p>
            <w:pPr>
              <w:spacing w:after="20"/>
              <w:jc w:val="right"/>
            </w:pPr>
            <w:r>
              <w:rPr>
                <w:color w:val="1C3A36"/>
                <w:sz w:val="17"/>
              </w:rPr>
              <w:t>194,722</w:t>
            </w:r>
          </w:p>
        </w:tc>
        <w:tc>
          <w:tcPr>
            <w:tcW w:type="dxa" w:w="1426"/>
          </w:tcPr>
          <w:p>
            <w:pPr>
              <w:spacing w:after="20"/>
              <w:jc w:val="right"/>
            </w:pPr>
            <w:r>
              <w:rPr>
                <w:color w:val="1C3A36"/>
                <w:sz w:val="17"/>
              </w:rPr>
              <w:t>222,270</w:t>
            </w:r>
          </w:p>
        </w:tc>
        <w:tc>
          <w:tcPr>
            <w:tcW w:type="dxa" w:w="1426"/>
          </w:tcPr>
          <w:p>
            <w:pPr>
              <w:spacing w:after="20"/>
              <w:jc w:val="right"/>
            </w:pPr>
            <w:r>
              <w:rPr>
                <w:color w:val="1C3A36"/>
                <w:sz w:val="17"/>
              </w:rPr>
              <w:t>244,977</w:t>
            </w:r>
          </w:p>
        </w:tc>
        <w:tc>
          <w:tcPr>
            <w:tcW w:type="dxa" w:w="1426"/>
          </w:tcPr>
          <w:p>
            <w:pPr>
              <w:spacing w:after="20"/>
              <w:jc w:val="right"/>
            </w:pPr>
            <w:r>
              <w:rPr>
                <w:color w:val="1C3A36"/>
                <w:sz w:val="17"/>
              </w:rPr>
              <w:t>267,995</w:t>
            </w:r>
          </w:p>
        </w:tc>
        <w:tc>
          <w:tcPr>
            <w:tcW w:type="dxa" w:w="1426"/>
          </w:tcPr>
          <w:p>
            <w:pPr>
              <w:spacing w:after="20"/>
              <w:jc w:val="right"/>
            </w:pPr>
            <w:r>
              <w:rPr>
                <w:color w:val="1C3A36"/>
                <w:sz w:val="17"/>
              </w:rPr>
              <w:t>291,763</w:t>
            </w:r>
          </w:p>
        </w:tc>
      </w:tr>
      <w:tr>
        <w:tc>
          <w:tcPr>
            <w:tcW w:type="dxa" w:w="2952"/>
          </w:tcPr>
          <w:p>
            <w:pPr>
              <w:spacing w:after="20"/>
            </w:pPr>
            <w:r>
              <w:rPr>
                <w:color w:val="1C3A36"/>
                <w:sz w:val="17"/>
              </w:rPr>
              <w:t>EBITDA</w:t>
            </w:r>
          </w:p>
        </w:tc>
        <w:tc>
          <w:tcPr>
            <w:tcW w:type="dxa" w:w="1426"/>
          </w:tcPr>
          <w:p>
            <w:pPr>
              <w:spacing w:after="20"/>
              <w:jc w:val="right"/>
            </w:pPr>
            <w:r>
              <w:rPr>
                <w:color w:val="1C3A36"/>
                <w:sz w:val="17"/>
              </w:rPr>
              <w:t>35,158</w:t>
            </w:r>
          </w:p>
        </w:tc>
        <w:tc>
          <w:tcPr>
            <w:tcW w:type="dxa" w:w="1426"/>
          </w:tcPr>
          <w:p>
            <w:pPr>
              <w:spacing w:after="20"/>
              <w:jc w:val="right"/>
            </w:pPr>
            <w:r>
              <w:rPr>
                <w:color w:val="1C3A36"/>
                <w:sz w:val="17"/>
              </w:rPr>
              <w:t>41,645</w:t>
            </w:r>
          </w:p>
        </w:tc>
        <w:tc>
          <w:tcPr>
            <w:tcW w:type="dxa" w:w="1426"/>
          </w:tcPr>
          <w:p>
            <w:pPr>
              <w:spacing w:after="20"/>
              <w:jc w:val="right"/>
            </w:pPr>
            <w:r>
              <w:rPr>
                <w:color w:val="1C3A36"/>
                <w:sz w:val="17"/>
              </w:rPr>
              <w:t>47,603</w:t>
            </w:r>
          </w:p>
        </w:tc>
        <w:tc>
          <w:tcPr>
            <w:tcW w:type="dxa" w:w="1426"/>
          </w:tcPr>
          <w:p>
            <w:pPr>
              <w:spacing w:after="20"/>
              <w:jc w:val="right"/>
            </w:pPr>
            <w:r>
              <w:rPr>
                <w:color w:val="1C3A36"/>
                <w:sz w:val="17"/>
              </w:rPr>
              <w:t>53,648</w:t>
            </w:r>
          </w:p>
        </w:tc>
        <w:tc>
          <w:tcPr>
            <w:tcW w:type="dxa" w:w="1426"/>
          </w:tcPr>
          <w:p>
            <w:pPr>
              <w:spacing w:after="20"/>
              <w:jc w:val="right"/>
            </w:pPr>
            <w:r>
              <w:rPr>
                <w:color w:val="1C3A36"/>
                <w:sz w:val="17"/>
              </w:rPr>
              <w:t>59,209</w:t>
            </w:r>
          </w:p>
        </w:tc>
      </w:tr>
      <w:tr>
        <w:tc>
          <w:tcPr>
            <w:tcW w:type="dxa" w:w="2952"/>
          </w:tcPr>
          <w:p>
            <w:pPr>
              <w:spacing w:after="20"/>
            </w:pPr>
            <w:r>
              <w:rPr>
                <w:color w:val="1C3A36"/>
                <w:sz w:val="17"/>
              </w:rPr>
              <w:t>EBITDA margin</w:t>
            </w:r>
          </w:p>
        </w:tc>
        <w:tc>
          <w:tcPr>
            <w:tcW w:type="dxa" w:w="1426"/>
          </w:tcPr>
          <w:p>
            <w:pPr>
              <w:spacing w:after="20"/>
              <w:jc w:val="right"/>
            </w:pPr>
            <w:r>
              <w:rPr>
                <w:color w:val="1C3A36"/>
                <w:sz w:val="17"/>
              </w:rPr>
              <w:t>9.5%</w:t>
            </w:r>
          </w:p>
        </w:tc>
        <w:tc>
          <w:tcPr>
            <w:tcW w:type="dxa" w:w="1426"/>
          </w:tcPr>
          <w:p>
            <w:pPr>
              <w:spacing w:after="20"/>
              <w:jc w:val="right"/>
            </w:pPr>
            <w:r>
              <w:rPr>
                <w:color w:val="1C3A36"/>
                <w:sz w:val="17"/>
              </w:rPr>
              <w:t>9.9%</w:t>
            </w:r>
          </w:p>
        </w:tc>
        <w:tc>
          <w:tcPr>
            <w:tcW w:type="dxa" w:w="1426"/>
          </w:tcPr>
          <w:p>
            <w:pPr>
              <w:spacing w:after="20"/>
              <w:jc w:val="right"/>
            </w:pPr>
            <w:r>
              <w:rPr>
                <w:color w:val="1C3A36"/>
                <w:sz w:val="17"/>
              </w:rPr>
              <w:t>10.2%</w:t>
            </w:r>
          </w:p>
        </w:tc>
        <w:tc>
          <w:tcPr>
            <w:tcW w:type="dxa" w:w="1426"/>
          </w:tcPr>
          <w:p>
            <w:pPr>
              <w:spacing w:after="20"/>
              <w:jc w:val="right"/>
            </w:pPr>
            <w:r>
              <w:rPr>
                <w:color w:val="1C3A36"/>
                <w:sz w:val="17"/>
              </w:rPr>
              <w:t>10.5%</w:t>
            </w:r>
          </w:p>
        </w:tc>
        <w:tc>
          <w:tcPr>
            <w:tcW w:type="dxa" w:w="1426"/>
          </w:tcPr>
          <w:p>
            <w:pPr>
              <w:spacing w:after="20"/>
              <w:jc w:val="right"/>
            </w:pPr>
            <w:r>
              <w:rPr>
                <w:color w:val="1C3A36"/>
                <w:sz w:val="17"/>
              </w:rPr>
              <w:t>10.7%</w:t>
            </w:r>
          </w:p>
        </w:tc>
      </w:tr>
      <w:tr>
        <w:tc>
          <w:tcPr>
            <w:tcW w:type="dxa" w:w="2952"/>
          </w:tcPr>
          <w:p>
            <w:pPr>
              <w:spacing w:after="20"/>
            </w:pPr>
            <w:r>
              <w:rPr>
                <w:color w:val="1C3A36"/>
                <w:sz w:val="17"/>
              </w:rPr>
              <w:t>Less depreciation and amortisation</w:t>
            </w:r>
          </w:p>
        </w:tc>
        <w:tc>
          <w:tcPr>
            <w:tcW w:type="dxa" w:w="1426"/>
          </w:tcPr>
          <w:p>
            <w:pPr>
              <w:spacing w:after="20"/>
              <w:jc w:val="right"/>
            </w:pPr>
            <w:r>
              <w:rPr>
                <w:color w:val="1C3A36"/>
                <w:sz w:val="17"/>
              </w:rPr>
              <w:t>(4,625)</w:t>
            </w:r>
          </w:p>
        </w:tc>
        <w:tc>
          <w:tcPr>
            <w:tcW w:type="dxa" w:w="1426"/>
          </w:tcPr>
          <w:p>
            <w:pPr>
              <w:spacing w:after="20"/>
              <w:jc w:val="right"/>
            </w:pPr>
            <w:r>
              <w:rPr>
                <w:color w:val="1C3A36"/>
                <w:sz w:val="17"/>
              </w:rPr>
              <w:t>(5,282)</w:t>
            </w:r>
          </w:p>
        </w:tc>
        <w:tc>
          <w:tcPr>
            <w:tcW w:type="dxa" w:w="1426"/>
          </w:tcPr>
          <w:p>
            <w:pPr>
              <w:spacing w:after="20"/>
              <w:jc w:val="right"/>
            </w:pPr>
            <w:r>
              <w:rPr>
                <w:color w:val="1C3A36"/>
                <w:sz w:val="17"/>
              </w:rPr>
              <w:t>(5,833)</w:t>
            </w:r>
          </w:p>
        </w:tc>
        <w:tc>
          <w:tcPr>
            <w:tcW w:type="dxa" w:w="1426"/>
          </w:tcPr>
          <w:p>
            <w:pPr>
              <w:spacing w:after="20"/>
              <w:jc w:val="right"/>
            </w:pPr>
            <w:r>
              <w:rPr>
                <w:color w:val="1C3A36"/>
                <w:sz w:val="17"/>
              </w:rPr>
              <w:t>(6,381)</w:t>
            </w:r>
          </w:p>
        </w:tc>
        <w:tc>
          <w:tcPr>
            <w:tcW w:type="dxa" w:w="1426"/>
          </w:tcPr>
          <w:p>
            <w:pPr>
              <w:spacing w:after="20"/>
              <w:jc w:val="right"/>
            </w:pPr>
            <w:r>
              <w:rPr>
                <w:color w:val="1C3A36"/>
                <w:sz w:val="17"/>
              </w:rPr>
              <w:t>(6,940)</w:t>
            </w:r>
          </w:p>
        </w:tc>
      </w:tr>
      <w:tr>
        <w:tc>
          <w:tcPr>
            <w:tcW w:type="dxa" w:w="2952"/>
          </w:tcPr>
          <w:p>
            <w:pPr>
              <w:spacing w:after="20"/>
            </w:pPr>
            <w:r>
              <w:rPr>
                <w:color w:val="1C3A36"/>
                <w:sz w:val="17"/>
              </w:rPr>
              <w:t>EBIT</w:t>
            </w:r>
          </w:p>
        </w:tc>
        <w:tc>
          <w:tcPr>
            <w:tcW w:type="dxa" w:w="1426"/>
          </w:tcPr>
          <w:p>
            <w:pPr>
              <w:spacing w:after="20"/>
              <w:jc w:val="right"/>
            </w:pPr>
            <w:r>
              <w:rPr>
                <w:color w:val="1C3A36"/>
                <w:sz w:val="17"/>
              </w:rPr>
              <w:t>30,533</w:t>
            </w:r>
          </w:p>
        </w:tc>
        <w:tc>
          <w:tcPr>
            <w:tcW w:type="dxa" w:w="1426"/>
          </w:tcPr>
          <w:p>
            <w:pPr>
              <w:spacing w:after="20"/>
              <w:jc w:val="right"/>
            </w:pPr>
            <w:r>
              <w:rPr>
                <w:color w:val="1C3A36"/>
                <w:sz w:val="17"/>
              </w:rPr>
              <w:t>36,363</w:t>
            </w:r>
          </w:p>
        </w:tc>
        <w:tc>
          <w:tcPr>
            <w:tcW w:type="dxa" w:w="1426"/>
          </w:tcPr>
          <w:p>
            <w:pPr>
              <w:spacing w:after="20"/>
              <w:jc w:val="right"/>
            </w:pPr>
            <w:r>
              <w:rPr>
                <w:color w:val="1C3A36"/>
                <w:sz w:val="17"/>
              </w:rPr>
              <w:t>41,770</w:t>
            </w:r>
          </w:p>
        </w:tc>
        <w:tc>
          <w:tcPr>
            <w:tcW w:type="dxa" w:w="1426"/>
          </w:tcPr>
          <w:p>
            <w:pPr>
              <w:spacing w:after="20"/>
              <w:jc w:val="right"/>
            </w:pPr>
            <w:r>
              <w:rPr>
                <w:color w:val="1C3A36"/>
                <w:sz w:val="17"/>
              </w:rPr>
              <w:t>47,268</w:t>
            </w:r>
          </w:p>
        </w:tc>
        <w:tc>
          <w:tcPr>
            <w:tcW w:type="dxa" w:w="1426"/>
          </w:tcPr>
          <w:p>
            <w:pPr>
              <w:spacing w:after="20"/>
              <w:jc w:val="right"/>
            </w:pPr>
            <w:r>
              <w:rPr>
                <w:color w:val="1C3A36"/>
                <w:sz w:val="17"/>
              </w:rPr>
              <w:t>52,269</w:t>
            </w:r>
          </w:p>
        </w:tc>
      </w:tr>
      <w:tr>
        <w:tc>
          <w:tcPr>
            <w:tcW w:type="dxa" w:w="2952"/>
          </w:tcPr>
          <w:p>
            <w:pPr>
              <w:spacing w:after="20"/>
            </w:pPr>
            <w:r>
              <w:rPr>
                <w:color w:val="1C3A36"/>
                <w:sz w:val="17"/>
              </w:rPr>
              <w:t>NOPAT — EBIT × (1 − 24.5%)</w:t>
            </w:r>
          </w:p>
        </w:tc>
        <w:tc>
          <w:tcPr>
            <w:tcW w:type="dxa" w:w="1426"/>
          </w:tcPr>
          <w:p>
            <w:pPr>
              <w:spacing w:after="20"/>
              <w:jc w:val="right"/>
            </w:pPr>
            <w:r>
              <w:rPr>
                <w:color w:val="1C3A36"/>
                <w:sz w:val="17"/>
              </w:rPr>
              <w:t>23,052</w:t>
            </w:r>
          </w:p>
        </w:tc>
        <w:tc>
          <w:tcPr>
            <w:tcW w:type="dxa" w:w="1426"/>
          </w:tcPr>
          <w:p>
            <w:pPr>
              <w:spacing w:after="20"/>
              <w:jc w:val="right"/>
            </w:pPr>
            <w:r>
              <w:rPr>
                <w:color w:val="1C3A36"/>
                <w:sz w:val="17"/>
              </w:rPr>
              <w:t>27,454</w:t>
            </w:r>
          </w:p>
        </w:tc>
        <w:tc>
          <w:tcPr>
            <w:tcW w:type="dxa" w:w="1426"/>
          </w:tcPr>
          <w:p>
            <w:pPr>
              <w:spacing w:after="20"/>
              <w:jc w:val="right"/>
            </w:pPr>
            <w:r>
              <w:rPr>
                <w:color w:val="1C3A36"/>
                <w:sz w:val="17"/>
              </w:rPr>
              <w:t>31,537</w:t>
            </w:r>
          </w:p>
        </w:tc>
        <w:tc>
          <w:tcPr>
            <w:tcW w:type="dxa" w:w="1426"/>
          </w:tcPr>
          <w:p>
            <w:pPr>
              <w:spacing w:after="20"/>
              <w:jc w:val="right"/>
            </w:pPr>
            <w:r>
              <w:rPr>
                <w:color w:val="1C3A36"/>
                <w:sz w:val="17"/>
              </w:rPr>
              <w:t>35,687</w:t>
            </w:r>
          </w:p>
        </w:tc>
        <w:tc>
          <w:tcPr>
            <w:tcW w:type="dxa" w:w="1426"/>
          </w:tcPr>
          <w:p>
            <w:pPr>
              <w:spacing w:after="20"/>
              <w:jc w:val="right"/>
            </w:pPr>
            <w:r>
              <w:rPr>
                <w:color w:val="1C3A36"/>
                <w:sz w:val="17"/>
              </w:rPr>
              <w:t>39,463</w:t>
            </w:r>
          </w:p>
        </w:tc>
      </w:tr>
      <w:tr>
        <w:tc>
          <w:tcPr>
            <w:tcW w:type="dxa" w:w="2952"/>
          </w:tcPr>
          <w:p>
            <w:pPr>
              <w:spacing w:after="20"/>
            </w:pPr>
            <w:r>
              <w:rPr>
                <w:color w:val="1C3A36"/>
                <w:sz w:val="17"/>
              </w:rPr>
              <w:t>Add back depreciation and amortisation</w:t>
            </w:r>
          </w:p>
        </w:tc>
        <w:tc>
          <w:tcPr>
            <w:tcW w:type="dxa" w:w="1426"/>
          </w:tcPr>
          <w:p>
            <w:pPr>
              <w:spacing w:after="20"/>
              <w:jc w:val="right"/>
            </w:pPr>
            <w:r>
              <w:rPr>
                <w:color w:val="1C3A36"/>
                <w:sz w:val="17"/>
              </w:rPr>
              <w:t>4,625</w:t>
            </w:r>
          </w:p>
        </w:tc>
        <w:tc>
          <w:tcPr>
            <w:tcW w:type="dxa" w:w="1426"/>
          </w:tcPr>
          <w:p>
            <w:pPr>
              <w:spacing w:after="20"/>
              <w:jc w:val="right"/>
            </w:pPr>
            <w:r>
              <w:rPr>
                <w:color w:val="1C3A36"/>
                <w:sz w:val="17"/>
              </w:rPr>
              <w:t>5,282</w:t>
            </w:r>
          </w:p>
        </w:tc>
        <w:tc>
          <w:tcPr>
            <w:tcW w:type="dxa" w:w="1426"/>
          </w:tcPr>
          <w:p>
            <w:pPr>
              <w:spacing w:after="20"/>
              <w:jc w:val="right"/>
            </w:pPr>
            <w:r>
              <w:rPr>
                <w:color w:val="1C3A36"/>
                <w:sz w:val="17"/>
              </w:rPr>
              <w:t>5,833</w:t>
            </w:r>
          </w:p>
        </w:tc>
        <w:tc>
          <w:tcPr>
            <w:tcW w:type="dxa" w:w="1426"/>
          </w:tcPr>
          <w:p>
            <w:pPr>
              <w:spacing w:after="20"/>
              <w:jc w:val="right"/>
            </w:pPr>
            <w:r>
              <w:rPr>
                <w:color w:val="1C3A36"/>
                <w:sz w:val="17"/>
              </w:rPr>
              <w:t>6,381</w:t>
            </w:r>
          </w:p>
        </w:tc>
        <w:tc>
          <w:tcPr>
            <w:tcW w:type="dxa" w:w="1426"/>
          </w:tcPr>
          <w:p>
            <w:pPr>
              <w:spacing w:after="20"/>
              <w:jc w:val="right"/>
            </w:pPr>
            <w:r>
              <w:rPr>
                <w:color w:val="1C3A36"/>
                <w:sz w:val="17"/>
              </w:rPr>
              <w:t>6,940</w:t>
            </w:r>
          </w:p>
        </w:tc>
      </w:tr>
      <w:tr>
        <w:tc>
          <w:tcPr>
            <w:tcW w:type="dxa" w:w="2952"/>
          </w:tcPr>
          <w:p>
            <w:pPr>
              <w:spacing w:after="20"/>
            </w:pPr>
            <w:r>
              <w:rPr>
                <w:color w:val="1C3A36"/>
                <w:sz w:val="17"/>
              </w:rPr>
              <w:t>Less capital expenditure</w:t>
            </w:r>
          </w:p>
        </w:tc>
        <w:tc>
          <w:tcPr>
            <w:tcW w:type="dxa" w:w="1426"/>
          </w:tcPr>
          <w:p>
            <w:pPr>
              <w:spacing w:after="20"/>
              <w:jc w:val="right"/>
            </w:pPr>
            <w:r>
              <w:rPr>
                <w:color w:val="1C3A36"/>
                <w:sz w:val="17"/>
              </w:rPr>
              <w:t>(16,281)</w:t>
            </w:r>
          </w:p>
        </w:tc>
        <w:tc>
          <w:tcPr>
            <w:tcW w:type="dxa" w:w="1426"/>
          </w:tcPr>
          <w:p>
            <w:pPr>
              <w:spacing w:after="20"/>
              <w:jc w:val="right"/>
            </w:pPr>
            <w:r>
              <w:rPr>
                <w:color w:val="1C3A36"/>
                <w:sz w:val="17"/>
              </w:rPr>
              <w:t>(16,901)</w:t>
            </w:r>
          </w:p>
        </w:tc>
        <w:tc>
          <w:tcPr>
            <w:tcW w:type="dxa" w:w="1426"/>
          </w:tcPr>
          <w:p>
            <w:pPr>
              <w:spacing w:after="20"/>
              <w:jc w:val="right"/>
            </w:pPr>
            <w:r>
              <w:rPr>
                <w:color w:val="1C3A36"/>
                <w:sz w:val="17"/>
              </w:rPr>
              <w:t>(16,798)</w:t>
            </w:r>
          </w:p>
        </w:tc>
        <w:tc>
          <w:tcPr>
            <w:tcW w:type="dxa" w:w="1426"/>
          </w:tcPr>
          <w:p>
            <w:pPr>
              <w:spacing w:after="20"/>
              <w:jc w:val="right"/>
            </w:pPr>
            <w:r>
              <w:rPr>
                <w:color w:val="1C3A36"/>
                <w:sz w:val="17"/>
              </w:rPr>
              <w:t>(16,845)</w:t>
            </w:r>
          </w:p>
        </w:tc>
        <w:tc>
          <w:tcPr>
            <w:tcW w:type="dxa" w:w="1426"/>
          </w:tcPr>
          <w:p>
            <w:pPr>
              <w:spacing w:after="20"/>
              <w:jc w:val="right"/>
            </w:pPr>
            <w:r>
              <w:rPr>
                <w:color w:val="1C3A36"/>
                <w:sz w:val="17"/>
              </w:rPr>
              <w:t>(17,212)</w:t>
            </w:r>
          </w:p>
        </w:tc>
      </w:tr>
      <w:tr>
        <w:tc>
          <w:tcPr>
            <w:tcW w:type="dxa" w:w="2952"/>
          </w:tcPr>
          <w:p>
            <w:pPr>
              <w:spacing w:after="20"/>
            </w:pPr>
            <w:r>
              <w:rPr>
                <w:color w:val="1C3A36"/>
                <w:sz w:val="17"/>
              </w:rPr>
              <w:t>Less change in working capital</w:t>
            </w:r>
          </w:p>
        </w:tc>
        <w:tc>
          <w:tcPr>
            <w:tcW w:type="dxa" w:w="1426"/>
          </w:tcPr>
          <w:p>
            <w:pPr>
              <w:spacing w:after="20"/>
              <w:jc w:val="right"/>
            </w:pPr>
            <w:r>
              <w:rPr>
                <w:color w:val="1C3A36"/>
                <w:sz w:val="17"/>
              </w:rPr>
              <w:t>(17,783)</w:t>
            </w:r>
          </w:p>
        </w:tc>
        <w:tc>
          <w:tcPr>
            <w:tcW w:type="dxa" w:w="1426"/>
          </w:tcPr>
          <w:p>
            <w:pPr>
              <w:spacing w:after="20"/>
              <w:jc w:val="right"/>
            </w:pPr>
            <w:r>
              <w:rPr>
                <w:color w:val="1C3A36"/>
                <w:sz w:val="17"/>
              </w:rPr>
              <w:t>(10,447)</w:t>
            </w:r>
          </w:p>
        </w:tc>
        <w:tc>
          <w:tcPr>
            <w:tcW w:type="dxa" w:w="1426"/>
          </w:tcPr>
          <w:p>
            <w:pPr>
              <w:spacing w:after="20"/>
              <w:jc w:val="right"/>
            </w:pPr>
            <w:r>
              <w:rPr>
                <w:color w:val="1C3A36"/>
                <w:sz w:val="17"/>
              </w:rPr>
              <w:t>(8,774)</w:t>
            </w:r>
          </w:p>
        </w:tc>
        <w:tc>
          <w:tcPr>
            <w:tcW w:type="dxa" w:w="1426"/>
          </w:tcPr>
          <w:p>
            <w:pPr>
              <w:spacing w:after="20"/>
              <w:jc w:val="right"/>
            </w:pPr>
            <w:r>
              <w:rPr>
                <w:color w:val="1C3A36"/>
                <w:sz w:val="17"/>
              </w:rPr>
              <w:t>(8,720)</w:t>
            </w:r>
          </w:p>
        </w:tc>
        <w:tc>
          <w:tcPr>
            <w:tcW w:type="dxa" w:w="1426"/>
          </w:tcPr>
          <w:p>
            <w:pPr>
              <w:spacing w:after="20"/>
              <w:jc w:val="right"/>
            </w:pPr>
            <w:r>
              <w:rPr>
                <w:color w:val="1C3A36"/>
                <w:sz w:val="17"/>
              </w:rPr>
              <w:t>(8,912)</w:t>
            </w:r>
          </w:p>
        </w:tc>
      </w:tr>
      <w:tr>
        <w:tc>
          <w:tcPr>
            <w:tcW w:type="dxa" w:w="2952"/>
            <w:shd w:val="clear" w:color="auto" w:fill="F6F1E6"/>
          </w:tcPr>
          <w:p>
            <w:pPr>
              <w:spacing w:after="20"/>
            </w:pPr>
            <w:r>
              <w:rPr>
                <w:b/>
                <w:color w:val="1C3A36"/>
                <w:sz w:val="17"/>
              </w:rPr>
              <w:t>Free cash flow to the firm</w:t>
            </w:r>
          </w:p>
        </w:tc>
        <w:tc>
          <w:tcPr>
            <w:tcW w:type="dxa" w:w="1426"/>
            <w:shd w:val="clear" w:color="auto" w:fill="F6F1E6"/>
          </w:tcPr>
          <w:p>
            <w:pPr>
              <w:spacing w:after="20"/>
              <w:jc w:val="right"/>
            </w:pPr>
            <w:r>
              <w:rPr>
                <w:b/>
                <w:color w:val="1C3A36"/>
                <w:sz w:val="17"/>
              </w:rPr>
              <w:t>-6,387</w:t>
            </w:r>
          </w:p>
        </w:tc>
        <w:tc>
          <w:tcPr>
            <w:tcW w:type="dxa" w:w="1426"/>
            <w:shd w:val="clear" w:color="auto" w:fill="F6F1E6"/>
          </w:tcPr>
          <w:p>
            <w:pPr>
              <w:spacing w:after="20"/>
              <w:jc w:val="right"/>
            </w:pPr>
            <w:r>
              <w:rPr>
                <w:b/>
                <w:color w:val="1C3A36"/>
                <w:sz w:val="17"/>
              </w:rPr>
              <w:t>5,387</w:t>
            </w:r>
          </w:p>
        </w:tc>
        <w:tc>
          <w:tcPr>
            <w:tcW w:type="dxa" w:w="1426"/>
            <w:shd w:val="clear" w:color="auto" w:fill="F6F1E6"/>
          </w:tcPr>
          <w:p>
            <w:pPr>
              <w:spacing w:after="20"/>
              <w:jc w:val="right"/>
            </w:pPr>
            <w:r>
              <w:rPr>
                <w:b/>
                <w:color w:val="1C3A36"/>
                <w:sz w:val="17"/>
              </w:rPr>
              <w:t>11,797</w:t>
            </w:r>
          </w:p>
        </w:tc>
        <w:tc>
          <w:tcPr>
            <w:tcW w:type="dxa" w:w="1426"/>
            <w:shd w:val="clear" w:color="auto" w:fill="F6F1E6"/>
          </w:tcPr>
          <w:p>
            <w:pPr>
              <w:spacing w:after="20"/>
              <w:jc w:val="right"/>
            </w:pPr>
            <w:r>
              <w:rPr>
                <w:b/>
                <w:color w:val="1C3A36"/>
                <w:sz w:val="17"/>
              </w:rPr>
              <w:t>16,503</w:t>
            </w:r>
          </w:p>
        </w:tc>
        <w:tc>
          <w:tcPr>
            <w:tcW w:type="dxa" w:w="1426"/>
            <w:shd w:val="clear" w:color="auto" w:fill="F6F1E6"/>
          </w:tcPr>
          <w:p>
            <w:pPr>
              <w:spacing w:after="20"/>
              <w:jc w:val="right"/>
            </w:pPr>
            <w:r>
              <w:rPr>
                <w:b/>
                <w:color w:val="1C3A36"/>
                <w:sz w:val="17"/>
              </w:rPr>
              <w:t>20,279</w:t>
            </w:r>
          </w:p>
        </w:tc>
      </w:tr>
      <w:tr>
        <w:tc>
          <w:tcPr>
            <w:tcW w:type="dxa" w:w="2952"/>
          </w:tcPr>
          <w:p>
            <w:pPr>
              <w:spacing w:after="20"/>
            </w:pPr>
            <w:r>
              <w:rPr>
                <w:color w:val="1C3A36"/>
                <w:sz w:val="17"/>
              </w:rPr>
              <w:t>Forward cost of capital</w:t>
            </w:r>
          </w:p>
        </w:tc>
        <w:tc>
          <w:tcPr>
            <w:tcW w:type="dxa" w:w="1426"/>
          </w:tcPr>
          <w:p>
            <w:pPr>
              <w:spacing w:after="20"/>
              <w:jc w:val="right"/>
            </w:pPr>
            <w:r>
              <w:rPr>
                <w:color w:val="1C3A36"/>
                <w:sz w:val="17"/>
              </w:rPr>
              <w:t>26.6%</w:t>
            </w:r>
          </w:p>
        </w:tc>
        <w:tc>
          <w:tcPr>
            <w:tcW w:type="dxa" w:w="1426"/>
          </w:tcPr>
          <w:p>
            <w:pPr>
              <w:spacing w:after="20"/>
              <w:jc w:val="right"/>
            </w:pPr>
            <w:r>
              <w:rPr>
                <w:color w:val="1C3A36"/>
                <w:sz w:val="17"/>
              </w:rPr>
              <w:t>23.1%</w:t>
            </w:r>
          </w:p>
        </w:tc>
        <w:tc>
          <w:tcPr>
            <w:tcW w:type="dxa" w:w="1426"/>
          </w:tcPr>
          <w:p>
            <w:pPr>
              <w:spacing w:after="20"/>
              <w:jc w:val="right"/>
            </w:pPr>
            <w:r>
              <w:rPr>
                <w:color w:val="1C3A36"/>
                <w:sz w:val="17"/>
              </w:rPr>
              <w:t>20.1%</w:t>
            </w:r>
          </w:p>
        </w:tc>
        <w:tc>
          <w:tcPr>
            <w:tcW w:type="dxa" w:w="1426"/>
          </w:tcPr>
          <w:p>
            <w:pPr>
              <w:spacing w:after="20"/>
              <w:jc w:val="right"/>
            </w:pPr>
            <w:r>
              <w:rPr>
                <w:color w:val="1C3A36"/>
                <w:sz w:val="17"/>
              </w:rPr>
              <w:t>17.7%</w:t>
            </w:r>
          </w:p>
        </w:tc>
        <w:tc>
          <w:tcPr>
            <w:tcW w:type="dxa" w:w="1426"/>
          </w:tcPr>
          <w:p>
            <w:pPr>
              <w:spacing w:after="20"/>
              <w:jc w:val="right"/>
            </w:pPr>
            <w:r>
              <w:rPr>
                <w:color w:val="1C3A36"/>
                <w:sz w:val="17"/>
              </w:rPr>
              <w:t>15.9%</w:t>
            </w:r>
          </w:p>
        </w:tc>
      </w:tr>
      <w:tr>
        <w:tc>
          <w:tcPr>
            <w:tcW w:type="dxa" w:w="2952"/>
          </w:tcPr>
          <w:p>
            <w:pPr>
              <w:spacing w:after="20"/>
            </w:pPr>
            <w:r>
              <w:rPr>
                <w:color w:val="1C3A36"/>
                <w:sz w:val="17"/>
              </w:rPr>
              <w:t>Discount factor</w:t>
            </w:r>
          </w:p>
        </w:tc>
        <w:tc>
          <w:tcPr>
            <w:tcW w:type="dxa" w:w="1426"/>
          </w:tcPr>
          <w:p>
            <w:pPr>
              <w:spacing w:after="20"/>
              <w:jc w:val="right"/>
            </w:pPr>
            <w:r>
              <w:rPr>
                <w:color w:val="1C3A36"/>
                <w:sz w:val="17"/>
              </w:rPr>
              <w:t>0.7897</w:t>
            </w:r>
          </w:p>
        </w:tc>
        <w:tc>
          <w:tcPr>
            <w:tcW w:type="dxa" w:w="1426"/>
          </w:tcPr>
          <w:p>
            <w:pPr>
              <w:spacing w:after="20"/>
              <w:jc w:val="right"/>
            </w:pPr>
            <w:r>
              <w:rPr>
                <w:color w:val="1C3A36"/>
                <w:sz w:val="17"/>
              </w:rPr>
              <w:t>0.6417</w:t>
            </w:r>
          </w:p>
        </w:tc>
        <w:tc>
          <w:tcPr>
            <w:tcW w:type="dxa" w:w="1426"/>
          </w:tcPr>
          <w:p>
            <w:pPr>
              <w:spacing w:after="20"/>
              <w:jc w:val="right"/>
            </w:pPr>
            <w:r>
              <w:rPr>
                <w:color w:val="1C3A36"/>
                <w:sz w:val="17"/>
              </w:rPr>
              <w:t>0.5343</w:t>
            </w:r>
          </w:p>
        </w:tc>
        <w:tc>
          <w:tcPr>
            <w:tcW w:type="dxa" w:w="1426"/>
          </w:tcPr>
          <w:p>
            <w:pPr>
              <w:spacing w:after="20"/>
              <w:jc w:val="right"/>
            </w:pPr>
            <w:r>
              <w:rPr>
                <w:color w:val="1C3A36"/>
                <w:sz w:val="17"/>
              </w:rPr>
              <w:t>0.4539</w:t>
            </w:r>
          </w:p>
        </w:tc>
        <w:tc>
          <w:tcPr>
            <w:tcW w:type="dxa" w:w="1426"/>
          </w:tcPr>
          <w:p>
            <w:pPr>
              <w:spacing w:after="20"/>
              <w:jc w:val="right"/>
            </w:pPr>
            <w:r>
              <w:rPr>
                <w:color w:val="1C3A36"/>
                <w:sz w:val="17"/>
              </w:rPr>
              <w:t>0.3915</w:t>
            </w:r>
          </w:p>
        </w:tc>
      </w:tr>
      <w:tr>
        <w:tc>
          <w:tcPr>
            <w:tcW w:type="dxa" w:w="2952"/>
            <w:shd w:val="clear" w:color="auto" w:fill="F6F1E6"/>
          </w:tcPr>
          <w:p>
            <w:pPr>
              <w:spacing w:after="20"/>
            </w:pPr>
            <w:r>
              <w:rPr>
                <w:b/>
                <w:color w:val="1C3A36"/>
                <w:sz w:val="17"/>
              </w:rPr>
              <w:t>Present value of FCFF</w:t>
            </w:r>
          </w:p>
        </w:tc>
        <w:tc>
          <w:tcPr>
            <w:tcW w:type="dxa" w:w="1426"/>
            <w:shd w:val="clear" w:color="auto" w:fill="F6F1E6"/>
          </w:tcPr>
          <w:p>
            <w:pPr>
              <w:spacing w:after="20"/>
              <w:jc w:val="right"/>
            </w:pPr>
            <w:r>
              <w:rPr>
                <w:b/>
                <w:color w:val="1C3A36"/>
                <w:sz w:val="17"/>
              </w:rPr>
              <w:t>-5,044</w:t>
            </w:r>
          </w:p>
        </w:tc>
        <w:tc>
          <w:tcPr>
            <w:tcW w:type="dxa" w:w="1426"/>
            <w:shd w:val="clear" w:color="auto" w:fill="F6F1E6"/>
          </w:tcPr>
          <w:p>
            <w:pPr>
              <w:spacing w:after="20"/>
              <w:jc w:val="right"/>
            </w:pPr>
            <w:r>
              <w:rPr>
                <w:b/>
                <w:color w:val="1C3A36"/>
                <w:sz w:val="17"/>
              </w:rPr>
              <w:t>3,457</w:t>
            </w:r>
          </w:p>
        </w:tc>
        <w:tc>
          <w:tcPr>
            <w:tcW w:type="dxa" w:w="1426"/>
            <w:shd w:val="clear" w:color="auto" w:fill="F6F1E6"/>
          </w:tcPr>
          <w:p>
            <w:pPr>
              <w:spacing w:after="20"/>
              <w:jc w:val="right"/>
            </w:pPr>
            <w:r>
              <w:rPr>
                <w:b/>
                <w:color w:val="1C3A36"/>
                <w:sz w:val="17"/>
              </w:rPr>
              <w:t>6,304</w:t>
            </w:r>
          </w:p>
        </w:tc>
        <w:tc>
          <w:tcPr>
            <w:tcW w:type="dxa" w:w="1426"/>
            <w:shd w:val="clear" w:color="auto" w:fill="F6F1E6"/>
          </w:tcPr>
          <w:p>
            <w:pPr>
              <w:spacing w:after="20"/>
              <w:jc w:val="right"/>
            </w:pPr>
            <w:r>
              <w:rPr>
                <w:b/>
                <w:color w:val="1C3A36"/>
                <w:sz w:val="17"/>
              </w:rPr>
              <w:t>7,491</w:t>
            </w:r>
          </w:p>
        </w:tc>
        <w:tc>
          <w:tcPr>
            <w:tcW w:type="dxa" w:w="1426"/>
            <w:shd w:val="clear" w:color="auto" w:fill="F6F1E6"/>
          </w:tcPr>
          <w:p>
            <w:pPr>
              <w:spacing w:after="20"/>
              <w:jc w:val="right"/>
            </w:pPr>
            <w:r>
              <w:rPr>
                <w:b/>
                <w:color w:val="1C3A36"/>
                <w:sz w:val="17"/>
              </w:rPr>
              <w:t>7,940</w:t>
            </w:r>
          </w:p>
        </w:tc>
      </w:tr>
    </w:tbl>
    <w:p>
      <w:pPr>
        <w:spacing w:after="40"/>
      </w:pPr>
    </w:p>
    <w:p>
      <w:pPr>
        <w:spacing w:after="200" w:before="0"/>
      </w:pPr>
      <w:r>
        <w:rPr>
          <w:b w:val="0"/>
          <w:i/>
          <w:color w:val="6E7B77"/>
          <w:sz w:val="17"/>
        </w:rPr>
        <w:t>Every line is computed, not typed: the waterfall runs EBITDA → depreciation and amortisation → EBIT → NOPAT → add back depreciation → less capital expenditure → less the change in working capital → free cash flow to the firm → discount factor → present value. Working-capital change is the difference in net working capital held at a constant 19.9% of revenue, the level the audited balance sheets actually show.</w:t>
      </w:r>
    </w:p>
    <w:p>
      <w:pPr>
        <w:spacing w:after="80" w:before="200"/>
      </w:pPr>
      <w:r>
        <w:rPr>
          <w:b/>
          <w:i w:val="0"/>
          <w:color w:val="1C3A36"/>
          <w:sz w:val="24"/>
        </w:rPr>
        <w:t>The bridge from enterprise value to the equity — and to the anchor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4896"/>
      </w:tblGrid>
      <w:tr>
        <w:tc>
          <w:tcPr>
            <w:tcW w:type="dxa" w:w="3672"/>
            <w:shd w:val="clear" w:color="auto" w:fill="EAF0EE"/>
          </w:tcPr>
          <w:p>
            <w:pPr>
              <w:spacing w:after="20"/>
            </w:pPr>
            <w:r>
              <w:rPr>
                <w:b/>
                <w:color w:val="1C3A36"/>
                <w:sz w:val="16"/>
              </w:rPr>
              <w:t>Step</w:t>
            </w:r>
          </w:p>
        </w:tc>
        <w:tc>
          <w:tcPr>
            <w:tcW w:type="dxa" w:w="1512"/>
            <w:shd w:val="clear" w:color="auto" w:fill="EAF0EE"/>
          </w:tcPr>
          <w:p>
            <w:pPr>
              <w:spacing w:after="20"/>
            </w:pPr>
            <w:r>
              <w:rPr>
                <w:b/>
                <w:color w:val="1C3A36"/>
                <w:sz w:val="16"/>
              </w:rPr>
              <w:t>EGP mn</w:t>
            </w:r>
          </w:p>
        </w:tc>
        <w:tc>
          <w:tcPr>
            <w:tcW w:type="dxa" w:w="4896"/>
            <w:shd w:val="clear" w:color="auto" w:fill="EAF0EE"/>
          </w:tcPr>
          <w:p>
            <w:pPr>
              <w:spacing w:after="20"/>
            </w:pPr>
            <w:r>
              <w:rPr>
                <w:b/>
                <w:color w:val="1C3A36"/>
                <w:sz w:val="16"/>
              </w:rPr>
              <w:t>Note</w:t>
            </w:r>
          </w:p>
        </w:tc>
      </w:tr>
      <w:tr>
        <w:tc>
          <w:tcPr>
            <w:tcW w:type="dxa" w:w="3672"/>
          </w:tcPr>
          <w:p>
            <w:pPr>
              <w:spacing w:after="20"/>
            </w:pPr>
            <w:r>
              <w:rPr>
                <w:color w:val="1C3A36"/>
                <w:sz w:val="16"/>
              </w:rPr>
              <w:t>Present value of the five forecast years</w:t>
            </w:r>
          </w:p>
        </w:tc>
        <w:tc>
          <w:tcPr>
            <w:tcW w:type="dxa" w:w="1512"/>
          </w:tcPr>
          <w:p>
            <w:pPr>
              <w:spacing w:after="20"/>
              <w:jc w:val="right"/>
            </w:pPr>
            <w:r>
              <w:rPr>
                <w:color w:val="1C3A36"/>
                <w:sz w:val="16"/>
              </w:rPr>
              <w:t>20,148</w:t>
            </w:r>
          </w:p>
        </w:tc>
        <w:tc>
          <w:tcPr>
            <w:tcW w:type="dxa" w:w="4896"/>
          </w:tcPr>
          <w:p>
            <w:pPr>
              <w:spacing w:after="20"/>
              <w:jc w:val="right"/>
            </w:pPr>
            <w:r>
              <w:rPr>
                <w:color w:val="1C3A36"/>
                <w:sz w:val="16"/>
              </w:rPr>
              <w:t>sum of the present-value row above</w:t>
            </w:r>
          </w:p>
        </w:tc>
      </w:tr>
      <w:tr>
        <w:tc>
          <w:tcPr>
            <w:tcW w:type="dxa" w:w="3672"/>
          </w:tcPr>
          <w:p>
            <w:pPr>
              <w:spacing w:after="20"/>
            </w:pPr>
            <w:r>
              <w:rPr>
                <w:color w:val="1C3A36"/>
                <w:sz w:val="16"/>
              </w:rPr>
              <w:t>Terminal-year free cash flow</w:t>
            </w:r>
          </w:p>
        </w:tc>
        <w:tc>
          <w:tcPr>
            <w:tcW w:type="dxa" w:w="1512"/>
          </w:tcPr>
          <w:p>
            <w:pPr>
              <w:spacing w:after="20"/>
              <w:jc w:val="right"/>
            </w:pPr>
            <w:r>
              <w:rPr>
                <w:color w:val="1C3A36"/>
                <w:sz w:val="16"/>
              </w:rPr>
              <w:t>31,277</w:t>
            </w:r>
          </w:p>
        </w:tc>
        <w:tc>
          <w:tcPr>
            <w:tcW w:type="dxa" w:w="4896"/>
          </w:tcPr>
          <w:p>
            <w:pPr>
              <w:spacing w:after="20"/>
              <w:jc w:val="right"/>
            </w:pPr>
            <w:r>
              <w:rPr>
                <w:color w:val="1C3A36"/>
                <w:sz w:val="16"/>
              </w:rPr>
              <w:t>FY2030E NOPAT grown 5% × (1 − reinvestment rate 24.5%); the reinvestment rate is forced to g ÷ terminal return on capital (20.4%) so growth is paid for — this is why the terminal cash flow sits above year-5 FCFF, disclosed here rather than left implicit</w:t>
            </w:r>
          </w:p>
        </w:tc>
      </w:tr>
      <w:tr>
        <w:tc>
          <w:tcPr>
            <w:tcW w:type="dxa" w:w="3672"/>
          </w:tcPr>
          <w:p>
            <w:pPr>
              <w:spacing w:after="20"/>
            </w:pPr>
            <w:r>
              <w:rPr>
                <w:color w:val="1C3A36"/>
                <w:sz w:val="16"/>
              </w:rPr>
              <w:t>Present value of the terminal value</w:t>
            </w:r>
          </w:p>
        </w:tc>
        <w:tc>
          <w:tcPr>
            <w:tcW w:type="dxa" w:w="1512"/>
          </w:tcPr>
          <w:p>
            <w:pPr>
              <w:spacing w:after="20"/>
              <w:jc w:val="right"/>
            </w:pPr>
            <w:r>
              <w:rPr>
                <w:color w:val="1C3A36"/>
                <w:sz w:val="16"/>
              </w:rPr>
              <w:t>111,998</w:t>
            </w:r>
          </w:p>
        </w:tc>
        <w:tc>
          <w:tcPr>
            <w:tcW w:type="dxa" w:w="4896"/>
          </w:tcPr>
          <w:p>
            <w:pPr>
              <w:spacing w:after="20"/>
              <w:jc w:val="right"/>
            </w:pPr>
            <w:r>
              <w:rPr>
                <w:color w:val="1C3A36"/>
                <w:sz w:val="16"/>
              </w:rPr>
              <w:t>the terminal cash flow capitalised at 15.9% − 5% = 286,048, discounted at the year-5 factor 0.3915</w:t>
            </w:r>
          </w:p>
        </w:tc>
      </w:tr>
      <w:tr>
        <w:tc>
          <w:tcPr>
            <w:tcW w:type="dxa" w:w="3672"/>
            <w:shd w:val="clear" w:color="auto" w:fill="F6F1E6"/>
          </w:tcPr>
          <w:p>
            <w:pPr>
              <w:spacing w:after="20"/>
            </w:pPr>
            <w:r>
              <w:rPr>
                <w:b/>
                <w:color w:val="1C3A36"/>
                <w:sz w:val="16"/>
              </w:rPr>
              <w:t>Enterprise value</w:t>
            </w:r>
          </w:p>
        </w:tc>
        <w:tc>
          <w:tcPr>
            <w:tcW w:type="dxa" w:w="1512"/>
            <w:shd w:val="clear" w:color="auto" w:fill="F6F1E6"/>
          </w:tcPr>
          <w:p>
            <w:pPr>
              <w:spacing w:after="20"/>
              <w:jc w:val="right"/>
            </w:pPr>
            <w:r>
              <w:rPr>
                <w:b/>
                <w:color w:val="1C3A36"/>
                <w:sz w:val="16"/>
              </w:rPr>
              <w:t>132,146</w:t>
            </w:r>
          </w:p>
        </w:tc>
        <w:tc>
          <w:tcPr>
            <w:tcW w:type="dxa" w:w="4896"/>
            <w:shd w:val="clear" w:color="auto" w:fill="F6F1E6"/>
          </w:tcPr>
          <w:p>
            <w:pPr>
              <w:spacing w:after="20"/>
              <w:jc w:val="right"/>
            </w:pPr>
            <w:r>
              <w:rPr>
                <w:b/>
                <w:color w:val="1C3A36"/>
                <w:sz w:val="16"/>
              </w:rPr>
              <w:t>the two lines above</w:t>
            </w:r>
          </w:p>
        </w:tc>
      </w:tr>
      <w:tr>
        <w:tc>
          <w:tcPr>
            <w:tcW w:type="dxa" w:w="3672"/>
          </w:tcPr>
          <w:p>
            <w:pPr>
              <w:spacing w:after="20"/>
            </w:pPr>
            <w:r>
              <w:rPr>
                <w:color w:val="1C3A36"/>
                <w:sz w:val="16"/>
              </w:rPr>
              <w:t>Terminal value as a share of enterprise value</w:t>
            </w:r>
          </w:p>
        </w:tc>
        <w:tc>
          <w:tcPr>
            <w:tcW w:type="dxa" w:w="1512"/>
          </w:tcPr>
          <w:p>
            <w:pPr>
              <w:spacing w:after="20"/>
              <w:jc w:val="right"/>
            </w:pPr>
            <w:r>
              <w:rPr>
                <w:color w:val="1C3A36"/>
                <w:sz w:val="16"/>
              </w:rPr>
              <w:t>85%</w:t>
            </w:r>
          </w:p>
        </w:tc>
        <w:tc>
          <w:tcPr>
            <w:tcW w:type="dxa" w:w="4896"/>
          </w:tcPr>
          <w:p>
            <w:pPr>
              <w:spacing w:after="20"/>
              <w:jc w:val="right"/>
            </w:pPr>
            <w:r>
              <w:rPr>
                <w:color w:val="1C3A36"/>
                <w:sz w:val="16"/>
              </w:rPr>
              <w:t>disclosed here and in the summary table; stress-tested in section 1.9</w:t>
            </w:r>
          </w:p>
        </w:tc>
      </w:tr>
      <w:tr>
        <w:tc>
          <w:tcPr>
            <w:tcW w:type="dxa" w:w="3672"/>
          </w:tcPr>
          <w:p>
            <w:pPr>
              <w:spacing w:after="20"/>
            </w:pPr>
            <w:r>
              <w:rPr>
                <w:color w:val="1C3A36"/>
                <w:sz w:val="16"/>
              </w:rPr>
              <w:t>Less net bank debt</w:t>
            </w:r>
          </w:p>
        </w:tc>
        <w:tc>
          <w:tcPr>
            <w:tcW w:type="dxa" w:w="1512"/>
          </w:tcPr>
          <w:p>
            <w:pPr>
              <w:spacing w:after="20"/>
              <w:jc w:val="right"/>
            </w:pPr>
            <w:r>
              <w:rPr>
                <w:color w:val="1C3A36"/>
                <w:sz w:val="16"/>
              </w:rPr>
              <w:t>(20,560)</w:t>
            </w:r>
          </w:p>
        </w:tc>
        <w:tc>
          <w:tcPr>
            <w:tcW w:type="dxa" w:w="4896"/>
          </w:tcPr>
          <w:p>
            <w:pPr>
              <w:spacing w:after="20"/>
              <w:jc w:val="right"/>
            </w:pPr>
            <w:r>
              <w:rPr>
                <w:color w:val="1C3A36"/>
                <w:sz w:val="16"/>
              </w:rPr>
              <w:t>audited, at 31 December 2025</w:t>
            </w:r>
          </w:p>
        </w:tc>
      </w:tr>
      <w:tr>
        <w:tc>
          <w:tcPr>
            <w:tcW w:type="dxa" w:w="3672"/>
          </w:tcPr>
          <w:p>
            <w:pPr>
              <w:spacing w:after="20"/>
            </w:pPr>
            <w:r>
              <w:rPr>
                <w:color w:val="1C3A36"/>
                <w:sz w:val="16"/>
              </w:rPr>
              <w:t>Plus equity-accounted investees</w:t>
            </w:r>
          </w:p>
        </w:tc>
        <w:tc>
          <w:tcPr>
            <w:tcW w:type="dxa" w:w="1512"/>
          </w:tcPr>
          <w:p>
            <w:pPr>
              <w:spacing w:after="20"/>
              <w:jc w:val="right"/>
            </w:pPr>
            <w:r>
              <w:rPr>
                <w:color w:val="1C3A36"/>
                <w:sz w:val="16"/>
              </w:rPr>
              <w:t>6,758</w:t>
            </w:r>
          </w:p>
        </w:tc>
        <w:tc>
          <w:tcPr>
            <w:tcW w:type="dxa" w:w="4896"/>
          </w:tcPr>
          <w:p>
            <w:pPr>
              <w:spacing w:after="20"/>
              <w:jc w:val="right"/>
            </w:pPr>
            <w:r>
              <w:rPr>
                <w:color w:val="1C3A36"/>
                <w:sz w:val="16"/>
              </w:rPr>
              <w:t>audited FY2025 carrying value, no uplift; these earn outside the consolidated cash flow</w:t>
            </w:r>
          </w:p>
        </w:tc>
      </w:tr>
      <w:tr>
        <w:tc>
          <w:tcPr>
            <w:tcW w:type="dxa" w:w="3672"/>
          </w:tcPr>
          <w:p>
            <w:pPr>
              <w:spacing w:after="20"/>
            </w:pPr>
            <w:r>
              <w:rPr>
                <w:color w:val="1C3A36"/>
                <w:sz w:val="16"/>
              </w:rPr>
              <w:t>Less minority interests</w:t>
            </w:r>
          </w:p>
        </w:tc>
        <w:tc>
          <w:tcPr>
            <w:tcW w:type="dxa" w:w="1512"/>
          </w:tcPr>
          <w:p>
            <w:pPr>
              <w:spacing w:after="20"/>
              <w:jc w:val="right"/>
            </w:pPr>
            <w:r>
              <w:rPr>
                <w:color w:val="1C3A36"/>
                <w:sz w:val="16"/>
              </w:rPr>
              <w:t>(11,450)</w:t>
            </w:r>
          </w:p>
        </w:tc>
        <w:tc>
          <w:tcPr>
            <w:tcW w:type="dxa" w:w="4896"/>
          </w:tcPr>
          <w:p>
            <w:pPr>
              <w:spacing w:after="20"/>
              <w:jc w:val="right"/>
            </w:pPr>
            <w:r>
              <w:rPr>
                <w:color w:val="1C3A36"/>
                <w:sz w:val="16"/>
              </w:rPr>
              <w:t>minorities take 9.7% of group profit, so they are charged the same share of the value</w:t>
            </w:r>
          </w:p>
        </w:tc>
      </w:tr>
      <w:tr>
        <w:tc>
          <w:tcPr>
            <w:tcW w:type="dxa" w:w="3672"/>
          </w:tcPr>
          <w:p>
            <w:pPr>
              <w:spacing w:after="20"/>
            </w:pPr>
            <w:r>
              <w:rPr>
                <w:color w:val="1C3A36"/>
                <w:sz w:val="16"/>
              </w:rPr>
              <w:t>Equity attributable, at 31 December 2025</w:t>
            </w:r>
          </w:p>
        </w:tc>
        <w:tc>
          <w:tcPr>
            <w:tcW w:type="dxa" w:w="1512"/>
          </w:tcPr>
          <w:p>
            <w:pPr>
              <w:spacing w:after="20"/>
              <w:jc w:val="right"/>
            </w:pPr>
            <w:r>
              <w:rPr>
                <w:color w:val="1C3A36"/>
                <w:sz w:val="16"/>
              </w:rPr>
              <w:t>106,894</w:t>
            </w:r>
          </w:p>
        </w:tc>
        <w:tc>
          <w:tcPr>
            <w:tcW w:type="dxa" w:w="4896"/>
          </w:tcPr>
          <w:p>
            <w:pPr>
              <w:spacing w:after="20"/>
              <w:jc w:val="right"/>
            </w:pPr>
            <w:r>
              <w:rPr>
                <w:color w:val="1C3A36"/>
                <w:sz w:val="16"/>
              </w:rPr>
              <w:t>EGP 49.93 per share — dated at the audited balance-sheet date the bridge subtracts net debt at</w:t>
            </w:r>
          </w:p>
        </w:tc>
      </w:tr>
      <w:tr>
        <w:tc>
          <w:tcPr>
            <w:tcW w:type="dxa" w:w="3672"/>
          </w:tcPr>
          <w:p>
            <w:pPr>
              <w:spacing w:after="20"/>
            </w:pPr>
            <w:r>
              <w:rPr>
                <w:color w:val="1C3A36"/>
                <w:sz w:val="16"/>
              </w:rPr>
              <w:t>Rolled 217/365 of a year to the anchor</w:t>
            </w:r>
          </w:p>
        </w:tc>
        <w:tc>
          <w:tcPr>
            <w:tcW w:type="dxa" w:w="1512"/>
          </w:tcPr>
          <w:p>
            <w:pPr>
              <w:spacing w:after="20"/>
              <w:jc w:val="right"/>
            </w:pPr>
            <w:r>
              <w:rPr>
                <w:color w:val="1C3A36"/>
                <w:sz w:val="16"/>
              </w:rPr>
              <w:t>×1.1603</w:t>
            </w:r>
          </w:p>
        </w:tc>
        <w:tc>
          <w:tcPr>
            <w:tcW w:type="dxa" w:w="4896"/>
          </w:tcPr>
          <w:p>
            <w:pPr>
              <w:spacing w:after="20"/>
              <w:jc w:val="right"/>
            </w:pPr>
            <w:r>
              <w:rPr>
                <w:color w:val="1C3A36"/>
                <w:sz w:val="16"/>
              </w:rPr>
              <w:t>fair value accretes at the 28.4% cost of equity between the valuation date and the 5-Aug-2026 anchor — one date, one price of time, applied to the comparison itself</w:t>
            </w:r>
          </w:p>
        </w:tc>
      </w:tr>
      <w:tr>
        <w:tc>
          <w:tcPr>
            <w:tcW w:type="dxa" w:w="3672"/>
          </w:tcPr>
          <w:p>
            <w:pPr>
              <w:spacing w:after="20"/>
            </w:pPr>
            <w:r>
              <w:rPr>
                <w:color w:val="1C3A36"/>
                <w:sz w:val="16"/>
              </w:rPr>
              <w:t>Less the FY2025 dividend paid in the window</w:t>
            </w:r>
          </w:p>
        </w:tc>
        <w:tc>
          <w:tcPr>
            <w:tcW w:type="dxa" w:w="1512"/>
          </w:tcPr>
          <w:p>
            <w:pPr>
              <w:spacing w:after="20"/>
              <w:jc w:val="right"/>
            </w:pPr>
            <w:r>
              <w:rPr>
                <w:color w:val="1C3A36"/>
                <w:sz w:val="16"/>
              </w:rPr>
              <w:t>(1.85/sh)</w:t>
            </w:r>
          </w:p>
        </w:tc>
        <w:tc>
          <w:tcPr>
            <w:tcW w:type="dxa" w:w="4896"/>
          </w:tcPr>
          <w:p>
            <w:pPr>
              <w:spacing w:after="20"/>
              <w:jc w:val="right"/>
            </w:pPr>
            <w:r>
              <w:rPr>
                <w:color w:val="1C3A36"/>
                <w:sz w:val="16"/>
              </w:rPr>
              <w:t>EGP 1.85, ex 1 June 2026 — value that left the share before the anchor date</w:t>
            </w:r>
          </w:p>
        </w:tc>
      </w:tr>
      <w:tr>
        <w:tc>
          <w:tcPr>
            <w:tcW w:type="dxa" w:w="3672"/>
            <w:shd w:val="clear" w:color="auto" w:fill="F6F1E6"/>
          </w:tcPr>
          <w:p>
            <w:pPr>
              <w:spacing w:after="20"/>
            </w:pPr>
            <w:r>
              <w:rPr>
                <w:b/>
                <w:color w:val="1C3A36"/>
                <w:sz w:val="16"/>
              </w:rPr>
              <w:t>Fair value per share at the anchor (EGP)</w:t>
            </w:r>
          </w:p>
        </w:tc>
        <w:tc>
          <w:tcPr>
            <w:tcW w:type="dxa" w:w="1512"/>
            <w:shd w:val="clear" w:color="auto" w:fill="F6F1E6"/>
          </w:tcPr>
          <w:p>
            <w:pPr>
              <w:spacing w:after="20"/>
              <w:jc w:val="right"/>
            </w:pPr>
            <w:r>
              <w:rPr>
                <w:b/>
                <w:color w:val="1C3A36"/>
                <w:sz w:val="16"/>
              </w:rPr>
              <w:t>56.08</w:t>
            </w:r>
          </w:p>
        </w:tc>
        <w:tc>
          <w:tcPr>
            <w:tcW w:type="dxa" w:w="4896"/>
            <w:shd w:val="clear" w:color="auto" w:fill="F6F1E6"/>
          </w:tcPr>
          <w:p>
            <w:pPr>
              <w:spacing w:after="20"/>
              <w:jc w:val="right"/>
            </w:pPr>
            <w:r>
              <w:rPr>
                <w:b/>
                <w:color w:val="1C3A36"/>
                <w:sz w:val="16"/>
              </w:rPr>
              <w:t>against a spot of 105.20 (-47%)</w:t>
            </w:r>
          </w:p>
        </w:tc>
      </w:tr>
    </w:tbl>
    <w:p>
      <w:pPr>
        <w:spacing w:after="40"/>
      </w:pPr>
    </w:p>
    <w:p>
      <w:pPr>
        <w:spacing w:after="200" w:before="0"/>
      </w:pPr>
      <w:r>
        <w:rPr>
          <w:b w:val="0"/>
          <w:i/>
          <w:color w:val="6E7B77"/>
          <w:sz w:val="17"/>
        </w:rPr>
        <w:t>Every lens in this study — not only the cash-flow model — is rolled to the anchor on the same two lines, so no value dated 31 December 2025 is ever compared to an August price. An earlier revision omitted the roll; an external review correctly flagged the omission as a breach of the study's own one-date rule, worth about seven months of accretion on the primary lens.</w:t>
      </w:r>
    </w:p>
    <w:p>
      <w:pPr>
        <w:spacing w:after="80" w:before="200"/>
      </w:pPr>
      <w:r>
        <w:rPr>
          <w:b/>
          <w:i w:val="0"/>
          <w:color w:val="1C3A36"/>
          <w:sz w:val="24"/>
        </w:rPr>
        <w:t>1.2  Book value and sustainable return — the asset lens</w:t>
      </w:r>
    </w:p>
    <w:p>
      <w:pPr>
        <w:spacing w:after="120" w:before="0"/>
      </w:pPr>
      <w:r>
        <w:rPr>
          <w:b w:val="0"/>
          <w:i w:val="0"/>
          <w:color w:val="1C3A36"/>
          <w:sz w:val="21"/>
        </w:rPr>
        <w:t>Book value attributable to shareholders is EGP 66,871mn at the audited FY2025 close, or 31.24 per share. The trailing return on average equity is 28.4%. That number is flattered: FY2023 and FY2024 both carried devaluation gains on copper inventory bought before the pound moved, so the sustainable rate is struck lower, at 23.5%.</w:t>
      </w:r>
    </w:p>
    <w:p>
      <w:pPr>
        <w:spacing w:after="120" w:before="0"/>
      </w:pPr>
      <w:r>
        <w:rPr>
          <w:b w:val="0"/>
          <w:i w:val="0"/>
          <w:color w:val="1C3A36"/>
          <w:sz w:val="21"/>
        </w:rPr>
        <w:t>A justified price-to-book multiple is (return on equity − growth) ÷ (cost of equity − growth). It is priced at the PERPETUAL (terminal) cost of equity of 17.6% — a steady-state multiple takes a steady-state rate, not a five-year transitional one. (An earlier wording called this figure an 'average' of the two windows, which it never was; the actual average, 23.0%, is the construction behind this lens's published bear bound of 35.33.) That gives 1.5× book, or EGP 51.52 per share at the anchor. This is the weakest of the four lenses for this company and carries the lowest weight, for a specific reason: three years of currency translation have moved reported book value in ways that have little to do with the earning power of the assets, and a group whose value sits in an order book and a brand is poorly described by its balance sheet. It is retained because it is the lens that disagrees most, and a lens that only ever agrees is not doing any work.</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296"/>
        <w:gridCol w:w="5688"/>
      </w:tblGrid>
      <w:tr>
        <w:tc>
          <w:tcPr>
            <w:tcW w:type="dxa" w:w="3096"/>
            <w:shd w:val="clear" w:color="auto" w:fill="EAF0EE"/>
          </w:tcPr>
          <w:p>
            <w:pPr>
              <w:spacing w:after="20"/>
            </w:pPr>
            <w:r>
              <w:rPr>
                <w:b/>
                <w:color w:val="1C3A36"/>
                <w:sz w:val="17"/>
              </w:rPr>
              <w:t>Measure</w:t>
            </w:r>
          </w:p>
        </w:tc>
        <w:tc>
          <w:tcPr>
            <w:tcW w:type="dxa" w:w="1296"/>
            <w:shd w:val="clear" w:color="auto" w:fill="EAF0EE"/>
          </w:tcPr>
          <w:p>
            <w:pPr>
              <w:spacing w:after="20"/>
            </w:pPr>
            <w:r>
              <w:rPr>
                <w:b/>
                <w:color w:val="1C3A36"/>
                <w:sz w:val="17"/>
              </w:rPr>
              <w:t>Value</w:t>
            </w:r>
          </w:p>
        </w:tc>
        <w:tc>
          <w:tcPr>
            <w:tcW w:type="dxa" w:w="5688"/>
            <w:shd w:val="clear" w:color="auto" w:fill="EAF0EE"/>
          </w:tcPr>
          <w:p>
            <w:pPr>
              <w:spacing w:after="20"/>
            </w:pPr>
            <w:r>
              <w:rPr>
                <w:b/>
                <w:color w:val="1C3A36"/>
                <w:sz w:val="17"/>
              </w:rPr>
              <w:t>Comment</w:t>
            </w:r>
          </w:p>
        </w:tc>
      </w:tr>
      <w:tr>
        <w:tc>
          <w:tcPr>
            <w:tcW w:type="dxa" w:w="3096"/>
          </w:tcPr>
          <w:p>
            <w:pPr>
              <w:spacing w:after="20"/>
            </w:pPr>
            <w:r>
              <w:rPr>
                <w:color w:val="1C3A36"/>
                <w:sz w:val="17"/>
              </w:rPr>
              <w:t>Enterprise value / EBITDA (trailing)</w:t>
            </w:r>
          </w:p>
        </w:tc>
        <w:tc>
          <w:tcPr>
            <w:tcW w:type="dxa" w:w="1296"/>
          </w:tcPr>
          <w:p>
            <w:pPr>
              <w:spacing w:after="20"/>
              <w:jc w:val="right"/>
            </w:pPr>
            <w:r>
              <w:rPr>
                <w:color w:val="1C3A36"/>
                <w:sz w:val="17"/>
              </w:rPr>
              <w:t>8.7×</w:t>
            </w:r>
          </w:p>
        </w:tc>
        <w:tc>
          <w:tcPr>
            <w:tcW w:type="dxa" w:w="5688"/>
          </w:tcPr>
          <w:p>
            <w:pPr>
              <w:spacing w:after="20"/>
              <w:jc w:val="right"/>
            </w:pPr>
            <w:r>
              <w:rPr>
                <w:color w:val="1C3A36"/>
                <w:sz w:val="17"/>
              </w:rPr>
              <w:t>enterprise value 245,770 over FY2025 house EBITDA 28,363 (EBIT + D&amp;A). Two base notes: this trailing EV is market cap plus net debt WITHOUT the associates/minority adjustments the justified multiple below carries — a simpler market-observable convention, labelled as such; and on the company's own published non-GAAP EBITDA (a different, larger definition) the multiple would be lower</w:t>
            </w:r>
          </w:p>
        </w:tc>
      </w:tr>
      <w:tr>
        <w:tc>
          <w:tcPr>
            <w:tcW w:type="dxa" w:w="3096"/>
          </w:tcPr>
          <w:p>
            <w:pPr>
              <w:spacing w:after="20"/>
            </w:pPr>
            <w:r>
              <w:rPr>
                <w:color w:val="1C3A36"/>
                <w:sz w:val="17"/>
              </w:rPr>
              <w:t>Price / earnings (trailing, attributable basis)</w:t>
            </w:r>
          </w:p>
        </w:tc>
        <w:tc>
          <w:tcPr>
            <w:tcW w:type="dxa" w:w="1296"/>
          </w:tcPr>
          <w:p>
            <w:pPr>
              <w:spacing w:after="20"/>
              <w:jc w:val="right"/>
            </w:pPr>
            <w:r>
              <w:rPr>
                <w:color w:val="1C3A36"/>
                <w:sz w:val="17"/>
              </w:rPr>
              <w:t>13.0×</w:t>
            </w:r>
          </w:p>
        </w:tc>
        <w:tc>
          <w:tcPr>
            <w:tcW w:type="dxa" w:w="5688"/>
          </w:tcPr>
          <w:p>
            <w:pPr>
              <w:spacing w:after="20"/>
              <w:jc w:val="right"/>
            </w:pPr>
            <w:r>
              <w:rPr>
                <w:color w:val="1C3A36"/>
                <w:sz w:val="17"/>
              </w:rPr>
              <w:t>price 105.20 over attributable earnings per share of 8.10</w:t>
            </w:r>
          </w:p>
        </w:tc>
      </w:tr>
      <w:tr>
        <w:tc>
          <w:tcPr>
            <w:tcW w:type="dxa" w:w="3096"/>
          </w:tcPr>
          <w:p>
            <w:pPr>
              <w:spacing w:after="20"/>
            </w:pPr>
            <w:r>
              <w:rPr>
                <w:color w:val="1C3A36"/>
                <w:sz w:val="17"/>
              </w:rPr>
              <w:t>Price / earnings (trailing, as-reported basis)</w:t>
            </w:r>
          </w:p>
        </w:tc>
        <w:tc>
          <w:tcPr>
            <w:tcW w:type="dxa" w:w="1296"/>
          </w:tcPr>
          <w:p>
            <w:pPr>
              <w:spacing w:after="20"/>
              <w:jc w:val="right"/>
            </w:pPr>
            <w:r>
              <w:rPr>
                <w:color w:val="1C3A36"/>
                <w:sz w:val="17"/>
              </w:rPr>
              <w:t>14.8×</w:t>
            </w:r>
          </w:p>
        </w:tc>
        <w:tc>
          <w:tcPr>
            <w:tcW w:type="dxa" w:w="5688"/>
          </w:tcPr>
          <w:p>
            <w:pPr>
              <w:spacing w:after="20"/>
              <w:jc w:val="right"/>
            </w:pPr>
            <w:r>
              <w:rPr>
                <w:color w:val="1C3A36"/>
                <w:sz w:val="17"/>
              </w:rPr>
              <w:t>the company's own reported earnings per share is struck after the Egyptian employee and board profit-share appropriation, so screens and data vendors show this higher multiple. Both are given because a reader comparing against a screen will see the second</w:t>
            </w:r>
          </w:p>
        </w:tc>
      </w:tr>
      <w:tr>
        <w:tc>
          <w:tcPr>
            <w:tcW w:type="dxa" w:w="3096"/>
          </w:tcPr>
          <w:p>
            <w:pPr>
              <w:spacing w:after="20"/>
            </w:pPr>
            <w:r>
              <w:rPr>
                <w:color w:val="1C3A36"/>
                <w:sz w:val="17"/>
              </w:rPr>
              <w:t>Price / book</w:t>
            </w:r>
          </w:p>
        </w:tc>
        <w:tc>
          <w:tcPr>
            <w:tcW w:type="dxa" w:w="1296"/>
          </w:tcPr>
          <w:p>
            <w:pPr>
              <w:spacing w:after="20"/>
              <w:jc w:val="right"/>
            </w:pPr>
            <w:r>
              <w:rPr>
                <w:color w:val="1C3A36"/>
                <w:sz w:val="17"/>
              </w:rPr>
              <w:t>3.4×</w:t>
            </w:r>
          </w:p>
        </w:tc>
        <w:tc>
          <w:tcPr>
            <w:tcW w:type="dxa" w:w="5688"/>
          </w:tcPr>
          <w:p>
            <w:pPr>
              <w:spacing w:after="20"/>
              <w:jc w:val="right"/>
            </w:pPr>
            <w:r>
              <w:rPr>
                <w:color w:val="1C3A36"/>
                <w:sz w:val="17"/>
              </w:rPr>
              <w:t>book value 31.24 per share</w:t>
            </w:r>
          </w:p>
        </w:tc>
      </w:tr>
      <w:tr>
        <w:tc>
          <w:tcPr>
            <w:tcW w:type="dxa" w:w="3096"/>
          </w:tcPr>
          <w:p>
            <w:pPr>
              <w:spacing w:after="20"/>
            </w:pPr>
            <w:r>
              <w:rPr>
                <w:color w:val="1C3A36"/>
                <w:sz w:val="17"/>
              </w:rPr>
              <w:t>Net bank debt / EBITDA</w:t>
            </w:r>
          </w:p>
        </w:tc>
        <w:tc>
          <w:tcPr>
            <w:tcW w:type="dxa" w:w="1296"/>
          </w:tcPr>
          <w:p>
            <w:pPr>
              <w:spacing w:after="20"/>
              <w:jc w:val="right"/>
            </w:pPr>
            <w:r>
              <w:rPr>
                <w:color w:val="1C3A36"/>
                <w:sz w:val="17"/>
              </w:rPr>
              <w:t>0.7×</w:t>
            </w:r>
          </w:p>
        </w:tc>
        <w:tc>
          <w:tcPr>
            <w:tcW w:type="dxa" w:w="5688"/>
          </w:tcPr>
          <w:p>
            <w:pPr>
              <w:spacing w:after="20"/>
              <w:jc w:val="right"/>
            </w:pPr>
            <w:r>
              <w:rPr>
                <w:color w:val="1C3A36"/>
                <w:sz w:val="17"/>
              </w:rPr>
              <w:t>light net leverage against a large gross book</w:t>
            </w:r>
          </w:p>
        </w:tc>
      </w:tr>
      <w:tr>
        <w:tc>
          <w:tcPr>
            <w:tcW w:type="dxa" w:w="3096"/>
            <w:shd w:val="clear" w:color="auto" w:fill="F6F1E6"/>
          </w:tcPr>
          <w:p>
            <w:pPr>
              <w:spacing w:after="20"/>
            </w:pPr>
            <w:r>
              <w:rPr>
                <w:b/>
                <w:color w:val="1C3A36"/>
                <w:sz w:val="17"/>
              </w:rPr>
              <w:t>Justified enterprise value / EBITDA</w:t>
            </w:r>
          </w:p>
        </w:tc>
        <w:tc>
          <w:tcPr>
            <w:tcW w:type="dxa" w:w="1296"/>
            <w:shd w:val="clear" w:color="auto" w:fill="F6F1E6"/>
          </w:tcPr>
          <w:p>
            <w:pPr>
              <w:spacing w:after="20"/>
              <w:jc w:val="right"/>
            </w:pPr>
            <w:r>
              <w:rPr>
                <w:b/>
                <w:color w:val="1C3A36"/>
                <w:sz w:val="17"/>
              </w:rPr>
              <w:t>6.5×</w:t>
            </w:r>
          </w:p>
        </w:tc>
        <w:tc>
          <w:tcPr>
            <w:tcW w:type="dxa" w:w="5688"/>
            <w:shd w:val="clear" w:color="auto" w:fill="F6F1E6"/>
          </w:tcPr>
          <w:p>
            <w:pPr>
              <w:spacing w:after="20"/>
              <w:jc w:val="right"/>
            </w:pPr>
            <w:r>
              <w:rPr>
                <w:b/>
                <w:color w:val="1C3A36"/>
                <w:sz w:val="17"/>
              </w:rPr>
              <w:t>applied to FY2027E EBITDA and then DISCOUNTED BACK two years, because a forward multiple produces a forward enterprise value. The multiple is set below the company's own trailing multiple as an Egyptian-market discount. NOTE: no peer multiple is computed anywhere in this study, so this is a judgement anchored on SWDY's own trading history, not a peer-derived figure — an earlier draft asserted a "peers trade at 8–11×" range that was not supported by any calculation, and it has been withdrawn</w:t>
            </w:r>
          </w:p>
        </w:tc>
      </w:tr>
      <w:tr>
        <w:tc>
          <w:tcPr>
            <w:tcW w:type="dxa" w:w="3096"/>
          </w:tcPr>
          <w:p>
            <w:pPr>
              <w:spacing w:after="20"/>
            </w:pPr>
            <w:r>
              <w:rPr>
                <w:color w:val="1C3A36"/>
                <w:sz w:val="17"/>
              </w:rPr>
              <w:t>Plus interim cash flows</w:t>
            </w:r>
          </w:p>
        </w:tc>
        <w:tc>
          <w:tcPr>
            <w:tcW w:type="dxa" w:w="1296"/>
          </w:tcPr>
          <w:p>
            <w:pPr>
              <w:spacing w:after="20"/>
              <w:jc w:val="right"/>
            </w:pPr>
            <w:r>
              <w:rPr>
                <w:color w:val="1C3A36"/>
                <w:sz w:val="17"/>
              </w:rPr>
              <w:t>(1,587)</w:t>
            </w:r>
          </w:p>
        </w:tc>
        <w:tc>
          <w:tcPr>
            <w:tcW w:type="dxa" w:w="5688"/>
          </w:tcPr>
          <w:p>
            <w:pPr>
              <w:spacing w:after="20"/>
              <w:jc w:val="right"/>
            </w:pPr>
            <w:r>
              <w:rPr>
                <w:color w:val="1C3A36"/>
                <w:sz w:val="17"/>
              </w:rPr>
              <w:t>the present value of the FY2026-27 free cash flows the forward multiple does not capture — net negative, because FY2026 consumes working capital. Added after external review; omitting it had overstated this lens slightly</w:t>
            </w:r>
          </w:p>
        </w:tc>
      </w:tr>
      <w:tr>
        <w:tc>
          <w:tcPr>
            <w:tcW w:type="dxa" w:w="3096"/>
          </w:tcPr>
          <w:p>
            <w:pPr>
              <w:spacing w:after="20"/>
            </w:pPr>
            <w:r>
              <w:rPr>
                <w:color w:val="1C3A36"/>
                <w:sz w:val="17"/>
              </w:rPr>
              <w:t>Implied value per share, at the anchor</w:t>
            </w:r>
          </w:p>
        </w:tc>
        <w:tc>
          <w:tcPr>
            <w:tcW w:type="dxa" w:w="1296"/>
          </w:tcPr>
          <w:p>
            <w:pPr>
              <w:spacing w:after="20"/>
              <w:jc w:val="right"/>
            </w:pPr>
            <w:r>
              <w:rPr>
                <w:color w:val="1C3A36"/>
                <w:sz w:val="17"/>
              </w:rPr>
              <w:t>75.65</w:t>
            </w:r>
          </w:p>
        </w:tc>
        <w:tc>
          <w:tcPr>
            <w:tcW w:type="dxa" w:w="5688"/>
          </w:tcPr>
          <w:p>
            <w:pPr>
              <w:spacing w:after="20"/>
              <w:jc w:val="right"/>
            </w:pPr>
            <w:r>
              <w:rPr>
                <w:color w:val="1C3A36"/>
                <w:sz w:val="17"/>
              </w:rPr>
              <w:t>bear 62.57 at 5.5× / bull 95.28 at 8.0×; rolled to the anchor date on the same two lines as the cash-flow bridge</w:t>
            </w:r>
          </w:p>
        </w:tc>
      </w:tr>
    </w:tbl>
    <w:p>
      <w:pPr>
        <w:spacing w:after="40"/>
      </w:pPr>
    </w:p>
    <w:p>
      <w:pPr>
        <w:spacing w:after="120" w:before="0"/>
      </w:pPr>
      <w:r>
        <w:rPr>
          <w:b w:val="0"/>
          <w:i w:val="0"/>
          <w:color w:val="1C3A36"/>
          <w:sz w:val="21"/>
        </w:rPr>
        <w:t>Two things about this lens should be read before its number is. First, applying a multiple to a forecast year gives an enterprise value AS AT that year; it has to be discounted back before it can be compared with today's price. Not doing so would have produced EGP 123.13 per share instead of 75.65 — a EGP 47.48 overstatement, which an earlier draft of this study contained. Second, the justified multiple is a judgement, not a peer-derived figure.</w:t>
      </w:r>
    </w:p>
    <w:p>
      <w:pPr>
        <w:spacing w:after="120" w:before="0"/>
      </w:pPr>
      <w:r>
        <w:rPr>
          <w:b w:val="0"/>
          <w:i w:val="0"/>
          <w:color w:val="1C3A36"/>
          <w:sz w:val="21"/>
        </w:rPr>
        <w:t>The honest difficulty with this lens is that there is no clean comparable. The nearest listed regional peer in cables is a Saudi manufacturer with a fraction of the revenue, no turnkey contracting arm and a very different balance sheet; the global cable majors are European and carry neither Egyptian sovereign risk nor Egyptian growth. Applying a discounted multiple to mid-cycle EBITDA is therefore a sanity check on the cash-flow model rather than an independent valuation, and it is weighted accordingly.</w:t>
      </w:r>
    </w:p>
    <w:p>
      <w:pPr>
        <w:spacing w:after="80" w:before="200"/>
      </w:pPr>
      <w:r>
        <w:rPr>
          <w:b/>
          <w:i w:val="0"/>
          <w:color w:val="1C3A36"/>
          <w:sz w:val="24"/>
        </w:rPr>
        <w:t>1.4  Normalised earnings power — mid-cycle margin at current scale</w:t>
      </w:r>
    </w:p>
    <w:p>
      <w:pPr>
        <w:spacing w:after="120" w:before="0"/>
      </w:pPr>
      <w:r>
        <w:rPr>
          <w:b w:val="0"/>
          <w:i w:val="0"/>
          <w:color w:val="1C3A36"/>
          <w:sz w:val="21"/>
        </w:rPr>
        <w:t>The question this lens asks is what the group earns at its CURRENT scale in a year that is neither a currency windfall nor a margin trough. The mid-cycle EBITDA margin of 10.2% — the FY28E point of the forecast, comfortably below the FY2024 outturn of 13.6% and above the FY2025 trough of 10.1% — is applied to FY2026E revenue of EGP 370,030mn. An earlier revision applied the multiple to FY2028-SCALE earnings with no time value, injecting two years of undiscounted growth into a present-day lens; an external review flagged it correctly and the construction was restated, worth about EGP 4.9 per share on the weighted central.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552"/>
        <w:gridCol w:w="1944"/>
      </w:tblGrid>
      <w:tr>
        <w:tc>
          <w:tcPr>
            <w:tcW w:type="dxa" w:w="6552"/>
            <w:shd w:val="clear" w:color="auto" w:fill="EAF0EE"/>
          </w:tcPr>
          <w:p>
            <w:pPr>
              <w:spacing w:after="20"/>
            </w:pPr>
            <w:r>
              <w:rPr>
                <w:b/>
                <w:color w:val="1C3A36"/>
                <w:sz w:val="17"/>
              </w:rPr>
              <w:t>Step</w:t>
            </w:r>
          </w:p>
        </w:tc>
        <w:tc>
          <w:tcPr>
            <w:tcW w:type="dxa" w:w="1944"/>
            <w:shd w:val="clear" w:color="auto" w:fill="EAF0EE"/>
          </w:tcPr>
          <w:p>
            <w:pPr>
              <w:spacing w:after="20"/>
            </w:pPr>
            <w:r>
              <w:rPr>
                <w:b/>
                <w:color w:val="1C3A36"/>
                <w:sz w:val="17"/>
              </w:rPr>
              <w:t>EGP mn</w:t>
            </w:r>
          </w:p>
        </w:tc>
      </w:tr>
      <w:tr>
        <w:tc>
          <w:tcPr>
            <w:tcW w:type="dxa" w:w="6552"/>
          </w:tcPr>
          <w:p>
            <w:pPr>
              <w:spacing w:after="20"/>
            </w:pPr>
            <w:r>
              <w:rPr>
                <w:color w:val="1C3A36"/>
                <w:sz w:val="17"/>
              </w:rPr>
              <w:t>Current-scale (FY2026E) revenue</w:t>
            </w:r>
          </w:p>
        </w:tc>
        <w:tc>
          <w:tcPr>
            <w:tcW w:type="dxa" w:w="1944"/>
          </w:tcPr>
          <w:p>
            <w:pPr>
              <w:spacing w:after="20"/>
              <w:jc w:val="right"/>
            </w:pPr>
            <w:r>
              <w:rPr>
                <w:color w:val="1C3A36"/>
                <w:sz w:val="17"/>
              </w:rPr>
              <w:t>370,030</w:t>
            </w:r>
          </w:p>
        </w:tc>
      </w:tr>
      <w:tr>
        <w:tc>
          <w:tcPr>
            <w:tcW w:type="dxa" w:w="6552"/>
          </w:tcPr>
          <w:p>
            <w:pPr>
              <w:spacing w:after="20"/>
            </w:pPr>
            <w:r>
              <w:rPr>
                <w:color w:val="1C3A36"/>
                <w:sz w:val="17"/>
              </w:rPr>
              <w:t>Mid-cycle EBITDA margin (FY28E) at 10.2%</w:t>
            </w:r>
          </w:p>
        </w:tc>
        <w:tc>
          <w:tcPr>
            <w:tcW w:type="dxa" w:w="1944"/>
          </w:tcPr>
          <w:p>
            <w:pPr>
              <w:spacing w:after="20"/>
              <w:jc w:val="right"/>
            </w:pPr>
            <w:r>
              <w:rPr>
                <w:color w:val="1C3A36"/>
                <w:sz w:val="17"/>
              </w:rPr>
              <w:t>37,749</w:t>
            </w:r>
          </w:p>
        </w:tc>
      </w:tr>
      <w:tr>
        <w:tc>
          <w:tcPr>
            <w:tcW w:type="dxa" w:w="6552"/>
          </w:tcPr>
          <w:p>
            <w:pPr>
              <w:spacing w:after="20"/>
            </w:pPr>
            <w:r>
              <w:rPr>
                <w:color w:val="1C3A36"/>
                <w:sz w:val="17"/>
              </w:rPr>
              <w:t>Less depreciation and amortisation</w:t>
            </w:r>
          </w:p>
        </w:tc>
        <w:tc>
          <w:tcPr>
            <w:tcW w:type="dxa" w:w="1944"/>
          </w:tcPr>
          <w:p>
            <w:pPr>
              <w:spacing w:after="20"/>
              <w:jc w:val="right"/>
            </w:pPr>
            <w:r>
              <w:rPr>
                <w:color w:val="1C3A36"/>
                <w:sz w:val="17"/>
              </w:rPr>
              <w:t>(4,625)</w:t>
            </w:r>
          </w:p>
        </w:tc>
      </w:tr>
      <w:tr>
        <w:tc>
          <w:tcPr>
            <w:tcW w:type="dxa" w:w="6552"/>
          </w:tcPr>
          <w:p>
            <w:pPr>
              <w:spacing w:after="20"/>
            </w:pPr>
            <w:r>
              <w:rPr>
                <w:color w:val="1C3A36"/>
                <w:sz w:val="17"/>
              </w:rPr>
              <w:t>Mid-cycle EBIT</w:t>
            </w:r>
          </w:p>
        </w:tc>
        <w:tc>
          <w:tcPr>
            <w:tcW w:type="dxa" w:w="1944"/>
          </w:tcPr>
          <w:p>
            <w:pPr>
              <w:spacing w:after="20"/>
              <w:jc w:val="right"/>
            </w:pPr>
            <w:r>
              <w:rPr>
                <w:color w:val="1C3A36"/>
                <w:sz w:val="17"/>
              </w:rPr>
              <w:t>33,124</w:t>
            </w:r>
          </w:p>
        </w:tc>
      </w:tr>
      <w:tr>
        <w:tc>
          <w:tcPr>
            <w:tcW w:type="dxa" w:w="6552"/>
          </w:tcPr>
          <w:p>
            <w:pPr>
              <w:spacing w:after="20"/>
            </w:pPr>
            <w:r>
              <w:rPr>
                <w:color w:val="1C3A36"/>
                <w:sz w:val="17"/>
              </w:rPr>
              <w:t>Less net interest (FY2026E)</w:t>
            </w:r>
          </w:p>
        </w:tc>
        <w:tc>
          <w:tcPr>
            <w:tcW w:type="dxa" w:w="1944"/>
          </w:tcPr>
          <w:p>
            <w:pPr>
              <w:spacing w:after="20"/>
              <w:jc w:val="right"/>
            </w:pPr>
            <w:r>
              <w:rPr>
                <w:color w:val="1C3A36"/>
                <w:sz w:val="17"/>
              </w:rPr>
              <w:t>(1,743)</w:t>
            </w:r>
          </w:p>
        </w:tc>
      </w:tr>
      <w:tr>
        <w:tc>
          <w:tcPr>
            <w:tcW w:type="dxa" w:w="6552"/>
          </w:tcPr>
          <w:p>
            <w:pPr>
              <w:spacing w:after="20"/>
            </w:pPr>
            <w:r>
              <w:rPr>
                <w:color w:val="1C3A36"/>
                <w:sz w:val="17"/>
              </w:rPr>
              <w:t>Plus share of equity-accounted investees (FY2026E)</w:t>
            </w:r>
          </w:p>
        </w:tc>
        <w:tc>
          <w:tcPr>
            <w:tcW w:type="dxa" w:w="1944"/>
          </w:tcPr>
          <w:p>
            <w:pPr>
              <w:spacing w:after="20"/>
              <w:jc w:val="right"/>
            </w:pPr>
            <w:r>
              <w:rPr>
                <w:color w:val="1C3A36"/>
                <w:sz w:val="17"/>
              </w:rPr>
              <w:t>1,694</w:t>
            </w:r>
          </w:p>
        </w:tc>
      </w:tr>
      <w:tr>
        <w:tc>
          <w:tcPr>
            <w:tcW w:type="dxa" w:w="6552"/>
          </w:tcPr>
          <w:p>
            <w:pPr>
              <w:spacing w:after="20"/>
            </w:pPr>
            <w:r>
              <w:rPr>
                <w:color w:val="1C3A36"/>
                <w:sz w:val="17"/>
              </w:rPr>
              <w:t>Less tax at 24.5% and minority interests at 9.7%</w:t>
            </w:r>
          </w:p>
        </w:tc>
        <w:tc>
          <w:tcPr>
            <w:tcW w:type="dxa" w:w="1944"/>
          </w:tcPr>
          <w:p>
            <w:pPr>
              <w:spacing w:after="20"/>
              <w:jc w:val="right"/>
            </w:pPr>
            <w:r>
              <w:rPr>
                <w:color w:val="1C3A36"/>
                <w:sz w:val="17"/>
              </w:rPr>
              <w:t>(10,519)</w:t>
            </w:r>
          </w:p>
        </w:tc>
      </w:tr>
      <w:tr>
        <w:tc>
          <w:tcPr>
            <w:tcW w:type="dxa" w:w="6552"/>
          </w:tcPr>
          <w:p>
            <w:pPr>
              <w:spacing w:after="20"/>
            </w:pPr>
            <w:r>
              <w:rPr>
                <w:color w:val="1C3A36"/>
                <w:sz w:val="17"/>
              </w:rPr>
              <w:t>Normalised attributable earnings</w:t>
            </w:r>
          </w:p>
        </w:tc>
        <w:tc>
          <w:tcPr>
            <w:tcW w:type="dxa" w:w="1944"/>
          </w:tcPr>
          <w:p>
            <w:pPr>
              <w:spacing w:after="20"/>
              <w:jc w:val="right"/>
            </w:pPr>
            <w:r>
              <w:rPr>
                <w:color w:val="1C3A36"/>
                <w:sz w:val="17"/>
              </w:rPr>
              <w:t>22,555</w:t>
            </w:r>
          </w:p>
        </w:tc>
      </w:tr>
      <w:tr>
        <w:tc>
          <w:tcPr>
            <w:tcW w:type="dxa" w:w="6552"/>
            <w:shd w:val="clear" w:color="auto" w:fill="F6F1E6"/>
          </w:tcPr>
          <w:p>
            <w:pPr>
              <w:spacing w:after="20"/>
            </w:pPr>
            <w:r>
              <w:rPr>
                <w:b/>
                <w:color w:val="1C3A36"/>
                <w:sz w:val="17"/>
              </w:rPr>
              <w:t>Normalised earnings per share (EGP)</w:t>
            </w:r>
          </w:p>
        </w:tc>
        <w:tc>
          <w:tcPr>
            <w:tcW w:type="dxa" w:w="1944"/>
            <w:shd w:val="clear" w:color="auto" w:fill="F6F1E6"/>
          </w:tcPr>
          <w:p>
            <w:pPr>
              <w:spacing w:after="20"/>
              <w:jc w:val="right"/>
            </w:pPr>
            <w:r>
              <w:rPr>
                <w:b/>
                <w:color w:val="1C3A36"/>
                <w:sz w:val="17"/>
              </w:rPr>
              <w:t>10.54</w:t>
            </w:r>
          </w:p>
        </w:tc>
      </w:tr>
      <w:tr>
        <w:tc>
          <w:tcPr>
            <w:tcW w:type="dxa" w:w="6552"/>
          </w:tcPr>
          <w:p>
            <w:pPr>
              <w:spacing w:after="20"/>
            </w:pPr>
            <w:r>
              <w:rPr>
                <w:color w:val="1C3A36"/>
                <w:sz w:val="17"/>
              </w:rPr>
              <w:t>At a justified 9.0× price/earnings, rolled to the anchor (EGP per share)</w:t>
            </w:r>
          </w:p>
        </w:tc>
        <w:tc>
          <w:tcPr>
            <w:tcW w:type="dxa" w:w="1944"/>
          </w:tcPr>
          <w:p>
            <w:pPr>
              <w:spacing w:after="20"/>
              <w:jc w:val="right"/>
            </w:pPr>
            <w:r>
              <w:rPr>
                <w:color w:val="1C3A36"/>
                <w:sz w:val="17"/>
              </w:rPr>
              <w:t>108.17</w:t>
            </w:r>
          </w:p>
        </w:tc>
      </w:tr>
    </w:tbl>
    <w:p>
      <w:pPr>
        <w:spacing w:after="40"/>
      </w:pPr>
    </w:p>
    <w:p>
      <w:pPr>
        <w:spacing w:after="200" w:before="0"/>
      </w:pPr>
      <w:r>
        <w:rPr>
          <w:b w:val="0"/>
          <w:i/>
          <w:color w:val="6E7B77"/>
          <w:sz w:val="17"/>
        </w:rPr>
        <w:t>Bear 83.72 at 7.0× and bull 138.73 at 11.5×, both rolled to the anchor date like every other lens. Every input row is the figure the computation actually uses — the associate line is the FY2026E forecast, not the FY2025 actual. One disclosed conservatism: equity-method associate income is taxed at 24.5% inside this lens although it arrives already post-tax at the investee — worth about +0.4/share on the central if removed. The justified multiple is held well below what a comparable industrial franchise would attract in a developed market, because an Egyptian cost of equity near 28% mathematically compresses what any stream of earnings is worth.</w:t>
      </w:r>
    </w:p>
    <w:p>
      <w:pPr>
        <w:spacing w:after="80" w:before="200"/>
      </w:pPr>
      <w:r>
        <w:rPr>
          <w:b/>
          <w:i w:val="0"/>
          <w:color w:val="1C3A36"/>
          <w:sz w:val="24"/>
        </w:rPr>
        <w:t>1.5  Synthesis — four lenses, one field</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and the weighted central against the market price of 105.20. Each bar is that lens's bear-to-bull span; the brass tick is its base case.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38"/>
        <w:gridCol w:w="1238"/>
        <w:gridCol w:w="1238"/>
        <w:gridCol w:w="1195"/>
        <w:gridCol w:w="1642"/>
      </w:tblGrid>
      <w:tr>
        <w:tc>
          <w:tcPr>
            <w:tcW w:type="dxa" w:w="3384"/>
            <w:shd w:val="clear" w:color="auto" w:fill="EAF0EE"/>
          </w:tcPr>
          <w:p>
            <w:pPr>
              <w:spacing w:after="20"/>
            </w:pPr>
            <w:r>
              <w:rPr>
                <w:b/>
                <w:color w:val="1C3A36"/>
                <w:sz w:val="17"/>
              </w:rPr>
              <w:t>Lens</w:t>
            </w:r>
          </w:p>
        </w:tc>
        <w:tc>
          <w:tcPr>
            <w:tcW w:type="dxa" w:w="1238"/>
            <w:shd w:val="clear" w:color="auto" w:fill="EAF0EE"/>
          </w:tcPr>
          <w:p>
            <w:pPr>
              <w:spacing w:after="20"/>
            </w:pPr>
            <w:r>
              <w:rPr>
                <w:b/>
                <w:color w:val="1C3A36"/>
                <w:sz w:val="17"/>
              </w:rPr>
              <w:t>Bear</w:t>
            </w:r>
          </w:p>
        </w:tc>
        <w:tc>
          <w:tcPr>
            <w:tcW w:type="dxa" w:w="1238"/>
            <w:shd w:val="clear" w:color="auto" w:fill="EAF0EE"/>
          </w:tcPr>
          <w:p>
            <w:pPr>
              <w:spacing w:after="20"/>
            </w:pPr>
            <w:r>
              <w:rPr>
                <w:b/>
                <w:color w:val="1C3A36"/>
                <w:sz w:val="17"/>
              </w:rPr>
              <w:t>Base</w:t>
            </w:r>
          </w:p>
        </w:tc>
        <w:tc>
          <w:tcPr>
            <w:tcW w:type="dxa" w:w="1238"/>
            <w:shd w:val="clear" w:color="auto" w:fill="EAF0EE"/>
          </w:tcPr>
          <w:p>
            <w:pPr>
              <w:spacing w:after="20"/>
            </w:pPr>
            <w:r>
              <w:rPr>
                <w:b/>
                <w:color w:val="1C3A36"/>
                <w:sz w:val="17"/>
              </w:rPr>
              <w:t>Bull</w:t>
            </w:r>
          </w:p>
        </w:tc>
        <w:tc>
          <w:tcPr>
            <w:tcW w:type="dxa" w:w="1195"/>
            <w:shd w:val="clear" w:color="auto" w:fill="EAF0EE"/>
          </w:tcPr>
          <w:p>
            <w:pPr>
              <w:spacing w:after="20"/>
            </w:pPr>
            <w:r>
              <w:rPr>
                <w:b/>
                <w:color w:val="1C3A36"/>
                <w:sz w:val="17"/>
              </w:rPr>
              <w:t>Weight</w:t>
            </w:r>
          </w:p>
        </w:tc>
        <w:tc>
          <w:tcPr>
            <w:tcW w:type="dxa" w:w="1642"/>
            <w:shd w:val="clear" w:color="auto" w:fill="EAF0EE"/>
          </w:tcPr>
          <w:p>
            <w:pPr>
              <w:spacing w:after="20"/>
            </w:pPr>
            <w:r>
              <w:rPr>
                <w:b/>
                <w:color w:val="1C3A36"/>
                <w:sz w:val="17"/>
              </w:rPr>
              <w:t>Contribution</w:t>
            </w:r>
          </w:p>
        </w:tc>
      </w:tr>
      <w:tr>
        <w:tc>
          <w:tcPr>
            <w:tcW w:type="dxa" w:w="3384"/>
          </w:tcPr>
          <w:p>
            <w:pPr>
              <w:spacing w:after="20"/>
            </w:pPr>
            <w:r>
              <w:rPr>
                <w:color w:val="1C3A36"/>
                <w:sz w:val="17"/>
              </w:rPr>
              <w:t>Discounted cash flow (primary)</w:t>
            </w:r>
          </w:p>
        </w:tc>
        <w:tc>
          <w:tcPr>
            <w:tcW w:type="dxa" w:w="1238"/>
          </w:tcPr>
          <w:p>
            <w:pPr>
              <w:spacing w:after="20"/>
              <w:jc w:val="right"/>
            </w:pPr>
            <w:r>
              <w:rPr>
                <w:color w:val="1C3A36"/>
                <w:sz w:val="17"/>
              </w:rPr>
              <w:t>19.95</w:t>
            </w:r>
          </w:p>
        </w:tc>
        <w:tc>
          <w:tcPr>
            <w:tcW w:type="dxa" w:w="1238"/>
          </w:tcPr>
          <w:p>
            <w:pPr>
              <w:spacing w:after="20"/>
              <w:jc w:val="right"/>
            </w:pPr>
            <w:r>
              <w:rPr>
                <w:color w:val="1C3A36"/>
                <w:sz w:val="17"/>
              </w:rPr>
              <w:t>56.08</w:t>
            </w:r>
          </w:p>
        </w:tc>
        <w:tc>
          <w:tcPr>
            <w:tcW w:type="dxa" w:w="1238"/>
          </w:tcPr>
          <w:p>
            <w:pPr>
              <w:spacing w:after="20"/>
              <w:jc w:val="right"/>
            </w:pPr>
            <w:r>
              <w:rPr>
                <w:color w:val="1C3A36"/>
                <w:sz w:val="17"/>
              </w:rPr>
              <w:t>122.33</w:t>
            </w:r>
          </w:p>
        </w:tc>
        <w:tc>
          <w:tcPr>
            <w:tcW w:type="dxa" w:w="1195"/>
          </w:tcPr>
          <w:p>
            <w:pPr>
              <w:spacing w:after="20"/>
              <w:jc w:val="right"/>
            </w:pPr>
            <w:r>
              <w:rPr>
                <w:color w:val="1C3A36"/>
                <w:sz w:val="17"/>
              </w:rPr>
              <w:t>45%</w:t>
            </w:r>
          </w:p>
        </w:tc>
        <w:tc>
          <w:tcPr>
            <w:tcW w:type="dxa" w:w="1642"/>
          </w:tcPr>
          <w:p>
            <w:pPr>
              <w:spacing w:after="20"/>
              <w:jc w:val="right"/>
            </w:pPr>
            <w:r>
              <w:rPr>
                <w:color w:val="1C3A36"/>
                <w:sz w:val="17"/>
              </w:rPr>
              <w:t>25.24</w:t>
            </w:r>
          </w:p>
        </w:tc>
      </w:tr>
      <w:tr>
        <w:tc>
          <w:tcPr>
            <w:tcW w:type="dxa" w:w="3384"/>
          </w:tcPr>
          <w:p>
            <w:pPr>
              <w:spacing w:after="20"/>
            </w:pPr>
            <w:r>
              <w:rPr>
                <w:color w:val="1C3A36"/>
                <w:sz w:val="17"/>
              </w:rPr>
              <w:t>Relative multiples</w:t>
            </w:r>
          </w:p>
        </w:tc>
        <w:tc>
          <w:tcPr>
            <w:tcW w:type="dxa" w:w="1238"/>
          </w:tcPr>
          <w:p>
            <w:pPr>
              <w:spacing w:after="20"/>
              <w:jc w:val="right"/>
            </w:pPr>
            <w:r>
              <w:rPr>
                <w:color w:val="1C3A36"/>
                <w:sz w:val="17"/>
              </w:rPr>
              <w:t>62.57</w:t>
            </w:r>
          </w:p>
        </w:tc>
        <w:tc>
          <w:tcPr>
            <w:tcW w:type="dxa" w:w="1238"/>
          </w:tcPr>
          <w:p>
            <w:pPr>
              <w:spacing w:after="20"/>
              <w:jc w:val="right"/>
            </w:pPr>
            <w:r>
              <w:rPr>
                <w:color w:val="1C3A36"/>
                <w:sz w:val="17"/>
              </w:rPr>
              <w:t>75.65</w:t>
            </w:r>
          </w:p>
        </w:tc>
        <w:tc>
          <w:tcPr>
            <w:tcW w:type="dxa" w:w="1238"/>
          </w:tcPr>
          <w:p>
            <w:pPr>
              <w:spacing w:after="20"/>
              <w:jc w:val="right"/>
            </w:pPr>
            <w:r>
              <w:rPr>
                <w:color w:val="1C3A36"/>
                <w:sz w:val="17"/>
              </w:rPr>
              <w:t>95.28</w:t>
            </w:r>
          </w:p>
        </w:tc>
        <w:tc>
          <w:tcPr>
            <w:tcW w:type="dxa" w:w="1195"/>
          </w:tcPr>
          <w:p>
            <w:pPr>
              <w:spacing w:after="20"/>
              <w:jc w:val="right"/>
            </w:pPr>
            <w:r>
              <w:rPr>
                <w:color w:val="1C3A36"/>
                <w:sz w:val="17"/>
              </w:rPr>
              <w:t>20%</w:t>
            </w:r>
          </w:p>
        </w:tc>
        <w:tc>
          <w:tcPr>
            <w:tcW w:type="dxa" w:w="1642"/>
          </w:tcPr>
          <w:p>
            <w:pPr>
              <w:spacing w:after="20"/>
              <w:jc w:val="right"/>
            </w:pPr>
            <w:r>
              <w:rPr>
                <w:color w:val="1C3A36"/>
                <w:sz w:val="17"/>
              </w:rPr>
              <w:t>15.13</w:t>
            </w:r>
          </w:p>
        </w:tc>
      </w:tr>
      <w:tr>
        <w:tc>
          <w:tcPr>
            <w:tcW w:type="dxa" w:w="3384"/>
          </w:tcPr>
          <w:p>
            <w:pPr>
              <w:spacing w:after="20"/>
            </w:pPr>
            <w:r>
              <w:rPr>
                <w:color w:val="1C3A36"/>
                <w:sz w:val="17"/>
              </w:rPr>
              <w:t>Normalised earnings power</w:t>
            </w:r>
          </w:p>
        </w:tc>
        <w:tc>
          <w:tcPr>
            <w:tcW w:type="dxa" w:w="1238"/>
          </w:tcPr>
          <w:p>
            <w:pPr>
              <w:spacing w:after="20"/>
              <w:jc w:val="right"/>
            </w:pPr>
            <w:r>
              <w:rPr>
                <w:color w:val="1C3A36"/>
                <w:sz w:val="17"/>
              </w:rPr>
              <w:t>83.72</w:t>
            </w:r>
          </w:p>
        </w:tc>
        <w:tc>
          <w:tcPr>
            <w:tcW w:type="dxa" w:w="1238"/>
          </w:tcPr>
          <w:p>
            <w:pPr>
              <w:spacing w:after="20"/>
              <w:jc w:val="right"/>
            </w:pPr>
            <w:r>
              <w:rPr>
                <w:color w:val="1C3A36"/>
                <w:sz w:val="17"/>
              </w:rPr>
              <w:t>108.17</w:t>
            </w:r>
          </w:p>
        </w:tc>
        <w:tc>
          <w:tcPr>
            <w:tcW w:type="dxa" w:w="1238"/>
          </w:tcPr>
          <w:p>
            <w:pPr>
              <w:spacing w:after="20"/>
              <w:jc w:val="right"/>
            </w:pPr>
            <w:r>
              <w:rPr>
                <w:color w:val="1C3A36"/>
                <w:sz w:val="17"/>
              </w:rPr>
              <w:t>138.73</w:t>
            </w:r>
          </w:p>
        </w:tc>
        <w:tc>
          <w:tcPr>
            <w:tcW w:type="dxa" w:w="1195"/>
          </w:tcPr>
          <w:p>
            <w:pPr>
              <w:spacing w:after="20"/>
              <w:jc w:val="right"/>
            </w:pPr>
            <w:r>
              <w:rPr>
                <w:color w:val="1C3A36"/>
                <w:sz w:val="17"/>
              </w:rPr>
              <w:t>20%</w:t>
            </w:r>
          </w:p>
        </w:tc>
        <w:tc>
          <w:tcPr>
            <w:tcW w:type="dxa" w:w="1642"/>
          </w:tcPr>
          <w:p>
            <w:pPr>
              <w:spacing w:after="20"/>
              <w:jc w:val="right"/>
            </w:pPr>
            <w:r>
              <w:rPr>
                <w:color w:val="1C3A36"/>
                <w:sz w:val="17"/>
              </w:rPr>
              <w:t>21.63</w:t>
            </w:r>
          </w:p>
        </w:tc>
      </w:tr>
      <w:tr>
        <w:tc>
          <w:tcPr>
            <w:tcW w:type="dxa" w:w="3384"/>
          </w:tcPr>
          <w:p>
            <w:pPr>
              <w:spacing w:after="20"/>
            </w:pPr>
            <w:r>
              <w:rPr>
                <w:color w:val="1C3A36"/>
                <w:sz w:val="17"/>
              </w:rPr>
              <w:t>Book value and sustainable return</w:t>
            </w:r>
          </w:p>
        </w:tc>
        <w:tc>
          <w:tcPr>
            <w:tcW w:type="dxa" w:w="1238"/>
          </w:tcPr>
          <w:p>
            <w:pPr>
              <w:spacing w:after="20"/>
              <w:jc w:val="right"/>
            </w:pPr>
            <w:r>
              <w:rPr>
                <w:color w:val="1C3A36"/>
                <w:sz w:val="17"/>
              </w:rPr>
              <w:t>35.33</w:t>
            </w:r>
          </w:p>
        </w:tc>
        <w:tc>
          <w:tcPr>
            <w:tcW w:type="dxa" w:w="1238"/>
          </w:tcPr>
          <w:p>
            <w:pPr>
              <w:spacing w:after="20"/>
              <w:jc w:val="right"/>
            </w:pPr>
            <w:r>
              <w:rPr>
                <w:color w:val="1C3A36"/>
                <w:sz w:val="17"/>
              </w:rPr>
              <w:t>51.52</w:t>
            </w:r>
          </w:p>
        </w:tc>
        <w:tc>
          <w:tcPr>
            <w:tcW w:type="dxa" w:w="1238"/>
          </w:tcPr>
          <w:p>
            <w:pPr>
              <w:spacing w:after="20"/>
              <w:jc w:val="right"/>
            </w:pPr>
            <w:r>
              <w:rPr>
                <w:color w:val="1C3A36"/>
                <w:sz w:val="17"/>
              </w:rPr>
              <w:t>57.29</w:t>
            </w:r>
          </w:p>
        </w:tc>
        <w:tc>
          <w:tcPr>
            <w:tcW w:type="dxa" w:w="1195"/>
          </w:tcPr>
          <w:p>
            <w:pPr>
              <w:spacing w:after="20"/>
              <w:jc w:val="right"/>
            </w:pPr>
            <w:r>
              <w:rPr>
                <w:color w:val="1C3A36"/>
                <w:sz w:val="17"/>
              </w:rPr>
              <w:t>15%</w:t>
            </w:r>
          </w:p>
        </w:tc>
        <w:tc>
          <w:tcPr>
            <w:tcW w:type="dxa" w:w="1642"/>
          </w:tcPr>
          <w:p>
            <w:pPr>
              <w:spacing w:after="20"/>
              <w:jc w:val="right"/>
            </w:pPr>
            <w:r>
              <w:rPr>
                <w:color w:val="1C3A36"/>
                <w:sz w:val="17"/>
              </w:rPr>
              <w:t>7.73</w:t>
            </w:r>
          </w:p>
        </w:tc>
      </w:tr>
      <w:tr>
        <w:tc>
          <w:tcPr>
            <w:tcW w:type="dxa" w:w="3384"/>
            <w:shd w:val="clear" w:color="auto" w:fill="F6F1E6"/>
          </w:tcPr>
          <w:p>
            <w:pPr>
              <w:spacing w:after="20"/>
            </w:pPr>
            <w:r>
              <w:rPr>
                <w:b/>
                <w:color w:val="1C3A36"/>
                <w:sz w:val="17"/>
              </w:rPr>
              <w:t>Weighted central</w:t>
            </w:r>
          </w:p>
        </w:tc>
        <w:tc>
          <w:tcPr>
            <w:tcW w:type="dxa" w:w="1238"/>
            <w:shd w:val="clear" w:color="auto" w:fill="F6F1E6"/>
          </w:tcPr>
          <w:p>
            <w:pPr>
              <w:spacing w:after="20"/>
              <w:jc w:val="right"/>
            </w:pPr>
            <w:r>
              <w:rPr>
                <w:b/>
                <w:color w:val="1C3A36"/>
                <w:sz w:val="17"/>
              </w:rPr>
              <w:t>19.95</w:t>
            </w:r>
          </w:p>
        </w:tc>
        <w:tc>
          <w:tcPr>
            <w:tcW w:type="dxa" w:w="1238"/>
            <w:shd w:val="clear" w:color="auto" w:fill="F6F1E6"/>
          </w:tcPr>
          <w:p>
            <w:pPr>
              <w:spacing w:after="20"/>
              <w:jc w:val="right"/>
            </w:pPr>
            <w:r>
              <w:rPr>
                <w:b/>
                <w:color w:val="1C3A36"/>
                <w:sz w:val="17"/>
              </w:rPr>
              <w:t>69.73</w:t>
            </w:r>
          </w:p>
        </w:tc>
        <w:tc>
          <w:tcPr>
            <w:tcW w:type="dxa" w:w="1238"/>
            <w:shd w:val="clear" w:color="auto" w:fill="F6F1E6"/>
          </w:tcPr>
          <w:p>
            <w:pPr>
              <w:spacing w:after="20"/>
              <w:jc w:val="right"/>
            </w:pPr>
            <w:r>
              <w:rPr>
                <w:b/>
                <w:color w:val="1C3A36"/>
                <w:sz w:val="17"/>
              </w:rPr>
              <w:t>138.73</w:t>
            </w:r>
          </w:p>
        </w:tc>
        <w:tc>
          <w:tcPr>
            <w:tcW w:type="dxa" w:w="1195"/>
            <w:shd w:val="clear" w:color="auto" w:fill="F6F1E6"/>
          </w:tcPr>
          <w:p>
            <w:pPr>
              <w:spacing w:after="20"/>
              <w:jc w:val="right"/>
            </w:pPr>
            <w:r>
              <w:rPr>
                <w:b/>
                <w:color w:val="1C3A36"/>
                <w:sz w:val="17"/>
              </w:rPr>
              <w:t>100%</w:t>
            </w:r>
          </w:p>
        </w:tc>
        <w:tc>
          <w:tcPr>
            <w:tcW w:type="dxa" w:w="1642"/>
            <w:shd w:val="clear" w:color="auto" w:fill="F6F1E6"/>
          </w:tcPr>
          <w:p>
            <w:pPr>
              <w:spacing w:after="20"/>
              <w:jc w:val="right"/>
            </w:pPr>
            <w:r>
              <w:rPr>
                <w:b/>
                <w:color w:val="1C3A36"/>
                <w:sz w:val="17"/>
              </w:rPr>
              <w:t>69.73</w:t>
            </w:r>
          </w:p>
        </w:tc>
      </w:tr>
    </w:tbl>
    <w:p>
      <w:pPr>
        <w:spacing w:after="40"/>
      </w:pPr>
    </w:p>
    <w:p>
      <w:pPr>
        <w:spacing w:after="120" w:before="0"/>
      </w:pPr>
      <w:r>
        <w:rPr>
          <w:b w:val="0"/>
          <w:i w:val="0"/>
          <w:color w:val="1C3A36"/>
          <w:sz w:val="21"/>
        </w:rPr>
        <w:t>The four lenses do not agree, and the disagreement is informative rather than embarrassing. The two lenses that look at earnings — relative multiples and normalised earnings power — land near or slightly above the market price. The two that discount cash or capital at an Egyptian cost of capital land well below it. This is the same disagreement in two forms: a multiple imported from a market with a low cost of capital implicitly assumes a low cost of capital, and a discounted model applied with an Egyptian one does not. The weighted central of EGP 69.73 sits between them.</w:t>
      </w:r>
    </w:p>
    <w:p>
      <w:pPr>
        <w:spacing w:after="80" w:before="200"/>
      </w:pPr>
      <w:r>
        <w:rPr>
          <w:b/>
          <w:i w:val="0"/>
          <w:color w:val="1C3A36"/>
          <w:sz w:val="24"/>
        </w:rPr>
        <w:t>1.6  The drivers — the three disclosed segments, each grown on its own driver</w:t>
      </w:r>
    </w:p>
    <w:p>
      <w:pPr>
        <w:spacing w:after="120" w:before="0"/>
      </w:pPr>
      <w:r>
        <w:rPr>
          <w:b w:val="0"/>
          <w:i w:val="0"/>
          <w:color w:val="1C3A36"/>
          <w:sz w:val="21"/>
        </w:rPr>
        <w:t>Revenue is not forecast as a single growth rate applied to a revenue line. The company discloses exactly three reportable segments — Cables and its accessories, Constructions and infrastructure, and Electrical products and digital solutions — with revenue by segment (Note 5-3) that reconciles EXACTLY to consolidated revenue in every one of the three audited years, and segment profit (Note 16) that reconciles to consolidated operating profit through an explicit corporate cost load. None of the three audited filings, including the Q1-2026 interim, discloses a tonnage, unit-volume or order-book figure for any segment, so the forecast is built as a taper on each segment's own recent revenue growth and margin path rather than a reconstructed unit model. Margins are therefore outputs of the build, not inputs to it.</w:t>
      </w:r>
    </w:p>
    <w:p>
      <w:pPr>
        <w:spacing w:after="80" w:before="200"/>
      </w:pPr>
      <w:r>
        <w:rPr>
          <w:b/>
          <w:i w:val="0"/>
          <w:color w:val="1C3A36"/>
          <w:sz w:val="24"/>
        </w:rPr>
        <w:t>The three disclosed segments,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411"/>
        <w:gridCol w:w="893"/>
        <w:gridCol w:w="1411"/>
        <w:gridCol w:w="893"/>
        <w:gridCol w:w="1411"/>
        <w:gridCol w:w="893"/>
      </w:tblGrid>
      <w:tr>
        <w:tc>
          <w:tcPr>
            <w:tcW w:type="dxa" w:w="2808"/>
            <w:shd w:val="clear" w:color="auto" w:fill="EAF0EE"/>
          </w:tcPr>
          <w:p>
            <w:pPr>
              <w:spacing w:after="20"/>
            </w:pPr>
            <w:r>
              <w:rPr>
                <w:b/>
                <w:color w:val="1C3A36"/>
                <w:sz w:val="16"/>
              </w:rPr>
              <w:t>Segment</w:t>
            </w:r>
          </w:p>
        </w:tc>
        <w:tc>
          <w:tcPr>
            <w:tcW w:type="dxa" w:w="1411"/>
            <w:shd w:val="clear" w:color="auto" w:fill="EAF0EE"/>
          </w:tcPr>
          <w:p>
            <w:pPr>
              <w:spacing w:after="20"/>
            </w:pPr>
            <w:r>
              <w:rPr>
                <w:b/>
                <w:color w:val="1C3A36"/>
                <w:sz w:val="16"/>
              </w:rPr>
              <w:t>FY2023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FY2024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FY2025 revenue</w:t>
            </w:r>
          </w:p>
        </w:tc>
        <w:tc>
          <w:tcPr>
            <w:tcW w:type="dxa" w:w="893"/>
            <w:shd w:val="clear" w:color="auto" w:fill="EAF0EE"/>
          </w:tcPr>
          <w:p>
            <w:pPr>
              <w:spacing w:after="20"/>
            </w:pPr>
            <w:r>
              <w:rPr>
                <w:b/>
                <w:color w:val="1C3A36"/>
                <w:sz w:val="16"/>
              </w:rPr>
              <w:t>margin</w:t>
            </w:r>
          </w:p>
        </w:tc>
      </w:tr>
      <w:tr>
        <w:tc>
          <w:tcPr>
            <w:tcW w:type="dxa" w:w="2808"/>
          </w:tcPr>
          <w:p>
            <w:pPr>
              <w:spacing w:after="20"/>
            </w:pPr>
            <w:r>
              <w:rPr>
                <w:color w:val="1C3A36"/>
                <w:sz w:val="16"/>
              </w:rPr>
              <w:t>Cables and its accessories</w:t>
            </w:r>
          </w:p>
        </w:tc>
        <w:tc>
          <w:tcPr>
            <w:tcW w:type="dxa" w:w="1411"/>
          </w:tcPr>
          <w:p>
            <w:pPr>
              <w:spacing w:after="20"/>
              <w:jc w:val="right"/>
            </w:pPr>
            <w:r>
              <w:rPr>
                <w:color w:val="1C3A36"/>
                <w:sz w:val="16"/>
              </w:rPr>
              <w:t>82,421</w:t>
            </w:r>
          </w:p>
        </w:tc>
        <w:tc>
          <w:tcPr>
            <w:tcW w:type="dxa" w:w="893"/>
          </w:tcPr>
          <w:p>
            <w:pPr>
              <w:spacing w:after="20"/>
              <w:jc w:val="right"/>
            </w:pPr>
            <w:r>
              <w:rPr>
                <w:color w:val="1C3A36"/>
                <w:sz w:val="16"/>
              </w:rPr>
              <w:t>19.5%</w:t>
            </w:r>
          </w:p>
        </w:tc>
        <w:tc>
          <w:tcPr>
            <w:tcW w:type="dxa" w:w="1411"/>
          </w:tcPr>
          <w:p>
            <w:pPr>
              <w:spacing w:after="20"/>
              <w:jc w:val="right"/>
            </w:pPr>
            <w:r>
              <w:rPr>
                <w:color w:val="1C3A36"/>
                <w:sz w:val="16"/>
              </w:rPr>
              <w:t>137,190</w:t>
            </w:r>
          </w:p>
        </w:tc>
        <w:tc>
          <w:tcPr>
            <w:tcW w:type="dxa" w:w="893"/>
          </w:tcPr>
          <w:p>
            <w:pPr>
              <w:spacing w:after="20"/>
              <w:jc w:val="right"/>
            </w:pPr>
            <w:r>
              <w:rPr>
                <w:color w:val="1C3A36"/>
                <w:sz w:val="16"/>
              </w:rPr>
              <w:t>18.1%</w:t>
            </w:r>
          </w:p>
        </w:tc>
        <w:tc>
          <w:tcPr>
            <w:tcW w:type="dxa" w:w="1411"/>
          </w:tcPr>
          <w:p>
            <w:pPr>
              <w:spacing w:after="20"/>
              <w:jc w:val="right"/>
            </w:pPr>
            <w:r>
              <w:rPr>
                <w:color w:val="1C3A36"/>
                <w:sz w:val="16"/>
              </w:rPr>
              <w:t>155,793</w:t>
            </w:r>
          </w:p>
        </w:tc>
        <w:tc>
          <w:tcPr>
            <w:tcW w:type="dxa" w:w="893"/>
          </w:tcPr>
          <w:p>
            <w:pPr>
              <w:spacing w:after="20"/>
              <w:jc w:val="right"/>
            </w:pPr>
            <w:r>
              <w:rPr>
                <w:color w:val="1C3A36"/>
                <w:sz w:val="16"/>
              </w:rPr>
              <w:t>13.5%</w:t>
            </w:r>
          </w:p>
        </w:tc>
      </w:tr>
      <w:tr>
        <w:tc>
          <w:tcPr>
            <w:tcW w:type="dxa" w:w="2808"/>
          </w:tcPr>
          <w:p>
            <w:pPr>
              <w:spacing w:after="20"/>
            </w:pPr>
            <w:r>
              <w:rPr>
                <w:color w:val="1C3A36"/>
                <w:sz w:val="16"/>
              </w:rPr>
              <w:t>Constructions and infrastructure</w:t>
            </w:r>
          </w:p>
        </w:tc>
        <w:tc>
          <w:tcPr>
            <w:tcW w:type="dxa" w:w="1411"/>
          </w:tcPr>
          <w:p>
            <w:pPr>
              <w:spacing w:after="20"/>
              <w:jc w:val="right"/>
            </w:pPr>
            <w:r>
              <w:rPr>
                <w:color w:val="1C3A36"/>
                <w:sz w:val="16"/>
              </w:rPr>
              <w:t>53,483</w:t>
            </w:r>
          </w:p>
        </w:tc>
        <w:tc>
          <w:tcPr>
            <w:tcW w:type="dxa" w:w="893"/>
          </w:tcPr>
          <w:p>
            <w:pPr>
              <w:spacing w:after="20"/>
              <w:jc w:val="right"/>
            </w:pPr>
            <w:r>
              <w:rPr>
                <w:color w:val="1C3A36"/>
                <w:sz w:val="16"/>
              </w:rPr>
              <w:t>11.6%</w:t>
            </w:r>
          </w:p>
        </w:tc>
        <w:tc>
          <w:tcPr>
            <w:tcW w:type="dxa" w:w="1411"/>
          </w:tcPr>
          <w:p>
            <w:pPr>
              <w:spacing w:after="20"/>
              <w:jc w:val="right"/>
            </w:pPr>
            <w:r>
              <w:rPr>
                <w:color w:val="1C3A36"/>
                <w:sz w:val="16"/>
              </w:rPr>
              <w:t>70,921</w:t>
            </w:r>
          </w:p>
        </w:tc>
        <w:tc>
          <w:tcPr>
            <w:tcW w:type="dxa" w:w="893"/>
          </w:tcPr>
          <w:p>
            <w:pPr>
              <w:spacing w:after="20"/>
              <w:jc w:val="right"/>
            </w:pPr>
            <w:r>
              <w:rPr>
                <w:color w:val="1C3A36"/>
                <w:sz w:val="16"/>
              </w:rPr>
              <w:t>11.4%</w:t>
            </w:r>
          </w:p>
        </w:tc>
        <w:tc>
          <w:tcPr>
            <w:tcW w:type="dxa" w:w="1411"/>
          </w:tcPr>
          <w:p>
            <w:pPr>
              <w:spacing w:after="20"/>
              <w:jc w:val="right"/>
            </w:pPr>
            <w:r>
              <w:rPr>
                <w:color w:val="1C3A36"/>
                <w:sz w:val="16"/>
              </w:rPr>
              <w:t>90,959</w:t>
            </w:r>
          </w:p>
        </w:tc>
        <w:tc>
          <w:tcPr>
            <w:tcW w:type="dxa" w:w="893"/>
          </w:tcPr>
          <w:p>
            <w:pPr>
              <w:spacing w:after="20"/>
              <w:jc w:val="right"/>
            </w:pPr>
            <w:r>
              <w:rPr>
                <w:color w:val="1C3A36"/>
                <w:sz w:val="16"/>
              </w:rPr>
              <w:t>6.5%</w:t>
            </w:r>
          </w:p>
        </w:tc>
      </w:tr>
      <w:tr>
        <w:tc>
          <w:tcPr>
            <w:tcW w:type="dxa" w:w="2808"/>
          </w:tcPr>
          <w:p>
            <w:pPr>
              <w:spacing w:after="20"/>
            </w:pPr>
            <w:r>
              <w:rPr>
                <w:color w:val="1C3A36"/>
                <w:sz w:val="16"/>
              </w:rPr>
              <w:t>Electrical products and digital solutions</w:t>
            </w:r>
          </w:p>
        </w:tc>
        <w:tc>
          <w:tcPr>
            <w:tcW w:type="dxa" w:w="1411"/>
          </w:tcPr>
          <w:p>
            <w:pPr>
              <w:spacing w:after="20"/>
              <w:jc w:val="right"/>
            </w:pPr>
            <w:r>
              <w:rPr>
                <w:color w:val="1C3A36"/>
                <w:sz w:val="16"/>
              </w:rPr>
              <w:t>16,282</w:t>
            </w:r>
          </w:p>
        </w:tc>
        <w:tc>
          <w:tcPr>
            <w:tcW w:type="dxa" w:w="893"/>
          </w:tcPr>
          <w:p>
            <w:pPr>
              <w:spacing w:after="20"/>
              <w:jc w:val="right"/>
            </w:pPr>
            <w:r>
              <w:rPr>
                <w:color w:val="1C3A36"/>
                <w:sz w:val="16"/>
              </w:rPr>
              <w:t>25.4%</w:t>
            </w:r>
          </w:p>
        </w:tc>
        <w:tc>
          <w:tcPr>
            <w:tcW w:type="dxa" w:w="1411"/>
          </w:tcPr>
          <w:p>
            <w:pPr>
              <w:spacing w:after="20"/>
              <w:jc w:val="right"/>
            </w:pPr>
            <w:r>
              <w:rPr>
                <w:color w:val="1C3A36"/>
                <w:sz w:val="16"/>
              </w:rPr>
              <w:t>23,871</w:t>
            </w:r>
          </w:p>
        </w:tc>
        <w:tc>
          <w:tcPr>
            <w:tcW w:type="dxa" w:w="893"/>
          </w:tcPr>
          <w:p>
            <w:pPr>
              <w:spacing w:after="20"/>
              <w:jc w:val="right"/>
            </w:pPr>
            <w:r>
              <w:rPr>
                <w:color w:val="1C3A36"/>
                <w:sz w:val="16"/>
              </w:rPr>
              <w:t>26.6%</w:t>
            </w:r>
          </w:p>
        </w:tc>
        <w:tc>
          <w:tcPr>
            <w:tcW w:type="dxa" w:w="1411"/>
          </w:tcPr>
          <w:p>
            <w:pPr>
              <w:spacing w:after="20"/>
              <w:jc w:val="right"/>
            </w:pPr>
            <w:r>
              <w:rPr>
                <w:color w:val="1C3A36"/>
                <w:sz w:val="16"/>
              </w:rPr>
              <w:t>34,298</w:t>
            </w:r>
          </w:p>
        </w:tc>
        <w:tc>
          <w:tcPr>
            <w:tcW w:type="dxa" w:w="893"/>
          </w:tcPr>
          <w:p>
            <w:pPr>
              <w:spacing w:after="20"/>
              <w:jc w:val="right"/>
            </w:pPr>
            <w:r>
              <w:rPr>
                <w:color w:val="1C3A36"/>
                <w:sz w:val="16"/>
              </w:rPr>
              <w:t>22.2%</w:t>
            </w:r>
          </w:p>
        </w:tc>
      </w:tr>
      <w:tr>
        <w:tc>
          <w:tcPr>
            <w:tcW w:type="dxa" w:w="2808"/>
          </w:tcPr>
          <w:p>
            <w:pPr>
              <w:spacing w:after="20"/>
            </w:pPr>
            <w:r>
              <w:rPr>
                <w:color w:val="1C3A36"/>
                <w:sz w:val="16"/>
              </w:rPr>
              <w:t>Group revenue</w:t>
            </w:r>
          </w:p>
        </w:tc>
        <w:tc>
          <w:tcPr>
            <w:tcW w:type="dxa" w:w="1411"/>
          </w:tcPr>
          <w:p>
            <w:pPr>
              <w:spacing w:after="20"/>
              <w:jc w:val="right"/>
            </w:pPr>
            <w:r>
              <w:rPr>
                <w:color w:val="1C3A36"/>
                <w:sz w:val="16"/>
              </w:rPr>
              <w:t>152,186</w:t>
            </w:r>
          </w:p>
        </w:tc>
        <w:tc>
          <w:tcPr>
            <w:tcW w:type="dxa" w:w="893"/>
          </w:tcPr>
          <w:p>
            <w:pPr>
              <w:spacing w:after="20"/>
              <w:jc w:val="right"/>
            </w:pPr>
            <w:r>
              <w:rPr>
                <w:color w:val="1C3A36"/>
                <w:sz w:val="16"/>
              </w:rPr>
            </w:r>
          </w:p>
        </w:tc>
        <w:tc>
          <w:tcPr>
            <w:tcW w:type="dxa" w:w="1411"/>
          </w:tcPr>
          <w:p>
            <w:pPr>
              <w:spacing w:after="20"/>
              <w:jc w:val="right"/>
            </w:pPr>
            <w:r>
              <w:rPr>
                <w:color w:val="1C3A36"/>
                <w:sz w:val="16"/>
              </w:rPr>
              <w:t>231,982</w:t>
            </w:r>
          </w:p>
        </w:tc>
        <w:tc>
          <w:tcPr>
            <w:tcW w:type="dxa" w:w="893"/>
          </w:tcPr>
          <w:p>
            <w:pPr>
              <w:spacing w:after="20"/>
              <w:jc w:val="right"/>
            </w:pPr>
            <w:r>
              <w:rPr>
                <w:color w:val="1C3A36"/>
                <w:sz w:val="16"/>
              </w:rPr>
            </w:r>
          </w:p>
        </w:tc>
        <w:tc>
          <w:tcPr>
            <w:tcW w:type="dxa" w:w="1411"/>
          </w:tcPr>
          <w:p>
            <w:pPr>
              <w:spacing w:after="20"/>
              <w:jc w:val="right"/>
            </w:pPr>
            <w:r>
              <w:rPr>
                <w:color w:val="1C3A36"/>
                <w:sz w:val="16"/>
              </w:rPr>
              <w:t>281,049</w:t>
            </w:r>
          </w:p>
        </w:tc>
        <w:tc>
          <w:tcPr>
            <w:tcW w:type="dxa" w:w="893"/>
          </w:tcPr>
          <w:p>
            <w:pPr>
              <w:spacing w:after="20"/>
              <w:jc w:val="right"/>
            </w:pPr>
            <w:r>
              <w:rPr>
                <w:color w:val="1C3A36"/>
                <w:sz w:val="16"/>
              </w:rPr>
            </w:r>
          </w:p>
        </w:tc>
      </w:tr>
    </w:tbl>
    <w:p>
      <w:pPr>
        <w:spacing w:after="40"/>
      </w:pPr>
    </w:p>
    <w:p>
      <w:pPr>
        <w:spacing w:after="200" w:before="0"/>
      </w:pPr>
      <w:r>
        <w:rPr>
          <w:b w:val="0"/>
          <w:i/>
          <w:color w:val="6E7B77"/>
          <w:sz w:val="17"/>
        </w:rPr>
        <w:t>Segment revenue (Note 5-3) sums to consolidated revenue exactly in every year shown — there is no elimination or apportionment. Segment margin is segment profit (Note 16, inside- and outside-Egypt columns summed) divided by this same revenue base. Every segment compressed from FY2023 to FY2025; Cables and Constructions compressed the most, Electrical products the least.</w:t>
      </w:r>
    </w:p>
    <w:p>
      <w:pPr>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051"/>
        <w:gridCol w:w="1051"/>
        <w:gridCol w:w="1051"/>
        <w:gridCol w:w="1051"/>
        <w:gridCol w:w="1051"/>
        <w:gridCol w:w="1051"/>
      </w:tblGrid>
      <w:tr>
        <w:tc>
          <w:tcPr>
            <w:tcW w:type="dxa" w:w="3384"/>
            <w:shd w:val="clear" w:color="auto" w:fill="EAF0EE"/>
          </w:tcPr>
          <w:p>
            <w:pPr>
              <w:spacing w:after="20"/>
            </w:pPr>
            <w:r>
              <w:rPr>
                <w:b/>
                <w:color w:val="1C3A36"/>
                <w:sz w:val="16"/>
              </w:rPr>
              <w:t>Driver</w:t>
            </w:r>
          </w:p>
        </w:tc>
        <w:tc>
          <w:tcPr>
            <w:tcW w:type="dxa" w:w="1051"/>
            <w:shd w:val="clear" w:color="auto" w:fill="EAF0EE"/>
          </w:tcPr>
          <w:p>
            <w:pPr>
              <w:spacing w:after="20"/>
            </w:pPr>
            <w:r>
              <w:rPr>
                <w:b/>
                <w:color w:val="1C3A36"/>
                <w:sz w:val="16"/>
              </w:rPr>
              <w:t>FY2025 base</w:t>
            </w:r>
          </w:p>
        </w:tc>
        <w:tc>
          <w:tcPr>
            <w:tcW w:type="dxa" w:w="1051"/>
            <w:shd w:val="clear" w:color="auto" w:fill="EAF0EE"/>
          </w:tcPr>
          <w:p>
            <w:pPr>
              <w:spacing w:after="20"/>
            </w:pPr>
            <w:r>
              <w:rPr>
                <w:b/>
                <w:color w:val="1C3A36"/>
                <w:sz w:val="16"/>
              </w:rPr>
              <w:t>FY26E</w:t>
            </w:r>
          </w:p>
        </w:tc>
        <w:tc>
          <w:tcPr>
            <w:tcW w:type="dxa" w:w="1051"/>
            <w:shd w:val="clear" w:color="auto" w:fill="EAF0EE"/>
          </w:tcPr>
          <w:p>
            <w:pPr>
              <w:spacing w:after="20"/>
            </w:pPr>
            <w:r>
              <w:rPr>
                <w:b/>
                <w:color w:val="1C3A36"/>
                <w:sz w:val="16"/>
              </w:rPr>
              <w:t>FY27E</w:t>
            </w:r>
          </w:p>
        </w:tc>
        <w:tc>
          <w:tcPr>
            <w:tcW w:type="dxa" w:w="1051"/>
            <w:shd w:val="clear" w:color="auto" w:fill="EAF0EE"/>
          </w:tcPr>
          <w:p>
            <w:pPr>
              <w:spacing w:after="20"/>
            </w:pPr>
            <w:r>
              <w:rPr>
                <w:b/>
                <w:color w:val="1C3A36"/>
                <w:sz w:val="16"/>
              </w:rPr>
              <w:t>FY28E</w:t>
            </w:r>
          </w:p>
        </w:tc>
        <w:tc>
          <w:tcPr>
            <w:tcW w:type="dxa" w:w="1051"/>
            <w:shd w:val="clear" w:color="auto" w:fill="EAF0EE"/>
          </w:tcPr>
          <w:p>
            <w:pPr>
              <w:spacing w:after="20"/>
            </w:pPr>
            <w:r>
              <w:rPr>
                <w:b/>
                <w:color w:val="1C3A36"/>
                <w:sz w:val="16"/>
              </w:rPr>
              <w:t>FY29E</w:t>
            </w:r>
          </w:p>
        </w:tc>
        <w:tc>
          <w:tcPr>
            <w:tcW w:type="dxa" w:w="1051"/>
            <w:shd w:val="clear" w:color="auto" w:fill="EAF0EE"/>
          </w:tcPr>
          <w:p>
            <w:pPr>
              <w:spacing w:after="20"/>
            </w:pPr>
            <w:r>
              <w:rPr>
                <w:b/>
                <w:color w:val="1C3A36"/>
                <w:sz w:val="16"/>
              </w:rPr>
              <w:t>FY30E</w:t>
            </w:r>
          </w:p>
        </w:tc>
      </w:tr>
      <w:tr>
        <w:tc>
          <w:tcPr>
            <w:tcW w:type="dxa" w:w="3384"/>
          </w:tcPr>
          <w:p>
            <w:pPr>
              <w:spacing w:after="20"/>
            </w:pPr>
            <w:r>
              <w:rPr>
                <w:color w:val="1C3A36"/>
                <w:sz w:val="16"/>
              </w:rPr>
              <w:t>Copper (USD/tonne)</w:t>
            </w:r>
          </w:p>
        </w:tc>
        <w:tc>
          <w:tcPr>
            <w:tcW w:type="dxa" w:w="1051"/>
          </w:tcPr>
          <w:p>
            <w:pPr>
              <w:spacing w:after="20"/>
              <w:jc w:val="right"/>
            </w:pPr>
            <w:r>
              <w:rPr>
                <w:color w:val="1C3A36"/>
                <w:sz w:val="16"/>
              </w:rPr>
              <w:t>10,000</w:t>
            </w:r>
          </w:p>
        </w:tc>
        <w:tc>
          <w:tcPr>
            <w:tcW w:type="dxa" w:w="1051"/>
          </w:tcPr>
          <w:p>
            <w:pPr>
              <w:spacing w:after="20"/>
              <w:jc w:val="right"/>
            </w:pPr>
            <w:r>
              <w:rPr>
                <w:color w:val="1C3A36"/>
                <w:sz w:val="16"/>
              </w:rPr>
              <w:t>13,400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r>
      <w:tr>
        <w:tc>
          <w:tcPr>
            <w:tcW w:type="dxa" w:w="3384"/>
          </w:tcPr>
          <w:p>
            <w:pPr>
              <w:spacing w:after="20"/>
            </w:pPr>
            <w:r>
              <w:rPr>
                <w:color w:val="1C3A36"/>
                <w:sz w:val="16"/>
              </w:rPr>
              <w:t>USD/EGP average rate</w:t>
            </w:r>
          </w:p>
        </w:tc>
        <w:tc>
          <w:tcPr>
            <w:tcW w:type="dxa" w:w="1051"/>
          </w:tcPr>
          <w:p>
            <w:pPr>
              <w:spacing w:after="20"/>
              <w:jc w:val="right"/>
            </w:pPr>
            <w:r>
              <w:rPr>
                <w:color w:val="1C3A36"/>
                <w:sz w:val="16"/>
              </w:rPr>
              <w:t>49.5</w:t>
            </w:r>
          </w:p>
        </w:tc>
        <w:tc>
          <w:tcPr>
            <w:tcW w:type="dxa" w:w="1051"/>
          </w:tcPr>
          <w:p>
            <w:pPr>
              <w:spacing w:after="20"/>
              <w:jc w:val="right"/>
            </w:pPr>
            <w:r>
              <w:rPr>
                <w:color w:val="1C3A36"/>
                <w:sz w:val="16"/>
              </w:rPr>
              <w:t>51.0</w:t>
            </w:r>
          </w:p>
        </w:tc>
        <w:tc>
          <w:tcPr>
            <w:tcW w:type="dxa" w:w="1051"/>
          </w:tcPr>
          <w:p>
            <w:pPr>
              <w:spacing w:after="20"/>
              <w:jc w:val="right"/>
            </w:pPr>
            <w:r>
              <w:rPr>
                <w:color w:val="1C3A36"/>
                <w:sz w:val="16"/>
              </w:rPr>
              <w:t>54.0</w:t>
            </w:r>
          </w:p>
        </w:tc>
        <w:tc>
          <w:tcPr>
            <w:tcW w:type="dxa" w:w="1051"/>
          </w:tcPr>
          <w:p>
            <w:pPr>
              <w:spacing w:after="20"/>
              <w:jc w:val="right"/>
            </w:pPr>
            <w:r>
              <w:rPr>
                <w:color w:val="1C3A36"/>
                <w:sz w:val="16"/>
              </w:rPr>
              <w:t>57.5</w:t>
            </w:r>
          </w:p>
        </w:tc>
        <w:tc>
          <w:tcPr>
            <w:tcW w:type="dxa" w:w="1051"/>
          </w:tcPr>
          <w:p>
            <w:pPr>
              <w:spacing w:after="20"/>
              <w:jc w:val="right"/>
            </w:pPr>
            <w:r>
              <w:rPr>
                <w:color w:val="1C3A36"/>
                <w:sz w:val="16"/>
              </w:rPr>
              <w:t>61.0</w:t>
            </w:r>
          </w:p>
        </w:tc>
        <w:tc>
          <w:tcPr>
            <w:tcW w:type="dxa" w:w="1051"/>
          </w:tcPr>
          <w:p>
            <w:pPr>
              <w:spacing w:after="20"/>
              <w:jc w:val="right"/>
            </w:pPr>
            <w:r>
              <w:rPr>
                <w:color w:val="1C3A36"/>
                <w:sz w:val="16"/>
              </w:rPr>
              <w:t>64.5</w:t>
            </w:r>
          </w:p>
        </w:tc>
      </w:tr>
      <w:tr>
        <w:tc>
          <w:tcPr>
            <w:tcW w:type="dxa" w:w="3384"/>
          </w:tcPr>
          <w:p>
            <w:pPr>
              <w:spacing w:after="20"/>
            </w:pPr>
            <w:r>
              <w:rPr>
                <w:color w:val="1C3A36"/>
                <w:sz w:val="16"/>
              </w:rPr>
              <w:t>Cables — real growth (over copper × FX)</w:t>
            </w:r>
          </w:p>
        </w:tc>
        <w:tc>
          <w:tcPr>
            <w:tcW w:type="dxa" w:w="1051"/>
          </w:tcPr>
          <w:p>
            <w:pPr>
              <w:spacing w:after="20"/>
              <w:jc w:val="right"/>
            </w:pPr>
            <w:r>
              <w:rPr>
                <w:color w:val="1C3A36"/>
                <w:sz w:val="16"/>
              </w:rPr>
              <w:t>—</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r>
      <w:tr>
        <w:tc>
          <w:tcPr>
            <w:tcW w:type="dxa" w:w="3384"/>
          </w:tcPr>
          <w:p>
            <w:pPr>
              <w:spacing w:after="20"/>
            </w:pPr>
            <w:r>
              <w:rPr>
                <w:color w:val="1C3A36"/>
                <w:sz w:val="16"/>
              </w:rPr>
              <w:t>Cables — segment margin</w:t>
            </w:r>
          </w:p>
        </w:tc>
        <w:tc>
          <w:tcPr>
            <w:tcW w:type="dxa" w:w="1051"/>
          </w:tcPr>
          <w:p>
            <w:pPr>
              <w:spacing w:after="20"/>
              <w:jc w:val="right"/>
            </w:pPr>
            <w:r>
              <w:rPr>
                <w:color w:val="1C3A36"/>
                <w:sz w:val="16"/>
              </w:rPr>
              <w:t>13.5%</w:t>
            </w:r>
          </w:p>
        </w:tc>
        <w:tc>
          <w:tcPr>
            <w:tcW w:type="dxa" w:w="1051"/>
          </w:tcPr>
          <w:p>
            <w:pPr>
              <w:spacing w:after="20"/>
              <w:jc w:val="right"/>
            </w:pPr>
            <w:r>
              <w:rPr>
                <w:color w:val="1C3A36"/>
                <w:sz w:val="16"/>
              </w:rPr>
              <w:t>14.0%</w:t>
            </w:r>
          </w:p>
        </w:tc>
        <w:tc>
          <w:tcPr>
            <w:tcW w:type="dxa" w:w="1051"/>
          </w:tcPr>
          <w:p>
            <w:pPr>
              <w:spacing w:after="20"/>
              <w:jc w:val="right"/>
            </w:pPr>
            <w:r>
              <w:rPr>
                <w:color w:val="1C3A36"/>
                <w:sz w:val="16"/>
              </w:rPr>
              <w:t>14.5%</w:t>
            </w:r>
          </w:p>
        </w:tc>
        <w:tc>
          <w:tcPr>
            <w:tcW w:type="dxa" w:w="1051"/>
          </w:tcPr>
          <w:p>
            <w:pPr>
              <w:spacing w:after="20"/>
              <w:jc w:val="right"/>
            </w:pPr>
            <w:r>
              <w:rPr>
                <w:color w:val="1C3A36"/>
                <w:sz w:val="16"/>
              </w:rPr>
              <w:t>15.0%</w:t>
            </w:r>
          </w:p>
        </w:tc>
        <w:tc>
          <w:tcPr>
            <w:tcW w:type="dxa" w:w="1051"/>
          </w:tcPr>
          <w:p>
            <w:pPr>
              <w:spacing w:after="20"/>
              <w:jc w:val="right"/>
            </w:pPr>
            <w:r>
              <w:rPr>
                <w:color w:val="1C3A36"/>
                <w:sz w:val="16"/>
              </w:rPr>
              <w:t>15.3%</w:t>
            </w:r>
          </w:p>
        </w:tc>
        <w:tc>
          <w:tcPr>
            <w:tcW w:type="dxa" w:w="1051"/>
          </w:tcPr>
          <w:p>
            <w:pPr>
              <w:spacing w:after="20"/>
              <w:jc w:val="right"/>
            </w:pPr>
            <w:r>
              <w:rPr>
                <w:color w:val="1C3A36"/>
                <w:sz w:val="16"/>
              </w:rPr>
              <w:t>15.5%</w:t>
            </w:r>
          </w:p>
        </w:tc>
      </w:tr>
      <w:tr>
        <w:tc>
          <w:tcPr>
            <w:tcW w:type="dxa" w:w="3384"/>
          </w:tcPr>
          <w:p>
            <w:pPr>
              <w:spacing w:after="20"/>
            </w:pPr>
            <w:r>
              <w:rPr>
                <w:color w:val="1C3A36"/>
                <w:sz w:val="16"/>
              </w:rPr>
              <w:t>Constructions and infrastructure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18.0%</w:t>
            </w:r>
          </w:p>
        </w:tc>
        <w:tc>
          <w:tcPr>
            <w:tcW w:type="dxa" w:w="1051"/>
          </w:tcPr>
          <w:p>
            <w:pPr>
              <w:spacing w:after="20"/>
              <w:jc w:val="right"/>
            </w:pPr>
            <w:r>
              <w:rPr>
                <w:color w:val="1C3A36"/>
                <w:sz w:val="16"/>
              </w:rPr>
              <w:t>14.0%</w:t>
            </w:r>
          </w:p>
        </w:tc>
        <w:tc>
          <w:tcPr>
            <w:tcW w:type="dxa" w:w="1051"/>
          </w:tcPr>
          <w:p>
            <w:pPr>
              <w:spacing w:after="20"/>
              <w:jc w:val="right"/>
            </w:pPr>
            <w:r>
              <w:rPr>
                <w:color w:val="1C3A36"/>
                <w:sz w:val="16"/>
              </w:rPr>
              <w:t>11.0%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8.0%</w:t>
            </w:r>
          </w:p>
        </w:tc>
      </w:tr>
      <w:tr>
        <w:tc>
          <w:tcPr>
            <w:tcW w:type="dxa" w:w="3384"/>
          </w:tcPr>
          <w:p>
            <w:pPr>
              <w:spacing w:after="20"/>
            </w:pPr>
            <w:r>
              <w:rPr>
                <w:color w:val="1C3A36"/>
                <w:sz w:val="16"/>
              </w:rPr>
              <w:t>Constructions and infrastructure — segment margin</w:t>
            </w:r>
          </w:p>
        </w:tc>
        <w:tc>
          <w:tcPr>
            <w:tcW w:type="dxa" w:w="1051"/>
          </w:tcPr>
          <w:p>
            <w:pPr>
              <w:spacing w:after="20"/>
              <w:jc w:val="right"/>
            </w:pPr>
            <w:r>
              <w:rPr>
                <w:color w:val="1C3A36"/>
                <w:sz w:val="16"/>
              </w:rPr>
              <w:t>6.5%</w:t>
            </w:r>
          </w:p>
        </w:tc>
        <w:tc>
          <w:tcPr>
            <w:tcW w:type="dxa" w:w="1051"/>
          </w:tcPr>
          <w:p>
            <w:pPr>
              <w:spacing w:after="20"/>
              <w:jc w:val="right"/>
            </w:pPr>
            <w:r>
              <w:rPr>
                <w:color w:val="1C3A36"/>
                <w:sz w:val="16"/>
              </w:rPr>
              <w:t>6.8%</w:t>
            </w:r>
          </w:p>
        </w:tc>
        <w:tc>
          <w:tcPr>
            <w:tcW w:type="dxa" w:w="1051"/>
          </w:tcPr>
          <w:p>
            <w:pPr>
              <w:spacing w:after="20"/>
              <w:jc w:val="right"/>
            </w:pPr>
            <w:r>
              <w:rPr>
                <w:color w:val="1C3A36"/>
                <w:sz w:val="16"/>
              </w:rPr>
              <w:t>7.2%</w:t>
            </w:r>
          </w:p>
        </w:tc>
        <w:tc>
          <w:tcPr>
            <w:tcW w:type="dxa" w:w="1051"/>
          </w:tcPr>
          <w:p>
            <w:pPr>
              <w:spacing w:after="20"/>
              <w:jc w:val="right"/>
            </w:pPr>
            <w:r>
              <w:rPr>
                <w:color w:val="1C3A36"/>
                <w:sz w:val="16"/>
              </w:rPr>
              <w:t>7.6%</w:t>
            </w:r>
          </w:p>
        </w:tc>
        <w:tc>
          <w:tcPr>
            <w:tcW w:type="dxa" w:w="1051"/>
          </w:tcPr>
          <w:p>
            <w:pPr>
              <w:spacing w:after="20"/>
              <w:jc w:val="right"/>
            </w:pPr>
            <w:r>
              <w:rPr>
                <w:color w:val="1C3A36"/>
                <w:sz w:val="16"/>
              </w:rPr>
              <w:t>7.9%</w:t>
            </w:r>
          </w:p>
        </w:tc>
        <w:tc>
          <w:tcPr>
            <w:tcW w:type="dxa" w:w="1051"/>
          </w:tcPr>
          <w:p>
            <w:pPr>
              <w:spacing w:after="20"/>
              <w:jc w:val="right"/>
            </w:pPr>
            <w:r>
              <w:rPr>
                <w:color w:val="1C3A36"/>
                <w:sz w:val="16"/>
              </w:rPr>
              <w:t>8.2%</w:t>
            </w:r>
          </w:p>
        </w:tc>
      </w:tr>
      <w:tr>
        <w:tc>
          <w:tcPr>
            <w:tcW w:type="dxa" w:w="3384"/>
          </w:tcPr>
          <w:p>
            <w:pPr>
              <w:spacing w:after="20"/>
            </w:pPr>
            <w:r>
              <w:rPr>
                <w:color w:val="1C3A36"/>
                <w:sz w:val="16"/>
              </w:rPr>
              <w:t>Electrical products and digital solutions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20.0%</w:t>
            </w:r>
          </w:p>
        </w:tc>
        <w:tc>
          <w:tcPr>
            <w:tcW w:type="dxa" w:w="1051"/>
          </w:tcPr>
          <w:p>
            <w:pPr>
              <w:spacing w:after="20"/>
              <w:jc w:val="right"/>
            </w:pPr>
            <w:r>
              <w:rPr>
                <w:color w:val="1C3A36"/>
                <w:sz w:val="16"/>
              </w:rPr>
              <w:t>16.0%</w:t>
            </w:r>
          </w:p>
        </w:tc>
        <w:tc>
          <w:tcPr>
            <w:tcW w:type="dxa" w:w="1051"/>
          </w:tcPr>
          <w:p>
            <w:pPr>
              <w:spacing w:after="20"/>
              <w:jc w:val="right"/>
            </w:pPr>
            <w:r>
              <w:rPr>
                <w:color w:val="1C3A36"/>
                <w:sz w:val="16"/>
              </w:rPr>
              <w:t>13.0%</w:t>
            </w:r>
          </w:p>
        </w:tc>
        <w:tc>
          <w:tcPr>
            <w:tcW w:type="dxa" w:w="1051"/>
          </w:tcPr>
          <w:p>
            <w:pPr>
              <w:spacing w:after="20"/>
              <w:jc w:val="right"/>
            </w:pPr>
            <w:r>
              <w:rPr>
                <w:color w:val="1C3A36"/>
                <w:sz w:val="16"/>
              </w:rPr>
              <w:t>11.0%</w:t>
            </w:r>
          </w:p>
        </w:tc>
        <w:tc>
          <w:tcPr>
            <w:tcW w:type="dxa" w:w="1051"/>
          </w:tcPr>
          <w:p>
            <w:pPr>
              <w:spacing w:after="20"/>
              <w:jc w:val="right"/>
            </w:pPr>
            <w:r>
              <w:rPr>
                <w:color w:val="1C3A36"/>
                <w:sz w:val="16"/>
              </w:rPr>
              <w:t>10.0%</w:t>
            </w:r>
          </w:p>
        </w:tc>
      </w:tr>
      <w:tr>
        <w:tc>
          <w:tcPr>
            <w:tcW w:type="dxa" w:w="3384"/>
          </w:tcPr>
          <w:p>
            <w:pPr>
              <w:spacing w:after="20"/>
            </w:pPr>
            <w:r>
              <w:rPr>
                <w:color w:val="1C3A36"/>
                <w:sz w:val="16"/>
              </w:rPr>
              <w:t>Electrical products and digital solutions — segment margin</w:t>
            </w:r>
          </w:p>
        </w:tc>
        <w:tc>
          <w:tcPr>
            <w:tcW w:type="dxa" w:w="1051"/>
          </w:tcPr>
          <w:p>
            <w:pPr>
              <w:spacing w:after="20"/>
              <w:jc w:val="right"/>
            </w:pPr>
            <w:r>
              <w:rPr>
                <w:color w:val="1C3A36"/>
                <w:sz w:val="16"/>
              </w:rPr>
              <w:t>22.2%</w:t>
            </w:r>
          </w:p>
        </w:tc>
        <w:tc>
          <w:tcPr>
            <w:tcW w:type="dxa" w:w="1051"/>
          </w:tcPr>
          <w:p>
            <w:pPr>
              <w:spacing w:after="20"/>
              <w:jc w:val="right"/>
            </w:pPr>
            <w:r>
              <w:rPr>
                <w:color w:val="1C3A36"/>
                <w:sz w:val="16"/>
              </w:rPr>
              <w:t>22.0%</w:t>
            </w:r>
          </w:p>
        </w:tc>
        <w:tc>
          <w:tcPr>
            <w:tcW w:type="dxa" w:w="1051"/>
          </w:tcPr>
          <w:p>
            <w:pPr>
              <w:spacing w:after="20"/>
              <w:jc w:val="right"/>
            </w:pPr>
            <w:r>
              <w:rPr>
                <w:color w:val="1C3A36"/>
                <w:sz w:val="16"/>
              </w:rPr>
              <w:t>22.2%</w:t>
            </w:r>
          </w:p>
        </w:tc>
        <w:tc>
          <w:tcPr>
            <w:tcW w:type="dxa" w:w="1051"/>
          </w:tcPr>
          <w:p>
            <w:pPr>
              <w:spacing w:after="20"/>
              <w:jc w:val="right"/>
            </w:pPr>
            <w:r>
              <w:rPr>
                <w:color w:val="1C3A36"/>
                <w:sz w:val="16"/>
              </w:rPr>
              <w:t>22.4%</w:t>
            </w:r>
          </w:p>
        </w:tc>
        <w:tc>
          <w:tcPr>
            <w:tcW w:type="dxa" w:w="1051"/>
          </w:tcPr>
          <w:p>
            <w:pPr>
              <w:spacing w:after="20"/>
              <w:jc w:val="right"/>
            </w:pPr>
            <w:r>
              <w:rPr>
                <w:color w:val="1C3A36"/>
                <w:sz w:val="16"/>
              </w:rPr>
              <w:t>22.6%</w:t>
            </w:r>
          </w:p>
        </w:tc>
        <w:tc>
          <w:tcPr>
            <w:tcW w:type="dxa" w:w="1051"/>
          </w:tcPr>
          <w:p>
            <w:pPr>
              <w:spacing w:after="20"/>
              <w:jc w:val="right"/>
            </w:pPr>
            <w:r>
              <w:rPr>
                <w:color w:val="1C3A36"/>
                <w:sz w:val="16"/>
              </w:rPr>
              <w:t>22.8%</w:t>
            </w:r>
          </w:p>
        </w:tc>
      </w:tr>
      <w:tr>
        <w:tc>
          <w:tcPr>
            <w:tcW w:type="dxa" w:w="3384"/>
          </w:tcPr>
          <w:p>
            <w:pPr>
              <w:spacing w:after="20"/>
            </w:pPr>
            <w:r>
              <w:rPr>
                <w:color w:val="1C3A36"/>
                <w:sz w:val="16"/>
              </w:rPr>
              <w:t>Corporate cost load, segment profit → EBIT basis (% of revenue)</w:t>
            </w:r>
          </w:p>
        </w:tc>
        <w:tc>
          <w:tcPr>
            <w:tcW w:type="dxa" w:w="1051"/>
          </w:tcPr>
          <w:p>
            <w:pPr>
              <w:spacing w:after="20"/>
              <w:jc w:val="right"/>
            </w:pPr>
            <w:r>
              <w:rPr>
                <w:color w:val="1C3A36"/>
                <w:sz w:val="16"/>
              </w:rPr>
              <w:t>3.2%</w:t>
            </w:r>
          </w:p>
        </w:tc>
        <w:tc>
          <w:tcPr>
            <w:tcW w:type="dxa" w:w="1051"/>
          </w:tcPr>
          <w:p>
            <w:pPr>
              <w:spacing w:after="20"/>
              <w:jc w:val="right"/>
            </w:pPr>
            <w:r>
              <w:rPr>
                <w:color w:val="1C3A36"/>
                <w:sz w:val="16"/>
              </w:rPr>
              <w:t>4.5%</w:t>
            </w:r>
          </w:p>
        </w:tc>
        <w:tc>
          <w:tcPr>
            <w:tcW w:type="dxa" w:w="1051"/>
          </w:tcPr>
          <w:p>
            <w:pPr>
              <w:spacing w:after="20"/>
              <w:jc w:val="right"/>
            </w:pPr>
            <w:r>
              <w:rPr>
                <w:color w:val="1C3A36"/>
                <w:sz w:val="16"/>
              </w:rPr>
              <w:t>4.7%</w:t>
            </w:r>
          </w:p>
        </w:tc>
        <w:tc>
          <w:tcPr>
            <w:tcW w:type="dxa" w:w="1051"/>
          </w:tcPr>
          <w:p>
            <w:pPr>
              <w:spacing w:after="20"/>
              <w:jc w:val="right"/>
            </w:pPr>
            <w:r>
              <w:rPr>
                <w:color w:val="1C3A36"/>
                <w:sz w:val="16"/>
              </w:rPr>
              <w:t>4.8%</w:t>
            </w:r>
          </w:p>
        </w:tc>
        <w:tc>
          <w:tcPr>
            <w:tcW w:type="dxa" w:w="1051"/>
          </w:tcPr>
          <w:p>
            <w:pPr>
              <w:spacing w:after="20"/>
              <w:jc w:val="right"/>
            </w:pPr>
            <w:r>
              <w:rPr>
                <w:color w:val="1C3A36"/>
                <w:sz w:val="16"/>
              </w:rPr>
              <w:t>4.8%</w:t>
            </w:r>
          </w:p>
        </w:tc>
        <w:tc>
          <w:tcPr>
            <w:tcW w:type="dxa" w:w="1051"/>
          </w:tcPr>
          <w:p>
            <w:pPr>
              <w:spacing w:after="20"/>
              <w:jc w:val="right"/>
            </w:pPr>
            <w:r>
              <w:rPr>
                <w:color w:val="1C3A36"/>
                <w:sz w:val="16"/>
              </w:rPr>
              <w:t>4.9%</w:t>
            </w:r>
          </w:p>
        </w:tc>
      </w:tr>
      <w:tr>
        <w:tc>
          <w:tcPr>
            <w:tcW w:type="dxa" w:w="3384"/>
          </w:tcPr>
          <w:p>
            <w:pPr>
              <w:spacing w:after="20"/>
            </w:pPr>
            <w:r>
              <w:rPr>
                <w:color w:val="1C3A36"/>
                <w:sz w:val="16"/>
              </w:rPr>
              <w:t>Capital expenditure (% of revenue)</w:t>
            </w:r>
          </w:p>
        </w:tc>
        <w:tc>
          <w:tcPr>
            <w:tcW w:type="dxa" w:w="1051"/>
          </w:tcPr>
          <w:p>
            <w:pPr>
              <w:spacing w:after="20"/>
              <w:jc w:val="right"/>
            </w:pPr>
            <w:r>
              <w:rPr>
                <w:color w:val="1C3A36"/>
                <w:sz w:val="16"/>
              </w:rPr>
              <w:t>4.7%</w:t>
            </w:r>
          </w:p>
        </w:tc>
        <w:tc>
          <w:tcPr>
            <w:tcW w:type="dxa" w:w="1051"/>
          </w:tcPr>
          <w:p>
            <w:pPr>
              <w:spacing w:after="20"/>
              <w:jc w:val="right"/>
            </w:pPr>
            <w:r>
              <w:rPr>
                <w:color w:val="1C3A36"/>
                <w:sz w:val="16"/>
              </w:rPr>
              <w:t>4.4%</w:t>
            </w:r>
          </w:p>
        </w:tc>
        <w:tc>
          <w:tcPr>
            <w:tcW w:type="dxa" w:w="1051"/>
          </w:tcPr>
          <w:p>
            <w:pPr>
              <w:spacing w:after="20"/>
              <w:jc w:val="right"/>
            </w:pPr>
            <w:r>
              <w:rPr>
                <w:color w:val="1C3A36"/>
                <w:sz w:val="16"/>
              </w:rPr>
              <w:t>4.0%</w:t>
            </w:r>
          </w:p>
        </w:tc>
        <w:tc>
          <w:tcPr>
            <w:tcW w:type="dxa" w:w="1051"/>
          </w:tcPr>
          <w:p>
            <w:pPr>
              <w:spacing w:after="20"/>
              <w:jc w:val="right"/>
            </w:pPr>
            <w:r>
              <w:rPr>
                <w:color w:val="1C3A36"/>
                <w:sz w:val="16"/>
              </w:rPr>
              <w:t>3.6%</w:t>
            </w:r>
          </w:p>
        </w:tc>
        <w:tc>
          <w:tcPr>
            <w:tcW w:type="dxa" w:w="1051"/>
          </w:tcPr>
          <w:p>
            <w:pPr>
              <w:spacing w:after="20"/>
              <w:jc w:val="right"/>
            </w:pPr>
            <w:r>
              <w:rPr>
                <w:color w:val="1C3A36"/>
                <w:sz w:val="16"/>
              </w:rPr>
              <w:t>3.3%</w:t>
            </w:r>
          </w:p>
        </w:tc>
        <w:tc>
          <w:tcPr>
            <w:tcW w:type="dxa" w:w="1051"/>
          </w:tcPr>
          <w:p>
            <w:pPr>
              <w:spacing w:after="20"/>
              <w:jc w:val="right"/>
            </w:pPr>
            <w:r>
              <w:rPr>
                <w:color w:val="1C3A36"/>
                <w:sz w:val="16"/>
              </w:rPr>
              <w:t>3.1%</w:t>
            </w:r>
          </w:p>
        </w:tc>
      </w:tr>
      <w:tr>
        <w:tc>
          <w:tcPr>
            <w:tcW w:type="dxa" w:w="3384"/>
          </w:tcPr>
          <w:p>
            <w:pPr>
              <w:spacing w:after="20"/>
            </w:pPr>
            <w:r>
              <w:rPr>
                <w:color w:val="1C3A36"/>
                <w:sz w:val="16"/>
              </w:rPr>
              <w:t>Depreciation and amortisation (% of revenue)</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r>
    </w:tbl>
    <w:p>
      <w:pPr>
        <w:spacing w:after="40"/>
      </w:pPr>
    </w:p>
    <w:p>
      <w:pPr>
        <w:spacing w:after="200" w:before="0"/>
      </w:pPr>
      <w:r>
        <w:rPr>
          <w:b w:val="0"/>
          <w:i/>
          <w:color w:val="6E7B77"/>
          <w:sz w:val="17"/>
        </w:rPr>
        <w:t>Copper is held near the current market level rather than forecast — a directional view on the metal would dominate the valuation, and it is carried in the sensitivity instead. Cables grows on copper-price growth × FX-translation growth × a modest real-volume assumption, since no tonnage figure is disclosed in the audited statements to build a literal unit model from. Constructions and Electrical products taper on their own FY2023-25 revenue CAGR. The corporate cost load — stated on the same segment-profit-to-EBIT basis as the audited history (5.70% / 4.30% / 3.16%) — glides UP from FY2025's unusually low level toward the FY2023-24 average, the single most conservative choice in the build. The capex and D&amp;A paths are shown because they are live free-cash-flow drivers, not footnotes: capex tapers from the FY2025 peak of 4.7% as the 2024-25 capacity programme completes (it ran 3.1% in FY2023 and 3.7% in FY2024); holding it at the FY2025 peak instead would cost roughly EGP 1.8 on the weighted central.</w:t>
      </w:r>
    </w:p>
    <w:p>
      <w:pPr>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Revenue</w:t>
            </w:r>
          </w:p>
        </w:tc>
        <w:tc>
          <w:tcPr>
            <w:tcW w:type="dxa" w:w="1426"/>
          </w:tcPr>
          <w:p>
            <w:pPr>
              <w:spacing w:after="20"/>
              <w:jc w:val="right"/>
            </w:pPr>
            <w:r>
              <w:rPr>
                <w:color w:val="1C3A36"/>
                <w:sz w:val="16"/>
              </w:rPr>
              <w:t>370,030</w:t>
            </w:r>
          </w:p>
        </w:tc>
        <w:tc>
          <w:tcPr>
            <w:tcW w:type="dxa" w:w="1426"/>
          </w:tcPr>
          <w:p>
            <w:pPr>
              <w:spacing w:after="20"/>
              <w:jc w:val="right"/>
            </w:pPr>
            <w:r>
              <w:rPr>
                <w:color w:val="1C3A36"/>
                <w:sz w:val="16"/>
              </w:rPr>
              <w:t>422,528</w:t>
            </w:r>
          </w:p>
        </w:tc>
        <w:tc>
          <w:tcPr>
            <w:tcW w:type="dxa" w:w="1426"/>
          </w:tcPr>
          <w:p>
            <w:pPr>
              <w:spacing w:after="20"/>
              <w:jc w:val="right"/>
            </w:pPr>
            <w:r>
              <w:rPr>
                <w:color w:val="1C3A36"/>
                <w:sz w:val="16"/>
              </w:rPr>
              <w:t>466,619</w:t>
            </w:r>
          </w:p>
        </w:tc>
        <w:tc>
          <w:tcPr>
            <w:tcW w:type="dxa" w:w="1426"/>
          </w:tcPr>
          <w:p>
            <w:pPr>
              <w:spacing w:after="20"/>
              <w:jc w:val="right"/>
            </w:pPr>
            <w:r>
              <w:rPr>
                <w:color w:val="1C3A36"/>
                <w:sz w:val="16"/>
              </w:rPr>
              <w:t>510,440</w:t>
            </w:r>
          </w:p>
        </w:tc>
        <w:tc>
          <w:tcPr>
            <w:tcW w:type="dxa" w:w="1426"/>
          </w:tcPr>
          <w:p>
            <w:pPr>
              <w:spacing w:after="20"/>
              <w:jc w:val="right"/>
            </w:pPr>
            <w:r>
              <w:rPr>
                <w:color w:val="1C3A36"/>
                <w:sz w:val="16"/>
              </w:rPr>
              <w:t>555,225</w:t>
            </w:r>
          </w:p>
        </w:tc>
      </w:tr>
      <w:tr>
        <w:tc>
          <w:tcPr>
            <w:tcW w:type="dxa" w:w="2952"/>
          </w:tcPr>
          <w:p>
            <w:pPr>
              <w:spacing w:after="20"/>
            </w:pPr>
            <w:r>
              <w:rPr>
                <w:color w:val="1C3A36"/>
                <w:sz w:val="16"/>
              </w:rPr>
              <w:t>Segment profit (Note 16 basis)</w:t>
            </w:r>
          </w:p>
        </w:tc>
        <w:tc>
          <w:tcPr>
            <w:tcW w:type="dxa" w:w="1426"/>
          </w:tcPr>
          <w:p>
            <w:pPr>
              <w:spacing w:after="20"/>
              <w:jc w:val="right"/>
            </w:pPr>
            <w:r>
              <w:rPr>
                <w:color w:val="1C3A36"/>
                <w:sz w:val="16"/>
              </w:rPr>
              <w:t>47,369</w:t>
            </w:r>
          </w:p>
        </w:tc>
        <w:tc>
          <w:tcPr>
            <w:tcW w:type="dxa" w:w="1426"/>
          </w:tcPr>
          <w:p>
            <w:pPr>
              <w:spacing w:after="20"/>
              <w:jc w:val="right"/>
            </w:pPr>
            <w:r>
              <w:rPr>
                <w:color w:val="1C3A36"/>
                <w:sz w:val="16"/>
              </w:rPr>
              <w:t>56,011</w:t>
            </w:r>
          </w:p>
        </w:tc>
        <w:tc>
          <w:tcPr>
            <w:tcW w:type="dxa" w:w="1426"/>
          </w:tcPr>
          <w:p>
            <w:pPr>
              <w:spacing w:after="20"/>
              <w:jc w:val="right"/>
            </w:pPr>
            <w:r>
              <w:rPr>
                <w:color w:val="1C3A36"/>
                <w:sz w:val="16"/>
              </w:rPr>
              <w:t>63,935</w:t>
            </w:r>
          </w:p>
        </w:tc>
        <w:tc>
          <w:tcPr>
            <w:tcW w:type="dxa" w:w="1426"/>
          </w:tcPr>
          <w:p>
            <w:pPr>
              <w:spacing w:after="20"/>
              <w:jc w:val="right"/>
            </w:pPr>
            <w:r>
              <w:rPr>
                <w:color w:val="1C3A36"/>
                <w:sz w:val="16"/>
              </w:rPr>
              <w:t>71,514</w:t>
            </w:r>
          </w:p>
        </w:tc>
        <w:tc>
          <w:tcPr>
            <w:tcW w:type="dxa" w:w="1426"/>
          </w:tcPr>
          <w:p>
            <w:pPr>
              <w:spacing w:after="20"/>
              <w:jc w:val="right"/>
            </w:pPr>
            <w:r>
              <w:rPr>
                <w:color w:val="1C3A36"/>
                <w:sz w:val="16"/>
              </w:rPr>
              <w:t>79,197</w:t>
            </w:r>
          </w:p>
        </w:tc>
      </w:tr>
      <w:tr>
        <w:tc>
          <w:tcPr>
            <w:tcW w:type="dxa" w:w="2952"/>
          </w:tcPr>
          <w:p>
            <w:pPr>
              <w:spacing w:after="20"/>
            </w:pPr>
            <w:r>
              <w:rPr>
                <w:color w:val="1C3A36"/>
                <w:sz w:val="16"/>
              </w:rPr>
              <w:t>Segment profit margin</w:t>
            </w:r>
          </w:p>
        </w:tc>
        <w:tc>
          <w:tcPr>
            <w:tcW w:type="dxa" w:w="1426"/>
          </w:tcPr>
          <w:p>
            <w:pPr>
              <w:spacing w:after="20"/>
              <w:jc w:val="right"/>
            </w:pPr>
            <w:r>
              <w:rPr>
                <w:color w:val="1C3A36"/>
                <w:sz w:val="16"/>
              </w:rPr>
              <w:t>12.8%</w:t>
            </w:r>
          </w:p>
        </w:tc>
        <w:tc>
          <w:tcPr>
            <w:tcW w:type="dxa" w:w="1426"/>
          </w:tcPr>
          <w:p>
            <w:pPr>
              <w:spacing w:after="20"/>
              <w:jc w:val="right"/>
            </w:pPr>
            <w:r>
              <w:rPr>
                <w:color w:val="1C3A36"/>
                <w:sz w:val="16"/>
              </w:rPr>
              <w:t>13.3%</w:t>
            </w:r>
          </w:p>
        </w:tc>
        <w:tc>
          <w:tcPr>
            <w:tcW w:type="dxa" w:w="1426"/>
          </w:tcPr>
          <w:p>
            <w:pPr>
              <w:spacing w:after="20"/>
              <w:jc w:val="right"/>
            </w:pPr>
            <w:r>
              <w:rPr>
                <w:color w:val="1C3A36"/>
                <w:sz w:val="16"/>
              </w:rPr>
              <w:t>13.7%</w:t>
            </w:r>
          </w:p>
        </w:tc>
        <w:tc>
          <w:tcPr>
            <w:tcW w:type="dxa" w:w="1426"/>
          </w:tcPr>
          <w:p>
            <w:pPr>
              <w:spacing w:after="20"/>
              <w:jc w:val="right"/>
            </w:pPr>
            <w:r>
              <w:rPr>
                <w:color w:val="1C3A36"/>
                <w:sz w:val="16"/>
              </w:rPr>
              <w:t>14.0%</w:t>
            </w:r>
          </w:p>
        </w:tc>
        <w:tc>
          <w:tcPr>
            <w:tcW w:type="dxa" w:w="1426"/>
          </w:tcPr>
          <w:p>
            <w:pPr>
              <w:spacing w:after="20"/>
              <w:jc w:val="right"/>
            </w:pPr>
            <w:r>
              <w:rPr>
                <w:color w:val="1C3A36"/>
                <w:sz w:val="16"/>
              </w:rPr>
              <w:t>14.3%</w:t>
            </w:r>
          </w:p>
        </w:tc>
      </w:tr>
      <w:tr>
        <w:tc>
          <w:tcPr>
            <w:tcW w:type="dxa" w:w="2952"/>
          </w:tcPr>
          <w:p>
            <w:pPr>
              <w:spacing w:after="20"/>
            </w:pPr>
            <w:r>
              <w:rPr>
                <w:color w:val="1C3A36"/>
                <w:sz w:val="16"/>
              </w:rPr>
              <w:t>Less corporate cost load (to EBIT)</w:t>
            </w:r>
          </w:p>
        </w:tc>
        <w:tc>
          <w:tcPr>
            <w:tcW w:type="dxa" w:w="1426"/>
          </w:tcPr>
          <w:p>
            <w:pPr>
              <w:spacing w:after="20"/>
              <w:jc w:val="right"/>
            </w:pPr>
            <w:r>
              <w:rPr>
                <w:color w:val="1C3A36"/>
                <w:sz w:val="16"/>
              </w:rPr>
              <w:t>(16,836)</w:t>
            </w:r>
          </w:p>
        </w:tc>
        <w:tc>
          <w:tcPr>
            <w:tcW w:type="dxa" w:w="1426"/>
          </w:tcPr>
          <w:p>
            <w:pPr>
              <w:spacing w:after="20"/>
              <w:jc w:val="right"/>
            </w:pPr>
            <w:r>
              <w:rPr>
                <w:color w:val="1C3A36"/>
                <w:sz w:val="16"/>
              </w:rPr>
              <w:t>(19,648)</w:t>
            </w:r>
          </w:p>
        </w:tc>
        <w:tc>
          <w:tcPr>
            <w:tcW w:type="dxa" w:w="1426"/>
          </w:tcPr>
          <w:p>
            <w:pPr>
              <w:spacing w:after="20"/>
              <w:jc w:val="right"/>
            </w:pPr>
            <w:r>
              <w:rPr>
                <w:color w:val="1C3A36"/>
                <w:sz w:val="16"/>
              </w:rPr>
              <w:t>(22,164)</w:t>
            </w:r>
          </w:p>
        </w:tc>
        <w:tc>
          <w:tcPr>
            <w:tcW w:type="dxa" w:w="1426"/>
          </w:tcPr>
          <w:p>
            <w:pPr>
              <w:spacing w:after="20"/>
              <w:jc w:val="right"/>
            </w:pPr>
            <w:r>
              <w:rPr>
                <w:color w:val="1C3A36"/>
                <w:sz w:val="16"/>
              </w:rPr>
              <w:t>(24,246)</w:t>
            </w:r>
          </w:p>
        </w:tc>
        <w:tc>
          <w:tcPr>
            <w:tcW w:type="dxa" w:w="1426"/>
          </w:tcPr>
          <w:p>
            <w:pPr>
              <w:spacing w:after="20"/>
              <w:jc w:val="right"/>
            </w:pPr>
            <w:r>
              <w:rPr>
                <w:color w:val="1C3A36"/>
                <w:sz w:val="16"/>
              </w:rPr>
              <w:t>(26,928)</w:t>
            </w:r>
          </w:p>
        </w:tc>
      </w:tr>
      <w:t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30,533</w:t>
            </w:r>
          </w:p>
        </w:tc>
        <w:tc>
          <w:tcPr>
            <w:tcW w:type="dxa" w:w="1426"/>
            <w:shd w:val="clear" w:color="auto" w:fill="F6F1E6"/>
          </w:tcPr>
          <w:p>
            <w:pPr>
              <w:spacing w:after="20"/>
              <w:jc w:val="right"/>
            </w:pPr>
            <w:r>
              <w:rPr>
                <w:b/>
                <w:color w:val="1C3A36"/>
                <w:sz w:val="16"/>
              </w:rPr>
              <w:t>36,363</w:t>
            </w:r>
          </w:p>
        </w:tc>
        <w:tc>
          <w:tcPr>
            <w:tcW w:type="dxa" w:w="1426"/>
            <w:shd w:val="clear" w:color="auto" w:fill="F6F1E6"/>
          </w:tcPr>
          <w:p>
            <w:pPr>
              <w:spacing w:after="20"/>
              <w:jc w:val="right"/>
            </w:pPr>
            <w:r>
              <w:rPr>
                <w:b/>
                <w:color w:val="1C3A36"/>
                <w:sz w:val="16"/>
              </w:rPr>
              <w:t>41,770</w:t>
            </w:r>
          </w:p>
        </w:tc>
        <w:tc>
          <w:tcPr>
            <w:tcW w:type="dxa" w:w="1426"/>
            <w:shd w:val="clear" w:color="auto" w:fill="F6F1E6"/>
          </w:tcPr>
          <w:p>
            <w:pPr>
              <w:spacing w:after="20"/>
              <w:jc w:val="right"/>
            </w:pPr>
            <w:r>
              <w:rPr>
                <w:b/>
                <w:color w:val="1C3A36"/>
                <w:sz w:val="16"/>
              </w:rPr>
              <w:t>47,268</w:t>
            </w:r>
          </w:p>
        </w:tc>
        <w:tc>
          <w:tcPr>
            <w:tcW w:type="dxa" w:w="1426"/>
            <w:shd w:val="clear" w:color="auto" w:fill="F6F1E6"/>
          </w:tcPr>
          <w:p>
            <w:pPr>
              <w:spacing w:after="20"/>
              <w:jc w:val="right"/>
            </w:pPr>
            <w:r>
              <w:rPr>
                <w:b/>
                <w:color w:val="1C3A36"/>
                <w:sz w:val="16"/>
              </w:rPr>
              <w:t>52,269</w:t>
            </w:r>
          </w:p>
        </w:tc>
      </w:tr>
      <w:tr>
        <w:tc>
          <w:tcPr>
            <w:tcW w:type="dxa" w:w="2952"/>
          </w:tcPr>
          <w:p>
            <w:pPr>
              <w:spacing w:after="20"/>
            </w:pPr>
            <w:r>
              <w:rPr>
                <w:color w:val="1C3A36"/>
                <w:sz w:val="16"/>
              </w:rPr>
              <w:t>Add back depreciation and amortisation</w:t>
            </w:r>
          </w:p>
        </w:tc>
        <w:tc>
          <w:tcPr>
            <w:tcW w:type="dxa" w:w="1426"/>
          </w:tcPr>
          <w:p>
            <w:pPr>
              <w:spacing w:after="20"/>
              <w:jc w:val="right"/>
            </w:pPr>
            <w:r>
              <w:rPr>
                <w:color w:val="1C3A36"/>
                <w:sz w:val="16"/>
              </w:rPr>
              <w:t>4,625</w:t>
            </w:r>
          </w:p>
        </w:tc>
        <w:tc>
          <w:tcPr>
            <w:tcW w:type="dxa" w:w="1426"/>
          </w:tcPr>
          <w:p>
            <w:pPr>
              <w:spacing w:after="20"/>
              <w:jc w:val="right"/>
            </w:pPr>
            <w:r>
              <w:rPr>
                <w:color w:val="1C3A36"/>
                <w:sz w:val="16"/>
              </w:rPr>
              <w:t>5,282</w:t>
            </w:r>
          </w:p>
        </w:tc>
        <w:tc>
          <w:tcPr>
            <w:tcW w:type="dxa" w:w="1426"/>
          </w:tcPr>
          <w:p>
            <w:pPr>
              <w:spacing w:after="20"/>
              <w:jc w:val="right"/>
            </w:pPr>
            <w:r>
              <w:rPr>
                <w:color w:val="1C3A36"/>
                <w:sz w:val="16"/>
              </w:rPr>
              <w:t>5,833</w:t>
            </w:r>
          </w:p>
        </w:tc>
        <w:tc>
          <w:tcPr>
            <w:tcW w:type="dxa" w:w="1426"/>
          </w:tcPr>
          <w:p>
            <w:pPr>
              <w:spacing w:after="20"/>
              <w:jc w:val="right"/>
            </w:pPr>
            <w:r>
              <w:rPr>
                <w:color w:val="1C3A36"/>
                <w:sz w:val="16"/>
              </w:rPr>
              <w:t>6,381</w:t>
            </w:r>
          </w:p>
        </w:tc>
        <w:tc>
          <w:tcPr>
            <w:tcW w:type="dxa" w:w="1426"/>
          </w:tcPr>
          <w:p>
            <w:pPr>
              <w:spacing w:after="20"/>
              <w:jc w:val="right"/>
            </w:pPr>
            <w:r>
              <w:rPr>
                <w:color w:val="1C3A36"/>
                <w:sz w:val="16"/>
              </w:rPr>
              <w:t>6,940</w:t>
            </w:r>
          </w:p>
        </w:tc>
      </w:tr>
      <w:t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35,158</w:t>
            </w:r>
          </w:p>
        </w:tc>
        <w:tc>
          <w:tcPr>
            <w:tcW w:type="dxa" w:w="1426"/>
            <w:shd w:val="clear" w:color="auto" w:fill="F6F1E6"/>
          </w:tcPr>
          <w:p>
            <w:pPr>
              <w:spacing w:after="20"/>
              <w:jc w:val="right"/>
            </w:pPr>
            <w:r>
              <w:rPr>
                <w:b/>
                <w:color w:val="1C3A36"/>
                <w:sz w:val="16"/>
              </w:rPr>
              <w:t>41,645</w:t>
            </w:r>
          </w:p>
        </w:tc>
        <w:tc>
          <w:tcPr>
            <w:tcW w:type="dxa" w:w="1426"/>
            <w:shd w:val="clear" w:color="auto" w:fill="F6F1E6"/>
          </w:tcPr>
          <w:p>
            <w:pPr>
              <w:spacing w:after="20"/>
              <w:jc w:val="right"/>
            </w:pPr>
            <w:r>
              <w:rPr>
                <w:b/>
                <w:color w:val="1C3A36"/>
                <w:sz w:val="16"/>
              </w:rPr>
              <w:t>47,603</w:t>
            </w:r>
          </w:p>
        </w:tc>
        <w:tc>
          <w:tcPr>
            <w:tcW w:type="dxa" w:w="1426"/>
            <w:shd w:val="clear" w:color="auto" w:fill="F6F1E6"/>
          </w:tcPr>
          <w:p>
            <w:pPr>
              <w:spacing w:after="20"/>
              <w:jc w:val="right"/>
            </w:pPr>
            <w:r>
              <w:rPr>
                <w:b/>
                <w:color w:val="1C3A36"/>
                <w:sz w:val="16"/>
              </w:rPr>
              <w:t>53,648</w:t>
            </w:r>
          </w:p>
        </w:tc>
        <w:tc>
          <w:tcPr>
            <w:tcW w:type="dxa" w:w="1426"/>
            <w:shd w:val="clear" w:color="auto" w:fill="F6F1E6"/>
          </w:tcPr>
          <w:p>
            <w:pPr>
              <w:spacing w:after="20"/>
              <w:jc w:val="right"/>
            </w:pPr>
            <w:r>
              <w:rPr>
                <w:b/>
                <w:color w:val="1C3A36"/>
                <w:sz w:val="16"/>
              </w:rPr>
              <w:t>59,209</w:t>
            </w:r>
          </w:p>
        </w:tc>
      </w:tr>
      <w:tr>
        <w:tc>
          <w:tcPr>
            <w:tcW w:type="dxa" w:w="2952"/>
          </w:tcPr>
          <w:p>
            <w:pPr>
              <w:spacing w:after="20"/>
            </w:pPr>
            <w:r>
              <w:rPr>
                <w:color w:val="1C3A36"/>
                <w:sz w:val="16"/>
              </w:rPr>
              <w:t>EBITDA margin</w:t>
            </w:r>
          </w:p>
        </w:tc>
        <w:tc>
          <w:tcPr>
            <w:tcW w:type="dxa" w:w="1426"/>
          </w:tcPr>
          <w:p>
            <w:pPr>
              <w:spacing w:after="20"/>
              <w:jc w:val="right"/>
            </w:pPr>
            <w:r>
              <w:rPr>
                <w:color w:val="1C3A36"/>
                <w:sz w:val="16"/>
              </w:rPr>
              <w:t>9.5%</w:t>
            </w:r>
          </w:p>
        </w:tc>
        <w:tc>
          <w:tcPr>
            <w:tcW w:type="dxa" w:w="1426"/>
          </w:tcPr>
          <w:p>
            <w:pPr>
              <w:spacing w:after="20"/>
              <w:jc w:val="right"/>
            </w:pPr>
            <w:r>
              <w:rPr>
                <w:color w:val="1C3A36"/>
                <w:sz w:val="16"/>
              </w:rPr>
              <w:t>9.9%</w:t>
            </w:r>
          </w:p>
        </w:tc>
        <w:tc>
          <w:tcPr>
            <w:tcW w:type="dxa" w:w="1426"/>
          </w:tcPr>
          <w:p>
            <w:pPr>
              <w:spacing w:after="20"/>
              <w:jc w:val="right"/>
            </w:pPr>
            <w:r>
              <w:rPr>
                <w:color w:val="1C3A36"/>
                <w:sz w:val="16"/>
              </w:rPr>
              <w:t>10.2%</w:t>
            </w:r>
          </w:p>
        </w:tc>
        <w:tc>
          <w:tcPr>
            <w:tcW w:type="dxa" w:w="1426"/>
          </w:tcPr>
          <w:p>
            <w:pPr>
              <w:spacing w:after="20"/>
              <w:jc w:val="right"/>
            </w:pPr>
            <w:r>
              <w:rPr>
                <w:color w:val="1C3A36"/>
                <w:sz w:val="16"/>
              </w:rPr>
              <w:t>10.5%</w:t>
            </w:r>
          </w:p>
        </w:tc>
        <w:tc>
          <w:tcPr>
            <w:tcW w:type="dxa" w:w="1426"/>
          </w:tcPr>
          <w:p>
            <w:pPr>
              <w:spacing w:after="20"/>
              <w:jc w:val="right"/>
            </w:pPr>
            <w:r>
              <w:rPr>
                <w:color w:val="1C3A36"/>
                <w:sz w:val="16"/>
              </w:rPr>
              <w:t>10.7%</w:t>
            </w:r>
          </w:p>
        </w:tc>
      </w:tr>
    </w:tbl>
    <w:p>
      <w:pPr>
        <w:spacing w:after="40"/>
      </w:pPr>
    </w:p>
    <w:p>
      <w:pPr>
        <w:spacing w:after="200" w:before="0"/>
      </w:pPr>
      <w:r>
        <w:rPr>
          <w:b w:val="0"/>
          <w:i/>
          <w:color w:val="6E7B77"/>
          <w:sz w:val="17"/>
        </w:rPr>
        <w:t>The FY2026 build is checked, not calibrated, against the print: the disclosed Q1-2026 revenue of 75,298, grossed up on the Q1-2025 seasonal share of FY2025, implies a full FY2026 of roughly 356,323, against the build's 370,030 — a +4% difference, an independent check that the segment build is not running ahead of the company's own trading. That quarter reported revenue +27% and attributable profit +17% year on year.</w:t>
      </w:r>
    </w:p>
    <w:p>
      <w:pPr>
        <w:spacing w:after="40"/>
        <w:jc w:val="center"/>
      </w:pPr>
      <w:r>
        <w:drawing>
          <wp:inline xmlns:a="http://schemas.openxmlformats.org/drawingml/2006/main" xmlns:pic="http://schemas.openxmlformats.org/drawingml/2006/picture">
            <wp:extent cx="6309360" cy="2601798"/>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309360" cy="2601798"/>
                    </a:xfrm>
                    <a:prstGeom prst="rect"/>
                  </pic:spPr>
                </pic:pic>
              </a:graphicData>
            </a:graphic>
          </wp:inline>
        </w:drawing>
      </w:r>
    </w:p>
    <w:p>
      <w:pPr>
        <w:spacing w:after="200" w:before="0"/>
      </w:pPr>
      <w:r>
        <w:rPr>
          <w:b w:val="0"/>
          <w:i/>
          <w:color w:val="6E7B77"/>
          <w:sz w:val="17"/>
        </w:rPr>
        <w:t>Figure 2 — revenue by currency of origin with the EBITDA margin path. The hard-currency leg does the growing; the margin recovers gently as the copper-price inflation of 2024–25 washes out of the revenue denominator.</w:t>
      </w:r>
    </w:p>
    <w:p>
      <w:pPr>
        <w:spacing w:after="80" w:before="200"/>
      </w:pPr>
      <w:r>
        <w:rPr>
          <w:b/>
          <w:i w:val="0"/>
          <w:color w:val="1C3A36"/>
          <w:sz w:val="24"/>
        </w:rPr>
        <w:t>The segment mix, FY2025 against FY2030E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872"/>
        <w:gridCol w:w="979"/>
        <w:gridCol w:w="1656"/>
        <w:gridCol w:w="1872"/>
        <w:gridCol w:w="1181"/>
      </w:tblGrid>
      <w:tr>
        <w:tc>
          <w:tcPr>
            <w:tcW w:type="dxa" w:w="2520"/>
            <w:shd w:val="clear" w:color="auto" w:fill="EAF0EE"/>
          </w:tcPr>
          <w:p>
            <w:pPr>
              <w:spacing w:after="20"/>
            </w:pPr>
            <w:r>
              <w:rPr>
                <w:b/>
                <w:color w:val="1C3A36"/>
                <w:sz w:val="16"/>
              </w:rPr>
              <w:t>Segment</w:t>
            </w:r>
          </w:p>
        </w:tc>
        <w:tc>
          <w:tcPr>
            <w:tcW w:type="dxa" w:w="1872"/>
            <w:shd w:val="clear" w:color="auto" w:fill="EAF0EE"/>
          </w:tcPr>
          <w:p>
            <w:pPr>
              <w:spacing w:after="20"/>
            </w:pPr>
            <w:r>
              <w:rPr>
                <w:b/>
                <w:color w:val="1C3A36"/>
                <w:sz w:val="16"/>
              </w:rPr>
              <w:t>FY2025 revenue (EGP mn)</w:t>
            </w:r>
          </w:p>
        </w:tc>
        <w:tc>
          <w:tcPr>
            <w:tcW w:type="dxa" w:w="979"/>
            <w:shd w:val="clear" w:color="auto" w:fill="EAF0EE"/>
          </w:tcPr>
          <w:p>
            <w:pPr>
              <w:spacing w:after="20"/>
            </w:pPr>
            <w:r>
              <w:rPr>
                <w:b/>
                <w:color w:val="1C3A36"/>
                <w:sz w:val="16"/>
              </w:rPr>
              <w:t>Share</w:t>
            </w:r>
          </w:p>
        </w:tc>
        <w:tc>
          <w:tcPr>
            <w:tcW w:type="dxa" w:w="1656"/>
            <w:shd w:val="clear" w:color="auto" w:fill="EAF0EE"/>
          </w:tcPr>
          <w:p>
            <w:pPr>
              <w:spacing w:after="20"/>
            </w:pPr>
            <w:r>
              <w:rPr>
                <w:b/>
                <w:color w:val="1C3A36"/>
                <w:sz w:val="16"/>
              </w:rPr>
              <w:t>FY2025 margin</w:t>
            </w:r>
          </w:p>
        </w:tc>
        <w:tc>
          <w:tcPr>
            <w:tcW w:type="dxa" w:w="1872"/>
            <w:shd w:val="clear" w:color="auto" w:fill="EAF0EE"/>
          </w:tcPr>
          <w:p>
            <w:pPr>
              <w:spacing w:after="20"/>
            </w:pPr>
            <w:r>
              <w:rPr>
                <w:b/>
                <w:color w:val="1C3A36"/>
                <w:sz w:val="16"/>
              </w:rPr>
              <w:t>FY2030E revenue (EGP mn)</w:t>
            </w:r>
          </w:p>
        </w:tc>
        <w:tc>
          <w:tcPr>
            <w:tcW w:type="dxa" w:w="1181"/>
            <w:shd w:val="clear" w:color="auto" w:fill="EAF0EE"/>
          </w:tcPr>
          <w:p>
            <w:pPr>
              <w:spacing w:after="20"/>
            </w:pPr>
            <w:r>
              <w:rPr>
                <w:b/>
                <w:color w:val="1C3A36"/>
                <w:sz w:val="16"/>
              </w:rPr>
              <w:t>FY2030E share</w:t>
            </w:r>
          </w:p>
        </w:tc>
      </w:tr>
      <w:tr>
        <w:tc>
          <w:tcPr>
            <w:tcW w:type="dxa" w:w="2520"/>
          </w:tcPr>
          <w:p>
            <w:pPr>
              <w:spacing w:after="20"/>
            </w:pPr>
            <w:r>
              <w:rPr>
                <w:color w:val="1C3A36"/>
                <w:sz w:val="16"/>
              </w:rPr>
              <w:t>Cables and its accessories</w:t>
            </w:r>
          </w:p>
        </w:tc>
        <w:tc>
          <w:tcPr>
            <w:tcW w:type="dxa" w:w="1872"/>
          </w:tcPr>
          <w:p>
            <w:pPr>
              <w:spacing w:after="20"/>
              <w:jc w:val="right"/>
            </w:pPr>
            <w:r>
              <w:rPr>
                <w:color w:val="1C3A36"/>
                <w:sz w:val="16"/>
              </w:rPr>
              <w:t>155,793</w:t>
            </w:r>
          </w:p>
        </w:tc>
        <w:tc>
          <w:tcPr>
            <w:tcW w:type="dxa" w:w="979"/>
          </w:tcPr>
          <w:p>
            <w:pPr>
              <w:spacing w:after="20"/>
              <w:jc w:val="right"/>
            </w:pPr>
            <w:r>
              <w:rPr>
                <w:color w:val="1C3A36"/>
                <w:sz w:val="16"/>
              </w:rPr>
              <w:t>55.4%</w:t>
            </w:r>
          </w:p>
        </w:tc>
        <w:tc>
          <w:tcPr>
            <w:tcW w:type="dxa" w:w="1656"/>
          </w:tcPr>
          <w:p>
            <w:pPr>
              <w:spacing w:after="20"/>
              <w:jc w:val="right"/>
            </w:pPr>
            <w:r>
              <w:rPr>
                <w:color w:val="1C3A36"/>
                <w:sz w:val="16"/>
              </w:rPr>
              <w:t>13.5%</w:t>
            </w:r>
          </w:p>
        </w:tc>
        <w:tc>
          <w:tcPr>
            <w:tcW w:type="dxa" w:w="1872"/>
          </w:tcPr>
          <w:p>
            <w:pPr>
              <w:spacing w:after="20"/>
              <w:jc w:val="right"/>
            </w:pPr>
            <w:r>
              <w:rPr>
                <w:color w:val="1C3A36"/>
                <w:sz w:val="16"/>
              </w:rPr>
              <w:t>329,470</w:t>
            </w:r>
          </w:p>
        </w:tc>
        <w:tc>
          <w:tcPr>
            <w:tcW w:type="dxa" w:w="1181"/>
          </w:tcPr>
          <w:p>
            <w:pPr>
              <w:spacing w:after="20"/>
              <w:jc w:val="right"/>
            </w:pPr>
            <w:r>
              <w:rPr>
                <w:color w:val="1C3A36"/>
                <w:sz w:val="16"/>
              </w:rPr>
              <w:t>59.3%</w:t>
            </w:r>
          </w:p>
        </w:tc>
      </w:tr>
      <w:tr>
        <w:tc>
          <w:tcPr>
            <w:tcW w:type="dxa" w:w="2520"/>
          </w:tcPr>
          <w:p>
            <w:pPr>
              <w:spacing w:after="20"/>
            </w:pPr>
            <w:r>
              <w:rPr>
                <w:color w:val="1C3A36"/>
                <w:sz w:val="16"/>
              </w:rPr>
              <w:t>Constructions and infrastructure</w:t>
            </w:r>
          </w:p>
        </w:tc>
        <w:tc>
          <w:tcPr>
            <w:tcW w:type="dxa" w:w="1872"/>
          </w:tcPr>
          <w:p>
            <w:pPr>
              <w:spacing w:after="20"/>
              <w:jc w:val="right"/>
            </w:pPr>
            <w:r>
              <w:rPr>
                <w:color w:val="1C3A36"/>
                <w:sz w:val="16"/>
              </w:rPr>
              <w:t>90,959</w:t>
            </w:r>
          </w:p>
        </w:tc>
        <w:tc>
          <w:tcPr>
            <w:tcW w:type="dxa" w:w="979"/>
          </w:tcPr>
          <w:p>
            <w:pPr>
              <w:spacing w:after="20"/>
              <w:jc w:val="right"/>
            </w:pPr>
            <w:r>
              <w:rPr>
                <w:color w:val="1C3A36"/>
                <w:sz w:val="16"/>
              </w:rPr>
              <w:t>32.4%</w:t>
            </w:r>
          </w:p>
        </w:tc>
        <w:tc>
          <w:tcPr>
            <w:tcW w:type="dxa" w:w="1656"/>
          </w:tcPr>
          <w:p>
            <w:pPr>
              <w:spacing w:after="20"/>
              <w:jc w:val="right"/>
            </w:pPr>
            <w:r>
              <w:rPr>
                <w:color w:val="1C3A36"/>
                <w:sz w:val="16"/>
              </w:rPr>
              <w:t>6.5%</w:t>
            </w:r>
          </w:p>
        </w:tc>
        <w:tc>
          <w:tcPr>
            <w:tcW w:type="dxa" w:w="1872"/>
          </w:tcPr>
          <w:p>
            <w:pPr>
              <w:spacing w:after="20"/>
              <w:jc w:val="right"/>
            </w:pPr>
            <w:r>
              <w:rPr>
                <w:color w:val="1C3A36"/>
                <w:sz w:val="16"/>
              </w:rPr>
              <w:t>159,883</w:t>
            </w:r>
          </w:p>
        </w:tc>
        <w:tc>
          <w:tcPr>
            <w:tcW w:type="dxa" w:w="1181"/>
          </w:tcPr>
          <w:p>
            <w:pPr>
              <w:spacing w:after="20"/>
              <w:jc w:val="right"/>
            </w:pPr>
            <w:r>
              <w:rPr>
                <w:color w:val="1C3A36"/>
                <w:sz w:val="16"/>
              </w:rPr>
              <w:t>28.8%</w:t>
            </w:r>
          </w:p>
        </w:tc>
      </w:tr>
      <w:tr>
        <w:tc>
          <w:tcPr>
            <w:tcW w:type="dxa" w:w="2520"/>
          </w:tcPr>
          <w:p>
            <w:pPr>
              <w:spacing w:after="20"/>
            </w:pPr>
            <w:r>
              <w:rPr>
                <w:color w:val="1C3A36"/>
                <w:sz w:val="16"/>
              </w:rPr>
              <w:t>Electrical products and digital solutions</w:t>
            </w:r>
          </w:p>
        </w:tc>
        <w:tc>
          <w:tcPr>
            <w:tcW w:type="dxa" w:w="1872"/>
          </w:tcPr>
          <w:p>
            <w:pPr>
              <w:spacing w:after="20"/>
              <w:jc w:val="right"/>
            </w:pPr>
            <w:r>
              <w:rPr>
                <w:color w:val="1C3A36"/>
                <w:sz w:val="16"/>
              </w:rPr>
              <w:t>34,298</w:t>
            </w:r>
          </w:p>
        </w:tc>
        <w:tc>
          <w:tcPr>
            <w:tcW w:type="dxa" w:w="979"/>
          </w:tcPr>
          <w:p>
            <w:pPr>
              <w:spacing w:after="20"/>
              <w:jc w:val="right"/>
            </w:pPr>
            <w:r>
              <w:rPr>
                <w:color w:val="1C3A36"/>
                <w:sz w:val="16"/>
              </w:rPr>
              <w:t>12.2%</w:t>
            </w:r>
          </w:p>
        </w:tc>
        <w:tc>
          <w:tcPr>
            <w:tcW w:type="dxa" w:w="1656"/>
          </w:tcPr>
          <w:p>
            <w:pPr>
              <w:spacing w:after="20"/>
              <w:jc w:val="right"/>
            </w:pPr>
            <w:r>
              <w:rPr>
                <w:color w:val="1C3A36"/>
                <w:sz w:val="16"/>
              </w:rPr>
              <w:t>22.2%</w:t>
            </w:r>
          </w:p>
        </w:tc>
        <w:tc>
          <w:tcPr>
            <w:tcW w:type="dxa" w:w="1872"/>
          </w:tcPr>
          <w:p>
            <w:pPr>
              <w:spacing w:after="20"/>
              <w:jc w:val="right"/>
            </w:pPr>
            <w:r>
              <w:rPr>
                <w:color w:val="1C3A36"/>
                <w:sz w:val="16"/>
              </w:rPr>
              <w:t>65,871</w:t>
            </w:r>
          </w:p>
        </w:tc>
        <w:tc>
          <w:tcPr>
            <w:tcW w:type="dxa" w:w="1181"/>
          </w:tcPr>
          <w:p>
            <w:pPr>
              <w:spacing w:after="20"/>
              <w:jc w:val="right"/>
            </w:pPr>
            <w:r>
              <w:rPr>
                <w:color w:val="1C3A36"/>
                <w:sz w:val="16"/>
              </w:rPr>
              <w:t>11.9%</w:t>
            </w:r>
          </w:p>
        </w:tc>
      </w:tr>
      <w:tr>
        <w:tc>
          <w:tcPr>
            <w:tcW w:type="dxa" w:w="2520"/>
          </w:tcPr>
          <w:p>
            <w:pPr>
              <w:spacing w:after="20"/>
            </w:pPr>
            <w:r>
              <w:rPr>
                <w:color w:val="1C3A36"/>
                <w:sz w:val="16"/>
              </w:rPr>
              <w:t>Group</w:t>
            </w:r>
          </w:p>
        </w:tc>
        <w:tc>
          <w:tcPr>
            <w:tcW w:type="dxa" w:w="1872"/>
          </w:tcPr>
          <w:p>
            <w:pPr>
              <w:spacing w:after="20"/>
              <w:jc w:val="right"/>
            </w:pPr>
            <w:r>
              <w:rPr>
                <w:color w:val="1C3A36"/>
                <w:sz w:val="16"/>
              </w:rPr>
              <w:t>281,049</w:t>
            </w:r>
          </w:p>
        </w:tc>
        <w:tc>
          <w:tcPr>
            <w:tcW w:type="dxa" w:w="979"/>
          </w:tcPr>
          <w:p>
            <w:pPr>
              <w:spacing w:after="20"/>
              <w:jc w:val="right"/>
            </w:pPr>
            <w:r>
              <w:rPr>
                <w:color w:val="1C3A36"/>
                <w:sz w:val="16"/>
              </w:rPr>
              <w:t>100.0%</w:t>
            </w:r>
          </w:p>
        </w:tc>
        <w:tc>
          <w:tcPr>
            <w:tcW w:type="dxa" w:w="1656"/>
          </w:tcPr>
          <w:p>
            <w:pPr>
              <w:spacing w:after="20"/>
              <w:jc w:val="right"/>
            </w:pPr>
            <w:r>
              <w:rPr>
                <w:color w:val="1C3A36"/>
                <w:sz w:val="16"/>
              </w:rPr>
              <w:t>12.3%</w:t>
            </w:r>
          </w:p>
        </w:tc>
        <w:tc>
          <w:tcPr>
            <w:tcW w:type="dxa" w:w="1872"/>
          </w:tcPr>
          <w:p>
            <w:pPr>
              <w:spacing w:after="20"/>
              <w:jc w:val="right"/>
            </w:pPr>
            <w:r>
              <w:rPr>
                <w:color w:val="1C3A36"/>
                <w:sz w:val="16"/>
              </w:rPr>
              <w:t>555,225</w:t>
            </w:r>
          </w:p>
        </w:tc>
        <w:tc>
          <w:tcPr>
            <w:tcW w:type="dxa" w:w="1181"/>
          </w:tcPr>
          <w:p>
            <w:pPr>
              <w:spacing w:after="20"/>
              <w:jc w:val="right"/>
            </w:pPr>
            <w:r>
              <w:rPr>
                <w:color w:val="1C3A36"/>
                <w:sz w:val="16"/>
              </w:rPr>
              <w:t>100.0%</w:t>
            </w:r>
          </w:p>
        </w:tc>
      </w:tr>
    </w:tbl>
    <w:p>
      <w:pPr>
        <w:spacing w:after="40"/>
      </w:pPr>
    </w:p>
    <w:p>
      <w:pPr>
        <w:spacing w:after="200" w:before="0"/>
      </w:pPr>
      <w:r>
        <w:rPr>
          <w:b w:val="0"/>
          <w:i/>
          <w:color w:val="6E7B77"/>
          <w:sz w:val="17"/>
        </w:rPr>
        <w:t>FY2025 figures are the audited Note 5-3 / Note 16 disclosures directly; nothing is apportioned or calibrated. By FY2030E Cables' share of revenue rises from 55.4% to 59.3% as it compounds on copper and FX; Constructions' share falls as its growth tapers fastest.</w:t>
      </w:r>
    </w:p>
    <w:p>
      <w:pPr>
        <w:spacing w:after="80" w:before="200"/>
      </w:pPr>
      <w:r>
        <w:rPr>
          <w:b/>
          <w:i w:val="0"/>
          <w:color w:val="1C3A36"/>
          <w:sz w:val="24"/>
        </w:rPr>
        <w:t>1.7  The crux — working capital first, the currency second, margins third</w:t>
      </w:r>
    </w:p>
    <w:p>
      <w:pPr>
        <w:spacing w:after="120" w:before="0"/>
      </w:pPr>
      <w:r>
        <w:rPr>
          <w:b w:val="0"/>
          <w:i w:val="0"/>
          <w:color w:val="1C3A36"/>
          <w:sz w:val="21"/>
        </w:rPr>
        <w:t>The FY2025 accounts contain the single most important number in this study. The group earned EBITDA of EGP 28,363mn and generated operating cash flow, after interest and tax, of EGP 12,766mn — about 45% of it. The difference went into working capital, though FY2025 was genuinely the best of the three audited years on this measure: net working capital fell from 23.1% of revenue in FY2024 to 19.9% in FY2025, even as revenue grew +21%.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7"/>
              </w:rPr>
              <w:t>Working capital</w:t>
            </w:r>
          </w:p>
        </w:tc>
        <w:tc>
          <w:tcPr>
            <w:tcW w:type="dxa" w:w="2232"/>
            <w:shd w:val="clear" w:color="auto" w:fill="EAF0EE"/>
          </w:tcPr>
          <w:p>
            <w:pPr>
              <w:spacing w:after="20"/>
            </w:pPr>
            <w:r>
              <w:rPr>
                <w:b/>
                <w:color w:val="1C3A36"/>
                <w:sz w:val="17"/>
              </w:rPr>
              <w:t>FY2023</w:t>
            </w:r>
          </w:p>
        </w:tc>
        <w:tc>
          <w:tcPr>
            <w:tcW w:type="dxa" w:w="2232"/>
            <w:shd w:val="clear" w:color="auto" w:fill="EAF0EE"/>
          </w:tcPr>
          <w:p>
            <w:pPr>
              <w:spacing w:after="20"/>
            </w:pPr>
            <w:r>
              <w:rPr>
                <w:b/>
                <w:color w:val="1C3A36"/>
                <w:sz w:val="17"/>
              </w:rPr>
              <w:t>FY2024</w:t>
            </w:r>
          </w:p>
        </w:tc>
        <w:tc>
          <w:tcPr>
            <w:tcW w:type="dxa" w:w="2232"/>
            <w:shd w:val="clear" w:color="auto" w:fill="EAF0EE"/>
          </w:tcPr>
          <w:p>
            <w:pPr>
              <w:spacing w:after="20"/>
            </w:pPr>
            <w:r>
              <w:rPr>
                <w:b/>
                <w:color w:val="1C3A36"/>
                <w:sz w:val="17"/>
              </w:rPr>
              <w:t>FY2025</w:t>
            </w:r>
          </w:p>
        </w:tc>
      </w:tr>
      <w:tr>
        <w:tc>
          <w:tcPr>
            <w:tcW w:type="dxa" w:w="3384"/>
          </w:tcPr>
          <w:p>
            <w:pPr>
              <w:spacing w:after="20"/>
            </w:pPr>
            <w:r>
              <w:rPr>
                <w:color w:val="1C3A36"/>
                <w:sz w:val="17"/>
              </w:rPr>
              <w:t>Inventories</w:t>
            </w:r>
          </w:p>
        </w:tc>
        <w:tc>
          <w:tcPr>
            <w:tcW w:type="dxa" w:w="2232"/>
          </w:tcPr>
          <w:p>
            <w:pPr>
              <w:spacing w:after="20"/>
              <w:jc w:val="right"/>
            </w:pPr>
            <w:r>
              <w:rPr>
                <w:color w:val="1C3A36"/>
                <w:sz w:val="17"/>
              </w:rPr>
              <w:t>30,882</w:t>
            </w:r>
          </w:p>
        </w:tc>
        <w:tc>
          <w:tcPr>
            <w:tcW w:type="dxa" w:w="2232"/>
          </w:tcPr>
          <w:p>
            <w:pPr>
              <w:spacing w:after="20"/>
              <w:jc w:val="right"/>
            </w:pPr>
            <w:r>
              <w:rPr>
                <w:color w:val="1C3A36"/>
                <w:sz w:val="17"/>
              </w:rPr>
              <w:t>56,796</w:t>
            </w:r>
          </w:p>
        </w:tc>
        <w:tc>
          <w:tcPr>
            <w:tcW w:type="dxa" w:w="2232"/>
          </w:tcPr>
          <w:p>
            <w:pPr>
              <w:spacing w:after="20"/>
              <w:jc w:val="right"/>
            </w:pPr>
            <w:r>
              <w:rPr>
                <w:color w:val="1C3A36"/>
                <w:sz w:val="17"/>
              </w:rPr>
              <w:t>59,860</w:t>
            </w:r>
          </w:p>
        </w:tc>
      </w:tr>
      <w:tr>
        <w:tc>
          <w:tcPr>
            <w:tcW w:type="dxa" w:w="3384"/>
          </w:tcPr>
          <w:p>
            <w:pPr>
              <w:spacing w:after="20"/>
            </w:pPr>
            <w:r>
              <w:rPr>
                <w:color w:val="1C3A36"/>
                <w:sz w:val="17"/>
              </w:rPr>
              <w:t>Contract assets</w:t>
            </w:r>
          </w:p>
        </w:tc>
        <w:tc>
          <w:tcPr>
            <w:tcW w:type="dxa" w:w="2232"/>
          </w:tcPr>
          <w:p>
            <w:pPr>
              <w:spacing w:after="20"/>
              <w:jc w:val="right"/>
            </w:pPr>
            <w:r>
              <w:rPr>
                <w:color w:val="1C3A36"/>
                <w:sz w:val="17"/>
              </w:rPr>
              <w:t>16,180</w:t>
            </w:r>
          </w:p>
        </w:tc>
        <w:tc>
          <w:tcPr>
            <w:tcW w:type="dxa" w:w="2232"/>
          </w:tcPr>
          <w:p>
            <w:pPr>
              <w:spacing w:after="20"/>
              <w:jc w:val="right"/>
            </w:pPr>
            <w:r>
              <w:rPr>
                <w:color w:val="1C3A36"/>
                <w:sz w:val="17"/>
              </w:rPr>
              <w:t>18,052</w:t>
            </w:r>
          </w:p>
        </w:tc>
        <w:tc>
          <w:tcPr>
            <w:tcW w:type="dxa" w:w="2232"/>
          </w:tcPr>
          <w:p>
            <w:pPr>
              <w:spacing w:after="20"/>
              <w:jc w:val="right"/>
            </w:pPr>
            <w:r>
              <w:rPr>
                <w:color w:val="1C3A36"/>
                <w:sz w:val="17"/>
              </w:rPr>
              <w:t>29,895</w:t>
            </w:r>
          </w:p>
        </w:tc>
      </w:tr>
      <w:tr>
        <w:tc>
          <w:tcPr>
            <w:tcW w:type="dxa" w:w="3384"/>
          </w:tcPr>
          <w:p>
            <w:pPr>
              <w:spacing w:after="20"/>
            </w:pPr>
            <w:r>
              <w:rPr>
                <w:color w:val="1C3A36"/>
                <w:sz w:val="17"/>
              </w:rPr>
              <w:t>Trade and other receivables</w:t>
            </w:r>
          </w:p>
        </w:tc>
        <w:tc>
          <w:tcPr>
            <w:tcW w:type="dxa" w:w="2232"/>
          </w:tcPr>
          <w:p>
            <w:pPr>
              <w:spacing w:after="20"/>
              <w:jc w:val="right"/>
            </w:pPr>
            <w:r>
              <w:rPr>
                <w:color w:val="1C3A36"/>
                <w:sz w:val="17"/>
              </w:rPr>
              <w:t>46,592</w:t>
            </w:r>
          </w:p>
        </w:tc>
        <w:tc>
          <w:tcPr>
            <w:tcW w:type="dxa" w:w="2232"/>
          </w:tcPr>
          <w:p>
            <w:pPr>
              <w:spacing w:after="20"/>
              <w:jc w:val="right"/>
            </w:pPr>
            <w:r>
              <w:rPr>
                <w:color w:val="1C3A36"/>
                <w:sz w:val="17"/>
              </w:rPr>
              <w:t>86,736</w:t>
            </w:r>
          </w:p>
        </w:tc>
        <w:tc>
          <w:tcPr>
            <w:tcW w:type="dxa" w:w="2232"/>
          </w:tcPr>
          <w:p>
            <w:pPr>
              <w:spacing w:after="20"/>
              <w:jc w:val="right"/>
            </w:pPr>
            <w:r>
              <w:rPr>
                <w:color w:val="1C3A36"/>
                <w:sz w:val="17"/>
              </w:rPr>
              <w:t>116,260</w:t>
            </w:r>
          </w:p>
        </w:tc>
      </w:tr>
      <w:tr>
        <w:tc>
          <w:tcPr>
            <w:tcW w:type="dxa" w:w="3384"/>
          </w:tcPr>
          <w:p>
            <w:pPr>
              <w:spacing w:after="20"/>
            </w:pPr>
            <w:r>
              <w:rPr>
                <w:color w:val="1C3A36"/>
                <w:sz w:val="17"/>
              </w:rPr>
              <w:t>Less trade and other payables</w:t>
            </w:r>
          </w:p>
        </w:tc>
        <w:tc>
          <w:tcPr>
            <w:tcW w:type="dxa" w:w="2232"/>
          </w:tcPr>
          <w:p>
            <w:pPr>
              <w:spacing w:after="20"/>
              <w:jc w:val="right"/>
            </w:pPr>
            <w:r>
              <w:rPr>
                <w:color w:val="1C3A36"/>
                <w:sz w:val="17"/>
              </w:rPr>
              <w:t>(31,938)</w:t>
            </w:r>
          </w:p>
        </w:tc>
        <w:tc>
          <w:tcPr>
            <w:tcW w:type="dxa" w:w="2232"/>
          </w:tcPr>
          <w:p>
            <w:pPr>
              <w:spacing w:after="20"/>
              <w:jc w:val="right"/>
            </w:pPr>
            <w:r>
              <w:rPr>
                <w:color w:val="1C3A36"/>
                <w:sz w:val="17"/>
              </w:rPr>
              <w:t>(54,808)</w:t>
            </w:r>
          </w:p>
        </w:tc>
        <w:tc>
          <w:tcPr>
            <w:tcW w:type="dxa" w:w="2232"/>
          </w:tcPr>
          <w:p>
            <w:pPr>
              <w:spacing w:after="20"/>
              <w:jc w:val="right"/>
            </w:pPr>
            <w:r>
              <w:rPr>
                <w:color w:val="1C3A36"/>
                <w:sz w:val="17"/>
              </w:rPr>
              <w:t>(68,896)</w:t>
            </w:r>
          </w:p>
        </w:tc>
      </w:tr>
      <w:tr>
        <w:tc>
          <w:tcPr>
            <w:tcW w:type="dxa" w:w="3384"/>
          </w:tcPr>
          <w:p>
            <w:pPr>
              <w:spacing w:after="20"/>
            </w:pPr>
            <w:r>
              <w:rPr>
                <w:color w:val="1C3A36"/>
                <w:sz w:val="17"/>
              </w:rPr>
              <w:t>Less contract liabilities</w:t>
            </w:r>
          </w:p>
        </w:tc>
        <w:tc>
          <w:tcPr>
            <w:tcW w:type="dxa" w:w="2232"/>
          </w:tcPr>
          <w:p>
            <w:pPr>
              <w:spacing w:after="20"/>
              <w:jc w:val="right"/>
            </w:pPr>
            <w:r>
              <w:rPr>
                <w:color w:val="1C3A36"/>
                <w:sz w:val="17"/>
              </w:rPr>
              <w:t>(25,060)</w:t>
            </w:r>
          </w:p>
        </w:tc>
        <w:tc>
          <w:tcPr>
            <w:tcW w:type="dxa" w:w="2232"/>
          </w:tcPr>
          <w:p>
            <w:pPr>
              <w:spacing w:after="20"/>
              <w:jc w:val="right"/>
            </w:pPr>
            <w:r>
              <w:rPr>
                <w:color w:val="1C3A36"/>
                <w:sz w:val="17"/>
              </w:rPr>
              <w:t>(53,281)</w:t>
            </w:r>
          </w:p>
        </w:tc>
        <w:tc>
          <w:tcPr>
            <w:tcW w:type="dxa" w:w="2232"/>
          </w:tcPr>
          <w:p>
            <w:pPr>
              <w:spacing w:after="20"/>
              <w:jc w:val="right"/>
            </w:pPr>
            <w:r>
              <w:rPr>
                <w:color w:val="1C3A36"/>
                <w:sz w:val="17"/>
              </w:rPr>
              <w:t>(81,266)</w:t>
            </w:r>
          </w:p>
        </w:tc>
      </w:tr>
      <w:tr>
        <w:tc>
          <w:tcPr>
            <w:tcW w:type="dxa" w:w="3384"/>
            <w:shd w:val="clear" w:color="auto" w:fill="F6F1E6"/>
          </w:tcPr>
          <w:p>
            <w:pPr>
              <w:spacing w:after="20"/>
            </w:pPr>
            <w:r>
              <w:rPr>
                <w:b/>
                <w:color w:val="1C3A36"/>
                <w:sz w:val="17"/>
              </w:rPr>
              <w:t>Net working capital</w:t>
            </w:r>
          </w:p>
        </w:tc>
        <w:tc>
          <w:tcPr>
            <w:tcW w:type="dxa" w:w="2232"/>
            <w:shd w:val="clear" w:color="auto" w:fill="F6F1E6"/>
          </w:tcPr>
          <w:p>
            <w:pPr>
              <w:spacing w:after="20"/>
              <w:jc w:val="right"/>
            </w:pPr>
            <w:r>
              <w:rPr>
                <w:b/>
                <w:color w:val="1C3A36"/>
                <w:sz w:val="17"/>
              </w:rPr>
              <w:t>36,655</w:t>
            </w:r>
          </w:p>
        </w:tc>
        <w:tc>
          <w:tcPr>
            <w:tcW w:type="dxa" w:w="2232"/>
            <w:shd w:val="clear" w:color="auto" w:fill="F6F1E6"/>
          </w:tcPr>
          <w:p>
            <w:pPr>
              <w:spacing w:after="20"/>
              <w:jc w:val="right"/>
            </w:pPr>
            <w:r>
              <w:rPr>
                <w:b/>
                <w:color w:val="1C3A36"/>
                <w:sz w:val="17"/>
              </w:rPr>
              <w:t>53,495</w:t>
            </w:r>
          </w:p>
        </w:tc>
        <w:tc>
          <w:tcPr>
            <w:tcW w:type="dxa" w:w="2232"/>
            <w:shd w:val="clear" w:color="auto" w:fill="F6F1E6"/>
          </w:tcPr>
          <w:p>
            <w:pPr>
              <w:spacing w:after="20"/>
              <w:jc w:val="right"/>
            </w:pPr>
            <w:r>
              <w:rPr>
                <w:b/>
                <w:color w:val="1C3A36"/>
                <w:sz w:val="17"/>
              </w:rPr>
              <w:t>55,853</w:t>
            </w:r>
          </w:p>
        </w:tc>
      </w:tr>
      <w:tr>
        <w:tc>
          <w:tcPr>
            <w:tcW w:type="dxa" w:w="3384"/>
            <w:shd w:val="clear" w:color="auto" w:fill="F6F1E6"/>
          </w:tcPr>
          <w:p>
            <w:pPr>
              <w:spacing w:after="20"/>
            </w:pPr>
            <w:r>
              <w:rPr>
                <w:b/>
                <w:color w:val="1C3A36"/>
                <w:sz w:val="17"/>
              </w:rPr>
              <w:t>As a share of revenue</w:t>
            </w:r>
          </w:p>
        </w:tc>
        <w:tc>
          <w:tcPr>
            <w:tcW w:type="dxa" w:w="2232"/>
            <w:shd w:val="clear" w:color="auto" w:fill="F6F1E6"/>
          </w:tcPr>
          <w:p>
            <w:pPr>
              <w:spacing w:after="20"/>
              <w:jc w:val="right"/>
            </w:pPr>
            <w:r>
              <w:rPr>
                <w:b/>
                <w:color w:val="1C3A36"/>
                <w:sz w:val="17"/>
              </w:rPr>
              <w:t>24.1%</w:t>
            </w:r>
          </w:p>
        </w:tc>
        <w:tc>
          <w:tcPr>
            <w:tcW w:type="dxa" w:w="2232"/>
            <w:shd w:val="clear" w:color="auto" w:fill="F6F1E6"/>
          </w:tcPr>
          <w:p>
            <w:pPr>
              <w:spacing w:after="20"/>
              <w:jc w:val="right"/>
            </w:pPr>
            <w:r>
              <w:rPr>
                <w:b/>
                <w:color w:val="1C3A36"/>
                <w:sz w:val="17"/>
              </w:rPr>
              <w:t>23.1%</w:t>
            </w:r>
          </w:p>
        </w:tc>
        <w:tc>
          <w:tcPr>
            <w:tcW w:type="dxa" w:w="2232"/>
            <w:shd w:val="clear" w:color="auto" w:fill="F6F1E6"/>
          </w:tcPr>
          <w:p>
            <w:pPr>
              <w:spacing w:after="20"/>
              <w:jc w:val="right"/>
            </w:pPr>
            <w:r>
              <w:rPr>
                <w:b/>
                <w:color w:val="1C3A36"/>
                <w:sz w:val="17"/>
              </w:rPr>
              <w:t>19.9%</w:t>
            </w:r>
          </w:p>
        </w:tc>
      </w:tr>
    </w:tbl>
    <w:p>
      <w:pPr>
        <w:spacing w:after="40"/>
      </w:pPr>
    </w:p>
    <w:p>
      <w:pPr>
        <w:spacing w:after="120" w:before="0"/>
      </w:pPr>
      <w:r>
        <w:rPr>
          <w:b w:val="0"/>
          <w:i w:val="0"/>
          <w:color w:val="1C3A36"/>
          <w:sz w:val="21"/>
        </w:rPr>
        <w:t>The segment build makes a second point that a percentage-of-revenue model hides. Copper is passed through in Cables: a higher copper price raises revenue without raising the profit earned on it. But working capital scales with revenue, so a copper spike CONSUMES cash while adding almost no profit. That is visible in FY2026E, where revenue rises +32% — much of it copper and FX translation — and the resulting EGP 17,783mn working-capital build cuts free cash flow to the firm to just EGP -6,387mn, against EGP 5,387mn the following year once the step-up is absorbed. A rising copper price is not good news for this business in the year it happens.</w:t>
      </w:r>
    </w:p>
    <w:p>
      <w:pPr>
        <w:spacing w:after="120" w:before="0"/>
      </w:pPr>
      <w:r>
        <w:rPr>
          <w:b w:val="0"/>
          <w:i w:val="0"/>
          <w:color w:val="1C3A36"/>
          <w:sz w:val="21"/>
        </w:rPr>
        <w:t>The model holds this ratio near 19.9% of revenue, the FY2025 disclosed level. That single assumption is worth a great deal: every percentage point of revenue added to or removed from working-capital intensity is worth roughly EGP 2.22-2.38 per share (the local slope at the base and the average across the tested 17-23% span). If the group converts working capital further — collecting faster, or pushing more of the funding onto suppliers and customers — the cash-flow model reprices sharply upward. If FY2025's improvement reverses, it reprices down just as fast.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discount rate is a schedule, not a number. Each forecast year is discounted at that year's own forward rate, moving from the explicit-window rate to the terminal rate; the terminal value is capitalised at the terminal rate and brought back using the same cumulative factor as the year-5 cash flow. One date, one price of time — the terminal value never gets a cheaper discount than a cash flow arriving on the same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325"/>
        <w:gridCol w:w="1152"/>
        <w:gridCol w:w="5299"/>
      </w:tblGrid>
      <w:tr>
        <w:tc>
          <w:tcPr>
            <w:tcW w:type="dxa" w:w="2304"/>
            <w:shd w:val="clear" w:color="auto" w:fill="EAF0EE"/>
          </w:tcPr>
          <w:p>
            <w:pPr>
              <w:spacing w:after="20"/>
            </w:pPr>
            <w:r>
              <w:rPr>
                <w:b/>
                <w:color w:val="1C3A36"/>
                <w:sz w:val="16"/>
              </w:rPr>
              <w:t>Component</w:t>
            </w:r>
          </w:p>
        </w:tc>
        <w:tc>
          <w:tcPr>
            <w:tcW w:type="dxa" w:w="1325"/>
            <w:shd w:val="clear" w:color="auto" w:fill="EAF0EE"/>
          </w:tcPr>
          <w:p>
            <w:pPr>
              <w:spacing w:after="20"/>
            </w:pPr>
            <w:r>
              <w:rPr>
                <w:b/>
                <w:color w:val="1C3A36"/>
                <w:sz w:val="16"/>
              </w:rPr>
              <w:t>Explicit window</w:t>
            </w:r>
          </w:p>
        </w:tc>
        <w:tc>
          <w:tcPr>
            <w:tcW w:type="dxa" w:w="1152"/>
            <w:shd w:val="clear" w:color="auto" w:fill="EAF0EE"/>
          </w:tcPr>
          <w:p>
            <w:pPr>
              <w:spacing w:after="20"/>
            </w:pPr>
            <w:r>
              <w:rPr>
                <w:b/>
                <w:color w:val="1C3A36"/>
                <w:sz w:val="16"/>
              </w:rPr>
              <w:t>Terminal</w:t>
            </w:r>
          </w:p>
        </w:tc>
        <w:tc>
          <w:tcPr>
            <w:tcW w:type="dxa" w:w="5299"/>
            <w:shd w:val="clear" w:color="auto" w:fill="EAF0EE"/>
          </w:tcPr>
          <w:p>
            <w:pPr>
              <w:spacing w:after="20"/>
            </w:pPr>
            <w:r>
              <w:rPr>
                <w:b/>
                <w:color w:val="1C3A36"/>
                <w:sz w:val="16"/>
              </w:rPr>
              <w:t>Source and construction</w:t>
            </w:r>
          </w:p>
        </w:tc>
      </w:tr>
      <w:tr>
        <w:tc>
          <w:tcPr>
            <w:tcW w:type="dxa" w:w="2304"/>
          </w:tcPr>
          <w:p>
            <w:pPr>
              <w:spacing w:after="20"/>
            </w:pPr>
            <w:r>
              <w:rPr>
                <w:color w:val="1C3A36"/>
                <w:sz w:val="16"/>
              </w:rPr>
              <w:t>Risk-free rate</w:t>
            </w:r>
          </w:p>
        </w:tc>
        <w:tc>
          <w:tcPr>
            <w:tcW w:type="dxa" w:w="1325"/>
          </w:tcPr>
          <w:p>
            <w:pPr>
              <w:spacing w:after="20"/>
              <w:jc w:val="right"/>
            </w:pPr>
            <w:r>
              <w:rPr>
                <w:color w:val="1C3A36"/>
                <w:sz w:val="16"/>
              </w:rPr>
              <w:t>22.3%</w:t>
            </w:r>
          </w:p>
        </w:tc>
        <w:tc>
          <w:tcPr>
            <w:tcW w:type="dxa" w:w="1152"/>
          </w:tcPr>
          <w:p>
            <w:pPr>
              <w:spacing w:after="20"/>
              <w:jc w:val="right"/>
            </w:pPr>
            <w:r>
              <w:rPr>
                <w:color w:val="1C3A36"/>
                <w:sz w:val="16"/>
              </w:rPr>
              <w:t>10.5%</w:t>
            </w:r>
          </w:p>
        </w:tc>
        <w:tc>
          <w:tcPr>
            <w:tcW w:type="dxa" w:w="5299"/>
          </w:tcPr>
          <w:p>
            <w:pPr>
              <w:spacing w:after="20"/>
              <w:jc w:val="right"/>
            </w:pPr>
            <w:r>
              <w:rPr>
                <w:color w:val="1C3A36"/>
                <w:sz w:val="16"/>
              </w:rPr>
              <w:t>observed 10-year local-currency government yield (readings on the anchor date span roughly 22.3-23.0% across sources and disagree; the adopted point sits at the low end and the rate is carried in the sensitivity). Terminal = the central bank's 5% Q4-2028 inflation-target midpoint — deliberately the terminal-state target, not the nearer 7% Q4-2026 waypoint — plus a 5.5pp real-rate convention</w:t>
            </w:r>
          </w:p>
        </w:tc>
      </w:tr>
      <w:tr>
        <w:tc>
          <w:tcPr>
            <w:tcW w:type="dxa" w:w="2304"/>
          </w:tcPr>
          <w:p>
            <w:pPr>
              <w:spacing w:after="20"/>
            </w:pPr>
            <w:r>
              <w:rPr>
                <w:color w:val="1C3A36"/>
                <w:sz w:val="16"/>
              </w:rPr>
              <w:t>Less sovereign default spread</w:t>
            </w:r>
          </w:p>
        </w:tc>
        <w:tc>
          <w:tcPr>
            <w:tcW w:type="dxa" w:w="1325"/>
          </w:tcPr>
          <w:p>
            <w:pPr>
              <w:spacing w:after="20"/>
              <w:jc w:val="right"/>
            </w:pPr>
            <w:r>
              <w:rPr>
                <w:color w:val="1C3A36"/>
                <w:sz w:val="16"/>
              </w:rPr>
              <w:t>(3.4%)</w:t>
            </w:r>
          </w:p>
        </w:tc>
        <w:tc>
          <w:tcPr>
            <w:tcW w:type="dxa" w:w="1152"/>
          </w:tcPr>
          <w:p>
            <w:pPr>
              <w:spacing w:after="20"/>
              <w:jc w:val="right"/>
            </w:pPr>
            <w:r>
              <w:rPr>
                <w:color w:val="1C3A36"/>
                <w:sz w:val="16"/>
              </w:rPr>
              <w:t>—</w:t>
            </w:r>
          </w:p>
        </w:tc>
        <w:tc>
          <w:tcPr>
            <w:tcW w:type="dxa" w:w="5299"/>
          </w:tcPr>
          <w:p>
            <w:pPr>
              <w:spacing w:after="20"/>
              <w:jc w:val="right"/>
            </w:pPr>
            <w:r>
              <w:rPr>
                <w:color w:val="1C3A36"/>
                <w:sz w:val="16"/>
              </w:rPr>
              <w:t>the hard-currency CDS spread, netted from the local yield and then re-entering, volatility-scaled, through the country premium inside the ERP. The NET country charge through the equity channel is therefore about +1.9pp, not zero — stated plainly, since an earlier wording implied the netting removed the charge outright. The un-netted construction (cost of equity 31.8%) is retired but retained in the audit trail</w:t>
            </w:r>
          </w:p>
        </w:tc>
      </w:tr>
      <w:tr>
        <w:tc>
          <w:tcPr>
            <w:tcW w:type="dxa" w:w="2304"/>
          </w:tcPr>
          <w:p>
            <w:pPr>
              <w:spacing w:after="20"/>
            </w:pPr>
            <w:r>
              <w:rPr>
                <w:color w:val="1C3A36"/>
                <w:sz w:val="16"/>
              </w:rPr>
              <w:t>Adjusted risk-free rate</w:t>
            </w:r>
          </w:p>
        </w:tc>
        <w:tc>
          <w:tcPr>
            <w:tcW w:type="dxa" w:w="1325"/>
          </w:tcPr>
          <w:p>
            <w:pPr>
              <w:spacing w:after="20"/>
              <w:jc w:val="right"/>
            </w:pPr>
            <w:r>
              <w:rPr>
                <w:color w:val="1C3A36"/>
                <w:sz w:val="16"/>
              </w:rPr>
              <w:t>18.9%</w:t>
            </w:r>
          </w:p>
        </w:tc>
        <w:tc>
          <w:tcPr>
            <w:tcW w:type="dxa" w:w="1152"/>
          </w:tcPr>
          <w:p>
            <w:pPr>
              <w:spacing w:after="20"/>
              <w:jc w:val="right"/>
            </w:pPr>
            <w:r>
              <w:rPr>
                <w:color w:val="1C3A36"/>
                <w:sz w:val="16"/>
              </w:rPr>
              <w:t>10.5%</w:t>
            </w:r>
          </w:p>
        </w:tc>
        <w:tc>
          <w:tcPr>
            <w:tcW w:type="dxa" w:w="5299"/>
          </w:tcPr>
          <w:p>
            <w:pPr>
              <w:spacing w:after="20"/>
              <w:jc w:val="right"/>
            </w:pPr>
            <w:r>
              <w:rPr>
                <w:color w:val="1C3A36"/>
                <w:sz w:val="16"/>
              </w:rPr>
            </w:r>
          </w:p>
        </w:tc>
      </w:tr>
      <w:tr>
        <w:tc>
          <w:tcPr>
            <w:tcW w:type="dxa" w:w="2304"/>
          </w:tcPr>
          <w:p>
            <w:pPr>
              <w:spacing w:after="20"/>
            </w:pPr>
            <w:r>
              <w:rPr>
                <w:color w:val="1C3A36"/>
                <w:sz w:val="16"/>
              </w:rPr>
              <w:t>Beta</w:t>
            </w:r>
          </w:p>
        </w:tc>
        <w:tc>
          <w:tcPr>
            <w:tcW w:type="dxa" w:w="1325"/>
          </w:tcPr>
          <w:p>
            <w:pPr>
              <w:spacing w:after="20"/>
              <w:jc w:val="right"/>
            </w:pPr>
            <w:r>
              <w:rPr>
                <w:color w:val="1C3A36"/>
                <w:sz w:val="16"/>
              </w:rPr>
              <w:t>1.009</w:t>
            </w:r>
          </w:p>
        </w:tc>
        <w:tc>
          <w:tcPr>
            <w:tcW w:type="dxa" w:w="1152"/>
          </w:tcPr>
          <w:p>
            <w:pPr>
              <w:spacing w:after="20"/>
              <w:jc w:val="right"/>
            </w:pPr>
            <w:r>
              <w:rPr>
                <w:color w:val="1C3A36"/>
                <w:sz w:val="16"/>
              </w:rPr>
              <w:t>1.009</w:t>
            </w:r>
          </w:p>
        </w:tc>
        <w:tc>
          <w:tcPr>
            <w:tcW w:type="dxa" w:w="5299"/>
          </w:tcPr>
          <w:p>
            <w:pPr>
              <w:spacing w:after="20"/>
              <w:jc w:val="right"/>
            </w:pPr>
            <w:r>
              <w:rPr>
                <w:color w:val="1C3A36"/>
                <w:sz w:val="16"/>
              </w:rPr>
              <w:t>own-stock weekly regression against a 31-name equal-weight local composite over five years: R-squared 0.291, n = 258, standard error 0.098, 90% interval [0.85, 1.17]</w:t>
            </w:r>
          </w:p>
        </w:tc>
      </w:tr>
      <w:tr>
        <w:tc>
          <w:tcPr>
            <w:tcW w:type="dxa" w:w="2304"/>
          </w:tcPr>
          <w:p>
            <w:pPr>
              <w:spacing w:after="20"/>
            </w:pPr>
            <w:r>
              <w:rPr>
                <w:color w:val="1C3A36"/>
                <w:sz w:val="16"/>
              </w:rPr>
              <w:t>Equity risk premium</w:t>
            </w:r>
          </w:p>
        </w:tc>
        <w:tc>
          <w:tcPr>
            <w:tcW w:type="dxa" w:w="1325"/>
          </w:tcPr>
          <w:p>
            <w:pPr>
              <w:spacing w:after="20"/>
              <w:jc w:val="right"/>
            </w:pPr>
            <w:r>
              <w:rPr>
                <w:color w:val="1C3A36"/>
                <w:sz w:val="16"/>
              </w:rPr>
              <w:t>9.4%</w:t>
            </w:r>
          </w:p>
        </w:tc>
        <w:tc>
          <w:tcPr>
            <w:tcW w:type="dxa" w:w="1152"/>
          </w:tcPr>
          <w:p>
            <w:pPr>
              <w:spacing w:after="20"/>
              <w:jc w:val="right"/>
            </w:pPr>
            <w:r>
              <w:rPr>
                <w:color w:val="1C3A36"/>
                <w:sz w:val="16"/>
              </w:rPr>
              <w:t>7.0%</w:t>
            </w:r>
          </w:p>
        </w:tc>
        <w:tc>
          <w:tcPr>
            <w:tcW w:type="dxa" w:w="5299"/>
          </w:tcPr>
          <w:p>
            <w:pPr>
              <w:spacing w:after="20"/>
              <w:jc w:val="right"/>
            </w:pPr>
            <w:r>
              <w:rPr>
                <w:color w:val="1C3A36"/>
                <w:sz w:val="16"/>
              </w:rPr>
              <w:t>published country-premium file (January-2026 vintage, both columns confirmed against the file), credit-default-swap basis; the rating-basis column is the published alternative below. Normalised downward for the terminal rather than held at a crisis-era level</w:t>
            </w:r>
          </w:p>
        </w:tc>
      </w:tr>
      <w:tr>
        <w:tc>
          <w:tcPr>
            <w:tcW w:type="dxa" w:w="2304"/>
          </w:tcPr>
          <w:p>
            <w:pPr>
              <w:spacing w:after="20"/>
            </w:pPr>
            <w:r>
              <w:rPr>
                <w:color w:val="1C3A36"/>
                <w:sz w:val="16"/>
              </w:rPr>
              <w:t>Cost of equity</w:t>
            </w:r>
          </w:p>
        </w:tc>
        <w:tc>
          <w:tcPr>
            <w:tcW w:type="dxa" w:w="1325"/>
          </w:tcPr>
          <w:p>
            <w:pPr>
              <w:spacing w:after="20"/>
              <w:jc w:val="right"/>
            </w:pPr>
            <w:r>
              <w:rPr>
                <w:color w:val="1C3A36"/>
                <w:sz w:val="16"/>
              </w:rPr>
              <w:t>28.4%</w:t>
            </w:r>
          </w:p>
        </w:tc>
        <w:tc>
          <w:tcPr>
            <w:tcW w:type="dxa" w:w="1152"/>
          </w:tcPr>
          <w:p>
            <w:pPr>
              <w:spacing w:after="20"/>
              <w:jc w:val="right"/>
            </w:pPr>
            <w:r>
              <w:rPr>
                <w:color w:val="1C3A36"/>
                <w:sz w:val="16"/>
              </w:rPr>
              <w:t>17.6%</w:t>
            </w:r>
          </w:p>
        </w:tc>
        <w:tc>
          <w:tcPr>
            <w:tcW w:type="dxa" w:w="5299"/>
          </w:tcPr>
          <w:p>
            <w:pPr>
              <w:spacing w:after="20"/>
              <w:jc w:val="right"/>
            </w:pPr>
            <w:r>
              <w:rPr>
                <w:color w:val="1C3A36"/>
                <w:sz w:val="16"/>
              </w:rPr>
            </w:r>
          </w:p>
        </w:tc>
      </w:tr>
      <w:tr>
        <w:tc>
          <w:tcPr>
            <w:tcW w:type="dxa" w:w="2304"/>
          </w:tcPr>
          <w:p>
            <w:pPr>
              <w:spacing w:after="20"/>
            </w:pPr>
            <w:r>
              <w:rPr>
                <w:color w:val="1C3A36"/>
                <w:sz w:val="16"/>
              </w:rPr>
              <w:t>Cost of debt (blended, pre-tax)</w:t>
            </w:r>
          </w:p>
        </w:tc>
        <w:tc>
          <w:tcPr>
            <w:tcW w:type="dxa" w:w="1325"/>
          </w:tcPr>
          <w:p>
            <w:pPr>
              <w:spacing w:after="20"/>
              <w:jc w:val="right"/>
            </w:pPr>
            <w:r>
              <w:rPr>
                <w:color w:val="1C3A36"/>
                <w:sz w:val="16"/>
              </w:rPr>
              <w:t>9.5%</w:t>
            </w:r>
          </w:p>
        </w:tc>
        <w:tc>
          <w:tcPr>
            <w:tcW w:type="dxa" w:w="1152"/>
          </w:tcPr>
          <w:p>
            <w:pPr>
              <w:spacing w:after="20"/>
              <w:jc w:val="right"/>
            </w:pPr>
            <w:r>
              <w:rPr>
                <w:color w:val="1C3A36"/>
                <w:sz w:val="16"/>
              </w:rPr>
              <w:t>8.9%</w:t>
            </w:r>
          </w:p>
        </w:tc>
        <w:tc>
          <w:tcPr>
            <w:tcW w:type="dxa" w:w="5299"/>
          </w:tcPr>
          <w:p>
            <w:pPr>
              <w:spacing w:after="20"/>
              <w:jc w:val="right"/>
            </w:pPr>
            <w:r>
              <w:rPr>
                <w:color w:val="1C3A36"/>
                <w:sz w:val="16"/>
              </w:rPr>
              <w:t>currency-blended — see the evidence immediately below. 9.5% is the FY2026 forward point of the disclosed cost-of-debt path under the central bank's easing cycle; the FY2025 trailing effective rate was 9.8%, and the integrity gate bounds the two against each other</w:t>
            </w:r>
          </w:p>
        </w:tc>
      </w:tr>
      <w:tr>
        <w:tc>
          <w:tcPr>
            <w:tcW w:type="dxa" w:w="2304"/>
            <w:shd w:val="clear" w:color="auto" w:fill="F6F1E6"/>
          </w:tcPr>
          <w:p>
            <w:pPr>
              <w:spacing w:after="20"/>
            </w:pPr>
            <w:r>
              <w:rPr>
                <w:b/>
                <w:color w:val="1C3A36"/>
                <w:sz w:val="16"/>
              </w:rPr>
              <w:t>Cost-of-debt path (drives the glide)</w:t>
            </w:r>
          </w:p>
        </w:tc>
        <w:tc>
          <w:tcPr>
            <w:tcW w:type="dxa" w:w="1325"/>
            <w:shd w:val="clear" w:color="auto" w:fill="F6F1E6"/>
          </w:tcPr>
          <w:p>
            <w:pPr>
              <w:spacing w:after="20"/>
              <w:jc w:val="right"/>
            </w:pPr>
            <w:r>
              <w:rPr>
                <w:b/>
                <w:color w:val="1C3A36"/>
                <w:sz w:val="16"/>
              </w:rPr>
              <w:t>9.5% / 8.9% / 8.4% / 8.0% / 7.7%</w:t>
            </w:r>
          </w:p>
        </w:tc>
        <w:tc>
          <w:tcPr>
            <w:tcW w:type="dxa" w:w="1152"/>
            <w:shd w:val="clear" w:color="auto" w:fill="F6F1E6"/>
          </w:tcPr>
          <w:p>
            <w:pPr>
              <w:spacing w:after="20"/>
              <w:jc w:val="right"/>
            </w:pPr>
            <w:r>
              <w:rPr>
                <w:b/>
                <w:color w:val="1C3A36"/>
                <w:sz w:val="16"/>
              </w:rPr>
              <w:t>—</w:t>
            </w:r>
          </w:p>
        </w:tc>
        <w:tc>
          <w:tcPr>
            <w:tcW w:type="dxa" w:w="5299"/>
            <w:shd w:val="clear" w:color="auto" w:fill="F6F1E6"/>
          </w:tcPr>
          <w:p>
            <w:pPr>
              <w:spacing w:after="20"/>
              <w:jc w:val="right"/>
            </w:pPr>
            <w:r>
              <w:rPr>
                <w:b/>
                <w:color w:val="1C3A36"/>
                <w:sz w:val="16"/>
              </w:rPr>
              <w:t>the forward rates whose cumulative progress sets the glide fractions between the explicit-window and terminal cost of capital — published so the three intermediate discount rates are reproducible</w:t>
            </w:r>
          </w:p>
        </w:tc>
      </w:tr>
      <w:tr>
        <w:tc>
          <w:tcPr>
            <w:tcW w:type="dxa" w:w="2304"/>
          </w:tcPr>
          <w:p>
            <w:pPr>
              <w:spacing w:after="20"/>
            </w:pPr>
            <w:r>
              <w:rPr>
                <w:color w:val="1C3A36"/>
                <w:sz w:val="16"/>
              </w:rPr>
              <w:t>Debt weight</w:t>
            </w:r>
          </w:p>
        </w:tc>
        <w:tc>
          <w:tcPr>
            <w:tcW w:type="dxa" w:w="1325"/>
          </w:tcPr>
          <w:p>
            <w:pPr>
              <w:spacing w:after="20"/>
              <w:jc w:val="right"/>
            </w:pPr>
            <w:r>
              <w:rPr>
                <w:color w:val="1C3A36"/>
                <w:sz w:val="16"/>
              </w:rPr>
              <w:t>8.4%</w:t>
            </w:r>
          </w:p>
        </w:tc>
        <w:tc>
          <w:tcPr>
            <w:tcW w:type="dxa" w:w="1152"/>
          </w:tcPr>
          <w:p>
            <w:pPr>
              <w:spacing w:after="20"/>
              <w:jc w:val="right"/>
            </w:pPr>
            <w:r>
              <w:rPr>
                <w:color w:val="1C3A36"/>
                <w:sz w:val="16"/>
              </w:rPr>
              <w:t>15.0%</w:t>
            </w:r>
          </w:p>
        </w:tc>
        <w:tc>
          <w:tcPr>
            <w:tcW w:type="dxa" w:w="5299"/>
          </w:tcPr>
          <w:p>
            <w:pPr>
              <w:spacing w:after="20"/>
              <w:jc w:val="right"/>
            </w:pPr>
            <w:r>
              <w:rPr>
                <w:color w:val="1C3A36"/>
                <w:sz w:val="16"/>
              </w:rPr>
              <w:t>net debt against market capitalisation for the explicit window; a normalised 15% for the terminal — REVISED from 25% after review showed the old weight contradicted the model's own forecast deleveraging in the direction that flattered the valuation; worth about -2.4 on the weighted central</w:t>
            </w:r>
          </w:p>
        </w:tc>
      </w:tr>
      <w:tr>
        <w:tc>
          <w:tcPr>
            <w:tcW w:type="dxa" w:w="2304"/>
          </w:tcPr>
          <w:p>
            <w:pPr>
              <w:spacing w:after="20"/>
            </w:pPr>
            <w:r>
              <w:rPr>
                <w:color w:val="1C3A36"/>
                <w:sz w:val="16"/>
              </w:rPr>
              <w:t>Cost of capital</w:t>
            </w:r>
          </w:p>
        </w:tc>
        <w:tc>
          <w:tcPr>
            <w:tcW w:type="dxa" w:w="1325"/>
          </w:tcPr>
          <w:p>
            <w:pPr>
              <w:spacing w:after="20"/>
              <w:jc w:val="right"/>
            </w:pPr>
            <w:r>
              <w:rPr>
                <w:color w:val="1C3A36"/>
                <w:sz w:val="16"/>
              </w:rPr>
              <w:t>26.6%</w:t>
            </w:r>
          </w:p>
        </w:tc>
        <w:tc>
          <w:tcPr>
            <w:tcW w:type="dxa" w:w="1152"/>
          </w:tcPr>
          <w:p>
            <w:pPr>
              <w:spacing w:after="20"/>
              <w:jc w:val="right"/>
            </w:pPr>
            <w:r>
              <w:rPr>
                <w:color w:val="1C3A36"/>
                <w:sz w:val="16"/>
              </w:rPr>
              <w:t>15.9%</w:t>
            </w:r>
          </w:p>
        </w:tc>
        <w:tc>
          <w:tcPr>
            <w:tcW w:type="dxa" w:w="5299"/>
          </w:tcPr>
          <w:p>
            <w:pPr>
              <w:spacing w:after="20"/>
              <w:jc w:val="right"/>
            </w:pPr>
            <w:r>
              <w:rPr>
                <w:color w:val="1C3A36"/>
                <w:sz w:val="16"/>
              </w:rPr>
            </w:r>
          </w:p>
        </w:tc>
      </w:tr>
    </w:tbl>
    <w:p>
      <w:pPr>
        <w:spacing w:after="40"/>
      </w:pPr>
    </w:p>
    <w:p>
      <w:pPr>
        <w:spacing w:after="200" w:before="0"/>
      </w:pPr>
      <w:r>
        <w:rPr>
          <w:b w:val="0"/>
          <w:i/>
          <w:color w:val="6E7B77"/>
          <w:sz w:val="17"/>
        </w:rPr>
        <w:t>Discounting is end-of-year discrete (each year's flow at its full-year factor) — the conservative convention; mid-year discounting would raise the explicit strip about 7%. All values are then rolled to the 5-Aug-2026 anchor as shown in the bridge.</w:t>
      </w:r>
    </w:p>
    <w:p>
      <w:pPr>
        <w:spacing w:after="80" w:before="200"/>
      </w:pPr>
      <w:r>
        <w:rPr>
          <w:b/>
          <w:i w:val="0"/>
          <w:color w:val="1C3A36"/>
          <w:sz w:val="24"/>
        </w:rPr>
        <w:t>The cost of debt — three pieces of evidence, not an assumption</w:t>
      </w:r>
    </w:p>
    <w:p>
      <w:pPr>
        <w:spacing w:after="120" w:before="0"/>
      </w:pPr>
      <w:r>
        <w:rPr>
          <w:b w:val="0"/>
          <w:i w:val="0"/>
          <w:color w:val="1C3A36"/>
          <w:sz w:val="21"/>
        </w:rPr>
        <w:t>A disclosed contractual range is not evidence of what a company pays. Three things are shown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7128"/>
      </w:tblGrid>
      <w:tr>
        <w:tc>
          <w:tcPr>
            <w:tcW w:type="dxa" w:w="2952"/>
            <w:shd w:val="clear" w:color="auto" w:fill="EAF0EE"/>
          </w:tcPr>
          <w:p>
            <w:pPr>
              <w:spacing w:after="20"/>
            </w:pPr>
            <w:r>
              <w:rPr>
                <w:b/>
                <w:color w:val="1C3A36"/>
                <w:sz w:val="16"/>
              </w:rPr>
              <w:t>Test</w:t>
            </w:r>
          </w:p>
        </w:tc>
        <w:tc>
          <w:tcPr>
            <w:tcW w:type="dxa" w:w="7128"/>
            <w:shd w:val="clear" w:color="auto" w:fill="EAF0EE"/>
          </w:tcPr>
          <w:p>
            <w:pPr>
              <w:spacing w:after="20"/>
            </w:pPr>
            <w:r>
              <w:rPr>
                <w:b/>
                <w:color w:val="1C3A36"/>
                <w:sz w:val="16"/>
              </w:rPr>
              <w:t>Evidence</w:t>
            </w:r>
          </w:p>
        </w:tc>
      </w:tr>
      <w:tr>
        <w:tc>
          <w:tcPr>
            <w:tcW w:type="dxa" w:w="2952"/>
          </w:tcPr>
          <w:p>
            <w:pPr>
              <w:spacing w:after="20"/>
            </w:pPr>
            <w:r>
              <w:rPr>
                <w:color w:val="1C3A36"/>
                <w:sz w:val="16"/>
              </w:rPr>
              <w:t>Currency composition of the debt book</w:t>
            </w:r>
          </w:p>
        </w:tc>
        <w:tc>
          <w:tcPr>
            <w:tcW w:type="dxa" w:w="7128"/>
          </w:tcPr>
          <w:p>
            <w:pPr>
              <w:spacing w:after="20"/>
              <w:jc w:val="right"/>
            </w:pPr>
            <w:r>
              <w:rPr>
                <w:color w:val="1C3A36"/>
                <w:sz w:val="16"/>
              </w:rPr>
              <w:t>The audited FY2025 interest-rate note discloses average rates of 21.3% on Egyptian-pound financial liabilities and 5.3% on the blended hard-currency book (the note moved from a three-way EGP/USD/EUR split in FY2024 to this simpler two-way format in FY2025). Reconciling those against the rate actually paid implies roughly 28% of the book is in Egyptian pounds and 72% in hard currency — DOWN sharply from the roughly 44% pound share implied a year earlier, as hard-currency facilities were drawn down further. Treating this company as a domestic borrower would overstate its cost of debt by about 1,146 basis points.</w:t>
            </w:r>
          </w:p>
        </w:tc>
      </w:tr>
      <w:tr>
        <w:tc>
          <w:tcPr>
            <w:tcW w:type="dxa" w:w="2952"/>
          </w:tcPr>
          <w:p>
            <w:pPr>
              <w:spacing w:after="20"/>
            </w:pPr>
            <w:r>
              <w:rPr>
                <w:color w:val="1C3A36"/>
                <w:sz w:val="16"/>
              </w:rPr>
              <w:t>Independently computed effective rate</w:t>
            </w:r>
          </w:p>
        </w:tc>
        <w:tc>
          <w:tcPr>
            <w:tcW w:type="dxa" w:w="7128"/>
          </w:tcPr>
          <w:p>
            <w:pPr>
              <w:spacing w:after="20"/>
              <w:jc w:val="right"/>
            </w:pPr>
            <w:r>
              <w:rPr>
                <w:color w:val="1C3A36"/>
                <w:sz w:val="16"/>
              </w:rPr>
              <w:t>FY2025: interest expense on loans and credit facilities of 5,967 against the average of the opening and closing balance (58,797 and 62,462) = 9.8%.</w:t>
            </w:r>
          </w:p>
        </w:tc>
      </w:tr>
      <w:tr>
        <w:tc>
          <w:tcPr>
            <w:tcW w:type="dxa" w:w="2952"/>
          </w:tcPr>
          <w:p>
            <w:pPr>
              <w:spacing w:after="20"/>
            </w:pPr>
            <w:r>
              <w:rPr>
                <w:color w:val="1C3A36"/>
                <w:sz w:val="16"/>
              </w:rPr>
              <w:t>Bounds</w:t>
            </w:r>
          </w:p>
        </w:tc>
        <w:tc>
          <w:tcPr>
            <w:tcW w:type="dxa" w:w="7128"/>
          </w:tcPr>
          <w:p>
            <w:pPr>
              <w:spacing w:after="20"/>
              <w:jc w:val="right"/>
            </w:pPr>
            <w:r>
              <w:rPr>
                <w:color w:val="1C3A36"/>
                <w:sz w:val="16"/>
              </w:rPr>
              <w:t>The adopted 9.5% sits within 34 basis points of the independently computed effective rate and does not exceed it by more than 50 basis points. Both bounds hold.</w:t>
            </w:r>
          </w:p>
        </w:tc>
      </w:tr>
    </w:tbl>
    <w:p>
      <w:pPr>
        <w:spacing w:after="40"/>
      </w:pPr>
    </w:p>
    <w:p>
      <w:pPr>
        <w:spacing w:after="120" w:before="0"/>
      </w:pPr>
      <w:r>
        <w:rPr>
          <w:b w:val="0"/>
          <w:i w:val="0"/>
          <w:color w:val="1C3A36"/>
          <w:sz w:val="21"/>
        </w:rPr>
        <w:t>This is not a technicality. A cheap, majority-hard-currency debt book is one of the two genuine competitive advantages this company has over a domestic-only competitor — the other being that its revenue is hard-currency linked too. It is also why the balance sheet looks more leveraged than it is: the gross book is large because working capital is large, but it costs roughly 9.8% and is more than two-thirds offset by cash.</w:t>
      </w:r>
    </w:p>
    <w:p>
      <w:pPr>
        <w:spacing w:after="80" w:before="200"/>
      </w:pPr>
      <w:r>
        <w:rPr>
          <w:b/>
          <w:i w:val="0"/>
          <w:color w:val="1C3A36"/>
          <w:sz w:val="24"/>
        </w:rPr>
        <w:t>Where this construction is contested, and what the alternatives are worth</w:t>
      </w:r>
    </w:p>
    <w:p>
      <w:pPr>
        <w:spacing w:after="120" w:before="0"/>
      </w:pPr>
      <w:r>
        <w:rPr>
          <w:b w:val="0"/>
          <w:i w:val="0"/>
          <w:color w:val="1C3A36"/>
          <w:sz w:val="21"/>
        </w:rPr>
        <w:t>Six choices in the construction above are legitimately arguable, and external reviewers have argued them. Rather than defend each in prose, each alternative is computed and its value published here, so a reader who prefers a different convention can take the number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664"/>
        <w:gridCol w:w="1843"/>
        <w:gridCol w:w="3096"/>
      </w:tblGrid>
      <w:tr>
        <w:tc>
          <w:tcPr>
            <w:tcW w:type="dxa" w:w="2477"/>
            <w:shd w:val="clear" w:color="auto" w:fill="EAF0EE"/>
          </w:tcPr>
          <w:p>
            <w:pPr>
              <w:spacing w:after="20"/>
            </w:pPr>
            <w:r>
              <w:rPr>
                <w:b/>
                <w:color w:val="1C3A36"/>
                <w:sz w:val="16"/>
              </w:rPr>
              <w:t>Choice made</w:t>
            </w:r>
          </w:p>
        </w:tc>
        <w:tc>
          <w:tcPr>
            <w:tcW w:type="dxa" w:w="2664"/>
            <w:shd w:val="clear" w:color="auto" w:fill="EAF0EE"/>
          </w:tcPr>
          <w:p>
            <w:pPr>
              <w:spacing w:after="20"/>
            </w:pPr>
            <w:r>
              <w:rPr>
                <w:b/>
                <w:color w:val="1C3A36"/>
                <w:sz w:val="16"/>
              </w:rPr>
              <w:t>The alternative</w:t>
            </w:r>
          </w:p>
        </w:tc>
        <w:tc>
          <w:tcPr>
            <w:tcW w:type="dxa" w:w="1843"/>
            <w:shd w:val="clear" w:color="auto" w:fill="EAF0EE"/>
          </w:tcPr>
          <w:p>
            <w:pPr>
              <w:spacing w:after="20"/>
            </w:pPr>
            <w:r>
              <w:rPr>
                <w:b/>
                <w:color w:val="1C3A36"/>
                <w:sz w:val="16"/>
              </w:rPr>
              <w:t>Fair value on the alternative</w:t>
            </w:r>
          </w:p>
        </w:tc>
        <w:tc>
          <w:tcPr>
            <w:tcW w:type="dxa" w:w="3096"/>
            <w:shd w:val="clear" w:color="auto" w:fill="EAF0EE"/>
          </w:tcPr>
          <w:p>
            <w:pPr>
              <w:spacing w:after="20"/>
            </w:pPr>
            <w:r>
              <w:rPr>
                <w:b/>
                <w:color w:val="1C3A36"/>
                <w:sz w:val="16"/>
              </w:rPr>
              <w:t>Why we keep ours</w:t>
            </w:r>
          </w:p>
        </w:tc>
      </w:tr>
      <w:tr>
        <w:tc>
          <w:tcPr>
            <w:tcW w:type="dxa" w:w="2477"/>
          </w:tcPr>
          <w:p>
            <w:pPr>
              <w:spacing w:after="20"/>
            </w:pPr>
            <w:r>
              <w:rPr>
                <w:color w:val="1C3A36"/>
                <w:sz w:val="16"/>
              </w:rPr>
              <w:t>Equity risk premium on the credit-default-swap basis (9.4%), with the sovereign spread netted at 3.4%</w:t>
            </w:r>
          </w:p>
        </w:tc>
        <w:tc>
          <w:tcPr>
            <w:tcW w:type="dxa" w:w="2664"/>
          </w:tcPr>
          <w:p>
            <w:pPr>
              <w:spacing w:after="20"/>
              <w:jc w:val="right"/>
            </w:pPr>
            <w:r>
              <w:rPr>
                <w:color w:val="1C3A36"/>
                <w:sz w:val="16"/>
              </w:rPr>
              <w:t>The rating basis from the same published table: spread 6.4%, premium 13.9%, cost of equity 30.0%</w:t>
            </w:r>
          </w:p>
        </w:tc>
        <w:tc>
          <w:tcPr>
            <w:tcW w:type="dxa" w:w="1843"/>
          </w:tcPr>
          <w:p>
            <w:pPr>
              <w:spacing w:after="20"/>
              <w:jc w:val="right"/>
            </w:pPr>
            <w:r>
              <w:rPr>
                <w:color w:val="1C3A36"/>
                <w:sz w:val="16"/>
              </w:rPr>
              <w:t>EGP 36.46 (against 56.08)</w:t>
            </w:r>
          </w:p>
        </w:tc>
        <w:tc>
          <w:tcPr>
            <w:tcW w:type="dxa" w:w="3096"/>
          </w:tcPr>
          <w:p>
            <w:pPr>
              <w:spacing w:after="20"/>
              <w:jc w:val="right"/>
            </w:pPr>
            <w:r>
              <w:rPr>
                <w:color w:val="1C3A36"/>
                <w:sz w:val="16"/>
              </w:rPr>
              <w:t>Both are columns of the same published source. The market-observed basis is preferred to the agency-rating basis, which lags. This is the single largest open question in the cost of capital and the alternative is worth roughly 19.63 per share</w:t>
            </w:r>
          </w:p>
        </w:tc>
      </w:tr>
      <w:tr>
        <w:tc>
          <w:tcPr>
            <w:tcW w:type="dxa" w:w="2477"/>
          </w:tcPr>
          <w:p>
            <w:pPr>
              <w:spacing w:after="20"/>
            </w:pPr>
            <w:r>
              <w:rPr>
                <w:color w:val="1C3A36"/>
                <w:sz w:val="16"/>
              </w:rPr>
              <w:t>Minority interests charged against consolidated equity, after net debt</w:t>
            </w:r>
          </w:p>
        </w:tc>
        <w:tc>
          <w:tcPr>
            <w:tcW w:type="dxa" w:w="2664"/>
          </w:tcPr>
          <w:p>
            <w:pPr>
              <w:spacing w:after="20"/>
              <w:jc w:val="right"/>
            </w:pPr>
            <w:r>
              <w:rPr>
                <w:color w:val="1C3A36"/>
                <w:sz w:val="16"/>
              </w:rPr>
              <w:t>Charged against unlevered enterprise value, before net debt</w:t>
            </w:r>
          </w:p>
        </w:tc>
        <w:tc>
          <w:tcPr>
            <w:tcW w:type="dxa" w:w="1843"/>
          </w:tcPr>
          <w:p>
            <w:pPr>
              <w:spacing w:after="20"/>
              <w:jc w:val="right"/>
            </w:pPr>
            <w:r>
              <w:rPr>
                <w:color w:val="1C3A36"/>
                <w:sz w:val="16"/>
              </w:rPr>
              <w:t>EGP 55.01 (-1.08)</w:t>
            </w:r>
          </w:p>
        </w:tc>
        <w:tc>
          <w:tcPr>
            <w:tcW w:type="dxa" w:w="3096"/>
          </w:tcPr>
          <w:p>
            <w:pPr>
              <w:spacing w:after="20"/>
              <w:jc w:val="right"/>
            </w:pPr>
            <w:r>
              <w:rPr>
                <w:color w:val="1C3A36"/>
                <w:sz w:val="16"/>
              </w:rPr>
              <w:t>The audited borrowings note records facilities granted to the company AND its subsidiaries, guaranteed by promissory notes from subsidiaries — so minorities do bear a share of the debt. The alternative assumes all borrowing sits at the parent, which the note contradicts</w:t>
            </w:r>
          </w:p>
        </w:tc>
      </w:tr>
      <w:tr>
        <w:tc>
          <w:tcPr>
            <w:tcW w:type="dxa" w:w="2477"/>
          </w:tcPr>
          <w:p>
            <w:pPr>
              <w:spacing w:after="20"/>
            </w:pPr>
            <w:r>
              <w:rPr>
                <w:color w:val="1C3A36"/>
                <w:sz w:val="16"/>
              </w:rPr>
              <w:t>Capital weights on net debt</w:t>
            </w:r>
          </w:p>
        </w:tc>
        <w:tc>
          <w:tcPr>
            <w:tcW w:type="dxa" w:w="2664"/>
          </w:tcPr>
          <w:p>
            <w:pPr>
              <w:spacing w:after="20"/>
              <w:jc w:val="right"/>
            </w:pPr>
            <w:r>
              <w:rPr>
                <w:color w:val="1C3A36"/>
                <w:sz w:val="16"/>
              </w:rPr>
              <w:t>On gross debt (21.7% weight, cost of capital 23.8%)</w:t>
            </w:r>
          </w:p>
        </w:tc>
        <w:tc>
          <w:tcPr>
            <w:tcW w:type="dxa" w:w="1843"/>
          </w:tcPr>
          <w:p>
            <w:pPr>
              <w:spacing w:after="20"/>
              <w:jc w:val="right"/>
            </w:pPr>
            <w:r>
              <w:rPr>
                <w:color w:val="1C3A36"/>
                <w:sz w:val="16"/>
              </w:rPr>
              <w:t>raises the value</w:t>
            </w:r>
          </w:p>
        </w:tc>
        <w:tc>
          <w:tcPr>
            <w:tcW w:type="dxa" w:w="3096"/>
          </w:tcPr>
          <w:p>
            <w:pPr>
              <w:spacing w:after="20"/>
              <w:jc w:val="right"/>
            </w:pPr>
            <w:r>
              <w:rPr>
                <w:color w:val="1C3A36"/>
                <w:sz w:val="16"/>
              </w:rPr>
              <w:t>Net debt is the quantity the bridge subtracts; using it in both places keeps the two consistent, and it is the more conservative of the two</w:t>
            </w:r>
          </w:p>
        </w:tc>
      </w:tr>
      <w:tr>
        <w:tc>
          <w:tcPr>
            <w:tcW w:type="dxa" w:w="2477"/>
          </w:tcPr>
          <w:p>
            <w:pPr>
              <w:spacing w:after="20"/>
            </w:pPr>
            <w:r>
              <w:rPr>
                <w:color w:val="1C3A36"/>
                <w:sz w:val="16"/>
              </w:rPr>
              <w:t>Cost of debt on currency composition (9.5%): the disclosed coupon on each currency leg, unadjusted</w:t>
            </w:r>
          </w:p>
        </w:tc>
        <w:tc>
          <w:tcPr>
            <w:tcW w:type="dxa" w:w="2664"/>
          </w:tcPr>
          <w:p>
            <w:pPr>
              <w:spacing w:after="20"/>
              <w:jc w:val="right"/>
            </w:pPr>
            <w:r>
              <w:rPr>
                <w:color w:val="1C3A36"/>
                <w:sz w:val="16"/>
              </w:rPr>
              <w:t>EGP-equivalent (13.9%): the hard-currency legs loaded with the pound's own 5.4%/year forecast depreciation, under uncovered interest parity</w:t>
            </w:r>
          </w:p>
        </w:tc>
        <w:tc>
          <w:tcPr>
            <w:tcW w:type="dxa" w:w="1843"/>
          </w:tcPr>
          <w:p>
            <w:pPr>
              <w:spacing w:after="20"/>
              <w:jc w:val="right"/>
            </w:pPr>
            <w:r>
              <w:rPr>
                <w:color w:val="1C3A36"/>
                <w:sz w:val="16"/>
              </w:rPr>
              <w:t>EGP 55.76 (-0.33)</w:t>
            </w:r>
          </w:p>
        </w:tc>
        <w:tc>
          <w:tcPr>
            <w:tcW w:type="dxa" w:w="3096"/>
          </w:tcPr>
          <w:p>
            <w:pPr>
              <w:spacing w:after="20"/>
              <w:jc w:val="right"/>
            </w:pPr>
            <w:r>
              <w:rPr>
                <w:color w:val="1C3A36"/>
                <w:sz w:val="16"/>
              </w:rPr>
              <w:t>Net debt carries only 8.4% of the capital structure, so even this 444-basis-point swing in Kd moves the fair value by well under 1% — smaller than it looks. CAUTION: keeping the currency-composition basis as primary means the hard-currency debt is carried at its coupon rate, not compensated for devaluation risk beyond what this forecast's own exchange-rate path already assumes</w:t>
            </w:r>
          </w:p>
        </w:tc>
      </w:tr>
      <w:tr>
        <w:tc>
          <w:tcPr>
            <w:tcW w:type="dxa" w:w="2477"/>
          </w:tcPr>
          <w:p>
            <w:pPr>
              <w:spacing w:after="20"/>
            </w:pPr>
            <w:r>
              <w:rPr>
                <w:color w:val="1C3A36"/>
                <w:sz w:val="16"/>
              </w:rPr>
              <w:t>Risk-free rate 22.3%</w:t>
            </w:r>
          </w:p>
        </w:tc>
        <w:tc>
          <w:tcPr>
            <w:tcW w:type="dxa" w:w="2664"/>
          </w:tcPr>
          <w:p>
            <w:pPr>
              <w:spacing w:after="20"/>
              <w:jc w:val="right"/>
            </w:pPr>
            <w:r>
              <w:rPr>
                <w:color w:val="1C3A36"/>
                <w:sz w:val="16"/>
              </w:rPr>
              <w:t>External readings of the same instrument on the same date range from about 22.3% to 23.0%, and disagree with each other; the adopted point sits at the low end</w:t>
            </w:r>
          </w:p>
        </w:tc>
        <w:tc>
          <w:tcPr>
            <w:tcW w:type="dxa" w:w="1843"/>
          </w:tcPr>
          <w:p>
            <w:pPr>
              <w:spacing w:after="20"/>
              <w:jc w:val="right"/>
            </w:pPr>
            <w:r>
              <w:rPr>
                <w:color w:val="1C3A36"/>
                <w:sz w:val="16"/>
              </w:rPr>
              <w:t>roughly ±1% of value per 100bp</w:t>
            </w:r>
          </w:p>
        </w:tc>
        <w:tc>
          <w:tcPr>
            <w:tcW w:type="dxa" w:w="3096"/>
          </w:tcPr>
          <w:p>
            <w:pPr>
              <w:spacing w:after="20"/>
              <w:jc w:val="right"/>
            </w:pPr>
            <w:r>
              <w:rPr>
                <w:color w:val="1C3A36"/>
                <w:sz w:val="16"/>
              </w:rPr>
              <w:t>Because the readings conflict, the rate is carried in the sensitivity grid rather than presented as precise; the direction of the low-end choice is generous and is said so here</w:t>
            </w:r>
          </w:p>
        </w:tc>
      </w:tr>
      <w:tr>
        <w:tc>
          <w:tcPr>
            <w:tcW w:type="dxa" w:w="2477"/>
          </w:tcPr>
          <w:p>
            <w:pPr>
              <w:spacing w:after="20"/>
            </w:pPr>
            <w:r>
              <w:rPr>
                <w:color w:val="1C3A36"/>
                <w:sz w:val="16"/>
              </w:rPr>
              <w:t>Forecast effective tax rate 24.5%</w:t>
            </w:r>
          </w:p>
        </w:tc>
        <w:tc>
          <w:tcPr>
            <w:tcW w:type="dxa" w:w="2664"/>
          </w:tcPr>
          <w:p>
            <w:pPr>
              <w:spacing w:after="20"/>
              <w:jc w:val="right"/>
            </w:pPr>
            <w:r>
              <w:rPr>
                <w:color w:val="1C3A36"/>
                <w:sz w:val="16"/>
              </w:rPr>
              <w:t>Egypt's statutory 22.5%, or FY2025's actual effective 22.57%</w:t>
            </w:r>
          </w:p>
        </w:tc>
        <w:tc>
          <w:tcPr>
            <w:tcW w:type="dxa" w:w="1843"/>
          </w:tcPr>
          <w:p>
            <w:pPr>
              <w:spacing w:after="20"/>
              <w:jc w:val="right"/>
            </w:pPr>
            <w:r>
              <w:rPr>
                <w:color w:val="1C3A36"/>
                <w:sz w:val="16"/>
              </w:rPr>
              <w:t>roughly +1.8 on the weighted central (+2.5%)</w:t>
            </w:r>
          </w:p>
        </w:tc>
        <w:tc>
          <w:tcPr>
            <w:tcW w:type="dxa" w:w="3096"/>
          </w:tcPr>
          <w:p>
            <w:pPr>
              <w:spacing w:after="20"/>
              <w:jc w:val="right"/>
            </w:pPr>
            <w:r>
              <w:rPr>
                <w:color w:val="1C3A36"/>
                <w:sz w:val="16"/>
              </w:rPr>
              <w:t>Audited effective rates ran 31.3% (FY2023), 30.1% (FY2024), 22.6% (FY2025) and 25.75% (Q1-2026); no statutory-vs-effective reconciliation is disclosed, and the group pays tax in 15+ jurisdictions plus revenue-basis Free-Zone entities. 24.5% sits between the FY2025 print and the Q1-2026 print rather than extrapolating the single best year — an external review correctly noted this choice was priced in the register but not displayed here; it now is</w:t>
            </w:r>
          </w:p>
        </w:tc>
      </w:tr>
    </w:tbl>
    <w:p>
      <w:pPr>
        <w:spacing w:after="40"/>
      </w:pPr>
    </w:p>
    <w:p>
      <w:pPr>
        <w:spacing w:after="200" w:before="0"/>
      </w:pPr>
      <w:r>
        <w:rPr>
          <w:b w:val="0"/>
          <w:i/>
          <w:color w:val="6E7B77"/>
          <w:sz w:val="17"/>
        </w:rPr>
        <w:t>The rating-basis column is the one most often raised against this study. It is not a correction to an error — both bases are published by the same source and both appear in this study's input register — but it is a material choice, and at EGP 36.46 the alternative sits well below the primary. A reader who prefers agency ratings to market spreads should use that number. (A July-2026 refresh of the same file reportedly lifts the rating-basis premium by roughly one point, making that alternative slightly more adverse still; the CDS-basis primary reproduces almost unchanged from the July parameters.)</w:t>
      </w:r>
    </w:p>
    <w:p>
      <w:pPr>
        <w:spacing w:after="80" w:before="200"/>
      </w:pPr>
      <w:r>
        <w:rPr>
          <w:b/>
          <w:i w:val="0"/>
          <w:color w:val="1C3A36"/>
          <w:sz w:val="24"/>
        </w:rPr>
        <w:t>1.9  Sensitivity — the discount rate, the growth, the currency, the margin and the collection</w:t>
      </w:r>
    </w:p>
    <w:p>
      <w:pPr>
        <w:spacing w:after="40"/>
        <w:jc w:val="center"/>
      </w:pPr>
      <w:r>
        <w:drawing>
          <wp:inline xmlns:a="http://schemas.openxmlformats.org/drawingml/2006/main" xmlns:pic="http://schemas.openxmlformats.org/drawingml/2006/picture">
            <wp:extent cx="5212080" cy="2507076"/>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212080" cy="2507076"/>
                    </a:xfrm>
                    <a:prstGeom prst="rect"/>
                  </pic:spPr>
                </pic:pic>
              </a:graphicData>
            </a:graphic>
          </wp:inline>
        </w:drawing>
      </w:r>
    </w:p>
    <w:p>
      <w:pPr>
        <w:spacing w:after="200" w:before="0"/>
      </w:pPr>
      <w:r>
        <w:rPr>
          <w:b w:val="0"/>
          <w:i/>
          <w:color w:val="6E7B77"/>
          <w:sz w:val="17"/>
        </w:rPr>
        <w:t>Figure 3 — discounted-cash-flow fair value per share across the terminal cost of capital and terminal growth. No cell in the tested range reaches the market price of 105.20: even the most generous corner sits well below it.</w:t>
      </w:r>
    </w:p>
    <w:p>
      <w:pPr>
        <w:spacing w:after="120" w:before="0"/>
      </w:pPr>
      <w:r>
        <w:rPr>
          <w:b w:val="0"/>
          <w:i w:val="0"/>
          <w:color w:val="1C3A36"/>
          <w:sz w:val="21"/>
        </w:rPr>
        <w:t>Each anchor is varied independently around its own base, so the tables show what the valuation needs the world to do rather than what growth rate the model needs.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41"/>
        <w:gridCol w:w="1541"/>
        <w:gridCol w:w="1541"/>
        <w:gridCol w:w="1541"/>
        <w:gridCol w:w="1541"/>
      </w:tblGrid>
      <w:tr>
        <w:tc>
          <w:tcPr>
            <w:tcW w:type="dxa" w:w="2333"/>
            <w:shd w:val="clear" w:color="auto" w:fill="EAF0EE"/>
          </w:tcPr>
          <w:p>
            <w:pPr>
              <w:spacing w:after="20"/>
            </w:pPr>
            <w:r>
              <w:rPr>
                <w:b/>
                <w:color w:val="1C3A36"/>
                <w:sz w:val="16"/>
              </w:rPr>
              <w:t>Explicit-window cost of capital →</w:t>
            </w:r>
          </w:p>
        </w:tc>
        <w:tc>
          <w:tcPr>
            <w:tcW w:type="dxa" w:w="1541"/>
            <w:shd w:val="clear" w:color="auto" w:fill="EAF0EE"/>
          </w:tcPr>
          <w:p>
            <w:pPr>
              <w:spacing w:after="20"/>
            </w:pPr>
            <w:r>
              <w:rPr>
                <w:b/>
                <w:color w:val="1C3A36"/>
                <w:sz w:val="16"/>
              </w:rPr>
              <w:t>23.6%</w:t>
            </w:r>
          </w:p>
        </w:tc>
        <w:tc>
          <w:tcPr>
            <w:tcW w:type="dxa" w:w="1541"/>
            <w:shd w:val="clear" w:color="auto" w:fill="EAF0EE"/>
          </w:tcPr>
          <w:p>
            <w:pPr>
              <w:spacing w:after="20"/>
            </w:pPr>
            <w:r>
              <w:rPr>
                <w:b/>
                <w:color w:val="1C3A36"/>
                <w:sz w:val="16"/>
              </w:rPr>
              <w:t>25.1%</w:t>
            </w:r>
          </w:p>
        </w:tc>
        <w:tc>
          <w:tcPr>
            <w:tcW w:type="dxa" w:w="1541"/>
            <w:shd w:val="clear" w:color="auto" w:fill="EAF0EE"/>
          </w:tcPr>
          <w:p>
            <w:pPr>
              <w:spacing w:after="20"/>
            </w:pPr>
            <w:r>
              <w:rPr>
                <w:b/>
                <w:color w:val="1C3A36"/>
                <w:sz w:val="16"/>
              </w:rPr>
              <w:t>26.6%</w:t>
            </w:r>
          </w:p>
        </w:tc>
        <w:tc>
          <w:tcPr>
            <w:tcW w:type="dxa" w:w="1541"/>
            <w:shd w:val="clear" w:color="auto" w:fill="EAF0EE"/>
          </w:tcPr>
          <w:p>
            <w:pPr>
              <w:spacing w:after="20"/>
            </w:pPr>
            <w:r>
              <w:rPr>
                <w:b/>
                <w:color w:val="1C3A36"/>
                <w:sz w:val="16"/>
              </w:rPr>
              <w:t>28.1%</w:t>
            </w:r>
          </w:p>
        </w:tc>
        <w:tc>
          <w:tcPr>
            <w:tcW w:type="dxa" w:w="1541"/>
            <w:shd w:val="clear" w:color="auto" w:fill="EAF0EE"/>
          </w:tcPr>
          <w:p>
            <w:pPr>
              <w:spacing w:after="20"/>
            </w:pPr>
            <w:r>
              <w:rPr>
                <w:b/>
                <w:color w:val="1C3A36"/>
                <w:sz w:val="16"/>
              </w:rPr>
              <w:t>29.6%</w:t>
            </w:r>
          </w:p>
        </w:tc>
      </w:tr>
      <w:tr>
        <w:tc>
          <w:tcPr>
            <w:tcW w:type="dxa" w:w="2333"/>
          </w:tcPr>
          <w:p>
            <w:pPr>
              <w:spacing w:after="20"/>
            </w:pPr>
            <w:r>
              <w:rPr>
                <w:color w:val="1C3A36"/>
                <w:sz w:val="16"/>
              </w:rPr>
              <w:t>terminal 13.9%</w:t>
            </w:r>
          </w:p>
        </w:tc>
        <w:tc>
          <w:tcPr>
            <w:tcW w:type="dxa" w:w="1541"/>
          </w:tcPr>
          <w:p>
            <w:pPr>
              <w:spacing w:after="20"/>
              <w:jc w:val="right"/>
            </w:pPr>
            <w:r>
              <w:rPr>
                <w:color w:val="1C3A36"/>
                <w:sz w:val="16"/>
              </w:rPr>
              <w:t>76.53</w:t>
            </w:r>
          </w:p>
        </w:tc>
        <w:tc>
          <w:tcPr>
            <w:tcW w:type="dxa" w:w="1541"/>
          </w:tcPr>
          <w:p>
            <w:pPr>
              <w:spacing w:after="20"/>
              <w:jc w:val="right"/>
            </w:pPr>
            <w:r>
              <w:rPr>
                <w:color w:val="1C3A36"/>
                <w:sz w:val="16"/>
              </w:rPr>
              <w:t>74.21</w:t>
            </w:r>
          </w:p>
        </w:tc>
        <w:tc>
          <w:tcPr>
            <w:tcW w:type="dxa" w:w="1541"/>
          </w:tcPr>
          <w:p>
            <w:pPr>
              <w:spacing w:after="20"/>
              <w:jc w:val="right"/>
            </w:pPr>
            <w:r>
              <w:rPr>
                <w:color w:val="1C3A36"/>
                <w:sz w:val="16"/>
              </w:rPr>
              <w:t>71.97</w:t>
            </w:r>
          </w:p>
        </w:tc>
        <w:tc>
          <w:tcPr>
            <w:tcW w:type="dxa" w:w="1541"/>
          </w:tcPr>
          <w:p>
            <w:pPr>
              <w:spacing w:after="20"/>
              <w:jc w:val="right"/>
            </w:pPr>
            <w:r>
              <w:rPr>
                <w:color w:val="1C3A36"/>
                <w:sz w:val="16"/>
              </w:rPr>
              <w:t>69.81</w:t>
            </w:r>
          </w:p>
        </w:tc>
        <w:tc>
          <w:tcPr>
            <w:tcW w:type="dxa" w:w="1541"/>
          </w:tcPr>
          <w:p>
            <w:pPr>
              <w:spacing w:after="20"/>
              <w:jc w:val="right"/>
            </w:pPr>
            <w:r>
              <w:rPr>
                <w:color w:val="1C3A36"/>
                <w:sz w:val="16"/>
              </w:rPr>
              <w:t>67.72</w:t>
            </w:r>
          </w:p>
        </w:tc>
      </w:tr>
      <w:tr>
        <w:tc>
          <w:tcPr>
            <w:tcW w:type="dxa" w:w="2333"/>
          </w:tcPr>
          <w:p>
            <w:pPr>
              <w:spacing w:after="20"/>
            </w:pPr>
            <w:r>
              <w:rPr>
                <w:color w:val="1C3A36"/>
                <w:sz w:val="16"/>
              </w:rPr>
              <w:t>terminal 14.9%</w:t>
            </w:r>
          </w:p>
        </w:tc>
        <w:tc>
          <w:tcPr>
            <w:tcW w:type="dxa" w:w="1541"/>
          </w:tcPr>
          <w:p>
            <w:pPr>
              <w:spacing w:after="20"/>
              <w:jc w:val="right"/>
            </w:pPr>
            <w:r>
              <w:rPr>
                <w:color w:val="1C3A36"/>
                <w:sz w:val="16"/>
              </w:rPr>
              <w:t>67.28</w:t>
            </w:r>
          </w:p>
        </w:tc>
        <w:tc>
          <w:tcPr>
            <w:tcW w:type="dxa" w:w="1541"/>
          </w:tcPr>
          <w:p>
            <w:pPr>
              <w:spacing w:after="20"/>
              <w:jc w:val="right"/>
            </w:pPr>
            <w:r>
              <w:rPr>
                <w:color w:val="1C3A36"/>
                <w:sz w:val="16"/>
              </w:rPr>
              <w:t>65.21</w:t>
            </w:r>
          </w:p>
        </w:tc>
        <w:tc>
          <w:tcPr>
            <w:tcW w:type="dxa" w:w="1541"/>
          </w:tcPr>
          <w:p>
            <w:pPr>
              <w:spacing w:after="20"/>
              <w:jc w:val="right"/>
            </w:pPr>
            <w:r>
              <w:rPr>
                <w:color w:val="1C3A36"/>
                <w:sz w:val="16"/>
              </w:rPr>
              <w:t>63.22</w:t>
            </w:r>
          </w:p>
        </w:tc>
        <w:tc>
          <w:tcPr>
            <w:tcW w:type="dxa" w:w="1541"/>
          </w:tcPr>
          <w:p>
            <w:pPr>
              <w:spacing w:after="20"/>
              <w:jc w:val="right"/>
            </w:pPr>
            <w:r>
              <w:rPr>
                <w:color w:val="1C3A36"/>
                <w:sz w:val="16"/>
              </w:rPr>
              <w:t>61.29</w:t>
            </w:r>
          </w:p>
        </w:tc>
        <w:tc>
          <w:tcPr>
            <w:tcW w:type="dxa" w:w="1541"/>
          </w:tcPr>
          <w:p>
            <w:pPr>
              <w:spacing w:after="20"/>
              <w:jc w:val="right"/>
            </w:pPr>
            <w:r>
              <w:rPr>
                <w:color w:val="1C3A36"/>
                <w:sz w:val="16"/>
              </w:rPr>
              <w:t>59.44</w:t>
            </w:r>
          </w:p>
        </w:tc>
      </w:tr>
      <w:tr>
        <w:tc>
          <w:tcPr>
            <w:tcW w:type="dxa" w:w="2333"/>
          </w:tcPr>
          <w:p>
            <w:pPr>
              <w:spacing w:after="20"/>
            </w:pPr>
            <w:r>
              <w:rPr>
                <w:color w:val="1C3A36"/>
                <w:sz w:val="16"/>
              </w:rPr>
              <w:t>terminal 15.9%</w:t>
            </w:r>
          </w:p>
        </w:tc>
        <w:tc>
          <w:tcPr>
            <w:tcW w:type="dxa" w:w="1541"/>
          </w:tcPr>
          <w:p>
            <w:pPr>
              <w:spacing w:after="20"/>
              <w:jc w:val="right"/>
            </w:pPr>
            <w:r>
              <w:rPr>
                <w:color w:val="1C3A36"/>
                <w:sz w:val="16"/>
              </w:rPr>
              <w:t>59.74</w:t>
            </w:r>
          </w:p>
        </w:tc>
        <w:tc>
          <w:tcPr>
            <w:tcW w:type="dxa" w:w="1541"/>
          </w:tcPr>
          <w:p>
            <w:pPr>
              <w:spacing w:after="20"/>
              <w:jc w:val="right"/>
            </w:pPr>
            <w:r>
              <w:rPr>
                <w:color w:val="1C3A36"/>
                <w:sz w:val="16"/>
              </w:rPr>
              <w:t>57.88</w:t>
            </w:r>
          </w:p>
        </w:tc>
        <w:tc>
          <w:tcPr>
            <w:tcW w:type="dxa" w:w="1541"/>
          </w:tcPr>
          <w:p>
            <w:pPr>
              <w:spacing w:after="20"/>
              <w:jc w:val="right"/>
            </w:pPr>
            <w:r>
              <w:rPr>
                <w:color w:val="1C3A36"/>
                <w:sz w:val="16"/>
              </w:rPr>
              <w:t>56.08</w:t>
            </w:r>
          </w:p>
        </w:tc>
        <w:tc>
          <w:tcPr>
            <w:tcW w:type="dxa" w:w="1541"/>
          </w:tcPr>
          <w:p>
            <w:pPr>
              <w:spacing w:after="20"/>
              <w:jc w:val="right"/>
            </w:pPr>
            <w:r>
              <w:rPr>
                <w:color w:val="1C3A36"/>
                <w:sz w:val="16"/>
              </w:rPr>
              <w:t>54.35</w:t>
            </w:r>
          </w:p>
        </w:tc>
        <w:tc>
          <w:tcPr>
            <w:tcW w:type="dxa" w:w="1541"/>
          </w:tcPr>
          <w:p>
            <w:pPr>
              <w:spacing w:after="20"/>
              <w:jc w:val="right"/>
            </w:pPr>
            <w:r>
              <w:rPr>
                <w:color w:val="1C3A36"/>
                <w:sz w:val="16"/>
              </w:rPr>
              <w:t>52.68</w:t>
            </w:r>
          </w:p>
        </w:tc>
      </w:tr>
      <w:tr>
        <w:tc>
          <w:tcPr>
            <w:tcW w:type="dxa" w:w="2333"/>
          </w:tcPr>
          <w:p>
            <w:pPr>
              <w:spacing w:after="20"/>
            </w:pPr>
            <w:r>
              <w:rPr>
                <w:color w:val="1C3A36"/>
                <w:sz w:val="16"/>
              </w:rPr>
              <w:t>terminal 16.9%</w:t>
            </w:r>
          </w:p>
        </w:tc>
        <w:tc>
          <w:tcPr>
            <w:tcW w:type="dxa" w:w="1541"/>
          </w:tcPr>
          <w:p>
            <w:pPr>
              <w:spacing w:after="20"/>
              <w:jc w:val="right"/>
            </w:pPr>
            <w:r>
              <w:rPr>
                <w:color w:val="1C3A36"/>
                <w:sz w:val="16"/>
              </w:rPr>
              <w:t>53.47</w:t>
            </w:r>
          </w:p>
        </w:tc>
        <w:tc>
          <w:tcPr>
            <w:tcW w:type="dxa" w:w="1541"/>
          </w:tcPr>
          <w:p>
            <w:pPr>
              <w:spacing w:after="20"/>
              <w:jc w:val="right"/>
            </w:pPr>
            <w:r>
              <w:rPr>
                <w:color w:val="1C3A36"/>
                <w:sz w:val="16"/>
              </w:rPr>
              <w:t>51.78</w:t>
            </w:r>
          </w:p>
        </w:tc>
        <w:tc>
          <w:tcPr>
            <w:tcW w:type="dxa" w:w="1541"/>
          </w:tcPr>
          <w:p>
            <w:pPr>
              <w:spacing w:after="20"/>
              <w:jc w:val="right"/>
            </w:pPr>
            <w:r>
              <w:rPr>
                <w:color w:val="1C3A36"/>
                <w:sz w:val="16"/>
              </w:rPr>
              <w:t>50.15</w:t>
            </w:r>
          </w:p>
        </w:tc>
        <w:tc>
          <w:tcPr>
            <w:tcW w:type="dxa" w:w="1541"/>
          </w:tcPr>
          <w:p>
            <w:pPr>
              <w:spacing w:after="20"/>
              <w:jc w:val="right"/>
            </w:pPr>
            <w:r>
              <w:rPr>
                <w:color w:val="1C3A36"/>
                <w:sz w:val="16"/>
              </w:rPr>
              <w:t>48.58</w:t>
            </w:r>
          </w:p>
        </w:tc>
        <w:tc>
          <w:tcPr>
            <w:tcW w:type="dxa" w:w="1541"/>
          </w:tcPr>
          <w:p>
            <w:pPr>
              <w:spacing w:after="20"/>
              <w:jc w:val="right"/>
            </w:pPr>
            <w:r>
              <w:rPr>
                <w:color w:val="1C3A36"/>
                <w:sz w:val="16"/>
              </w:rPr>
              <w:t>47.07</w:t>
            </w:r>
          </w:p>
        </w:tc>
      </w:tr>
      <w:tr>
        <w:tc>
          <w:tcPr>
            <w:tcW w:type="dxa" w:w="2333"/>
          </w:tcPr>
          <w:p>
            <w:pPr>
              <w:spacing w:after="20"/>
            </w:pPr>
            <w:r>
              <w:rPr>
                <w:color w:val="1C3A36"/>
                <w:sz w:val="16"/>
              </w:rPr>
              <w:t>terminal 17.9%</w:t>
            </w:r>
          </w:p>
        </w:tc>
        <w:tc>
          <w:tcPr>
            <w:tcW w:type="dxa" w:w="1541"/>
          </w:tcPr>
          <w:p>
            <w:pPr>
              <w:spacing w:after="20"/>
              <w:jc w:val="right"/>
            </w:pPr>
            <w:r>
              <w:rPr>
                <w:color w:val="1C3A36"/>
                <w:sz w:val="16"/>
              </w:rPr>
              <w:t>48.18</w:t>
            </w:r>
          </w:p>
        </w:tc>
        <w:tc>
          <w:tcPr>
            <w:tcW w:type="dxa" w:w="1541"/>
          </w:tcPr>
          <w:p>
            <w:pPr>
              <w:spacing w:after="20"/>
              <w:jc w:val="right"/>
            </w:pPr>
            <w:r>
              <w:rPr>
                <w:color w:val="1C3A36"/>
                <w:sz w:val="16"/>
              </w:rPr>
              <w:t>46.64</w:t>
            </w:r>
          </w:p>
        </w:tc>
        <w:tc>
          <w:tcPr>
            <w:tcW w:type="dxa" w:w="1541"/>
          </w:tcPr>
          <w:p>
            <w:pPr>
              <w:spacing w:after="20"/>
              <w:jc w:val="right"/>
            </w:pPr>
            <w:r>
              <w:rPr>
                <w:color w:val="1C3A36"/>
                <w:sz w:val="16"/>
              </w:rPr>
              <w:t>45.15</w:t>
            </w:r>
          </w:p>
        </w:tc>
        <w:tc>
          <w:tcPr>
            <w:tcW w:type="dxa" w:w="1541"/>
          </w:tcPr>
          <w:p>
            <w:pPr>
              <w:spacing w:after="20"/>
              <w:jc w:val="right"/>
            </w:pPr>
            <w:r>
              <w:rPr>
                <w:color w:val="1C3A36"/>
                <w:sz w:val="16"/>
              </w:rPr>
              <w:t>43.72</w:t>
            </w:r>
          </w:p>
        </w:tc>
        <w:tc>
          <w:tcPr>
            <w:tcW w:type="dxa" w:w="1541"/>
          </w:tcPr>
          <w:p>
            <w:pPr>
              <w:spacing w:after="20"/>
              <w:jc w:val="right"/>
            </w:pPr>
            <w:r>
              <w:rPr>
                <w:color w:val="1C3A36"/>
                <w:sz w:val="16"/>
              </w:rPr>
              <w:t>42.33</w:t>
            </w:r>
          </w:p>
        </w:tc>
      </w:tr>
    </w:tbl>
    <w:p>
      <w:pPr>
        <w:spacing w:after="40"/>
      </w:pPr>
    </w:p>
    <w:p>
      <w:pPr>
        <w:spacing w:after="200" w:before="0"/>
      </w:pPr>
      <w:r>
        <w:rPr>
          <w:b w:val="0"/>
          <w:i/>
          <w:color w:val="6E7B77"/>
          <w:sz w:val="17"/>
        </w:rPr>
        <w:t>Explicit-window against terminal cost of capital, each moved independently — the grid that shows what the valuation needs the economy to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2232"/>
        <w:gridCol w:w="2736"/>
        <w:gridCol w:w="1944"/>
      </w:tblGrid>
      <w:tr>
        <w:tc>
          <w:tcPr>
            <w:tcW w:type="dxa" w:w="3168"/>
            <w:shd w:val="clear" w:color="auto" w:fill="EAF0EE"/>
          </w:tcPr>
          <w:p>
            <w:pPr>
              <w:spacing w:after="20"/>
            </w:pPr>
            <w:r>
              <w:rPr>
                <w:b/>
                <w:color w:val="1C3A36"/>
                <w:sz w:val="17"/>
              </w:rPr>
              <w:t>Sensitivity</w:t>
            </w:r>
          </w:p>
        </w:tc>
        <w:tc>
          <w:tcPr>
            <w:tcW w:type="dxa" w:w="2232"/>
            <w:shd w:val="clear" w:color="auto" w:fill="EAF0EE"/>
          </w:tcPr>
          <w:p>
            <w:pPr>
              <w:spacing w:after="20"/>
            </w:pPr>
            <w:r>
              <w:rPr>
                <w:b/>
                <w:color w:val="1C3A36"/>
                <w:sz w:val="17"/>
              </w:rPr>
              <w:t>Range tested</w:t>
            </w:r>
          </w:p>
        </w:tc>
        <w:tc>
          <w:tcPr>
            <w:tcW w:type="dxa" w:w="2736"/>
            <w:shd w:val="clear" w:color="auto" w:fill="EAF0EE"/>
          </w:tcPr>
          <w:p>
            <w:pPr>
              <w:spacing w:after="20"/>
            </w:pPr>
            <w:r>
              <w:rPr>
                <w:b/>
                <w:color w:val="1C3A36"/>
                <w:sz w:val="17"/>
              </w:rPr>
              <w:t>Fair value span (EGP/share)</w:t>
            </w:r>
          </w:p>
        </w:tc>
        <w:tc>
          <w:tcPr>
            <w:tcW w:type="dxa" w:w="1944"/>
            <w:shd w:val="clear" w:color="auto" w:fill="EAF0EE"/>
          </w:tcPr>
          <w:p>
            <w:pPr>
              <w:spacing w:after="20"/>
            </w:pPr>
            <w:r>
              <w:rPr>
                <w:b/>
                <w:color w:val="1C3A36"/>
                <w:sz w:val="17"/>
              </w:rPr>
              <w:t>Swing</w:t>
            </w:r>
          </w:p>
        </w:tc>
      </w:tr>
      <w:tr>
        <w:tc>
          <w:tcPr>
            <w:tcW w:type="dxa" w:w="3168"/>
          </w:tcPr>
          <w:p>
            <w:pPr>
              <w:spacing w:after="20"/>
            </w:pPr>
            <w:r>
              <w:rPr>
                <w:color w:val="1C3A36"/>
                <w:sz w:val="17"/>
              </w:rPr>
              <w:t>Beta</w:t>
            </w:r>
          </w:p>
        </w:tc>
        <w:tc>
          <w:tcPr>
            <w:tcW w:type="dxa" w:w="2232"/>
          </w:tcPr>
          <w:p>
            <w:pPr>
              <w:spacing w:after="20"/>
              <w:jc w:val="right"/>
            </w:pPr>
            <w:r>
              <w:rPr>
                <w:color w:val="1C3A36"/>
                <w:sz w:val="17"/>
              </w:rPr>
              <w:t>0.6 – 1.3</w:t>
            </w:r>
          </w:p>
        </w:tc>
        <w:tc>
          <w:tcPr>
            <w:tcW w:type="dxa" w:w="2736"/>
          </w:tcPr>
          <w:p>
            <w:pPr>
              <w:spacing w:after="20"/>
              <w:jc w:val="right"/>
            </w:pPr>
            <w:r>
              <w:rPr>
                <w:color w:val="1C3A36"/>
                <w:sz w:val="17"/>
              </w:rPr>
              <w:t>43.99 – 82.10</w:t>
            </w:r>
          </w:p>
        </w:tc>
        <w:tc>
          <w:tcPr>
            <w:tcW w:type="dxa" w:w="1944"/>
          </w:tcPr>
          <w:p>
            <w:pPr>
              <w:spacing w:after="20"/>
              <w:jc w:val="right"/>
            </w:pPr>
            <w:r>
              <w:rPr>
                <w:color w:val="1C3A36"/>
                <w:sz w:val="17"/>
              </w:rPr>
              <w:t>38.12</w:t>
            </w:r>
          </w:p>
        </w:tc>
      </w:tr>
      <w:tr>
        <w:tc>
          <w:tcPr>
            <w:tcW w:type="dxa" w:w="3168"/>
          </w:tcPr>
          <w:p>
            <w:pPr>
              <w:spacing w:after="20"/>
            </w:pPr>
            <w:r>
              <w:rPr>
                <w:color w:val="1C3A36"/>
                <w:sz w:val="17"/>
              </w:rPr>
              <w:t>Exchange-rate path</w:t>
            </w:r>
          </w:p>
        </w:tc>
        <w:tc>
          <w:tcPr>
            <w:tcW w:type="dxa" w:w="2232"/>
          </w:tcPr>
          <w:p>
            <w:pPr>
              <w:spacing w:after="20"/>
              <w:jc w:val="right"/>
            </w:pPr>
            <w:r>
              <w:rPr>
                <w:color w:val="1C3A36"/>
                <w:sz w:val="17"/>
              </w:rPr>
              <w:t>base −10% to +70% (the deep tail is the interest-parity case)</w:t>
            </w:r>
          </w:p>
        </w:tc>
        <w:tc>
          <w:tcPr>
            <w:tcW w:type="dxa" w:w="2736"/>
          </w:tcPr>
          <w:p>
            <w:pPr>
              <w:spacing w:after="20"/>
              <w:jc w:val="right"/>
            </w:pPr>
            <w:r>
              <w:rPr>
                <w:color w:val="1C3A36"/>
                <w:sz w:val="17"/>
              </w:rPr>
              <w:t>52.42 – 81.74</w:t>
            </w:r>
          </w:p>
        </w:tc>
        <w:tc>
          <w:tcPr>
            <w:tcW w:type="dxa" w:w="1944"/>
          </w:tcPr>
          <w:p>
            <w:pPr>
              <w:spacing w:after="20"/>
              <w:jc w:val="right"/>
            </w:pPr>
            <w:r>
              <w:rPr>
                <w:color w:val="1C3A36"/>
                <w:sz w:val="17"/>
              </w:rPr>
              <w:t>29.32</w:t>
            </w:r>
          </w:p>
        </w:tc>
      </w:tr>
      <w:tr>
        <w:tc>
          <w:tcPr>
            <w:tcW w:type="dxa" w:w="3168"/>
          </w:tcPr>
          <w:p>
            <w:pPr>
              <w:spacing w:after="20"/>
            </w:pPr>
            <w:r>
              <w:rPr>
                <w:color w:val="1C3A36"/>
                <w:sz w:val="17"/>
              </w:rPr>
              <w:t>Segment margins (all three, multiplicative)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30.10 – 82.07</w:t>
            </w:r>
          </w:p>
        </w:tc>
        <w:tc>
          <w:tcPr>
            <w:tcW w:type="dxa" w:w="1944"/>
          </w:tcPr>
          <w:p>
            <w:pPr>
              <w:spacing w:after="20"/>
              <w:jc w:val="right"/>
            </w:pPr>
            <w:r>
              <w:rPr>
                <w:color w:val="1C3A36"/>
                <w:sz w:val="17"/>
              </w:rPr>
              <w:t>51.98</w:t>
            </w:r>
          </w:p>
        </w:tc>
      </w:tr>
      <w:tr>
        <w:tc>
          <w:tcPr>
            <w:tcW w:type="dxa" w:w="3168"/>
          </w:tcPr>
          <w:p>
            <w:pPr>
              <w:spacing w:after="20"/>
            </w:pPr>
            <w:r>
              <w:rPr>
                <w:color w:val="1C3A36"/>
                <w:sz w:val="17"/>
              </w:rPr>
              <w:t>Copper price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50.59 – 61.58</w:t>
            </w:r>
          </w:p>
        </w:tc>
        <w:tc>
          <w:tcPr>
            <w:tcW w:type="dxa" w:w="1944"/>
          </w:tcPr>
          <w:p>
            <w:pPr>
              <w:spacing w:after="20"/>
              <w:jc w:val="right"/>
            </w:pPr>
            <w:r>
              <w:rPr>
                <w:color w:val="1C3A36"/>
                <w:sz w:val="17"/>
              </w:rPr>
              <w:t>11.00</w:t>
            </w:r>
          </w:p>
        </w:tc>
      </w:tr>
      <w:tr>
        <w:tc>
          <w:tcPr>
            <w:tcW w:type="dxa" w:w="3168"/>
          </w:tcPr>
          <w:p>
            <w:pPr>
              <w:spacing w:after="20"/>
            </w:pPr>
            <w:r>
              <w:rPr>
                <w:color w:val="1C3A36"/>
                <w:sz w:val="17"/>
              </w:rPr>
              <w:t>Working capital / revenue</w:t>
            </w:r>
          </w:p>
        </w:tc>
        <w:tc>
          <w:tcPr>
            <w:tcW w:type="dxa" w:w="2232"/>
          </w:tcPr>
          <w:p>
            <w:pPr>
              <w:spacing w:after="20"/>
              <w:jc w:val="right"/>
            </w:pPr>
            <w:r>
              <w:rPr>
                <w:color w:val="1C3A36"/>
                <w:sz w:val="17"/>
              </w:rPr>
              <w:t>17.0% – 23.0%</w:t>
            </w:r>
          </w:p>
        </w:tc>
        <w:tc>
          <w:tcPr>
            <w:tcW w:type="dxa" w:w="2736"/>
          </w:tcPr>
          <w:p>
            <w:pPr>
              <w:spacing w:after="20"/>
              <w:jc w:val="right"/>
            </w:pPr>
            <w:r>
              <w:rPr>
                <w:color w:val="1C3A36"/>
                <w:sz w:val="17"/>
              </w:rPr>
              <w:t>48.70 – 62.99</w:t>
            </w:r>
          </w:p>
        </w:tc>
        <w:tc>
          <w:tcPr>
            <w:tcW w:type="dxa" w:w="1944"/>
          </w:tcPr>
          <w:p>
            <w:pPr>
              <w:spacing w:after="20"/>
              <w:jc w:val="right"/>
            </w:pPr>
            <w:r>
              <w:rPr>
                <w:color w:val="1C3A36"/>
                <w:sz w:val="17"/>
              </w:rPr>
              <w:t>14.28</w:t>
            </w:r>
          </w:p>
        </w:tc>
      </w:tr>
      <w:tr>
        <w:tc>
          <w:tcPr>
            <w:tcW w:type="dxa" w:w="3168"/>
          </w:tcPr>
          <w:p>
            <w:pPr>
              <w:spacing w:after="20"/>
            </w:pPr>
            <w:r>
              <w:rPr>
                <w:color w:val="1C3A36"/>
                <w:sz w:val="17"/>
              </w:rPr>
              <w:t>Terminal return on invested capital</w:t>
            </w:r>
          </w:p>
        </w:tc>
        <w:tc>
          <w:tcPr>
            <w:tcW w:type="dxa" w:w="2232"/>
          </w:tcPr>
          <w:p>
            <w:pPr>
              <w:spacing w:after="20"/>
              <w:jc w:val="right"/>
            </w:pPr>
            <w:r>
              <w:rPr>
                <w:color w:val="1C3A36"/>
                <w:sz w:val="17"/>
              </w:rPr>
              <w:t>15% – 30%</w:t>
            </w:r>
          </w:p>
        </w:tc>
        <w:tc>
          <w:tcPr>
            <w:tcW w:type="dxa" w:w="2736"/>
          </w:tcPr>
          <w:p>
            <w:pPr>
              <w:spacing w:after="20"/>
              <w:jc w:val="right"/>
            </w:pPr>
            <w:r>
              <w:rPr>
                <w:color w:val="1C3A36"/>
                <w:sz w:val="17"/>
              </w:rPr>
              <w:t>49.68 – 61.79</w:t>
            </w:r>
          </w:p>
        </w:tc>
        <w:tc>
          <w:tcPr>
            <w:tcW w:type="dxa" w:w="1944"/>
          </w:tcPr>
          <w:p>
            <w:pPr>
              <w:spacing w:after="20"/>
              <w:jc w:val="right"/>
            </w:pPr>
            <w:r>
              <w:rPr>
                <w:color w:val="1C3A36"/>
                <w:sz w:val="17"/>
              </w:rPr>
              <w:t>12.11</w:t>
            </w:r>
          </w:p>
        </w:tc>
      </w:tr>
      <w:tr>
        <w:tc>
          <w:tcPr>
            <w:tcW w:type="dxa" w:w="3168"/>
          </w:tcPr>
          <w:p>
            <w:pPr>
              <w:spacing w:after="20"/>
            </w:pPr>
            <w:r>
              <w:rPr>
                <w:color w:val="1C3A36"/>
                <w:sz w:val="17"/>
              </w:rPr>
              <w:t>Terminal growth</w:t>
            </w:r>
          </w:p>
        </w:tc>
        <w:tc>
          <w:tcPr>
            <w:tcW w:type="dxa" w:w="2232"/>
          </w:tcPr>
          <w:p>
            <w:pPr>
              <w:spacing w:after="20"/>
              <w:jc w:val="right"/>
            </w:pPr>
            <w:r>
              <w:rPr>
                <w:color w:val="1C3A36"/>
                <w:sz w:val="17"/>
              </w:rPr>
              <w:t>3% – 7%</w:t>
            </w:r>
          </w:p>
        </w:tc>
        <w:tc>
          <w:tcPr>
            <w:tcW w:type="dxa" w:w="2736"/>
          </w:tcPr>
          <w:p>
            <w:pPr>
              <w:spacing w:after="20"/>
              <w:jc w:val="right"/>
            </w:pPr>
            <w:r>
              <w:rPr>
                <w:color w:val="1C3A36"/>
                <w:sz w:val="17"/>
              </w:rPr>
              <w:t>52.63 – 60.75</w:t>
            </w:r>
          </w:p>
        </w:tc>
        <w:tc>
          <w:tcPr>
            <w:tcW w:type="dxa" w:w="1944"/>
          </w:tcPr>
          <w:p>
            <w:pPr>
              <w:spacing w:after="20"/>
              <w:jc w:val="right"/>
            </w:pPr>
            <w:r>
              <w:rPr>
                <w:color w:val="1C3A36"/>
                <w:sz w:val="17"/>
              </w:rPr>
              <w:t>8.12</w:t>
            </w:r>
          </w:p>
        </w:tc>
      </w:tr>
    </w:tbl>
    <w:p>
      <w:pPr>
        <w:spacing w:after="40"/>
      </w:pPr>
    </w:p>
    <w:p>
      <w:pPr>
        <w:spacing w:after="200" w:before="0"/>
      </w:pPr>
      <w:r>
        <w:rPr>
          <w:b w:val="0"/>
          <w:i/>
          <w:color w:val="6E7B77"/>
          <w:sz w:val="17"/>
        </w:rPr>
        <w:t>Every row is a full re-run of the segment build, not a multiplier applied to a finished revenue line: a currency or copper move flows through Cables' revenue, the working capital and the segment profit exactly as it does in the base case. Note the copper row — the swing is small and can even run the 'wrong' way, because a higher metal price raises revenue and working capital without raising the profit Cables earns on it. Ranked by single-row swing, the segment-margin row is the LARGEST — an earlier caption claimed the terminal assumptions dominated every operating driver, which this table itself contradicts (a review caught it); what remains true is that the two cost-of-capital grids jointly span the widest surface, and a ±15% margin shock is a far larger displacement of the base case than any one row's parameter step.</w:t>
      </w:r>
    </w:p>
    <w:p>
      <w:pPr>
        <w:spacing w:after="200" w:before="0"/>
      </w:pPr>
      <w:r>
        <w:rPr>
          <w:b w:val="0"/>
          <w:i w:val="0"/>
          <w:color w:val="1C3A36"/>
          <w:sz w:val="21"/>
        </w:rPr>
        <w:t>The beta deserves a note. At 1.009 with an R-squared of 0.291 over 258 weekly observations and a standard error of 0.098, this is a well-identified estimate by the standards of this market — the 90% interval spans [0.85, 1.17], comfortably narrower than twice the point estimate, so it is not flagged as a weak instrument. It is also economically sensible: the largest industrial constituent of an index should have a beta near one. A defensive-staple prior of 0.6–0.9 and a cyclical prior of 1.0–1.5 bracket it, and a diversified industrial with a contracting arm belongs in the second.</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price against the 20-, 50-, 100- and 200-session moving averages over the last 260 sessions.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760"/>
      </w:tblGrid>
      <w:tr>
        <w:tc>
          <w:tcPr>
            <w:tcW w:type="dxa" w:w="266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Level (EGP)</w:t>
            </w:r>
          </w:p>
        </w:tc>
        <w:tc>
          <w:tcPr>
            <w:tcW w:type="dxa" w:w="5760"/>
            <w:shd w:val="clear" w:color="auto" w:fill="EAF0EE"/>
          </w:tcPr>
          <w:p>
            <w:pPr>
              <w:spacing w:after="20"/>
            </w:pPr>
            <w:r>
              <w:rPr>
                <w:b/>
                <w:color w:val="1C3A36"/>
                <w:sz w:val="17"/>
              </w:rPr>
              <w:t>Reading</w:t>
            </w:r>
          </w:p>
        </w:tc>
      </w:tr>
      <w:tr>
        <w:tc>
          <w:tcPr>
            <w:tcW w:type="dxa" w:w="2664"/>
          </w:tcPr>
          <w:p>
            <w:pPr>
              <w:spacing w:after="20"/>
            </w:pPr>
            <w:r>
              <w:rPr>
                <w:color w:val="1C3A36"/>
                <w:sz w:val="17"/>
              </w:rPr>
              <w:t>Last close</w:t>
            </w:r>
          </w:p>
        </w:tc>
        <w:tc>
          <w:tcPr>
            <w:tcW w:type="dxa" w:w="1656"/>
          </w:tcPr>
          <w:p>
            <w:pPr>
              <w:spacing w:after="20"/>
              <w:jc w:val="right"/>
            </w:pPr>
            <w:r>
              <w:rPr>
                <w:color w:val="1C3A36"/>
                <w:sz w:val="17"/>
              </w:rPr>
              <w:t>105.20</w:t>
            </w:r>
          </w:p>
        </w:tc>
        <w:tc>
          <w:tcPr>
            <w:tcW w:type="dxa" w:w="5760"/>
          </w:tcPr>
          <w:p>
            <w:pPr>
              <w:spacing w:after="20"/>
              <w:jc w:val="right"/>
            </w:pPr>
            <w:r>
              <w:rPr>
                <w:color w:val="1C3A36"/>
                <w:sz w:val="17"/>
              </w:rPr>
              <w:t>the anchor for everything in this study</w:t>
            </w:r>
          </w:p>
        </w:tc>
      </w:tr>
      <w:tr>
        <w:tc>
          <w:tcPr>
            <w:tcW w:type="dxa" w:w="2664"/>
          </w:tcPr>
          <w:p>
            <w:pPr>
              <w:spacing w:after="20"/>
            </w:pPr>
            <w:r>
              <w:rPr>
                <w:color w:val="1C3A36"/>
                <w:sz w:val="17"/>
              </w:rPr>
              <w:t>20-session average</w:t>
            </w:r>
          </w:p>
        </w:tc>
        <w:tc>
          <w:tcPr>
            <w:tcW w:type="dxa" w:w="1656"/>
          </w:tcPr>
          <w:p>
            <w:pPr>
              <w:spacing w:after="20"/>
              <w:jc w:val="right"/>
            </w:pPr>
            <w:r>
              <w:rPr>
                <w:color w:val="1C3A36"/>
                <w:sz w:val="17"/>
              </w:rPr>
              <w:t>93.77</w:t>
            </w:r>
          </w:p>
        </w:tc>
        <w:tc>
          <w:tcPr>
            <w:tcW w:type="dxa" w:w="5760"/>
          </w:tcPr>
          <w:p>
            <w:pPr>
              <w:spacing w:after="20"/>
              <w:jc w:val="right"/>
            </w:pPr>
            <w:r>
              <w:rPr>
                <w:color w:val="1C3A36"/>
                <w:sz w:val="17"/>
              </w:rPr>
              <w:t>price is +12% against it</w:t>
            </w:r>
          </w:p>
        </w:tc>
      </w:tr>
      <w:tr>
        <w:tc>
          <w:tcPr>
            <w:tcW w:type="dxa" w:w="2664"/>
          </w:tcPr>
          <w:p>
            <w:pPr>
              <w:spacing w:after="20"/>
            </w:pPr>
            <w:r>
              <w:rPr>
                <w:color w:val="1C3A36"/>
                <w:sz w:val="17"/>
              </w:rPr>
              <w:t>50-session average</w:t>
            </w:r>
          </w:p>
        </w:tc>
        <w:tc>
          <w:tcPr>
            <w:tcW w:type="dxa" w:w="1656"/>
          </w:tcPr>
          <w:p>
            <w:pPr>
              <w:spacing w:after="20"/>
              <w:jc w:val="right"/>
            </w:pPr>
            <w:r>
              <w:rPr>
                <w:color w:val="1C3A36"/>
                <w:sz w:val="17"/>
              </w:rPr>
              <w:t>90.04</w:t>
            </w:r>
          </w:p>
        </w:tc>
        <w:tc>
          <w:tcPr>
            <w:tcW w:type="dxa" w:w="5760"/>
          </w:tcPr>
          <w:p>
            <w:pPr>
              <w:spacing w:after="20"/>
              <w:jc w:val="right"/>
            </w:pPr>
            <w:r>
              <w:rPr>
                <w:color w:val="1C3A36"/>
                <w:sz w:val="17"/>
              </w:rPr>
              <w:t>price is +17% against it</w:t>
            </w:r>
          </w:p>
        </w:tc>
      </w:tr>
      <w:tr>
        <w:tc>
          <w:tcPr>
            <w:tcW w:type="dxa" w:w="2664"/>
          </w:tcPr>
          <w:p>
            <w:pPr>
              <w:spacing w:after="20"/>
            </w:pPr>
            <w:r>
              <w:rPr>
                <w:color w:val="1C3A36"/>
                <w:sz w:val="17"/>
              </w:rPr>
              <w:t>100-session average</w:t>
            </w:r>
          </w:p>
        </w:tc>
        <w:tc>
          <w:tcPr>
            <w:tcW w:type="dxa" w:w="1656"/>
          </w:tcPr>
          <w:p>
            <w:pPr>
              <w:spacing w:after="20"/>
              <w:jc w:val="right"/>
            </w:pPr>
            <w:r>
              <w:rPr>
                <w:color w:val="1C3A36"/>
                <w:sz w:val="17"/>
              </w:rPr>
              <w:t>86.07</w:t>
            </w:r>
          </w:p>
        </w:tc>
        <w:tc>
          <w:tcPr>
            <w:tcW w:type="dxa" w:w="5760"/>
          </w:tcPr>
          <w:p>
            <w:pPr>
              <w:spacing w:after="20"/>
              <w:jc w:val="right"/>
            </w:pPr>
            <w:r>
              <w:rPr>
                <w:color w:val="1C3A36"/>
                <w:sz w:val="17"/>
              </w:rPr>
              <w:t>price is +22% against it</w:t>
            </w:r>
          </w:p>
        </w:tc>
      </w:tr>
      <w:tr>
        <w:tc>
          <w:tcPr>
            <w:tcW w:type="dxa" w:w="2664"/>
          </w:tcPr>
          <w:p>
            <w:pPr>
              <w:spacing w:after="20"/>
            </w:pPr>
            <w:r>
              <w:rPr>
                <w:color w:val="1C3A36"/>
                <w:sz w:val="17"/>
              </w:rPr>
              <w:t>200-session average</w:t>
            </w:r>
          </w:p>
        </w:tc>
        <w:tc>
          <w:tcPr>
            <w:tcW w:type="dxa" w:w="1656"/>
          </w:tcPr>
          <w:p>
            <w:pPr>
              <w:spacing w:after="20"/>
              <w:jc w:val="right"/>
            </w:pPr>
            <w:r>
              <w:rPr>
                <w:color w:val="1C3A36"/>
                <w:sz w:val="17"/>
              </w:rPr>
              <w:t>81.88</w:t>
            </w:r>
          </w:p>
        </w:tc>
        <w:tc>
          <w:tcPr>
            <w:tcW w:type="dxa" w:w="5760"/>
          </w:tcPr>
          <w:p>
            <w:pPr>
              <w:spacing w:after="20"/>
              <w:jc w:val="right"/>
            </w:pPr>
            <w:r>
              <w:rPr>
                <w:color w:val="1C3A36"/>
                <w:sz w:val="17"/>
              </w:rPr>
              <w:t>price is +28% against it</w:t>
            </w:r>
          </w:p>
        </w:tc>
      </w:tr>
      <w:tr>
        <w:tc>
          <w:tcPr>
            <w:tcW w:type="dxa" w:w="2664"/>
          </w:tcPr>
          <w:p>
            <w:pPr>
              <w:spacing w:after="20"/>
            </w:pPr>
            <w:r>
              <w:rPr>
                <w:color w:val="1C3A36"/>
                <w:sz w:val="17"/>
              </w:rPr>
              <w:t>52-week high (closing basis)</w:t>
            </w:r>
          </w:p>
        </w:tc>
        <w:tc>
          <w:tcPr>
            <w:tcW w:type="dxa" w:w="1656"/>
          </w:tcPr>
          <w:p>
            <w:pPr>
              <w:spacing w:after="20"/>
              <w:jc w:val="right"/>
            </w:pPr>
            <w:r>
              <w:rPr>
                <w:color w:val="1C3A36"/>
                <w:sz w:val="17"/>
              </w:rPr>
              <w:t>109.02</w:t>
            </w:r>
          </w:p>
        </w:tc>
        <w:tc>
          <w:tcPr>
            <w:tcW w:type="dxa" w:w="5760"/>
          </w:tcPr>
          <w:p>
            <w:pPr>
              <w:spacing w:after="20"/>
              <w:jc w:val="right"/>
            </w:pPr>
            <w:r>
              <w:rPr>
                <w:color w:val="1C3A36"/>
                <w:sz w:val="17"/>
              </w:rPr>
              <w:t>-3.5% from the high — the high IS the +14.1% print of 4 August 2026, one session before the anchor</w:t>
            </w:r>
          </w:p>
        </w:tc>
      </w:tr>
      <w:tr>
        <w:tc>
          <w:tcPr>
            <w:tcW w:type="dxa" w:w="2664"/>
          </w:tcPr>
          <w:p>
            <w:pPr>
              <w:spacing w:after="20"/>
            </w:pPr>
            <w:r>
              <w:rPr>
                <w:color w:val="1C3A36"/>
                <w:sz w:val="17"/>
              </w:rPr>
              <w:t>52-week high (intraday)</w:t>
            </w:r>
          </w:p>
        </w:tc>
        <w:tc>
          <w:tcPr>
            <w:tcW w:type="dxa" w:w="1656"/>
          </w:tcPr>
          <w:p>
            <w:pPr>
              <w:spacing w:after="20"/>
              <w:jc w:val="right"/>
            </w:pPr>
            <w:r>
              <w:rPr>
                <w:color w:val="1C3A36"/>
                <w:sz w:val="17"/>
              </w:rPr>
              <w:t>114.50</w:t>
            </w:r>
          </w:p>
        </w:tc>
        <w:tc>
          <w:tcPr>
            <w:tcW w:type="dxa" w:w="5760"/>
          </w:tcPr>
          <w:p>
            <w:pPr>
              <w:spacing w:after="20"/>
              <w:jc w:val="right"/>
            </w:pPr>
            <w:r>
              <w:rPr>
                <w:color w:val="1C3A36"/>
                <w:sz w:val="17"/>
              </w:rPr>
              <w:t>-8% from the high — the conventional basis, and the wider of the two</w:t>
            </w:r>
          </w:p>
        </w:tc>
      </w:tr>
      <w:tr>
        <w:tc>
          <w:tcPr>
            <w:tcW w:type="dxa" w:w="2664"/>
          </w:tcPr>
          <w:p>
            <w:pPr>
              <w:spacing w:after="20"/>
            </w:pPr>
            <w:r>
              <w:rPr>
                <w:color w:val="1C3A36"/>
                <w:sz w:val="17"/>
              </w:rPr>
              <w:t>52-week low</w:t>
            </w:r>
          </w:p>
        </w:tc>
        <w:tc>
          <w:tcPr>
            <w:tcW w:type="dxa" w:w="1656"/>
          </w:tcPr>
          <w:p>
            <w:pPr>
              <w:spacing w:after="20"/>
              <w:jc w:val="right"/>
            </w:pPr>
            <w:r>
              <w:rPr>
                <w:color w:val="1C3A36"/>
                <w:sz w:val="17"/>
              </w:rPr>
              <w:t>65.52</w:t>
            </w:r>
          </w:p>
        </w:tc>
        <w:tc>
          <w:tcPr>
            <w:tcW w:type="dxa" w:w="5760"/>
          </w:tcPr>
          <w:p>
            <w:pPr>
              <w:spacing w:after="20"/>
              <w:jc w:val="right"/>
            </w:pPr>
            <w:r>
              <w:rPr>
                <w:color w:val="1C3A36"/>
                <w:sz w:val="17"/>
              </w:rPr>
              <w:t>+61% from the low</w:t>
            </w:r>
          </w:p>
        </w:tc>
      </w:tr>
      <w:tr>
        <w:tc>
          <w:tcPr>
            <w:tcW w:type="dxa" w:w="2664"/>
          </w:tcPr>
          <w:p>
            <w:pPr>
              <w:spacing w:after="20"/>
            </w:pPr>
            <w:r>
              <w:rPr>
                <w:color w:val="1C3A36"/>
                <w:sz w:val="17"/>
              </w:rPr>
              <w:t>Annualised volatility</w:t>
            </w:r>
          </w:p>
        </w:tc>
        <w:tc>
          <w:tcPr>
            <w:tcW w:type="dxa" w:w="1656"/>
          </w:tcPr>
          <w:p>
            <w:pPr>
              <w:spacing w:after="20"/>
              <w:jc w:val="right"/>
            </w:pPr>
            <w:r>
              <w:rPr>
                <w:color w:val="1C3A36"/>
                <w:sz w:val="17"/>
              </w:rPr>
              <w:t>48.4%</w:t>
            </w:r>
          </w:p>
        </w:tc>
        <w:tc>
          <w:tcPr>
            <w:tcW w:type="dxa" w:w="5760"/>
          </w:tcPr>
          <w:p>
            <w:pPr>
              <w:spacing w:after="20"/>
              <w:jc w:val="right"/>
            </w:pPr>
            <w:r>
              <w:rPr>
                <w:color w:val="1C3A36"/>
                <w:sz w:val="17"/>
              </w:rPr>
              <w:t>the fitted range-based volatility model's CURRENT state (an exponentially-weighted estimate, not a fixed window — the 50-session simple figure is given below for comparison), the input to the price cone in section 3</w:t>
            </w:r>
          </w:p>
        </w:tc>
      </w:tr>
    </w:tbl>
    <w:p>
      <w:pPr>
        <w:spacing w:after="40"/>
      </w:pPr>
    </w:p>
    <w:p>
      <w:pPr>
        <w:spacing w:after="120" w:before="0"/>
      </w:pPr>
      <w:r>
        <w:rPr>
          <w:b w:val="0"/>
          <w:i w:val="0"/>
          <w:color w:val="1C3A36"/>
          <w:sz w:val="21"/>
        </w:rPr>
        <w:t>The share is above every moving average in the stack, and the stack itself is in ascending order — the configuration that describes an established uptrend. The price has compounded +37% over the last 252 trading sessions (the exchange's trailing year on the supplied series) and sits -3.5% from its 52-week high. Realised volatility of about 48% a year is high in absolute terms and unremarkable for this market. None of this is a valuation argument; it is the price context the valuation has to be read against, and the gap between a strongly trending price and a fundamental central below it is precisely what section 4 addresses.</w:t>
      </w:r>
    </w:p>
    <w:p>
      <w:pPr>
        <w:spacing w:after="200" w:before="0"/>
      </w:pPr>
      <w:r>
        <w:rPr>
          <w:b w:val="0"/>
          <w:i w:val="0"/>
          <w:color w:val="1C3A36"/>
          <w:sz w:val="21"/>
        </w:rPr>
        <w:t>One caveat on the volatility that sets the width of the price cone in section 3. The 48.4% annualised figure is dominated by a single session: the shares rose 14.1% on 4 August 2026 on roughly eleven times normal volume. Realised volatility over the last 50 sessions is 36.1%; strip out that one session and it falls to 22.0%. The cone in section 3 is therefore wide because of one day's move, and a reader who regards that session as a one-off should treat the bands as correspondingly generous.</w:t>
      </w:r>
    </w:p>
    <w:p>
      <w:pPr>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The engine simulates 50,000 price paths from a volatility model fitted to the daily high-low-open-close range, with a fat-tailed shock distribution and a drift anchored to the cost of carry — an EGP deposit-rate carry, ~18% annualised as implied by the median path, deliberately below the 22.3% bond yield and carrying no directional view.</w:t>
      </w:r>
    </w:p>
    <w:p>
      <w:pPr>
        <w:spacing w:after="120" w:before="0"/>
      </w:pPr>
      <w:r>
        <w:rPr>
          <w:b w:val="0"/>
          <w:i w:val="0"/>
          <w:color w:val="1C3A36"/>
          <w:sz w:val="21"/>
        </w:rPr>
        <w:t>The widths below are calibrated rather than assumed. Tested by walk-forward simulation over nearly five years — 19 independent non-overlapping quarterly windows with origins from 2021-10-05 to 2026-04-12 (the final window runs three months past its origin), each one forecast using only data available before it — the model scored +1.50% better than a random-walk benchmark anchored on the same cost of carry. Outcomes fell inside the stated bands at close to the advertised rate (47% inside the 50% band, 68% inside the 80%, 84% inside the 90%), and the outcomes were spread evenly across the distribution rather than bunching at one end — a uniformity test returns p = 0.28, comfortably consistent with a well-calibrated forecast. Over the very long run the picture is more mixed: across the full 14-year history the model still beats the benchmark (+1.07%) but its bands are about 22% wider than they need to be, which is a real limitation and is stated here rather than left out.</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forward price cone to three months. The dashed brass line is the fundamental central estimate of 69.73; the dotted line is the spot of 105.20.</w:t>
      </w: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152"/>
        <w:gridCol w:w="1152"/>
        <w:gridCol w:w="1152"/>
        <w:gridCol w:w="1152"/>
        <w:gridCol w:w="1152"/>
        <w:gridCol w:w="1800"/>
      </w:tblGrid>
      <w:tr>
        <w:tc>
          <w:tcPr>
            <w:tcW w:type="dxa" w:w="2520"/>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800"/>
            <w:shd w:val="clear" w:color="auto" w:fill="EAF0EE"/>
          </w:tcPr>
          <w:p>
            <w:pPr>
              <w:spacing w:after="20"/>
            </w:pPr>
            <w:r>
              <w:rPr>
                <w:b/>
                <w:color w:val="1C3A36"/>
                <w:sz w:val="17"/>
              </w:rPr>
              <w:t>Probability above spot</w:t>
            </w:r>
          </w:p>
        </w:tc>
      </w:tr>
      <w:tr>
        <w:tc>
          <w:tcPr>
            <w:tcW w:type="dxa" w:w="2520"/>
          </w:tcPr>
          <w:p>
            <w:pPr>
              <w:spacing w:after="20"/>
            </w:pPr>
            <w:r>
              <w:rPr>
                <w:color w:val="1C3A36"/>
                <w:sz w:val="17"/>
              </w:rPr>
              <w:t>1 month (to 2026-09-06)</w:t>
            </w:r>
          </w:p>
        </w:tc>
        <w:tc>
          <w:tcPr>
            <w:tcW w:type="dxa" w:w="1152"/>
          </w:tcPr>
          <w:p>
            <w:pPr>
              <w:spacing w:after="20"/>
              <w:jc w:val="right"/>
            </w:pPr>
            <w:r>
              <w:rPr>
                <w:color w:val="1C3A36"/>
                <w:sz w:val="17"/>
              </w:rPr>
              <w:t>87.47</w:t>
            </w:r>
          </w:p>
        </w:tc>
        <w:tc>
          <w:tcPr>
            <w:tcW w:type="dxa" w:w="1152"/>
          </w:tcPr>
          <w:p>
            <w:pPr>
              <w:spacing w:after="20"/>
              <w:jc w:val="right"/>
            </w:pPr>
            <w:r>
              <w:rPr>
                <w:color w:val="1C3A36"/>
                <w:sz w:val="17"/>
              </w:rPr>
              <w:t>99.11</w:t>
            </w:r>
          </w:p>
        </w:tc>
        <w:tc>
          <w:tcPr>
            <w:tcW w:type="dxa" w:w="1152"/>
          </w:tcPr>
          <w:p>
            <w:pPr>
              <w:spacing w:after="20"/>
              <w:jc w:val="right"/>
            </w:pPr>
            <w:r>
              <w:rPr>
                <w:color w:val="1C3A36"/>
                <w:sz w:val="17"/>
              </w:rPr>
              <w:t>106.68</w:t>
            </w:r>
          </w:p>
        </w:tc>
        <w:tc>
          <w:tcPr>
            <w:tcW w:type="dxa" w:w="1152"/>
          </w:tcPr>
          <w:p>
            <w:pPr>
              <w:spacing w:after="20"/>
              <w:jc w:val="right"/>
            </w:pPr>
            <w:r>
              <w:rPr>
                <w:color w:val="1C3A36"/>
                <w:sz w:val="17"/>
              </w:rPr>
              <w:t>114.90</w:t>
            </w:r>
          </w:p>
        </w:tc>
        <w:tc>
          <w:tcPr>
            <w:tcW w:type="dxa" w:w="1152"/>
          </w:tcPr>
          <w:p>
            <w:pPr>
              <w:spacing w:after="20"/>
              <w:jc w:val="right"/>
            </w:pPr>
            <w:r>
              <w:rPr>
                <w:color w:val="1C3A36"/>
                <w:sz w:val="17"/>
              </w:rPr>
              <w:t>130.17</w:t>
            </w:r>
          </w:p>
        </w:tc>
        <w:tc>
          <w:tcPr>
            <w:tcW w:type="dxa" w:w="1800"/>
          </w:tcPr>
          <w:p>
            <w:pPr>
              <w:spacing w:after="20"/>
              <w:jc w:val="right"/>
            </w:pPr>
            <w:r>
              <w:rPr>
                <w:color w:val="1C3A36"/>
                <w:sz w:val="17"/>
              </w:rPr>
              <w:t>55%</w:t>
            </w:r>
          </w:p>
        </w:tc>
      </w:tr>
      <w:tr>
        <w:tc>
          <w:tcPr>
            <w:tcW w:type="dxa" w:w="2520"/>
          </w:tcPr>
          <w:p>
            <w:pPr>
              <w:spacing w:after="20"/>
            </w:pPr>
            <w:r>
              <w:rPr>
                <w:color w:val="1C3A36"/>
                <w:sz w:val="17"/>
              </w:rPr>
              <w:t>3 months (to 2026-11-05)</w:t>
            </w:r>
          </w:p>
        </w:tc>
        <w:tc>
          <w:tcPr>
            <w:tcW w:type="dxa" w:w="1152"/>
          </w:tcPr>
          <w:p>
            <w:pPr>
              <w:spacing w:after="20"/>
              <w:jc w:val="right"/>
            </w:pPr>
            <w:r>
              <w:rPr>
                <w:color w:val="1C3A36"/>
                <w:sz w:val="17"/>
              </w:rPr>
              <w:t>78.30</w:t>
            </w:r>
          </w:p>
        </w:tc>
        <w:tc>
          <w:tcPr>
            <w:tcW w:type="dxa" w:w="1152"/>
          </w:tcPr>
          <w:p>
            <w:pPr>
              <w:spacing w:after="20"/>
              <w:jc w:val="right"/>
            </w:pPr>
            <w:r>
              <w:rPr>
                <w:color w:val="1C3A36"/>
                <w:sz w:val="17"/>
              </w:rPr>
              <w:t>96.94</w:t>
            </w:r>
          </w:p>
        </w:tc>
        <w:tc>
          <w:tcPr>
            <w:tcW w:type="dxa" w:w="1152"/>
          </w:tcPr>
          <w:p>
            <w:pPr>
              <w:spacing w:after="20"/>
              <w:jc w:val="right"/>
            </w:pPr>
            <w:r>
              <w:rPr>
                <w:color w:val="1C3A36"/>
                <w:sz w:val="17"/>
              </w:rPr>
              <w:t>109.91</w:t>
            </w:r>
          </w:p>
        </w:tc>
        <w:tc>
          <w:tcPr>
            <w:tcW w:type="dxa" w:w="1152"/>
          </w:tcPr>
          <w:p>
            <w:pPr>
              <w:spacing w:after="20"/>
              <w:jc w:val="right"/>
            </w:pPr>
            <w:r>
              <w:rPr>
                <w:color w:val="1C3A36"/>
                <w:sz w:val="17"/>
              </w:rPr>
              <w:t>124.46</w:t>
            </w:r>
          </w:p>
        </w:tc>
        <w:tc>
          <w:tcPr>
            <w:tcW w:type="dxa" w:w="1152"/>
          </w:tcPr>
          <w:p>
            <w:pPr>
              <w:spacing w:after="20"/>
              <w:jc w:val="right"/>
            </w:pPr>
            <w:r>
              <w:rPr>
                <w:color w:val="1C3A36"/>
                <w:sz w:val="17"/>
              </w:rPr>
              <w:t>154.19</w:t>
            </w:r>
          </w:p>
        </w:tc>
        <w:tc>
          <w:tcPr>
            <w:tcW w:type="dxa" w:w="1800"/>
          </w:tcPr>
          <w:p>
            <w:pPr>
              <w:spacing w:after="20"/>
              <w:jc w:val="right"/>
            </w:pPr>
            <w:r>
              <w:rPr>
                <w:color w:val="1C3A36"/>
                <w:sz w:val="17"/>
              </w:rPr>
              <w:t>59%</w:t>
            </w:r>
          </w:p>
        </w:tc>
      </w:tr>
    </w:tbl>
    <w:p>
      <w:pPr>
        <w:spacing w:after="40"/>
      </w:pPr>
    </w:p>
    <w:p>
      <w:pPr>
        <w:spacing w:after="40"/>
        <w:jc w:val="center"/>
      </w:pPr>
      <w:r>
        <w:drawing>
          <wp:inline xmlns:a="http://schemas.openxmlformats.org/drawingml/2006/main" xmlns:pic="http://schemas.openxmlformats.org/drawingml/2006/picture">
            <wp:extent cx="4846320" cy="242316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6 — the one-month price distribution.</w:t>
      </w:r>
    </w:p>
    <w:p>
      <w:pPr>
        <w:spacing w:after="40"/>
        <w:jc w:val="center"/>
      </w:pPr>
      <w:r>
        <w:drawing>
          <wp:inline xmlns:a="http://schemas.openxmlformats.org/drawingml/2006/main" xmlns:pic="http://schemas.openxmlformats.org/drawingml/2006/picture">
            <wp:extent cx="4846320" cy="242316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7 — the three-month price distribution.</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c>
          <w:tcPr>
            <w:tcW w:type="dxa" w:w="4752"/>
            <w:shd w:val="clear" w:color="auto" w:fill="EAF0EE"/>
          </w:tcPr>
          <w:p>
            <w:pPr>
              <w:spacing w:after="20"/>
            </w:pPr>
            <w:r>
              <w:rPr>
                <w:b/>
                <w:color w:val="1C3A36"/>
                <w:sz w:val="17"/>
              </w:rPr>
              <w:t>Event</w:t>
            </w:r>
          </w:p>
        </w:tc>
        <w:tc>
          <w:tcPr>
            <w:tcW w:type="dxa" w:w="1944"/>
            <w:shd w:val="clear" w:color="auto" w:fill="EAF0EE"/>
          </w:tcPr>
          <w:p>
            <w:pPr>
              <w:spacing w:after="20"/>
            </w:pPr>
            <w:r>
              <w:rPr>
                <w:b/>
                <w:color w:val="1C3A36"/>
                <w:sz w:val="17"/>
              </w:rPr>
              <w:t>1 month</w:t>
            </w:r>
          </w:p>
        </w:tc>
        <w:tc>
          <w:tcPr>
            <w:tcW w:type="dxa" w:w="1944"/>
            <w:shd w:val="clear" w:color="auto" w:fill="EAF0EE"/>
          </w:tcPr>
          <w:p>
            <w:pPr>
              <w:spacing w:after="20"/>
            </w:pPr>
            <w:r>
              <w:rPr>
                <w:b/>
                <w:color w:val="1C3A36"/>
                <w:sz w:val="17"/>
              </w:rPr>
              <w:t>3 months</w:t>
            </w:r>
          </w:p>
        </w:tc>
      </w:tr>
      <w:tr>
        <w:tc>
          <w:tcPr>
            <w:tcW w:type="dxa" w:w="4752"/>
          </w:tcPr>
          <w:p>
            <w:pPr>
              <w:spacing w:after="20"/>
            </w:pPr>
            <w:r>
              <w:rPr>
                <w:color w:val="1C3A36"/>
                <w:sz w:val="17"/>
              </w:rPr>
              <w:t>Finishes 10% or more above spot</w:t>
            </w:r>
          </w:p>
        </w:tc>
        <w:tc>
          <w:tcPr>
            <w:tcW w:type="dxa" w:w="1944"/>
          </w:tcPr>
          <w:p>
            <w:pPr>
              <w:spacing w:after="20"/>
              <w:jc w:val="right"/>
            </w:pPr>
            <w:r>
              <w:rPr>
                <w:color w:val="1C3A36"/>
                <w:sz w:val="17"/>
              </w:rPr>
              <w:t>23%</w:t>
            </w:r>
          </w:p>
        </w:tc>
        <w:tc>
          <w:tcPr>
            <w:tcW w:type="dxa" w:w="1944"/>
          </w:tcPr>
          <w:p>
            <w:pPr>
              <w:spacing w:after="20"/>
              <w:jc w:val="right"/>
            </w:pPr>
            <w:r>
              <w:rPr>
                <w:color w:val="1C3A36"/>
                <w:sz w:val="17"/>
              </w:rPr>
              <w:t>39%</w:t>
            </w:r>
          </w:p>
        </w:tc>
      </w:tr>
      <w:tr>
        <w:tc>
          <w:tcPr>
            <w:tcW w:type="dxa" w:w="4752"/>
          </w:tcPr>
          <w:p>
            <w:pPr>
              <w:spacing w:after="20"/>
            </w:pPr>
            <w:r>
              <w:rPr>
                <w:color w:val="1C3A36"/>
                <w:sz w:val="17"/>
              </w:rPr>
              <w:t>Finishes 10% or more below spot</w:t>
            </w:r>
          </w:p>
        </w:tc>
        <w:tc>
          <w:tcPr>
            <w:tcW w:type="dxa" w:w="1944"/>
          </w:tcPr>
          <w:p>
            <w:pPr>
              <w:spacing w:after="20"/>
              <w:jc w:val="right"/>
            </w:pPr>
            <w:r>
              <w:rPr>
                <w:color w:val="1C3A36"/>
                <w:sz w:val="17"/>
              </w:rPr>
              <w:t>14%</w:t>
            </w:r>
          </w:p>
        </w:tc>
        <w:tc>
          <w:tcPr>
            <w:tcW w:type="dxa" w:w="1944"/>
          </w:tcPr>
          <w:p>
            <w:pPr>
              <w:spacing w:after="20"/>
              <w:jc w:val="right"/>
            </w:pPr>
            <w:r>
              <w:rPr>
                <w:color w:val="1C3A36"/>
                <w:sz w:val="17"/>
              </w:rPr>
              <w:t>21%</w:t>
            </w:r>
          </w:p>
        </w:tc>
      </w:tr>
      <w:tr>
        <w:tc>
          <w:tcPr>
            <w:tcW w:type="dxa" w:w="4752"/>
          </w:tcPr>
          <w:p>
            <w:pPr>
              <w:spacing w:after="20"/>
            </w:pPr>
            <w:r>
              <w:rPr>
                <w:color w:val="1C3A36"/>
                <w:sz w:val="17"/>
              </w:rPr>
              <w:t>Touches 10% above spot at any point</w:t>
            </w:r>
          </w:p>
        </w:tc>
        <w:tc>
          <w:tcPr>
            <w:tcW w:type="dxa" w:w="1944"/>
          </w:tcPr>
          <w:p>
            <w:pPr>
              <w:spacing w:after="20"/>
              <w:jc w:val="right"/>
            </w:pPr>
            <w:r>
              <w:rPr>
                <w:color w:val="1C3A36"/>
                <w:sz w:val="17"/>
              </w:rPr>
              <w:t>37%</w:t>
            </w:r>
          </w:p>
        </w:tc>
        <w:tc>
          <w:tcPr>
            <w:tcW w:type="dxa" w:w="1944"/>
          </w:tcPr>
          <w:p>
            <w:pPr>
              <w:spacing w:after="20"/>
              <w:jc w:val="right"/>
            </w:pPr>
            <w:r>
              <w:rPr>
                <w:color w:val="1C3A36"/>
                <w:sz w:val="17"/>
              </w:rPr>
              <w:t>63%</w:t>
            </w:r>
          </w:p>
        </w:tc>
      </w:tr>
      <w:tr>
        <w:tc>
          <w:tcPr>
            <w:tcW w:type="dxa" w:w="4752"/>
          </w:tcPr>
          <w:p>
            <w:pPr>
              <w:spacing w:after="20"/>
            </w:pPr>
            <w:r>
              <w:rPr>
                <w:color w:val="1C3A36"/>
                <w:sz w:val="17"/>
              </w:rPr>
              <w:t>Touches 10% below spot at any point</w:t>
            </w:r>
          </w:p>
        </w:tc>
        <w:tc>
          <w:tcPr>
            <w:tcW w:type="dxa" w:w="1944"/>
          </w:tcPr>
          <w:p>
            <w:pPr>
              <w:spacing w:after="20"/>
              <w:jc w:val="right"/>
            </w:pPr>
            <w:r>
              <w:rPr>
                <w:color w:val="1C3A36"/>
                <w:sz w:val="17"/>
              </w:rPr>
              <w:t>25%</w:t>
            </w:r>
          </w:p>
        </w:tc>
        <w:tc>
          <w:tcPr>
            <w:tcW w:type="dxa" w:w="1944"/>
          </w:tcPr>
          <w:p>
            <w:pPr>
              <w:spacing w:after="20"/>
              <w:jc w:val="right"/>
            </w:pPr>
            <w:r>
              <w:rPr>
                <w:color w:val="1C3A36"/>
                <w:sz w:val="17"/>
              </w:rPr>
              <w:t>45%</w:t>
            </w:r>
          </w:p>
        </w:tc>
      </w:tr>
    </w:tbl>
    <w:p>
      <w:pPr>
        <w:spacing w:after="40"/>
      </w:pPr>
    </w:p>
    <w:p>
      <w:pPr>
        <w:spacing w:after="200" w:before="0"/>
      </w:pPr>
      <w:r>
        <w:rPr>
          <w:b w:val="0"/>
          <w:i/>
          <w:color w:val="6E7B77"/>
          <w:sz w:val="17"/>
        </w:rPr>
        <w:t>Touch probabilities exceed finish probabilities because a path can visit a level and come back. This distinction matters for anyone thinking about a level rather than a date.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168"/>
        <w:gridCol w:w="4248"/>
      </w:tblGrid>
      <w:tr>
        <w:tc>
          <w:tcPr>
            <w:tcW w:type="dxa" w:w="2664"/>
            <w:shd w:val="clear" w:color="auto" w:fill="EAF0EE"/>
          </w:tcPr>
          <w:p>
            <w:pPr>
              <w:spacing w:after="20"/>
            </w:pPr>
            <w:r>
              <w:rPr>
                <w:b/>
                <w:color w:val="1C3A36"/>
                <w:sz w:val="17"/>
              </w:rPr>
              <w:t>Read</w:t>
            </w:r>
          </w:p>
        </w:tc>
        <w:tc>
          <w:tcPr>
            <w:tcW w:type="dxa" w:w="3168"/>
            <w:shd w:val="clear" w:color="auto" w:fill="EAF0EE"/>
          </w:tcPr>
          <w:p>
            <w:pPr>
              <w:spacing w:after="20"/>
            </w:pPr>
            <w:r>
              <w:rPr>
                <w:b/>
                <w:color w:val="1C3A36"/>
                <w:sz w:val="17"/>
              </w:rPr>
              <w:t>What it says</w:t>
            </w:r>
          </w:p>
        </w:tc>
        <w:tc>
          <w:tcPr>
            <w:tcW w:type="dxa" w:w="4248"/>
            <w:shd w:val="clear" w:color="auto" w:fill="EAF0EE"/>
          </w:tcPr>
          <w:p>
            <w:pPr>
              <w:spacing w:after="20"/>
            </w:pPr>
            <w:r>
              <w:rPr>
                <w:b/>
                <w:color w:val="1C3A36"/>
                <w:sz w:val="17"/>
              </w:rPr>
              <w:t>What it assumes</w:t>
            </w:r>
          </w:p>
        </w:tc>
      </w:tr>
      <w:tr>
        <w:tc>
          <w:tcPr>
            <w:tcW w:type="dxa" w:w="2664"/>
          </w:tcPr>
          <w:p>
            <w:pPr>
              <w:spacing w:after="20"/>
            </w:pPr>
            <w:r>
              <w:rPr>
                <w:color w:val="1C3A36"/>
                <w:sz w:val="17"/>
              </w:rPr>
              <w:t>Fundamental (weighted)</w:t>
            </w:r>
          </w:p>
        </w:tc>
        <w:tc>
          <w:tcPr>
            <w:tcW w:type="dxa" w:w="3168"/>
          </w:tcPr>
          <w:p>
            <w:pPr>
              <w:spacing w:after="20"/>
              <w:jc w:val="right"/>
            </w:pPr>
            <w:r>
              <w:rPr>
                <w:color w:val="1C3A36"/>
                <w:sz w:val="17"/>
              </w:rPr>
              <w:t>EGP 69.73 central, -34% against the market</w:t>
            </w:r>
          </w:p>
        </w:tc>
        <w:tc>
          <w:tcPr>
            <w:tcW w:type="dxa" w:w="4248"/>
          </w:tcPr>
          <w:p>
            <w:pPr>
              <w:spacing w:after="20"/>
              <w:jc w:val="right"/>
            </w:pPr>
            <w:r>
              <w:rPr>
                <w:color w:val="1C3A36"/>
                <w:sz w:val="17"/>
              </w:rPr>
              <w:t>an Egyptian cost of capital applied to the whole company, and no real terminal growth</w:t>
            </w:r>
          </w:p>
        </w:tc>
      </w:tr>
      <w:tr>
        <w:tc>
          <w:tcPr>
            <w:tcW w:type="dxa" w:w="2664"/>
          </w:tcPr>
          <w:p>
            <w:pPr>
              <w:spacing w:after="20"/>
            </w:pPr>
            <w:r>
              <w:rPr>
                <w:color w:val="1C3A36"/>
                <w:sz w:val="17"/>
              </w:rPr>
              <w:t>Cash flow alone</w:t>
            </w:r>
          </w:p>
        </w:tc>
        <w:tc>
          <w:tcPr>
            <w:tcW w:type="dxa" w:w="3168"/>
          </w:tcPr>
          <w:p>
            <w:pPr>
              <w:spacing w:after="20"/>
              <w:jc w:val="right"/>
            </w:pPr>
            <w:r>
              <w:rPr>
                <w:color w:val="1C3A36"/>
                <w:sz w:val="17"/>
              </w:rPr>
              <w:t>EGP 56.08, -47%</w:t>
            </w:r>
          </w:p>
        </w:tc>
        <w:tc>
          <w:tcPr>
            <w:tcW w:type="dxa" w:w="4248"/>
          </w:tcPr>
          <w:p>
            <w:pPr>
              <w:spacing w:after="20"/>
              <w:jc w:val="right"/>
            </w:pPr>
            <w:r>
              <w:rPr>
                <w:color w:val="1C3A36"/>
                <w:sz w:val="17"/>
              </w:rPr>
              <w:t>a cost of capital gliding 26.6% to 15.9%</w:t>
            </w:r>
          </w:p>
        </w:tc>
      </w:tr>
      <w:tr>
        <w:tc>
          <w:tcPr>
            <w:tcW w:type="dxa" w:w="2664"/>
          </w:tcPr>
          <w:p>
            <w:pPr>
              <w:spacing w:after="20"/>
            </w:pPr>
            <w:r>
              <w:rPr>
                <w:color w:val="1C3A36"/>
                <w:sz w:val="17"/>
              </w:rPr>
              <w:t>Currency-of-discounting alternative</w:t>
            </w:r>
          </w:p>
        </w:tc>
        <w:tc>
          <w:tcPr>
            <w:tcW w:type="dxa" w:w="3168"/>
          </w:tcPr>
          <w:p>
            <w:pPr>
              <w:spacing w:after="20"/>
              <w:jc w:val="right"/>
            </w:pPr>
            <w:r>
              <w:rPr>
                <w:color w:val="1C3A36"/>
                <w:sz w:val="17"/>
              </w:rPr>
              <w:t>EGP 85.97, -18%</w:t>
            </w:r>
          </w:p>
        </w:tc>
        <w:tc>
          <w:tcPr>
            <w:tcW w:type="dxa" w:w="4248"/>
          </w:tcPr>
          <w:p>
            <w:pPr>
              <w:spacing w:after="20"/>
              <w:jc w:val="right"/>
            </w:pPr>
            <w:r>
              <w:rPr>
                <w:color w:val="1C3A36"/>
                <w:sz w:val="17"/>
              </w:rPr>
              <w:t>the hard-currency cash-flow leg discounted at about 10.1%</w:t>
            </w:r>
          </w:p>
        </w:tc>
      </w:tr>
      <w:tr>
        <w:tc>
          <w:tcPr>
            <w:tcW w:type="dxa" w:w="2664"/>
          </w:tcPr>
          <w:p>
            <w:pPr>
              <w:spacing w:after="20"/>
            </w:pPr>
            <w:r>
              <w:rPr>
                <w:color w:val="1C3A36"/>
                <w:sz w:val="17"/>
              </w:rPr>
              <w:t>Multiples</w:t>
            </w:r>
          </w:p>
        </w:tc>
        <w:tc>
          <w:tcPr>
            <w:tcW w:type="dxa" w:w="3168"/>
          </w:tcPr>
          <w:p>
            <w:pPr>
              <w:spacing w:after="20"/>
              <w:jc w:val="right"/>
            </w:pPr>
            <w:r>
              <w:rPr>
                <w:color w:val="1C3A36"/>
                <w:sz w:val="17"/>
              </w:rPr>
              <w:t>EGP 75.65, -28%</w:t>
            </w:r>
          </w:p>
        </w:tc>
        <w:tc>
          <w:tcPr>
            <w:tcW w:type="dxa" w:w="4248"/>
          </w:tcPr>
          <w:p>
            <w:pPr>
              <w:spacing w:after="20"/>
              <w:jc w:val="right"/>
            </w:pPr>
            <w:r>
              <w:rPr>
                <w:color w:val="1C3A36"/>
                <w:sz w:val="17"/>
              </w:rPr>
              <w:t>a judged multiple on forward earnings, discounted back, is the right way to price this (no peer multiple is computed anywhere in this study — §1.3)</w:t>
            </w:r>
          </w:p>
        </w:tc>
      </w:tr>
      <w:tr>
        <w:tc>
          <w:tcPr>
            <w:tcW w:type="dxa" w:w="2664"/>
          </w:tcPr>
          <w:p>
            <w:pPr>
              <w:spacing w:after="20"/>
            </w:pPr>
            <w:r>
              <w:rPr>
                <w:color w:val="1C3A36"/>
                <w:sz w:val="17"/>
              </w:rPr>
              <w:t>The market</w:t>
            </w:r>
          </w:p>
        </w:tc>
        <w:tc>
          <w:tcPr>
            <w:tcW w:type="dxa" w:w="3168"/>
          </w:tcPr>
          <w:p>
            <w:pPr>
              <w:spacing w:after="20"/>
              <w:jc w:val="right"/>
            </w:pPr>
            <w:r>
              <w:rPr>
                <w:color w:val="1C3A36"/>
                <w:sz w:val="17"/>
              </w:rPr>
              <w:t>105.20</w:t>
            </w:r>
          </w:p>
        </w:tc>
        <w:tc>
          <w:tcPr>
            <w:tcW w:type="dxa" w:w="4248"/>
          </w:tcPr>
          <w:p>
            <w:pPr>
              <w:spacing w:after="20"/>
              <w:jc w:val="right"/>
            </w:pPr>
            <w:r>
              <w:rPr>
                <w:color w:val="1C3A36"/>
                <w:sz w:val="17"/>
              </w:rPr>
              <w:t>revealed preference of the marginal buyer</w:t>
            </w:r>
          </w:p>
        </w:tc>
      </w:tr>
      <w:tr>
        <w:tc>
          <w:tcPr>
            <w:tcW w:type="dxa" w:w="2664"/>
          </w:tcPr>
          <w:p>
            <w:pPr>
              <w:spacing w:after="20"/>
            </w:pPr>
            <w:r>
              <w:rPr>
                <w:color w:val="1C3A36"/>
                <w:sz w:val="17"/>
              </w:rPr>
              <w:t>Three-month price map</w:t>
            </w:r>
          </w:p>
        </w:tc>
        <w:tc>
          <w:tcPr>
            <w:tcW w:type="dxa" w:w="3168"/>
          </w:tcPr>
          <w:p>
            <w:pPr>
              <w:spacing w:after="20"/>
              <w:jc w:val="right"/>
            </w:pPr>
            <w:r>
              <w:rPr>
                <w:color w:val="1C3A36"/>
                <w:sz w:val="17"/>
              </w:rPr>
              <w:t>median 109.91, 59% chance of finishing above spot</w:t>
            </w:r>
          </w:p>
        </w:tc>
        <w:tc>
          <w:tcPr>
            <w:tcW w:type="dxa" w:w="4248"/>
          </w:tcPr>
          <w:p>
            <w:pPr>
              <w:spacing w:after="20"/>
              <w:jc w:val="right"/>
            </w:pPr>
            <w:r>
              <w:rPr>
                <w:color w:val="1C3A36"/>
                <w:sz w:val="17"/>
              </w:rPr>
              <w:t>volatility persists as it has; no view on value</w:t>
            </w:r>
          </w:p>
        </w:tc>
      </w:tr>
    </w:tbl>
    <w:p>
      <w:pPr>
        <w:spacing w:after="40"/>
      </w:pPr>
    </w:p>
    <w:p>
      <w:pPr>
        <w:spacing w:after="120" w:before="0"/>
      </w:pPr>
      <w:r>
        <w:rPr>
          <w:b w:val="0"/>
          <w:i w:val="0"/>
          <w:color w:val="1C3A36"/>
          <w:sz w:val="21"/>
        </w:rPr>
        <w:t>The reading we take from this is that the disagreement between the market and the cash-flow model is almost entirely a disagreement about the discount rate, and that this is a genuinely open question rather than a mistake by one side. A company that earns just over half its money on a hard-currency-linked basis, borrows roughly 72% of its book in hard currency at 5.3%, and holds assets in fifteen countries is only partly an Egyptian risk. Charging it the full Egyptian equity risk premium — which is what our primary construction does — is the conservative choice, not the obviously correct one. Charging it none of that premium, which is roughly what the market price implies, is the aggressive one.</w:t>
      </w:r>
    </w:p>
    <w:p>
      <w:pPr>
        <w:spacing w:after="120" w:before="0"/>
      </w:pPr>
      <w:r>
        <w:rPr>
          <w:b w:val="0"/>
          <w:i w:val="0"/>
          <w:color w:val="1C3A36"/>
          <w:sz w:val="21"/>
        </w:rPr>
        <w:t>Our own weighting sits closer to the conservative end because the shares are bought and sold in Egyptian pounds on an Egyptian exchange, the dividends are paid in Egyptian pounds, and the ability of a foreign shareholder to realise value depends on Egyptian capital-account conditions. That is a real risk and it belongs in the discount rate. But a reader who believes that convertibility is not the binding constraint, and that the hard-currency earnings should be valued as hard-currency earnings, will reach a materially higher number using the same cash-flow forecasts — EGP 85.97 on the alternative shown. Neither reader is being unreasonable, and this study declines to hide that behind a single figure.</w:t>
      </w:r>
    </w:p>
    <w:p>
      <w:pPr>
        <w:spacing w:after="200" w:before="0"/>
      </w:pPr>
      <w:r>
        <w:rPr>
          <w:b w:val="0"/>
          <w:i w:val="0"/>
          <w:color w:val="1C3A36"/>
          <w:sz w:val="21"/>
        </w:rPr>
        <w:t>No rating and no price target is expressed here or anywhere else in this document. The output is a range and a distribution.</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16"/>
        <w:gridCol w:w="4104"/>
      </w:tblGrid>
      <w:tr>
        <w:tc>
          <w:tcPr>
            <w:tcW w:type="dxa" w:w="2160"/>
            <w:shd w:val="clear" w:color="auto" w:fill="EAF0EE"/>
          </w:tcPr>
          <w:p>
            <w:pPr>
              <w:spacing w:after="20"/>
            </w:pPr>
            <w:r>
              <w:rPr>
                <w:b/>
                <w:color w:val="1C3A36"/>
                <w:sz w:val="16"/>
              </w:rPr>
              <w:t>Catalyst</w:t>
            </w:r>
          </w:p>
        </w:tc>
        <w:tc>
          <w:tcPr>
            <w:tcW w:type="dxa" w:w="3816"/>
            <w:shd w:val="clear" w:color="auto" w:fill="EAF0EE"/>
          </w:tcPr>
          <w:p>
            <w:pPr>
              <w:spacing w:after="20"/>
            </w:pPr>
            <w:r>
              <w:rPr>
                <w:b/>
                <w:color w:val="1C3A36"/>
                <w:sz w:val="16"/>
              </w:rPr>
              <w:t>Why it matters</w:t>
            </w:r>
          </w:p>
        </w:tc>
        <w:tc>
          <w:tcPr>
            <w:tcW w:type="dxa" w:w="4104"/>
            <w:shd w:val="clear" w:color="auto" w:fill="EAF0EE"/>
          </w:tcPr>
          <w:p>
            <w:pPr>
              <w:spacing w:after="20"/>
            </w:pPr>
            <w:r>
              <w:rPr>
                <w:b/>
                <w:color w:val="1C3A36"/>
                <w:sz w:val="16"/>
              </w:rPr>
              <w:t>What to watch</w:t>
            </w:r>
          </w:p>
        </w:tc>
      </w:tr>
      <w:tr>
        <w:tc>
          <w:tcPr>
            <w:tcW w:type="dxa" w:w="2160"/>
          </w:tcPr>
          <w:p>
            <w:pPr>
              <w:spacing w:after="20"/>
            </w:pPr>
            <w:r>
              <w:rPr>
                <w:color w:val="1C3A36"/>
                <w:sz w:val="16"/>
              </w:rPr>
              <w:t>Half-year 2026 results</w:t>
            </w:r>
          </w:p>
        </w:tc>
        <w:tc>
          <w:tcPr>
            <w:tcW w:type="dxa" w:w="3816"/>
          </w:tcPr>
          <w:p>
            <w:pPr>
              <w:spacing w:after="20"/>
              <w:jc w:val="right"/>
            </w:pPr>
            <w:r>
              <w:rPr>
                <w:color w:val="1C3A36"/>
                <w:sz w:val="16"/>
              </w:rPr>
              <w:t>the first read on whether the first quarter's reacceleration is a trend or a comparison effect, and on whether margins have stopped falling</w:t>
            </w:r>
          </w:p>
        </w:tc>
        <w:tc>
          <w:tcPr>
            <w:tcW w:type="dxa" w:w="4104"/>
          </w:tcPr>
          <w:p>
            <w:pPr>
              <w:spacing w:after="20"/>
              <w:jc w:val="right"/>
            </w:pPr>
            <w:r>
              <w:rPr>
                <w:color w:val="1C3A36"/>
                <w:sz w:val="16"/>
              </w:rPr>
              <w:t>gross margin against the 2025 exit rate; whether revenue growth holds above 20%</w:t>
            </w:r>
          </w:p>
        </w:tc>
      </w:tr>
      <w:tr>
        <w:tc>
          <w:tcPr>
            <w:tcW w:type="dxa" w:w="2160"/>
          </w:tcPr>
          <w:p>
            <w:pPr>
              <w:spacing w:after="20"/>
            </w:pPr>
            <w:r>
              <w:rPr>
                <w:color w:val="1C3A36"/>
                <w:sz w:val="16"/>
              </w:rPr>
              <w:t>Working-capital conversion</w:t>
            </w:r>
          </w:p>
        </w:tc>
        <w:tc>
          <w:tcPr>
            <w:tcW w:type="dxa" w:w="3816"/>
          </w:tcPr>
          <w:p>
            <w:pPr>
              <w:spacing w:after="20"/>
              <w:jc w:val="right"/>
            </w:pPr>
            <w:r>
              <w:rPr>
                <w:color w:val="1C3A36"/>
                <w:sz w:val="16"/>
              </w:rPr>
              <w:t>the model's largest single assumption is that working capital stays near 19.9% of revenue</w:t>
            </w:r>
          </w:p>
        </w:tc>
        <w:tc>
          <w:tcPr>
            <w:tcW w:type="dxa" w:w="4104"/>
          </w:tcPr>
          <w:p>
            <w:pPr>
              <w:spacing w:after="20"/>
              <w:jc w:val="right"/>
            </w:pPr>
            <w:r>
              <w:rPr>
                <w:color w:val="1C3A36"/>
                <w:sz w:val="16"/>
              </w:rPr>
              <w:t>operating cash flow against EBITDA in the interim statements; inventory and receivable days</w:t>
            </w:r>
          </w:p>
        </w:tc>
      </w:tr>
      <w:tr>
        <w:tc>
          <w:tcPr>
            <w:tcW w:type="dxa" w:w="2160"/>
          </w:tcPr>
          <w:p>
            <w:pPr>
              <w:spacing w:after="20"/>
            </w:pPr>
            <w:r>
              <w:rPr>
                <w:color w:val="1C3A36"/>
                <w:sz w:val="16"/>
              </w:rPr>
              <w:t>The exchange rate</w:t>
            </w:r>
          </w:p>
        </w:tc>
        <w:tc>
          <w:tcPr>
            <w:tcW w:type="dxa" w:w="3816"/>
          </w:tcPr>
          <w:p>
            <w:pPr>
              <w:spacing w:after="20"/>
              <w:jc w:val="right"/>
            </w:pPr>
            <w:r>
              <w:rPr>
                <w:color w:val="1C3A36"/>
                <w:sz w:val="16"/>
              </w:rPr>
              <w:t>about 51% of revenue is hard-currency linked, so both the translated result and the working capital move with the pound</w:t>
            </w:r>
          </w:p>
        </w:tc>
        <w:tc>
          <w:tcPr>
            <w:tcW w:type="dxa" w:w="4104"/>
          </w:tcPr>
          <w:p>
            <w:pPr>
              <w:spacing w:after="20"/>
              <w:jc w:val="right"/>
            </w:pPr>
            <w:r>
              <w:rPr>
                <w:color w:val="1C3A36"/>
                <w:sz w:val="16"/>
              </w:rPr>
              <w:t>the pace of depreciation against the roughly 6% a year assumed here, and whether the gap to interest-rate parity closes through rates or through the currency</w:t>
            </w:r>
          </w:p>
        </w:tc>
      </w:tr>
      <w:tr>
        <w:tc>
          <w:tcPr>
            <w:tcW w:type="dxa" w:w="2160"/>
          </w:tcPr>
          <w:p>
            <w:pPr>
              <w:spacing w:after="20"/>
            </w:pPr>
            <w:r>
              <w:rPr>
                <w:color w:val="1C3A36"/>
                <w:sz w:val="16"/>
              </w:rPr>
              <w:t>Central bank policy</w:t>
            </w:r>
          </w:p>
        </w:tc>
        <w:tc>
          <w:tcPr>
            <w:tcW w:type="dxa" w:w="3816"/>
          </w:tcPr>
          <w:p>
            <w:pPr>
              <w:spacing w:after="20"/>
              <w:jc w:val="right"/>
            </w:pPr>
            <w:r>
              <w:rPr>
                <w:color w:val="1C3A36"/>
                <w:sz w:val="16"/>
              </w:rPr>
              <w:t>the discount rate glide assumes continued disinflation; a stall raises the cost of capital across the whole model</w:t>
            </w:r>
          </w:p>
        </w:tc>
        <w:tc>
          <w:tcPr>
            <w:tcW w:type="dxa" w:w="4104"/>
          </w:tcPr>
          <w:p>
            <w:pPr>
              <w:spacing w:after="20"/>
              <w:jc w:val="right"/>
            </w:pPr>
            <w:r>
              <w:rPr>
                <w:color w:val="1C3A36"/>
                <w:sz w:val="16"/>
              </w:rPr>
              <w:t>policy meetings and the inflation path against the stated targets</w:t>
            </w:r>
          </w:p>
        </w:tc>
      </w:tr>
      <w:tr>
        <w:tc>
          <w:tcPr>
            <w:tcW w:type="dxa" w:w="2160"/>
          </w:tcPr>
          <w:p>
            <w:pPr>
              <w:spacing w:after="20"/>
            </w:pPr>
            <w:r>
              <w:rPr>
                <w:color w:val="1C3A36"/>
                <w:sz w:val="16"/>
              </w:rPr>
              <w:t>Copper</w:t>
            </w:r>
          </w:p>
        </w:tc>
        <w:tc>
          <w:tcPr>
            <w:tcW w:type="dxa" w:w="3816"/>
          </w:tcPr>
          <w:p>
            <w:pPr>
              <w:spacing w:after="20"/>
              <w:jc w:val="right"/>
            </w:pPr>
            <w:r>
              <w:rPr>
                <w:color w:val="1C3A36"/>
                <w:sz w:val="16"/>
              </w:rPr>
              <w:t>copper is the dominant input in the largest segment and is passed through with a lag</w:t>
            </w:r>
          </w:p>
        </w:tc>
        <w:tc>
          <w:tcPr>
            <w:tcW w:type="dxa" w:w="4104"/>
          </w:tcPr>
          <w:p>
            <w:pPr>
              <w:spacing w:after="20"/>
              <w:jc w:val="right"/>
            </w:pPr>
            <w:r>
              <w:rPr>
                <w:color w:val="1C3A36"/>
                <w:sz w:val="16"/>
              </w:rPr>
              <w:t>whether contracts continue to reprice fast enough to protect the cable gross margin during price spikes</w:t>
            </w:r>
          </w:p>
        </w:tc>
      </w:tr>
      <w:tr>
        <w:tc>
          <w:tcPr>
            <w:tcW w:type="dxa" w:w="2160"/>
          </w:tcPr>
          <w:p>
            <w:pPr>
              <w:spacing w:after="20"/>
            </w:pPr>
            <w:r>
              <w:rPr>
                <w:color w:val="1C3A36"/>
                <w:sz w:val="16"/>
              </w:rPr>
              <w:t>Order intake</w:t>
            </w:r>
          </w:p>
        </w:tc>
        <w:tc>
          <w:tcPr>
            <w:tcW w:type="dxa" w:w="3816"/>
          </w:tcPr>
          <w:p>
            <w:pPr>
              <w:spacing w:after="20"/>
              <w:jc w:val="right"/>
            </w:pPr>
            <w:r>
              <w:rPr>
                <w:color w:val="1C3A36"/>
                <w:sz w:val="16"/>
              </w:rPr>
              <w:t>no order book or backlog figure is disclosed anywhere in the audited filings, so the Constructions and infrastructure forecast tapers on its own revenue growth rather than a burn rate</w:t>
            </w:r>
          </w:p>
        </w:tc>
        <w:tc>
          <w:tcPr>
            <w:tcW w:type="dxa" w:w="4104"/>
          </w:tcPr>
          <w:p>
            <w:pPr>
              <w:spacing w:after="20"/>
              <w:jc w:val="right"/>
            </w:pPr>
            <w:r>
              <w:rPr>
                <w:color w:val="1C3A36"/>
                <w:sz w:val="16"/>
              </w:rPr>
              <w:t>whether Constructions and infrastructure revenue growth (18% in FY2026E) holds up or decelerates faster than assumed</w:t>
            </w:r>
          </w:p>
        </w:tc>
      </w:tr>
      <w:tr>
        <w:tc>
          <w:tcPr>
            <w:tcW w:type="dxa" w:w="2160"/>
          </w:tcPr>
          <w:p>
            <w:pPr>
              <w:spacing w:after="20"/>
            </w:pPr>
            <w:r>
              <w:rPr>
                <w:color w:val="1C3A36"/>
                <w:sz w:val="16"/>
              </w:rPr>
              <w:t>Dividend policy</w:t>
            </w:r>
          </w:p>
        </w:tc>
        <w:tc>
          <w:tcPr>
            <w:tcW w:type="dxa" w:w="3816"/>
          </w:tcPr>
          <w:p>
            <w:pPr>
              <w:spacing w:after="20"/>
              <w:jc w:val="right"/>
            </w:pPr>
            <w:r>
              <w:rPr>
                <w:color w:val="1C3A36"/>
                <w:sz w:val="16"/>
              </w:rPr>
              <w:t>the FY2025 payout ALREADY stepped up +85%, to EGP 1.85 (paid June 2026, 22.8% of attributable EPS); the forecast assumes 25% — whether the step-up is the start of a trajectory or a plateau moves the equity roll-forward and the net-debt path</w:t>
            </w:r>
          </w:p>
        </w:tc>
        <w:tc>
          <w:tcPr>
            <w:tcW w:type="dxa" w:w="4104"/>
          </w:tcPr>
          <w:p>
            <w:pPr>
              <w:spacing w:after="20"/>
              <w:jc w:val="right"/>
            </w:pPr>
            <w:r>
              <w:rPr>
                <w:color w:val="1C3A36"/>
                <w:sz w:val="16"/>
              </w:rPr>
              <w:t>the distribution proposed on the FY2026 result, against the 22.8% just paid</w:t>
            </w:r>
          </w:p>
        </w:tc>
      </w:tr>
    </w:tbl>
    <w:p>
      <w:pPr>
        <w:spacing w:after="40"/>
      </w:pPr>
    </w:p>
    <w:p>
      <w:pPr>
        <w:spacing w:after="120" w:before="280"/>
      </w:pPr>
      <w:r>
        <w:rPr>
          <w:b/>
          <w:i w:val="0"/>
          <w:color w:val="1C3A36"/>
          <w:sz w:val="30"/>
        </w:rPr>
        <w:t>6  Reading the probability zones</w:t>
      </w:r>
    </w:p>
    <w:p>
      <w:pPr>
        <w:spacing w:after="120" w:before="0"/>
      </w:pPr>
      <w:r>
        <w:rPr>
          <w:b w:val="0"/>
          <w:i w:val="0"/>
          <w:color w:val="1C3A36"/>
          <w:sz w:val="21"/>
        </w:rPr>
        <w:t>The three-month distribution in section 3 has a median of 109.91 and a 5th-to-95th percentile span of 78.30 to 154.19. Read that span honestly: it means the model considers a -26% move and a +47% move to be equally unremarkable tail outcomes over a single quarter. Anyone who finds that range uncomfortably wide is reacting to the volatility of the share rather than to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520"/>
        <w:gridCol w:w="5040"/>
      </w:tblGrid>
      <w:tr>
        <w:tc>
          <w:tcPr>
            <w:tcW w:type="dxa" w:w="2520"/>
            <w:shd w:val="clear" w:color="auto" w:fill="EAF0EE"/>
          </w:tcPr>
          <w:p>
            <w:pPr>
              <w:spacing w:after="20"/>
            </w:pPr>
            <w:r>
              <w:rPr>
                <w:b/>
                <w:color w:val="1C3A36"/>
                <w:sz w:val="17"/>
              </w:rPr>
              <w:t>Zone</w:t>
            </w:r>
          </w:p>
        </w:tc>
        <w:tc>
          <w:tcPr>
            <w:tcW w:type="dxa" w:w="2520"/>
            <w:shd w:val="clear" w:color="auto" w:fill="EAF0EE"/>
          </w:tcPr>
          <w:p>
            <w:pPr>
              <w:spacing w:after="20"/>
            </w:pPr>
            <w:r>
              <w:rPr>
                <w:b/>
                <w:color w:val="1C3A36"/>
                <w:sz w:val="17"/>
              </w:rPr>
              <w:t>Three-month range (EGP)</w:t>
            </w:r>
          </w:p>
        </w:tc>
        <w:tc>
          <w:tcPr>
            <w:tcW w:type="dxa" w:w="5040"/>
            <w:shd w:val="clear" w:color="auto" w:fill="EAF0EE"/>
          </w:tcPr>
          <w:p>
            <w:pPr>
              <w:spacing w:after="20"/>
            </w:pPr>
            <w:r>
              <w:rPr>
                <w:b/>
                <w:color w:val="1C3A36"/>
                <w:sz w:val="17"/>
              </w:rPr>
              <w:t>How to read it</w:t>
            </w:r>
          </w:p>
        </w:tc>
      </w:tr>
      <w:tr>
        <w:tc>
          <w:tcPr>
            <w:tcW w:type="dxa" w:w="2520"/>
          </w:tcPr>
          <w:p>
            <w:pPr>
              <w:spacing w:after="20"/>
            </w:pPr>
            <w:r>
              <w:rPr>
                <w:color w:val="1C3A36"/>
                <w:sz w:val="17"/>
              </w:rPr>
              <w:t>Lower tail</w:t>
            </w:r>
          </w:p>
        </w:tc>
        <w:tc>
          <w:tcPr>
            <w:tcW w:type="dxa" w:w="2520"/>
          </w:tcPr>
          <w:p>
            <w:pPr>
              <w:spacing w:after="20"/>
              <w:jc w:val="right"/>
            </w:pPr>
            <w:r>
              <w:rPr>
                <w:color w:val="1C3A36"/>
                <w:sz w:val="17"/>
              </w:rPr>
              <w:t>below 78.30</w:t>
            </w:r>
          </w:p>
        </w:tc>
        <w:tc>
          <w:tcPr>
            <w:tcW w:type="dxa" w:w="5040"/>
          </w:tcPr>
          <w:p>
            <w:pPr>
              <w:spacing w:after="20"/>
              <w:jc w:val="right"/>
            </w:pPr>
            <w:r>
              <w:rPr>
                <w:color w:val="1C3A36"/>
                <w:sz w:val="17"/>
              </w:rPr>
              <w:t>a 1-in-20 outcome; would require a genuine shock — a currency event, a policy reversal, or a material contract failure</w:t>
            </w:r>
          </w:p>
        </w:tc>
      </w:tr>
      <w:tr>
        <w:tc>
          <w:tcPr>
            <w:tcW w:type="dxa" w:w="2520"/>
          </w:tcPr>
          <w:p>
            <w:pPr>
              <w:spacing w:after="20"/>
            </w:pPr>
            <w:r>
              <w:rPr>
                <w:color w:val="1C3A36"/>
                <w:sz w:val="17"/>
              </w:rPr>
              <w:t>Lower half of the central band</w:t>
            </w:r>
          </w:p>
        </w:tc>
        <w:tc>
          <w:tcPr>
            <w:tcW w:type="dxa" w:w="2520"/>
          </w:tcPr>
          <w:p>
            <w:pPr>
              <w:spacing w:after="20"/>
              <w:jc w:val="right"/>
            </w:pPr>
            <w:r>
              <w:rPr>
                <w:color w:val="1C3A36"/>
                <w:sz w:val="17"/>
              </w:rPr>
              <w:t>96.94 – 109.91</w:t>
            </w:r>
          </w:p>
        </w:tc>
        <w:tc>
          <w:tcPr>
            <w:tcW w:type="dxa" w:w="5040"/>
          </w:tcPr>
          <w:p>
            <w:pPr>
              <w:spacing w:after="20"/>
              <w:jc w:val="right"/>
            </w:pPr>
            <w:r>
              <w:rPr>
                <w:color w:val="1C3A36"/>
                <w:sz w:val="17"/>
              </w:rPr>
              <w:t>ordinary drift lower; this zone overlaps the upper end of the fundamental range</w:t>
            </w:r>
          </w:p>
        </w:tc>
      </w:tr>
      <w:tr>
        <w:tc>
          <w:tcPr>
            <w:tcW w:type="dxa" w:w="2520"/>
          </w:tcPr>
          <w:p>
            <w:pPr>
              <w:spacing w:after="20"/>
            </w:pPr>
            <w:r>
              <w:rPr>
                <w:color w:val="1C3A36"/>
                <w:sz w:val="17"/>
              </w:rPr>
              <w:t>Upper half of the central band</w:t>
            </w:r>
          </w:p>
        </w:tc>
        <w:tc>
          <w:tcPr>
            <w:tcW w:type="dxa" w:w="2520"/>
          </w:tcPr>
          <w:p>
            <w:pPr>
              <w:spacing w:after="20"/>
              <w:jc w:val="right"/>
            </w:pPr>
            <w:r>
              <w:rPr>
                <w:color w:val="1C3A36"/>
                <w:sz w:val="17"/>
              </w:rPr>
              <w:t>109.91 – 124.46</w:t>
            </w:r>
          </w:p>
        </w:tc>
        <w:tc>
          <w:tcPr>
            <w:tcW w:type="dxa" w:w="5040"/>
          </w:tcPr>
          <w:p>
            <w:pPr>
              <w:spacing w:after="20"/>
              <w:jc w:val="right"/>
            </w:pPr>
            <w:r>
              <w:rPr>
                <w:color w:val="1C3A36"/>
                <w:sz w:val="17"/>
              </w:rPr>
              <w:t>ordinary drift higher; the market continuing to price the hard-currency reading</w:t>
            </w:r>
          </w:p>
        </w:tc>
      </w:tr>
      <w:tr>
        <w:tc>
          <w:tcPr>
            <w:tcW w:type="dxa" w:w="2520"/>
          </w:tcPr>
          <w:p>
            <w:pPr>
              <w:spacing w:after="20"/>
            </w:pPr>
            <w:r>
              <w:rPr>
                <w:color w:val="1C3A36"/>
                <w:sz w:val="17"/>
              </w:rPr>
              <w:t>Upper tail</w:t>
            </w:r>
          </w:p>
        </w:tc>
        <w:tc>
          <w:tcPr>
            <w:tcW w:type="dxa" w:w="2520"/>
          </w:tcPr>
          <w:p>
            <w:pPr>
              <w:spacing w:after="20"/>
              <w:jc w:val="right"/>
            </w:pPr>
            <w:r>
              <w:rPr>
                <w:color w:val="1C3A36"/>
                <w:sz w:val="17"/>
              </w:rPr>
              <w:t>above 154.19</w:t>
            </w:r>
          </w:p>
        </w:tc>
        <w:tc>
          <w:tcPr>
            <w:tcW w:type="dxa" w:w="5040"/>
          </w:tcPr>
          <w:p>
            <w:pPr>
              <w:spacing w:after="20"/>
              <w:jc w:val="right"/>
            </w:pPr>
            <w:r>
              <w:rPr>
                <w:color w:val="1C3A36"/>
                <w:sz w:val="17"/>
              </w:rPr>
              <w:t>a 1-in-20 outcome; would need a step change in the order book, the margin, or the perceived country risk</w:t>
            </w:r>
          </w:p>
        </w:tc>
      </w:tr>
      <w:tr>
        <w:tc>
          <w:tcPr>
            <w:tcW w:type="dxa" w:w="2520"/>
          </w:tcPr>
          <w:p>
            <w:pPr>
              <w:spacing w:after="20"/>
            </w:pPr>
            <w:r>
              <w:rPr>
                <w:color w:val="1C3A36"/>
                <w:sz w:val="17"/>
              </w:rPr>
              <w:t>Where the fundamental central sits</w:t>
            </w:r>
          </w:p>
        </w:tc>
        <w:tc>
          <w:tcPr>
            <w:tcW w:type="dxa" w:w="2520"/>
          </w:tcPr>
          <w:p>
            <w:pPr>
              <w:spacing w:after="20"/>
              <w:jc w:val="right"/>
            </w:pPr>
            <w:r>
              <w:rPr>
                <w:color w:val="1C3A36"/>
                <w:sz w:val="17"/>
              </w:rPr>
              <w:t>69.73</w:t>
            </w:r>
          </w:p>
        </w:tc>
        <w:tc>
          <w:tcPr>
            <w:tcW w:type="dxa" w:w="5040"/>
          </w:tcPr>
          <w:p>
            <w:pPr>
              <w:spacing w:after="20"/>
              <w:jc w:val="right"/>
            </w:pPr>
            <w:r>
              <w:rPr>
                <w:color w:val="1C3A36"/>
                <w:sz w:val="17"/>
              </w:rPr>
              <w:t>below even the 5th percentile (78.30) of the three-month distribution — the price map and the valuation genuinely disagree, and stating the gap at its full size is the point</w:t>
            </w:r>
          </w:p>
        </w:tc>
      </w:tr>
    </w:tbl>
    <w:p>
      <w:pPr>
        <w:spacing w:after="40"/>
      </w:pPr>
    </w:p>
    <w:p>
      <w:pPr>
        <w:spacing w:after="120" w:before="280"/>
      </w:pPr>
      <w:r>
        <w:rPr>
          <w:b/>
          <w:i w:val="0"/>
          <w:color w:val="1C3A36"/>
          <w:sz w:val="30"/>
        </w:rPr>
        <w:t>7  Caveats and what would change our mind</w:t>
      </w:r>
    </w:p>
    <w:p>
      <w:pPr>
        <w:pStyle w:val="ListBullet"/>
        <w:spacing w:after="60"/>
      </w:pPr>
      <w:r>
        <w:rPr>
          <w:b/>
          <w:color w:val="1C3A36"/>
          <w:sz w:val="21"/>
        </w:rPr>
        <w:t xml:space="preserve">No order book, backlog or unit-volume figure is disclosed in the audited statements. </w:t>
      </w:r>
      <w:r>
        <w:rPr>
          <w:color w:val="1C3A36"/>
          <w:sz w:val="21"/>
        </w:rPr>
        <w:t>All three audited financial statements and the Q1-2026 interim disclose segment revenue and segment profit, but no tonnage, MVA, meter count or order-book figure for any segment. The company's quarterly EARNINGS RELEASES have historically carried backlog and volume data; they were not reachable from this research environment, so the forecast is built as a taper on each segment's own recent revenue growth and margin path rather than a backlog-burn model. An earlier wording said 'disclosed anywhere', which overclaimed — the scope of the negative result is the audited statements, and cross-checking the Constructions taper against the released backlog is the first refinement to make when those releases become obtainable.</w:t>
      </w:r>
    </w:p>
    <w:p>
      <w:pPr>
        <w:pStyle w:val="ListBullet"/>
        <w:spacing w:after="60"/>
      </w:pPr>
      <w:r>
        <w:rPr>
          <w:b/>
          <w:color w:val="1C3A36"/>
          <w:sz w:val="21"/>
        </w:rPr>
        <w:t xml:space="preserve">The valuation is dated, and the dating is now explicit. </w:t>
      </w:r>
      <w:r>
        <w:rPr>
          <w:color w:val="1C3A36"/>
          <w:sz w:val="21"/>
        </w:rPr>
        <w:t>The cash-flow model is constructed at 31 December 2025 (the audited balance-sheet date); every lens value is rolled 217/365 of a year to the 5-Aug-2026 anchor at the 28.4% cost of equity less the EGP 1.85 dividend paid in the window — worth about +8.00 gross on the primary lens. An earlier revision omitted this roll and compared a 31-Dec-2025 value directly to the August price; an external review flagged it, correctly.</w:t>
      </w:r>
    </w:p>
    <w:p>
      <w:pPr>
        <w:pStyle w:val="ListBullet"/>
        <w:spacing w:after="60"/>
      </w:pPr>
      <w:r>
        <w:rPr>
          <w:b/>
          <w:color w:val="1C3A36"/>
          <w:sz w:val="21"/>
        </w:rPr>
        <w:t xml:space="preserve">The terminal value is a large share of the answer. </w:t>
      </w:r>
      <w:r>
        <w:rPr>
          <w:color w:val="1C3A36"/>
          <w:sz w:val="21"/>
        </w:rPr>
        <w:t>85% of the enterprise value comes from the terminal value. This is disclosed in the summary table, in the bridge and here. It is a consequence of a high discount rate applied to a business still growing fast — the explicit years are heavily discounted, so the perpetuity carries the weight. The terminal assumptions are stressed across cost of capital, growth and return on invested capital in section 1.9.</w:t>
      </w:r>
    </w:p>
    <w:p>
      <w:pPr>
        <w:pStyle w:val="ListBullet"/>
        <w:spacing w:after="60"/>
      </w:pPr>
      <w:r>
        <w:rPr>
          <w:b/>
          <w:color w:val="1C3A36"/>
          <w:sz w:val="21"/>
        </w:rPr>
        <w:t xml:space="preserve">The FY2026 forecast is checked against one quarter, not several. </w:t>
      </w:r>
      <w:r>
        <w:rPr>
          <w:color w:val="1C3A36"/>
          <w:sz w:val="21"/>
        </w:rPr>
        <w:t>The segment build for FY2026E is cross-checked, not calibrated, against the disclosed Q1-2026 print — the build's 370,030 against a 356,323 grossed-up implied full year, a gap of +4%. One quarter is a thin check, and it is the reason the half-year 2026 result matters: it will either confirm or contradict the segment growth and margin paths that all three cash-based lenses share.</w:t>
      </w:r>
    </w:p>
    <w:p>
      <w:pPr>
        <w:pStyle w:val="ListBullet"/>
        <w:spacing w:after="60"/>
      </w:pPr>
      <w:r>
        <w:rPr>
          <w:b/>
          <w:color w:val="1C3A36"/>
          <w:sz w:val="21"/>
        </w:rPr>
        <w:t xml:space="preserve">The currency of discounting is unresolved, and it is the biggest single question. </w:t>
      </w:r>
      <w:r>
        <w:rPr>
          <w:color w:val="1C3A36"/>
          <w:sz w:val="21"/>
        </w:rPr>
        <w:t>Our primary construction charges the full Egyptian equity risk premium to a company earning just over half its money on a hard-currency-linked basis. The alternative construction gives EGP 85.97. We have chosen the conservative reading and shown the other in full rather than splitting the difference silently.</w:t>
      </w:r>
    </w:p>
    <w:p>
      <w:pPr>
        <w:pStyle w:val="ListBullet"/>
        <w:spacing w:after="60"/>
      </w:pPr>
      <w:r>
        <w:rPr>
          <w:b/>
          <w:color w:val="1C3A36"/>
          <w:sz w:val="21"/>
        </w:rPr>
        <w:t xml:space="preserve">Terminal growth of 5% is roughly zero in real terms. </w:t>
      </w:r>
      <w:r>
        <w:rPr>
          <w:color w:val="1C3A36"/>
          <w:sz w:val="21"/>
        </w:rPr>
        <w:t>The terminal risk-free rate embeds 5% inflation, so a 5% nominal terminal growth rate assumes the company stops growing in real terms forever. For a business with a growing hard-currency export franchise that is a conservative assumption, and the 6% and 7% columns of the growth grid are not aggressive.</w:t>
      </w:r>
    </w:p>
    <w:p>
      <w:pPr>
        <w:pStyle w:val="ListBullet"/>
        <w:spacing w:after="60"/>
      </w:pPr>
      <w:r>
        <w:rPr>
          <w:b/>
          <w:color w:val="1C3A36"/>
          <w:sz w:val="21"/>
        </w:rPr>
        <w:t xml:space="preserve">Minority interests are charged at their profit share, not at book. </w:t>
      </w:r>
      <w:r>
        <w:rPr>
          <w:color w:val="1C3A36"/>
          <w:sz w:val="21"/>
        </w:rPr>
        <w:t>Minorities take 9.7% of group profit but only 7.1% of book equity. Charging them the profit share removes EGP 11,450mn (5.35 per share) from the equity value — EGP 2.96 per share MORE than deducting the audited book value of 5,119mn would (an earlier wording conflated the total charge with the excess; this states both). It is also the internally consistent choice: this study values the group's equity at 1.5× book, so valuing the minorities' stake at 1.0× book while valuing everyone else's above it would apply two different standards to the same subsidiaries.</w:t>
      </w:r>
    </w:p>
    <w:p>
      <w:pPr>
        <w:pStyle w:val="ListBullet"/>
        <w:spacing w:after="60"/>
      </w:pPr>
      <w:r>
        <w:rPr>
          <w:b/>
          <w:color w:val="1C3A36"/>
          <w:sz w:val="21"/>
        </w:rPr>
        <w:t xml:space="preserve">The Egyptian-pound share of the debt book is inferred, not disclosed directly. </w:t>
      </w:r>
      <w:r>
        <w:rPr>
          <w:color w:val="1C3A36"/>
          <w:sz w:val="21"/>
        </w:rPr>
        <w:t>The audited notes give average rates by currency bucket but not the size of each bucket. The 28% pound share used here is back-solved from the independently computed effective interest rate against those two disclosed rates, and is labelled as inferred throughout.</w:t>
      </w:r>
    </w:p>
    <w:p>
      <w:pPr>
        <w:pStyle w:val="ListBullet"/>
        <w:spacing w:after="60"/>
      </w:pPr>
      <w:r>
        <w:rPr>
          <w:b/>
          <w:color w:val="1C3A36"/>
          <w:sz w:val="21"/>
        </w:rPr>
        <w:t xml:space="preserve">Concentration of control. </w:t>
      </w:r>
      <w:r>
        <w:rPr>
          <w:color w:val="1C3A36"/>
          <w:sz w:val="21"/>
        </w:rPr>
        <w:t>The founding family holds 68.0% and the free float is 13.1%. Minority shareholders have limited influence over capital allocation, related-party dealings and distribution policy. This is a governance fact, not an allegation, and it is one reason the justified multiples used here carry a discount.</w:t>
      </w:r>
    </w:p>
    <w:p>
      <w:pPr>
        <w:pStyle w:val="ListBullet"/>
        <w:spacing w:after="60"/>
      </w:pPr>
      <w:r>
        <w:rPr>
          <w:b/>
          <w:color w:val="1C3A36"/>
          <w:sz w:val="21"/>
        </w:rPr>
        <w:t xml:space="preserve">What would change our mind, specifically. </w:t>
      </w:r>
      <w:r>
        <w:rPr>
          <w:color w:val="1C3A36"/>
          <w:sz w:val="21"/>
        </w:rPr>
        <w:t>Upward: sustained operating cash conversion above 60% of EBITDA for two consecutive years; a credible reduction in the perceived country risk premium; Constructions and infrastructure revenue growth holding above the taper assumed here. Downward: working capital rising through 23.0% of revenue; segment margins failing to stabilise; a stall in disinflation that freezes the discount rate glide.</w:t>
      </w:r>
    </w:p>
    <w:p>
      <w:pPr>
        <w:spacing w:after="160" w:before="0"/>
      </w:pPr>
      <w:r>
        <w:rPr>
          <w:b w:val="0"/>
          <w:i w:val="0"/>
          <w:color w:val="1C3A36"/>
          <w:sz w:val="21"/>
        </w:rPr>
      </w:r>
    </w:p>
    <w:p>
      <w:pPr>
        <w:spacing w:after="120" w:before="280"/>
      </w:pPr>
      <w:r>
        <w:rPr>
          <w:b/>
          <w:i w:val="0"/>
          <w:color w:val="1C3A36"/>
          <w:sz w:val="30"/>
        </w:rPr>
        <w:t>Appendix A  Financial statements</w:t>
      </w:r>
    </w:p>
    <w:p>
      <w:pPr>
        <w:spacing w:after="80" w:before="200"/>
      </w:pPr>
      <w:r>
        <w:rPr>
          <w:b/>
          <w:i w:val="0"/>
          <w:color w:val="1C3A36"/>
          <w:sz w:val="24"/>
        </w:rPr>
        <w:t>A.1  Income statement — three years historical and five years forecast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c>
          <w:tcPr>
            <w:tcW w:type="dxa" w:w="2477"/>
            <w:shd w:val="clear" w:color="auto" w:fill="EAF0EE"/>
          </w:tcPr>
          <w:p>
            <w:pPr>
              <w:spacing w:after="20"/>
            </w:pPr>
            <w:r>
              <w:rPr>
                <w:b/>
                <w:color w:val="1C3A36"/>
                <w:sz w:val="15"/>
              </w:rPr>
              <w:t>EGP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FY26E</w:t>
            </w:r>
          </w:p>
        </w:tc>
        <w:tc>
          <w:tcPr>
            <w:tcW w:type="dxa" w:w="950"/>
            <w:shd w:val="clear" w:color="auto" w:fill="EAF0EE"/>
          </w:tcPr>
          <w:p>
            <w:pPr>
              <w:spacing w:after="20"/>
            </w:pPr>
            <w:r>
              <w:rPr>
                <w:b/>
                <w:color w:val="1C3A36"/>
                <w:sz w:val="15"/>
              </w:rPr>
              <w:t>FY27E</w:t>
            </w:r>
          </w:p>
        </w:tc>
        <w:tc>
          <w:tcPr>
            <w:tcW w:type="dxa" w:w="950"/>
            <w:shd w:val="clear" w:color="auto" w:fill="EAF0EE"/>
          </w:tcPr>
          <w:p>
            <w:pPr>
              <w:spacing w:after="20"/>
            </w:pPr>
            <w:r>
              <w:rPr>
                <w:b/>
                <w:color w:val="1C3A36"/>
                <w:sz w:val="15"/>
              </w:rPr>
              <w:t>FY28E</w:t>
            </w:r>
          </w:p>
        </w:tc>
        <w:tc>
          <w:tcPr>
            <w:tcW w:type="dxa" w:w="950"/>
            <w:shd w:val="clear" w:color="auto" w:fill="EAF0EE"/>
          </w:tcPr>
          <w:p>
            <w:pPr>
              <w:spacing w:after="20"/>
            </w:pPr>
            <w:r>
              <w:rPr>
                <w:b/>
                <w:color w:val="1C3A36"/>
                <w:sz w:val="15"/>
              </w:rPr>
              <w:t>FY29E</w:t>
            </w:r>
          </w:p>
        </w:tc>
        <w:tc>
          <w:tcPr>
            <w:tcW w:type="dxa" w:w="950"/>
            <w:shd w:val="clear" w:color="auto" w:fill="EAF0EE"/>
          </w:tcPr>
          <w:p>
            <w:pPr>
              <w:spacing w:after="20"/>
            </w:pPr>
            <w:r>
              <w:rPr>
                <w:b/>
                <w:color w:val="1C3A36"/>
                <w:sz w:val="15"/>
              </w:rPr>
              <w:t>FY30E</w:t>
            </w:r>
          </w:p>
        </w:tc>
      </w:tr>
      <w:tr>
        <w:tc>
          <w:tcPr>
            <w:tcW w:type="dxa" w:w="2477"/>
          </w:tcPr>
          <w:p>
            <w:pPr>
              <w:spacing w:after="20"/>
            </w:pPr>
            <w:r>
              <w:rPr>
                <w:color w:val="1C3A36"/>
                <w:sz w:val="15"/>
              </w:rPr>
              <w:t>Revenue</w:t>
            </w:r>
          </w:p>
        </w:tc>
        <w:tc>
          <w:tcPr>
            <w:tcW w:type="dxa" w:w="950"/>
          </w:tcPr>
          <w:p>
            <w:pPr>
              <w:spacing w:after="20"/>
              <w:jc w:val="right"/>
            </w:pPr>
            <w:r>
              <w:rPr>
                <w:color w:val="1C3A36"/>
                <w:sz w:val="15"/>
              </w:rPr>
              <w:t>152,186</w:t>
            </w:r>
          </w:p>
        </w:tc>
        <w:tc>
          <w:tcPr>
            <w:tcW w:type="dxa" w:w="950"/>
          </w:tcPr>
          <w:p>
            <w:pPr>
              <w:spacing w:after="20"/>
              <w:jc w:val="right"/>
            </w:pPr>
            <w:r>
              <w:rPr>
                <w:color w:val="1C3A36"/>
                <w:sz w:val="15"/>
              </w:rPr>
              <w:t>231,982</w:t>
            </w:r>
          </w:p>
        </w:tc>
        <w:tc>
          <w:tcPr>
            <w:tcW w:type="dxa" w:w="950"/>
          </w:tcPr>
          <w:p>
            <w:pPr>
              <w:spacing w:after="20"/>
              <w:jc w:val="right"/>
            </w:pPr>
            <w:r>
              <w:rPr>
                <w:color w:val="1C3A36"/>
                <w:sz w:val="15"/>
              </w:rPr>
              <w:t>281,049</w:t>
            </w:r>
          </w:p>
        </w:tc>
        <w:tc>
          <w:tcPr>
            <w:tcW w:type="dxa" w:w="950"/>
          </w:tcPr>
          <w:p>
            <w:pPr>
              <w:spacing w:after="20"/>
              <w:jc w:val="right"/>
            </w:pPr>
            <w:r>
              <w:rPr>
                <w:color w:val="1C3A36"/>
                <w:sz w:val="15"/>
              </w:rPr>
              <w:t>370,030</w:t>
            </w:r>
          </w:p>
        </w:tc>
        <w:tc>
          <w:tcPr>
            <w:tcW w:type="dxa" w:w="950"/>
          </w:tcPr>
          <w:p>
            <w:pPr>
              <w:spacing w:after="20"/>
              <w:jc w:val="right"/>
            </w:pPr>
            <w:r>
              <w:rPr>
                <w:color w:val="1C3A36"/>
                <w:sz w:val="15"/>
              </w:rPr>
              <w:t>422,528</w:t>
            </w:r>
          </w:p>
        </w:tc>
        <w:tc>
          <w:tcPr>
            <w:tcW w:type="dxa" w:w="950"/>
          </w:tcPr>
          <w:p>
            <w:pPr>
              <w:spacing w:after="20"/>
              <w:jc w:val="right"/>
            </w:pPr>
            <w:r>
              <w:rPr>
                <w:color w:val="1C3A36"/>
                <w:sz w:val="15"/>
              </w:rPr>
              <w:t>466,619</w:t>
            </w:r>
          </w:p>
        </w:tc>
        <w:tc>
          <w:tcPr>
            <w:tcW w:type="dxa" w:w="950"/>
          </w:tcPr>
          <w:p>
            <w:pPr>
              <w:spacing w:after="20"/>
              <w:jc w:val="right"/>
            </w:pPr>
            <w:r>
              <w:rPr>
                <w:color w:val="1C3A36"/>
                <w:sz w:val="15"/>
              </w:rPr>
              <w:t>510,440</w:t>
            </w:r>
          </w:p>
        </w:tc>
        <w:tc>
          <w:tcPr>
            <w:tcW w:type="dxa" w:w="950"/>
          </w:tcPr>
          <w:p>
            <w:pPr>
              <w:spacing w:after="20"/>
              <w:jc w:val="right"/>
            </w:pPr>
            <w:r>
              <w:rPr>
                <w:color w:val="1C3A36"/>
                <w:sz w:val="15"/>
              </w:rPr>
              <w:t>555,225</w:t>
            </w:r>
          </w:p>
        </w:tc>
      </w:tr>
      <w:tr>
        <w:tc>
          <w:tcPr>
            <w:tcW w:type="dxa" w:w="2477"/>
          </w:tcPr>
          <w:p>
            <w:pPr>
              <w:spacing w:after="20"/>
            </w:pPr>
            <w:r>
              <w:rPr>
                <w:color w:val="1C3A36"/>
                <w:sz w:val="15"/>
              </w:rPr>
              <w:t>Gross profit</w:t>
            </w:r>
          </w:p>
        </w:tc>
        <w:tc>
          <w:tcPr>
            <w:tcW w:type="dxa" w:w="950"/>
          </w:tcPr>
          <w:p>
            <w:pPr>
              <w:spacing w:after="20"/>
              <w:jc w:val="right"/>
            </w:pPr>
            <w:r>
              <w:rPr>
                <w:color w:val="1C3A36"/>
                <w:sz w:val="15"/>
              </w:rPr>
              <w:t>29,077</w:t>
            </w:r>
          </w:p>
        </w:tc>
        <w:tc>
          <w:tcPr>
            <w:tcW w:type="dxa" w:w="950"/>
          </w:tcPr>
          <w:p>
            <w:pPr>
              <w:spacing w:after="20"/>
              <w:jc w:val="right"/>
            </w:pPr>
            <w:r>
              <w:rPr>
                <w:color w:val="1C3A36"/>
                <w:sz w:val="15"/>
              </w:rPr>
              <w:t>43,899</w:t>
            </w:r>
          </w:p>
        </w:tc>
        <w:tc>
          <w:tcPr>
            <w:tcW w:type="dxa" w:w="950"/>
          </w:tcPr>
          <w:p>
            <w:pPr>
              <w:spacing w:after="20"/>
              <w:jc w:val="right"/>
            </w:pPr>
            <w:r>
              <w:rPr>
                <w:color w:val="1C3A36"/>
                <w:sz w:val="15"/>
              </w:rPr>
              <w:t>40,762</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shd w:val="clear" w:color="auto" w:fill="F6F1E6"/>
          </w:tcPr>
          <w:p>
            <w:pPr>
              <w:spacing w:after="20"/>
            </w:pPr>
            <w:r>
              <w:rPr>
                <w:b/>
                <w:color w:val="1C3A36"/>
                <w:sz w:val="15"/>
              </w:rPr>
              <w:t>EBITDA (derived: EBIT + D&amp;A)</w:t>
            </w:r>
          </w:p>
        </w:tc>
        <w:tc>
          <w:tcPr>
            <w:tcW w:type="dxa" w:w="950"/>
            <w:shd w:val="clear" w:color="auto" w:fill="F6F1E6"/>
          </w:tcPr>
          <w:p>
            <w:pPr>
              <w:spacing w:after="20"/>
              <w:jc w:val="right"/>
            </w:pPr>
            <w:r>
              <w:rPr>
                <w:b/>
                <w:color w:val="1C3A36"/>
                <w:sz w:val="15"/>
              </w:rPr>
              <w:t>20,035</w:t>
            </w:r>
          </w:p>
        </w:tc>
        <w:tc>
          <w:tcPr>
            <w:tcW w:type="dxa" w:w="950"/>
            <w:shd w:val="clear" w:color="auto" w:fill="F6F1E6"/>
          </w:tcPr>
          <w:p>
            <w:pPr>
              <w:spacing w:after="20"/>
              <w:jc w:val="right"/>
            </w:pPr>
            <w:r>
              <w:rPr>
                <w:b/>
                <w:color w:val="1C3A36"/>
                <w:sz w:val="15"/>
              </w:rPr>
              <w:t>31,601</w:t>
            </w:r>
          </w:p>
        </w:tc>
        <w:tc>
          <w:tcPr>
            <w:tcW w:type="dxa" w:w="950"/>
            <w:shd w:val="clear" w:color="auto" w:fill="F6F1E6"/>
          </w:tcPr>
          <w:p>
            <w:pPr>
              <w:spacing w:after="20"/>
              <w:jc w:val="right"/>
            </w:pPr>
            <w:r>
              <w:rPr>
                <w:b/>
                <w:color w:val="1C3A36"/>
                <w:sz w:val="15"/>
              </w:rPr>
              <w:t>28,363</w:t>
            </w:r>
          </w:p>
        </w:tc>
        <w:tc>
          <w:tcPr>
            <w:tcW w:type="dxa" w:w="950"/>
            <w:shd w:val="clear" w:color="auto" w:fill="F6F1E6"/>
          </w:tcPr>
          <w:p>
            <w:pPr>
              <w:spacing w:after="20"/>
              <w:jc w:val="right"/>
            </w:pPr>
            <w:r>
              <w:rPr>
                <w:b/>
                <w:color w:val="1C3A36"/>
                <w:sz w:val="15"/>
              </w:rPr>
              <w:t>35,158</w:t>
            </w:r>
          </w:p>
        </w:tc>
        <w:tc>
          <w:tcPr>
            <w:tcW w:type="dxa" w:w="950"/>
            <w:shd w:val="clear" w:color="auto" w:fill="F6F1E6"/>
          </w:tcPr>
          <w:p>
            <w:pPr>
              <w:spacing w:after="20"/>
              <w:jc w:val="right"/>
            </w:pPr>
            <w:r>
              <w:rPr>
                <w:b/>
                <w:color w:val="1C3A36"/>
                <w:sz w:val="15"/>
              </w:rPr>
              <w:t>41,645</w:t>
            </w:r>
          </w:p>
        </w:tc>
        <w:tc>
          <w:tcPr>
            <w:tcW w:type="dxa" w:w="950"/>
            <w:shd w:val="clear" w:color="auto" w:fill="F6F1E6"/>
          </w:tcPr>
          <w:p>
            <w:pPr>
              <w:spacing w:after="20"/>
              <w:jc w:val="right"/>
            </w:pPr>
            <w:r>
              <w:rPr>
                <w:b/>
                <w:color w:val="1C3A36"/>
                <w:sz w:val="15"/>
              </w:rPr>
              <w:t>47,603</w:t>
            </w:r>
          </w:p>
        </w:tc>
        <w:tc>
          <w:tcPr>
            <w:tcW w:type="dxa" w:w="950"/>
            <w:shd w:val="clear" w:color="auto" w:fill="F6F1E6"/>
          </w:tcPr>
          <w:p>
            <w:pPr>
              <w:spacing w:after="20"/>
              <w:jc w:val="right"/>
            </w:pPr>
            <w:r>
              <w:rPr>
                <w:b/>
                <w:color w:val="1C3A36"/>
                <w:sz w:val="15"/>
              </w:rPr>
              <w:t>53,648</w:t>
            </w:r>
          </w:p>
        </w:tc>
        <w:tc>
          <w:tcPr>
            <w:tcW w:type="dxa" w:w="950"/>
            <w:shd w:val="clear" w:color="auto" w:fill="F6F1E6"/>
          </w:tcPr>
          <w:p>
            <w:pPr>
              <w:spacing w:after="20"/>
              <w:jc w:val="right"/>
            </w:pPr>
            <w:r>
              <w:rPr>
                <w:b/>
                <w:color w:val="1C3A36"/>
                <w:sz w:val="15"/>
              </w:rPr>
              <w:t>59,209</w:t>
            </w:r>
          </w:p>
        </w:tc>
      </w:tr>
      <w:tr>
        <w:tc>
          <w:tcPr>
            <w:tcW w:type="dxa" w:w="2477"/>
          </w:tcPr>
          <w:p>
            <w:pPr>
              <w:spacing w:after="20"/>
            </w:pPr>
            <w:r>
              <w:rPr>
                <w:color w:val="1C3A36"/>
                <w:sz w:val="15"/>
              </w:rPr>
              <w:t>EBITDA margin</w:t>
            </w:r>
          </w:p>
        </w:tc>
        <w:tc>
          <w:tcPr>
            <w:tcW w:type="dxa" w:w="950"/>
          </w:tcPr>
          <w:p>
            <w:pPr>
              <w:spacing w:after="20"/>
              <w:jc w:val="right"/>
            </w:pPr>
            <w:r>
              <w:rPr>
                <w:color w:val="1C3A36"/>
                <w:sz w:val="15"/>
              </w:rPr>
              <w:t>13.2%</w:t>
            </w:r>
          </w:p>
        </w:tc>
        <w:tc>
          <w:tcPr>
            <w:tcW w:type="dxa" w:w="950"/>
          </w:tcPr>
          <w:p>
            <w:pPr>
              <w:spacing w:after="20"/>
              <w:jc w:val="right"/>
            </w:pPr>
            <w:r>
              <w:rPr>
                <w:color w:val="1C3A36"/>
                <w:sz w:val="15"/>
              </w:rPr>
              <w:t>13.6%</w:t>
            </w:r>
          </w:p>
        </w:tc>
        <w:tc>
          <w:tcPr>
            <w:tcW w:type="dxa" w:w="950"/>
          </w:tcPr>
          <w:p>
            <w:pPr>
              <w:spacing w:after="20"/>
              <w:jc w:val="right"/>
            </w:pPr>
            <w:r>
              <w:rPr>
                <w:color w:val="1C3A36"/>
                <w:sz w:val="15"/>
              </w:rPr>
              <w:t>10.1%</w:t>
            </w:r>
          </w:p>
        </w:tc>
        <w:tc>
          <w:tcPr>
            <w:tcW w:type="dxa" w:w="950"/>
          </w:tcPr>
          <w:p>
            <w:pPr>
              <w:spacing w:after="20"/>
              <w:jc w:val="right"/>
            </w:pPr>
            <w:r>
              <w:rPr>
                <w:color w:val="1C3A36"/>
                <w:sz w:val="15"/>
              </w:rPr>
              <w:t>9.5%</w:t>
            </w:r>
          </w:p>
        </w:tc>
        <w:tc>
          <w:tcPr>
            <w:tcW w:type="dxa" w:w="950"/>
          </w:tcPr>
          <w:p>
            <w:pPr>
              <w:spacing w:after="20"/>
              <w:jc w:val="right"/>
            </w:pPr>
            <w:r>
              <w:rPr>
                <w:color w:val="1C3A36"/>
                <w:sz w:val="15"/>
              </w:rPr>
              <w:t>9.9%</w:t>
            </w:r>
          </w:p>
        </w:tc>
        <w:tc>
          <w:tcPr>
            <w:tcW w:type="dxa" w:w="950"/>
          </w:tcPr>
          <w:p>
            <w:pPr>
              <w:spacing w:after="20"/>
              <w:jc w:val="right"/>
            </w:pPr>
            <w:r>
              <w:rPr>
                <w:color w:val="1C3A36"/>
                <w:sz w:val="15"/>
              </w:rPr>
              <w:t>10.2%</w:t>
            </w:r>
          </w:p>
        </w:tc>
        <w:tc>
          <w:tcPr>
            <w:tcW w:type="dxa" w:w="950"/>
          </w:tcPr>
          <w:p>
            <w:pPr>
              <w:spacing w:after="20"/>
              <w:jc w:val="right"/>
            </w:pPr>
            <w:r>
              <w:rPr>
                <w:color w:val="1C3A36"/>
                <w:sz w:val="15"/>
              </w:rPr>
              <w:t>10.5%</w:t>
            </w:r>
          </w:p>
        </w:tc>
        <w:tc>
          <w:tcPr>
            <w:tcW w:type="dxa" w:w="950"/>
          </w:tcPr>
          <w:p>
            <w:pPr>
              <w:spacing w:after="20"/>
              <w:jc w:val="right"/>
            </w:pPr>
            <w:r>
              <w:rPr>
                <w:color w:val="1C3A36"/>
                <w:sz w:val="15"/>
              </w:rPr>
              <w:t>10.7%</w:t>
            </w:r>
          </w:p>
        </w:tc>
      </w:tr>
      <w:tr>
        <w:tc>
          <w:tcPr>
            <w:tcW w:type="dxa" w:w="2477"/>
          </w:tcPr>
          <w:p>
            <w:pPr>
              <w:spacing w:after="20"/>
            </w:pPr>
            <w:r>
              <w:rPr>
                <w:color w:val="1C3A36"/>
                <w:sz w:val="15"/>
              </w:rPr>
              <w:t>Depreciation and amortisation</w:t>
            </w:r>
          </w:p>
        </w:tc>
        <w:tc>
          <w:tcPr>
            <w:tcW w:type="dxa" w:w="950"/>
          </w:tcPr>
          <w:p>
            <w:pPr>
              <w:spacing w:after="20"/>
              <w:jc w:val="right"/>
            </w:pPr>
            <w:r>
              <w:rPr>
                <w:color w:val="1C3A36"/>
                <w:sz w:val="15"/>
              </w:rPr>
              <w:t>(2,296)</w:t>
            </w:r>
          </w:p>
        </w:tc>
        <w:tc>
          <w:tcPr>
            <w:tcW w:type="dxa" w:w="950"/>
          </w:tcPr>
          <w:p>
            <w:pPr>
              <w:spacing w:after="20"/>
              <w:jc w:val="right"/>
            </w:pPr>
            <w:r>
              <w:rPr>
                <w:color w:val="1C3A36"/>
                <w:sz w:val="15"/>
              </w:rPr>
              <w:t>(2,260)</w:t>
            </w:r>
          </w:p>
        </w:tc>
        <w:tc>
          <w:tcPr>
            <w:tcW w:type="dxa" w:w="950"/>
          </w:tcPr>
          <w:p>
            <w:pPr>
              <w:spacing w:after="20"/>
              <w:jc w:val="right"/>
            </w:pPr>
            <w:r>
              <w:rPr>
                <w:color w:val="1C3A36"/>
                <w:sz w:val="15"/>
              </w:rPr>
              <w:t>(3,009)</w:t>
            </w:r>
          </w:p>
        </w:tc>
        <w:tc>
          <w:tcPr>
            <w:tcW w:type="dxa" w:w="950"/>
          </w:tcPr>
          <w:p>
            <w:pPr>
              <w:spacing w:after="20"/>
              <w:jc w:val="right"/>
            </w:pPr>
            <w:r>
              <w:rPr>
                <w:color w:val="1C3A36"/>
                <w:sz w:val="15"/>
              </w:rPr>
              <w:t>(4,625)</w:t>
            </w:r>
          </w:p>
        </w:tc>
        <w:tc>
          <w:tcPr>
            <w:tcW w:type="dxa" w:w="950"/>
          </w:tcPr>
          <w:p>
            <w:pPr>
              <w:spacing w:after="20"/>
              <w:jc w:val="right"/>
            </w:pPr>
            <w:r>
              <w:rPr>
                <w:color w:val="1C3A36"/>
                <w:sz w:val="15"/>
              </w:rPr>
              <w:t>(5,282)</w:t>
            </w:r>
          </w:p>
        </w:tc>
        <w:tc>
          <w:tcPr>
            <w:tcW w:type="dxa" w:w="950"/>
          </w:tcPr>
          <w:p>
            <w:pPr>
              <w:spacing w:after="20"/>
              <w:jc w:val="right"/>
            </w:pPr>
            <w:r>
              <w:rPr>
                <w:color w:val="1C3A36"/>
                <w:sz w:val="15"/>
              </w:rPr>
              <w:t>(5,833)</w:t>
            </w:r>
          </w:p>
        </w:tc>
        <w:tc>
          <w:tcPr>
            <w:tcW w:type="dxa" w:w="950"/>
          </w:tcPr>
          <w:p>
            <w:pPr>
              <w:spacing w:after="20"/>
              <w:jc w:val="right"/>
            </w:pPr>
            <w:r>
              <w:rPr>
                <w:color w:val="1C3A36"/>
                <w:sz w:val="15"/>
              </w:rPr>
              <w:t>(6,381)</w:t>
            </w:r>
          </w:p>
        </w:tc>
        <w:tc>
          <w:tcPr>
            <w:tcW w:type="dxa" w:w="950"/>
          </w:tcPr>
          <w:p>
            <w:pPr>
              <w:spacing w:after="20"/>
              <w:jc w:val="right"/>
            </w:pPr>
            <w:r>
              <w:rPr>
                <w:color w:val="1C3A36"/>
                <w:sz w:val="15"/>
              </w:rPr>
              <w:t>(6,940)</w:t>
            </w:r>
          </w:p>
        </w:tc>
      </w:tr>
      <w:tr>
        <w:tc>
          <w:tcPr>
            <w:tcW w:type="dxa" w:w="2477"/>
            <w:shd w:val="clear" w:color="auto" w:fill="F6F1E6"/>
          </w:tcPr>
          <w:p>
            <w:pPr>
              <w:spacing w:after="20"/>
            </w:pPr>
            <w:r>
              <w:rPr>
                <w:b/>
                <w:color w:val="1C3A36"/>
                <w:sz w:val="15"/>
              </w:rPr>
              <w:t>EBIT</w:t>
            </w:r>
          </w:p>
        </w:tc>
        <w:tc>
          <w:tcPr>
            <w:tcW w:type="dxa" w:w="950"/>
            <w:shd w:val="clear" w:color="auto" w:fill="F6F1E6"/>
          </w:tcPr>
          <w:p>
            <w:pPr>
              <w:spacing w:after="20"/>
              <w:jc w:val="right"/>
            </w:pPr>
            <w:r>
              <w:rPr>
                <w:b/>
                <w:color w:val="1C3A36"/>
                <w:sz w:val="15"/>
              </w:rPr>
              <w:t>17,739</w:t>
            </w:r>
          </w:p>
        </w:tc>
        <w:tc>
          <w:tcPr>
            <w:tcW w:type="dxa" w:w="950"/>
            <w:shd w:val="clear" w:color="auto" w:fill="F6F1E6"/>
          </w:tcPr>
          <w:p>
            <w:pPr>
              <w:spacing w:after="20"/>
              <w:jc w:val="right"/>
            </w:pPr>
            <w:r>
              <w:rPr>
                <w:b/>
                <w:color w:val="1C3A36"/>
                <w:sz w:val="15"/>
              </w:rPr>
              <w:t>29,342</w:t>
            </w:r>
          </w:p>
        </w:tc>
        <w:tc>
          <w:tcPr>
            <w:tcW w:type="dxa" w:w="950"/>
            <w:shd w:val="clear" w:color="auto" w:fill="F6F1E6"/>
          </w:tcPr>
          <w:p>
            <w:pPr>
              <w:spacing w:after="20"/>
              <w:jc w:val="right"/>
            </w:pPr>
            <w:r>
              <w:rPr>
                <w:b/>
                <w:color w:val="1C3A36"/>
                <w:sz w:val="15"/>
              </w:rPr>
              <w:t>25,354</w:t>
            </w:r>
          </w:p>
        </w:tc>
        <w:tc>
          <w:tcPr>
            <w:tcW w:type="dxa" w:w="950"/>
            <w:shd w:val="clear" w:color="auto" w:fill="F6F1E6"/>
          </w:tcPr>
          <w:p>
            <w:pPr>
              <w:spacing w:after="20"/>
              <w:jc w:val="right"/>
            </w:pPr>
            <w:r>
              <w:rPr>
                <w:b/>
                <w:color w:val="1C3A36"/>
                <w:sz w:val="15"/>
              </w:rPr>
              <w:t>30,533</w:t>
            </w:r>
          </w:p>
        </w:tc>
        <w:tc>
          <w:tcPr>
            <w:tcW w:type="dxa" w:w="950"/>
            <w:shd w:val="clear" w:color="auto" w:fill="F6F1E6"/>
          </w:tcPr>
          <w:p>
            <w:pPr>
              <w:spacing w:after="20"/>
              <w:jc w:val="right"/>
            </w:pPr>
            <w:r>
              <w:rPr>
                <w:b/>
                <w:color w:val="1C3A36"/>
                <w:sz w:val="15"/>
              </w:rPr>
              <w:t>36,363</w:t>
            </w:r>
          </w:p>
        </w:tc>
        <w:tc>
          <w:tcPr>
            <w:tcW w:type="dxa" w:w="950"/>
            <w:shd w:val="clear" w:color="auto" w:fill="F6F1E6"/>
          </w:tcPr>
          <w:p>
            <w:pPr>
              <w:spacing w:after="20"/>
              <w:jc w:val="right"/>
            </w:pPr>
            <w:r>
              <w:rPr>
                <w:b/>
                <w:color w:val="1C3A36"/>
                <w:sz w:val="15"/>
              </w:rPr>
              <w:t>41,770</w:t>
            </w:r>
          </w:p>
        </w:tc>
        <w:tc>
          <w:tcPr>
            <w:tcW w:type="dxa" w:w="950"/>
            <w:shd w:val="clear" w:color="auto" w:fill="F6F1E6"/>
          </w:tcPr>
          <w:p>
            <w:pPr>
              <w:spacing w:after="20"/>
              <w:jc w:val="right"/>
            </w:pPr>
            <w:r>
              <w:rPr>
                <w:b/>
                <w:color w:val="1C3A36"/>
                <w:sz w:val="15"/>
              </w:rPr>
              <w:t>47,268</w:t>
            </w:r>
          </w:p>
        </w:tc>
        <w:tc>
          <w:tcPr>
            <w:tcW w:type="dxa" w:w="950"/>
            <w:shd w:val="clear" w:color="auto" w:fill="F6F1E6"/>
          </w:tcPr>
          <w:p>
            <w:pPr>
              <w:spacing w:after="20"/>
              <w:jc w:val="right"/>
            </w:pPr>
            <w:r>
              <w:rPr>
                <w:b/>
                <w:color w:val="1C3A36"/>
                <w:sz w:val="15"/>
              </w:rPr>
              <w:t>52,269</w:t>
            </w:r>
          </w:p>
        </w:tc>
      </w:tr>
      <w:tr>
        <w:tc>
          <w:tcPr>
            <w:tcW w:type="dxa" w:w="2477"/>
          </w:tcPr>
          <w:p>
            <w:pPr>
              <w:spacing w:after="20"/>
            </w:pPr>
            <w:r>
              <w:rPr>
                <w:color w:val="1C3A36"/>
                <w:sz w:val="15"/>
              </w:rPr>
              <w:t>Net finance costs</w:t>
            </w:r>
          </w:p>
        </w:tc>
        <w:tc>
          <w:tcPr>
            <w:tcW w:type="dxa" w:w="950"/>
          </w:tcPr>
          <w:p>
            <w:pPr>
              <w:spacing w:after="20"/>
              <w:jc w:val="right"/>
            </w:pPr>
            <w:r>
              <w:rPr>
                <w:color w:val="1C3A36"/>
                <w:sz w:val="15"/>
              </w:rPr>
              <w:t>(2,124)</w:t>
            </w:r>
          </w:p>
        </w:tc>
        <w:tc>
          <w:tcPr>
            <w:tcW w:type="dxa" w:w="950"/>
          </w:tcPr>
          <w:p>
            <w:pPr>
              <w:spacing w:after="20"/>
              <w:jc w:val="right"/>
            </w:pPr>
            <w:r>
              <w:rPr>
                <w:color w:val="1C3A36"/>
                <w:sz w:val="15"/>
              </w:rPr>
              <w:t>(3,515)</w:t>
            </w:r>
          </w:p>
        </w:tc>
        <w:tc>
          <w:tcPr>
            <w:tcW w:type="dxa" w:w="950"/>
          </w:tcPr>
          <w:p>
            <w:pPr>
              <w:spacing w:after="20"/>
              <w:jc w:val="right"/>
            </w:pPr>
            <w:r>
              <w:rPr>
                <w:color w:val="1C3A36"/>
                <w:sz w:val="15"/>
              </w:rPr>
              <w:t>(2,145)</w:t>
            </w:r>
          </w:p>
        </w:tc>
        <w:tc>
          <w:tcPr>
            <w:tcW w:type="dxa" w:w="950"/>
          </w:tcPr>
          <w:p>
            <w:pPr>
              <w:spacing w:after="20"/>
              <w:jc w:val="right"/>
            </w:pPr>
            <w:r>
              <w:rPr>
                <w:color w:val="1C3A36"/>
                <w:sz w:val="15"/>
              </w:rPr>
              <w:t>(1,743)</w:t>
            </w:r>
          </w:p>
        </w:tc>
        <w:tc>
          <w:tcPr>
            <w:tcW w:type="dxa" w:w="950"/>
          </w:tcPr>
          <w:p>
            <w:pPr>
              <w:spacing w:after="20"/>
              <w:jc w:val="right"/>
            </w:pPr>
            <w:r>
              <w:rPr>
                <w:color w:val="1C3A36"/>
                <w:sz w:val="15"/>
              </w:rPr>
              <w:t>(2,658)</w:t>
            </w:r>
          </w:p>
        </w:tc>
        <w:tc>
          <w:tcPr>
            <w:tcW w:type="dxa" w:w="950"/>
          </w:tcPr>
          <w:p>
            <w:pPr>
              <w:spacing w:after="20"/>
              <w:jc w:val="right"/>
            </w:pPr>
            <w:r>
              <w:rPr>
                <w:color w:val="1C3A36"/>
                <w:sz w:val="15"/>
              </w:rPr>
              <w:t>(2,614)</w:t>
            </w:r>
          </w:p>
        </w:tc>
        <w:tc>
          <w:tcPr>
            <w:tcW w:type="dxa" w:w="950"/>
          </w:tcPr>
          <w:p>
            <w:pPr>
              <w:spacing w:after="20"/>
              <w:jc w:val="right"/>
            </w:pPr>
            <w:r>
              <w:rPr>
                <w:color w:val="1C3A36"/>
                <w:sz w:val="15"/>
              </w:rPr>
              <w:t>(2,083)</w:t>
            </w:r>
          </w:p>
        </w:tc>
        <w:tc>
          <w:tcPr>
            <w:tcW w:type="dxa" w:w="950"/>
          </w:tcPr>
          <w:p>
            <w:pPr>
              <w:spacing w:after="20"/>
              <w:jc w:val="right"/>
            </w:pPr>
            <w:r>
              <w:rPr>
                <w:color w:val="1C3A36"/>
                <w:sz w:val="15"/>
              </w:rPr>
              <w:t>(1,209)</w:t>
            </w:r>
          </w:p>
        </w:tc>
      </w:tr>
      <w:tr>
        <w:tc>
          <w:tcPr>
            <w:tcW w:type="dxa" w:w="2477"/>
          </w:tcPr>
          <w:p>
            <w:pPr>
              <w:spacing w:after="20"/>
            </w:pPr>
            <w:r>
              <w:rPr>
                <w:color w:val="1C3A36"/>
                <w:sz w:val="15"/>
              </w:rPr>
              <w:t>Share of equity-accounted investees</w:t>
            </w:r>
          </w:p>
        </w:tc>
        <w:tc>
          <w:tcPr>
            <w:tcW w:type="dxa" w:w="950"/>
          </w:tcPr>
          <w:p>
            <w:pPr>
              <w:spacing w:after="20"/>
              <w:jc w:val="right"/>
            </w:pPr>
            <w:r>
              <w:rPr>
                <w:color w:val="1C3A36"/>
                <w:sz w:val="15"/>
              </w:rPr>
              <w:t>604</w:t>
            </w:r>
          </w:p>
        </w:tc>
        <w:tc>
          <w:tcPr>
            <w:tcW w:type="dxa" w:w="950"/>
          </w:tcPr>
          <w:p>
            <w:pPr>
              <w:spacing w:after="20"/>
              <w:jc w:val="right"/>
            </w:pPr>
            <w:r>
              <w:rPr>
                <w:color w:val="1C3A36"/>
                <w:sz w:val="15"/>
              </w:rPr>
              <w:t>1,132</w:t>
            </w:r>
          </w:p>
        </w:tc>
        <w:tc>
          <w:tcPr>
            <w:tcW w:type="dxa" w:w="950"/>
          </w:tcPr>
          <w:p>
            <w:pPr>
              <w:spacing w:after="20"/>
              <w:jc w:val="right"/>
            </w:pPr>
            <w:r>
              <w:rPr>
                <w:color w:val="1C3A36"/>
                <w:sz w:val="15"/>
              </w:rPr>
              <w:t>1,569</w:t>
            </w:r>
          </w:p>
        </w:tc>
        <w:tc>
          <w:tcPr>
            <w:tcW w:type="dxa" w:w="950"/>
          </w:tcPr>
          <w:p>
            <w:pPr>
              <w:spacing w:after="20"/>
              <w:jc w:val="right"/>
            </w:pPr>
            <w:r>
              <w:rPr>
                <w:color w:val="1C3A36"/>
                <w:sz w:val="15"/>
              </w:rPr>
              <w:t>1,694</w:t>
            </w:r>
          </w:p>
        </w:tc>
        <w:tc>
          <w:tcPr>
            <w:tcW w:type="dxa" w:w="950"/>
          </w:tcPr>
          <w:p>
            <w:pPr>
              <w:spacing w:after="20"/>
              <w:jc w:val="right"/>
            </w:pPr>
            <w:r>
              <w:rPr>
                <w:color w:val="1C3A36"/>
                <w:sz w:val="15"/>
              </w:rPr>
              <w:t>1,830</w:t>
            </w:r>
          </w:p>
        </w:tc>
        <w:tc>
          <w:tcPr>
            <w:tcW w:type="dxa" w:w="950"/>
          </w:tcPr>
          <w:p>
            <w:pPr>
              <w:spacing w:after="20"/>
              <w:jc w:val="right"/>
            </w:pPr>
            <w:r>
              <w:rPr>
                <w:color w:val="1C3A36"/>
                <w:sz w:val="15"/>
              </w:rPr>
              <w:t>1,976</w:t>
            </w:r>
          </w:p>
        </w:tc>
        <w:tc>
          <w:tcPr>
            <w:tcW w:type="dxa" w:w="950"/>
          </w:tcPr>
          <w:p>
            <w:pPr>
              <w:spacing w:after="20"/>
              <w:jc w:val="right"/>
            </w:pPr>
            <w:r>
              <w:rPr>
                <w:color w:val="1C3A36"/>
                <w:sz w:val="15"/>
              </w:rPr>
              <w:t>2,134</w:t>
            </w:r>
          </w:p>
        </w:tc>
        <w:tc>
          <w:tcPr>
            <w:tcW w:type="dxa" w:w="950"/>
          </w:tcPr>
          <w:p>
            <w:pPr>
              <w:spacing w:after="20"/>
              <w:jc w:val="right"/>
            </w:pPr>
            <w:r>
              <w:rPr>
                <w:color w:val="1C3A36"/>
                <w:sz w:val="15"/>
              </w:rPr>
              <w:t>2,305</w:t>
            </w:r>
          </w:p>
        </w:tc>
      </w:tr>
      <w:tr>
        <w:tc>
          <w:tcPr>
            <w:tcW w:type="dxa" w:w="2477"/>
          </w:tcPr>
          <w:p>
            <w:pPr>
              <w:spacing w:after="20"/>
            </w:pPr>
            <w:r>
              <w:rPr>
                <w:color w:val="1C3A36"/>
                <w:sz w:val="15"/>
              </w:rPr>
              <w:t>Profit before tax</w:t>
            </w:r>
          </w:p>
        </w:tc>
        <w:tc>
          <w:tcPr>
            <w:tcW w:type="dxa" w:w="950"/>
          </w:tcPr>
          <w:p>
            <w:pPr>
              <w:spacing w:after="20"/>
              <w:jc w:val="right"/>
            </w:pPr>
            <w:r>
              <w:rPr>
                <w:color w:val="1C3A36"/>
                <w:sz w:val="15"/>
              </w:rPr>
              <w:t>16,218</w:t>
            </w:r>
          </w:p>
        </w:tc>
        <w:tc>
          <w:tcPr>
            <w:tcW w:type="dxa" w:w="950"/>
          </w:tcPr>
          <w:p>
            <w:pPr>
              <w:spacing w:after="20"/>
              <w:jc w:val="right"/>
            </w:pPr>
            <w:r>
              <w:rPr>
                <w:color w:val="1C3A36"/>
                <w:sz w:val="15"/>
              </w:rPr>
              <w:t>26,959</w:t>
            </w:r>
          </w:p>
        </w:tc>
        <w:tc>
          <w:tcPr>
            <w:tcW w:type="dxa" w:w="950"/>
          </w:tcPr>
          <w:p>
            <w:pPr>
              <w:spacing w:after="20"/>
              <w:jc w:val="right"/>
            </w:pPr>
            <w:r>
              <w:rPr>
                <w:color w:val="1C3A36"/>
                <w:sz w:val="15"/>
              </w:rPr>
              <w:t>24,778</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Income tax</w:t>
            </w:r>
          </w:p>
        </w:tc>
        <w:tc>
          <w:tcPr>
            <w:tcW w:type="dxa" w:w="950"/>
          </w:tcPr>
          <w:p>
            <w:pPr>
              <w:spacing w:after="20"/>
              <w:jc w:val="right"/>
            </w:pPr>
            <w:r>
              <w:rPr>
                <w:color w:val="1C3A36"/>
                <w:sz w:val="15"/>
              </w:rPr>
              <w:t>(5,080)</w:t>
            </w:r>
          </w:p>
        </w:tc>
        <w:tc>
          <w:tcPr>
            <w:tcW w:type="dxa" w:w="950"/>
          </w:tcPr>
          <w:p>
            <w:pPr>
              <w:spacing w:after="20"/>
              <w:jc w:val="right"/>
            </w:pPr>
            <w:r>
              <w:rPr>
                <w:color w:val="1C3A36"/>
                <w:sz w:val="15"/>
              </w:rPr>
              <w:t>(8,122)</w:t>
            </w:r>
          </w:p>
        </w:tc>
        <w:tc>
          <w:tcPr>
            <w:tcW w:type="dxa" w:w="950"/>
          </w:tcPr>
          <w:p>
            <w:pPr>
              <w:spacing w:after="20"/>
              <w:jc w:val="right"/>
            </w:pPr>
            <w:r>
              <w:rPr>
                <w:color w:val="1C3A36"/>
                <w:sz w:val="15"/>
              </w:rPr>
              <w:t>(5,591)</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Profit for the year</w:t>
            </w:r>
          </w:p>
        </w:tc>
        <w:tc>
          <w:tcPr>
            <w:tcW w:type="dxa" w:w="950"/>
          </w:tcPr>
          <w:p>
            <w:pPr>
              <w:spacing w:after="20"/>
              <w:jc w:val="right"/>
            </w:pPr>
            <w:r>
              <w:rPr>
                <w:color w:val="1C3A36"/>
                <w:sz w:val="15"/>
              </w:rPr>
              <w:t>11,138</w:t>
            </w:r>
          </w:p>
        </w:tc>
        <w:tc>
          <w:tcPr>
            <w:tcW w:type="dxa" w:w="950"/>
          </w:tcPr>
          <w:p>
            <w:pPr>
              <w:spacing w:after="20"/>
              <w:jc w:val="right"/>
            </w:pPr>
            <w:r>
              <w:rPr>
                <w:color w:val="1C3A36"/>
                <w:sz w:val="15"/>
              </w:rPr>
              <w:t>18,837</w:t>
            </w:r>
          </w:p>
        </w:tc>
        <w:tc>
          <w:tcPr>
            <w:tcW w:type="dxa" w:w="950"/>
          </w:tcPr>
          <w:p>
            <w:pPr>
              <w:spacing w:after="20"/>
              <w:jc w:val="right"/>
            </w:pPr>
            <w:r>
              <w:rPr>
                <w:color w:val="1C3A36"/>
                <w:sz w:val="15"/>
              </w:rPr>
              <w:t>19,187</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Non-controlling interests</w:t>
            </w:r>
          </w:p>
        </w:tc>
        <w:tc>
          <w:tcPr>
            <w:tcW w:type="dxa" w:w="950"/>
          </w:tcPr>
          <w:p>
            <w:pPr>
              <w:spacing w:after="20"/>
              <w:jc w:val="right"/>
            </w:pPr>
            <w:r>
              <w:rPr>
                <w:color w:val="1C3A36"/>
                <w:sz w:val="15"/>
              </w:rPr>
              <w:t>(1,022)</w:t>
            </w:r>
          </w:p>
        </w:tc>
        <w:tc>
          <w:tcPr>
            <w:tcW w:type="dxa" w:w="950"/>
          </w:tcPr>
          <w:p>
            <w:pPr>
              <w:spacing w:after="20"/>
              <w:jc w:val="right"/>
            </w:pPr>
            <w:r>
              <w:rPr>
                <w:color w:val="1C3A36"/>
                <w:sz w:val="15"/>
              </w:rPr>
              <w:t>(1,376)</w:t>
            </w:r>
          </w:p>
        </w:tc>
        <w:tc>
          <w:tcPr>
            <w:tcW w:type="dxa" w:w="950"/>
          </w:tcPr>
          <w:p>
            <w:pPr>
              <w:spacing w:after="20"/>
              <w:jc w:val="right"/>
            </w:pPr>
            <w:r>
              <w:rPr>
                <w:color w:val="1C3A36"/>
                <w:sz w:val="15"/>
              </w:rPr>
              <w:t>(1,856)</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shd w:val="clear" w:color="auto" w:fill="F6F1E6"/>
          </w:tcPr>
          <w:p>
            <w:pPr>
              <w:spacing w:after="20"/>
            </w:pPr>
            <w:r>
              <w:rPr>
                <w:b/>
                <w:color w:val="1C3A36"/>
                <w:sz w:val="15"/>
              </w:rPr>
              <w:t>Profit attributable to shareholders</w:t>
            </w:r>
          </w:p>
        </w:tc>
        <w:tc>
          <w:tcPr>
            <w:tcW w:type="dxa" w:w="950"/>
            <w:shd w:val="clear" w:color="auto" w:fill="F6F1E6"/>
          </w:tcPr>
          <w:p>
            <w:pPr>
              <w:spacing w:after="20"/>
              <w:jc w:val="right"/>
            </w:pPr>
            <w:r>
              <w:rPr>
                <w:b/>
                <w:color w:val="1C3A36"/>
                <w:sz w:val="15"/>
              </w:rPr>
              <w:t>10,116</w:t>
            </w:r>
          </w:p>
        </w:tc>
        <w:tc>
          <w:tcPr>
            <w:tcW w:type="dxa" w:w="950"/>
            <w:shd w:val="clear" w:color="auto" w:fill="F6F1E6"/>
          </w:tcPr>
          <w:p>
            <w:pPr>
              <w:spacing w:after="20"/>
              <w:jc w:val="right"/>
            </w:pPr>
            <w:r>
              <w:rPr>
                <w:b/>
                <w:color w:val="1C3A36"/>
                <w:sz w:val="15"/>
              </w:rPr>
              <w:t>17,461</w:t>
            </w:r>
          </w:p>
        </w:tc>
        <w:tc>
          <w:tcPr>
            <w:tcW w:type="dxa" w:w="950"/>
            <w:shd w:val="clear" w:color="auto" w:fill="F6F1E6"/>
          </w:tcPr>
          <w:p>
            <w:pPr>
              <w:spacing w:after="20"/>
              <w:jc w:val="right"/>
            </w:pPr>
            <w:r>
              <w:rPr>
                <w:b/>
                <w:color w:val="1C3A36"/>
                <w:sz w:val="15"/>
              </w:rPr>
              <w:t>17,330</w:t>
            </w:r>
          </w:p>
        </w:tc>
        <w:tc>
          <w:tcPr>
            <w:tcW w:type="dxa" w:w="950"/>
            <w:shd w:val="clear" w:color="auto" w:fill="F6F1E6"/>
          </w:tcPr>
          <w:p>
            <w:pPr>
              <w:spacing w:after="20"/>
              <w:jc w:val="right"/>
            </w:pPr>
            <w:r>
              <w:rPr>
                <w:b/>
                <w:color w:val="1C3A36"/>
                <w:sz w:val="15"/>
              </w:rPr>
              <w:t>20,788</w:t>
            </w:r>
          </w:p>
        </w:tc>
        <w:tc>
          <w:tcPr>
            <w:tcW w:type="dxa" w:w="950"/>
            <w:shd w:val="clear" w:color="auto" w:fill="F6F1E6"/>
          </w:tcPr>
          <w:p>
            <w:pPr>
              <w:spacing w:after="20"/>
              <w:jc w:val="right"/>
            </w:pPr>
            <w:r>
              <w:rPr>
                <w:b/>
                <w:color w:val="1C3A36"/>
                <w:sz w:val="15"/>
              </w:rPr>
              <w:t>24,233</w:t>
            </w:r>
          </w:p>
        </w:tc>
        <w:tc>
          <w:tcPr>
            <w:tcW w:type="dxa" w:w="950"/>
            <w:shd w:val="clear" w:color="auto" w:fill="F6F1E6"/>
          </w:tcPr>
          <w:p>
            <w:pPr>
              <w:spacing w:after="20"/>
              <w:jc w:val="right"/>
            </w:pPr>
            <w:r>
              <w:rPr>
                <w:b/>
                <w:color w:val="1C3A36"/>
                <w:sz w:val="15"/>
              </w:rPr>
              <w:t>28,051</w:t>
            </w:r>
          </w:p>
        </w:tc>
        <w:tc>
          <w:tcPr>
            <w:tcW w:type="dxa" w:w="950"/>
            <w:shd w:val="clear" w:color="auto" w:fill="F6F1E6"/>
          </w:tcPr>
          <w:p>
            <w:pPr>
              <w:spacing w:after="20"/>
              <w:jc w:val="right"/>
            </w:pPr>
            <w:r>
              <w:rPr>
                <w:b/>
                <w:color w:val="1C3A36"/>
                <w:sz w:val="15"/>
              </w:rPr>
              <w:t>32,270</w:t>
            </w:r>
          </w:p>
        </w:tc>
        <w:tc>
          <w:tcPr>
            <w:tcW w:type="dxa" w:w="950"/>
            <w:shd w:val="clear" w:color="auto" w:fill="F6F1E6"/>
          </w:tcPr>
          <w:p>
            <w:pPr>
              <w:spacing w:after="20"/>
              <w:jc w:val="right"/>
            </w:pPr>
            <w:r>
              <w:rPr>
                <w:b/>
                <w:color w:val="1C3A36"/>
                <w:sz w:val="15"/>
              </w:rPr>
              <w:t>36,393</w:t>
            </w:r>
          </w:p>
        </w:tc>
      </w:tr>
      <w:tr>
        <w:tc>
          <w:tcPr>
            <w:tcW w:type="dxa" w:w="2477"/>
          </w:tcPr>
          <w:p>
            <w:pPr>
              <w:spacing w:after="20"/>
            </w:pPr>
            <w:r>
              <w:rPr>
                <w:color w:val="1C3A36"/>
                <w:sz w:val="15"/>
              </w:rPr>
              <w:t>Earnings per share (derived: attributable ÷ shares, EGP)</w:t>
            </w:r>
          </w:p>
        </w:tc>
        <w:tc>
          <w:tcPr>
            <w:tcW w:type="dxa" w:w="950"/>
          </w:tcPr>
          <w:p>
            <w:pPr>
              <w:spacing w:after="20"/>
              <w:jc w:val="right"/>
            </w:pPr>
            <w:r>
              <w:rPr>
                <w:color w:val="1C3A36"/>
                <w:sz w:val="15"/>
              </w:rPr>
              <w:t>4.73</w:t>
            </w:r>
          </w:p>
        </w:tc>
        <w:tc>
          <w:tcPr>
            <w:tcW w:type="dxa" w:w="950"/>
          </w:tcPr>
          <w:p>
            <w:pPr>
              <w:spacing w:after="20"/>
              <w:jc w:val="right"/>
            </w:pPr>
            <w:r>
              <w:rPr>
                <w:color w:val="1C3A36"/>
                <w:sz w:val="15"/>
              </w:rPr>
              <w:t>8.16</w:t>
            </w:r>
          </w:p>
        </w:tc>
        <w:tc>
          <w:tcPr>
            <w:tcW w:type="dxa" w:w="950"/>
          </w:tcPr>
          <w:p>
            <w:pPr>
              <w:spacing w:after="20"/>
              <w:jc w:val="right"/>
            </w:pPr>
            <w:r>
              <w:rPr>
                <w:color w:val="1C3A36"/>
                <w:sz w:val="15"/>
              </w:rPr>
              <w:t>8.10</w:t>
            </w:r>
          </w:p>
        </w:tc>
        <w:tc>
          <w:tcPr>
            <w:tcW w:type="dxa" w:w="950"/>
          </w:tcPr>
          <w:p>
            <w:pPr>
              <w:spacing w:after="20"/>
              <w:jc w:val="right"/>
            </w:pPr>
            <w:r>
              <w:rPr>
                <w:color w:val="1C3A36"/>
                <w:sz w:val="15"/>
              </w:rPr>
              <w:t>9.71</w:t>
            </w:r>
          </w:p>
        </w:tc>
        <w:tc>
          <w:tcPr>
            <w:tcW w:type="dxa" w:w="950"/>
          </w:tcPr>
          <w:p>
            <w:pPr>
              <w:spacing w:after="20"/>
              <w:jc w:val="right"/>
            </w:pPr>
            <w:r>
              <w:rPr>
                <w:color w:val="1C3A36"/>
                <w:sz w:val="15"/>
              </w:rPr>
              <w:t>11.32</w:t>
            </w:r>
          </w:p>
        </w:tc>
        <w:tc>
          <w:tcPr>
            <w:tcW w:type="dxa" w:w="950"/>
          </w:tcPr>
          <w:p>
            <w:pPr>
              <w:spacing w:after="20"/>
              <w:jc w:val="right"/>
            </w:pPr>
            <w:r>
              <w:rPr>
                <w:color w:val="1C3A36"/>
                <w:sz w:val="15"/>
              </w:rPr>
              <w:t>13.10</w:t>
            </w:r>
          </w:p>
        </w:tc>
        <w:tc>
          <w:tcPr>
            <w:tcW w:type="dxa" w:w="950"/>
          </w:tcPr>
          <w:p>
            <w:pPr>
              <w:spacing w:after="20"/>
              <w:jc w:val="right"/>
            </w:pPr>
            <w:r>
              <w:rPr>
                <w:color w:val="1C3A36"/>
                <w:sz w:val="15"/>
              </w:rPr>
              <w:t>15.07</w:t>
            </w:r>
          </w:p>
        </w:tc>
        <w:tc>
          <w:tcPr>
            <w:tcW w:type="dxa" w:w="950"/>
          </w:tcPr>
          <w:p>
            <w:pPr>
              <w:spacing w:after="20"/>
              <w:jc w:val="right"/>
            </w:pPr>
            <w:r>
              <w:rPr>
                <w:color w:val="1C3A36"/>
                <w:sz w:val="15"/>
              </w:rPr>
              <w:t>17.00</w:t>
            </w:r>
          </w:p>
        </w:tc>
      </w:tr>
    </w:tbl>
    <w:p>
      <w:pPr>
        <w:spacing w:after="40"/>
      </w:pPr>
    </w:p>
    <w:p>
      <w:pPr>
        <w:spacing w:after="200" w:before="0"/>
      </w:pPr>
      <w:r>
        <w:rPr>
          <w:b w:val="0"/>
          <w:i/>
          <w:color w:val="6E7B77"/>
          <w:sz w:val="17"/>
        </w:rPr>
        <w:t>Every FY2023-25 STATEMENT line is taken directly from the company's audited consolidated statements. Two rows are house DERIVATIONS and are labelled as such: EBITDA (EBIT plus D&amp;A — the audited statements contain no EBITDA line, and the company's own separately published non-GAAP EBITDA is a different, larger definition) and earnings per share (attributable profit over shares outstanding; the company's own reported EPS of 4.26 / 7.22 / 7.13 is struck after the Egyptian employee and board profit-share appropriation and is accordingly lower — both bases appear in §1.3). Forecast profit is struck after net interest on the estimated debt and cash balances and after tax and minority interests, and therefore differs slightly from the free-cash-flow waterfall in section 1.1, which is a pre-financing measure by construction.</w:t>
      </w:r>
    </w:p>
    <w:p>
      <w:pPr>
        <w:spacing w:after="80" w:before="200"/>
      </w:pPr>
      <w:r>
        <w:rPr>
          <w:b/>
          <w:i w:val="0"/>
          <w:color w:val="1C3A36"/>
          <w:sz w:val="24"/>
        </w:rPr>
        <w:t>A.2  Balance sheet — condensed house layout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6"/>
              </w:rPr>
              <w:t>EGP mn</w:t>
            </w:r>
          </w:p>
        </w:tc>
        <w:tc>
          <w:tcPr>
            <w:tcW w:type="dxa" w:w="2232"/>
            <w:shd w:val="clear" w:color="auto" w:fill="EAF0EE"/>
          </w:tcPr>
          <w:p>
            <w:pPr>
              <w:spacing w:after="20"/>
            </w:pPr>
            <w:r>
              <w:rPr>
                <w:b/>
                <w:color w:val="1C3A36"/>
                <w:sz w:val="16"/>
              </w:rPr>
              <w:t>FY2023</w:t>
            </w:r>
          </w:p>
        </w:tc>
        <w:tc>
          <w:tcPr>
            <w:tcW w:type="dxa" w:w="2232"/>
            <w:shd w:val="clear" w:color="auto" w:fill="EAF0EE"/>
          </w:tcPr>
          <w:p>
            <w:pPr>
              <w:spacing w:after="20"/>
            </w:pPr>
            <w:r>
              <w:rPr>
                <w:b/>
                <w:color w:val="1C3A36"/>
                <w:sz w:val="16"/>
              </w:rPr>
              <w:t>FY2024</w:t>
            </w:r>
          </w:p>
        </w:tc>
        <w:tc>
          <w:tcPr>
            <w:tcW w:type="dxa" w:w="2232"/>
            <w:shd w:val="clear" w:color="auto" w:fill="EAF0EE"/>
          </w:tcPr>
          <w:p>
            <w:pPr>
              <w:spacing w:after="20"/>
            </w:pPr>
            <w:r>
              <w:rPr>
                <w:b/>
                <w:color w:val="1C3A36"/>
                <w:sz w:val="16"/>
              </w:rPr>
              <w:t>FY2025</w:t>
            </w:r>
          </w:p>
        </w:tc>
      </w:tr>
      <w:tr>
        <w:tc>
          <w:tcPr>
            <w:tcW w:type="dxa" w:w="3384"/>
          </w:tcPr>
          <w:p>
            <w:pPr>
              <w:spacing w:after="20"/>
            </w:pPr>
            <w:r>
              <w:rPr>
                <w:color w:val="1C3A36"/>
                <w:sz w:val="16"/>
              </w:rPr>
              <w:t>Property, plant and equipment</w:t>
            </w:r>
          </w:p>
        </w:tc>
        <w:tc>
          <w:tcPr>
            <w:tcW w:type="dxa" w:w="2232"/>
          </w:tcPr>
          <w:p>
            <w:pPr>
              <w:spacing w:after="20"/>
              <w:jc w:val="right"/>
            </w:pPr>
            <w:r>
              <w:rPr>
                <w:color w:val="1C3A36"/>
                <w:sz w:val="16"/>
              </w:rPr>
              <w:t>18,009</w:t>
            </w:r>
          </w:p>
        </w:tc>
        <w:tc>
          <w:tcPr>
            <w:tcW w:type="dxa" w:w="2232"/>
          </w:tcPr>
          <w:p>
            <w:pPr>
              <w:spacing w:after="20"/>
              <w:jc w:val="right"/>
            </w:pPr>
            <w:r>
              <w:rPr>
                <w:color w:val="1C3A36"/>
                <w:sz w:val="16"/>
              </w:rPr>
              <w:t>27,544</w:t>
            </w:r>
          </w:p>
        </w:tc>
        <w:tc>
          <w:tcPr>
            <w:tcW w:type="dxa" w:w="2232"/>
          </w:tcPr>
          <w:p>
            <w:pPr>
              <w:spacing w:after="20"/>
              <w:jc w:val="right"/>
            </w:pPr>
            <w:r>
              <w:rPr>
                <w:color w:val="1C3A36"/>
                <w:sz w:val="16"/>
              </w:rPr>
              <w:t>35,961</w:t>
            </w:r>
          </w:p>
        </w:tc>
      </w:tr>
      <w:tr>
        <w:tc>
          <w:tcPr>
            <w:tcW w:type="dxa" w:w="3384"/>
          </w:tcPr>
          <w:p>
            <w:pPr>
              <w:spacing w:after="20"/>
            </w:pPr>
            <w:r>
              <w:rPr>
                <w:color w:val="1C3A36"/>
                <w:sz w:val="16"/>
              </w:rPr>
              <w:t>Equity-accounted investees</w:t>
            </w:r>
          </w:p>
        </w:tc>
        <w:tc>
          <w:tcPr>
            <w:tcW w:type="dxa" w:w="2232"/>
          </w:tcPr>
          <w:p>
            <w:pPr>
              <w:spacing w:after="20"/>
              <w:jc w:val="right"/>
            </w:pPr>
            <w:r>
              <w:rPr>
                <w:color w:val="1C3A36"/>
                <w:sz w:val="16"/>
              </w:rPr>
              <w:t>3,802.8</w:t>
            </w:r>
          </w:p>
        </w:tc>
        <w:tc>
          <w:tcPr>
            <w:tcW w:type="dxa" w:w="2232"/>
          </w:tcPr>
          <w:p>
            <w:pPr>
              <w:spacing w:after="20"/>
              <w:jc w:val="right"/>
            </w:pPr>
            <w:r>
              <w:rPr>
                <w:color w:val="1C3A36"/>
                <w:sz w:val="16"/>
              </w:rPr>
              <w:t>6,474</w:t>
            </w:r>
          </w:p>
        </w:tc>
        <w:tc>
          <w:tcPr>
            <w:tcW w:type="dxa" w:w="2232"/>
          </w:tcPr>
          <w:p>
            <w:pPr>
              <w:spacing w:after="20"/>
              <w:jc w:val="right"/>
            </w:pPr>
            <w:r>
              <w:rPr>
                <w:color w:val="1C3A36"/>
                <w:sz w:val="16"/>
              </w:rPr>
              <w:t>6,758</w:t>
            </w:r>
          </w:p>
        </w:tc>
      </w:tr>
      <w:tr>
        <w:tc>
          <w:tcPr>
            <w:tcW w:type="dxa" w:w="3384"/>
          </w:tcPr>
          <w:p>
            <w:pPr>
              <w:spacing w:after="20"/>
            </w:pPr>
            <w:r>
              <w:rPr>
                <w:color w:val="1C3A36"/>
                <w:sz w:val="16"/>
              </w:rPr>
              <w:t>Inventories</w:t>
            </w:r>
          </w:p>
        </w:tc>
        <w:tc>
          <w:tcPr>
            <w:tcW w:type="dxa" w:w="2232"/>
          </w:tcPr>
          <w:p>
            <w:pPr>
              <w:spacing w:after="20"/>
              <w:jc w:val="right"/>
            </w:pPr>
            <w:r>
              <w:rPr>
                <w:color w:val="1C3A36"/>
                <w:sz w:val="16"/>
              </w:rPr>
              <w:t>30,882</w:t>
            </w:r>
          </w:p>
        </w:tc>
        <w:tc>
          <w:tcPr>
            <w:tcW w:type="dxa" w:w="2232"/>
          </w:tcPr>
          <w:p>
            <w:pPr>
              <w:spacing w:after="20"/>
              <w:jc w:val="right"/>
            </w:pPr>
            <w:r>
              <w:rPr>
                <w:color w:val="1C3A36"/>
                <w:sz w:val="16"/>
              </w:rPr>
              <w:t>56,796</w:t>
            </w:r>
          </w:p>
        </w:tc>
        <w:tc>
          <w:tcPr>
            <w:tcW w:type="dxa" w:w="2232"/>
          </w:tcPr>
          <w:p>
            <w:pPr>
              <w:spacing w:after="20"/>
              <w:jc w:val="right"/>
            </w:pPr>
            <w:r>
              <w:rPr>
                <w:color w:val="1C3A36"/>
                <w:sz w:val="16"/>
              </w:rPr>
              <w:t>59,860</w:t>
            </w:r>
          </w:p>
        </w:tc>
      </w:tr>
      <w:tr>
        <w:tc>
          <w:tcPr>
            <w:tcW w:type="dxa" w:w="3384"/>
          </w:tcPr>
          <w:p>
            <w:pPr>
              <w:spacing w:after="20"/>
            </w:pPr>
            <w:r>
              <w:rPr>
                <w:color w:val="1C3A36"/>
                <w:sz w:val="16"/>
              </w:rPr>
              <w:t>Contract assets</w:t>
            </w:r>
          </w:p>
        </w:tc>
        <w:tc>
          <w:tcPr>
            <w:tcW w:type="dxa" w:w="2232"/>
          </w:tcPr>
          <w:p>
            <w:pPr>
              <w:spacing w:after="20"/>
              <w:jc w:val="right"/>
            </w:pPr>
            <w:r>
              <w:rPr>
                <w:color w:val="1C3A36"/>
                <w:sz w:val="16"/>
              </w:rPr>
              <w:t>16,180</w:t>
            </w:r>
          </w:p>
        </w:tc>
        <w:tc>
          <w:tcPr>
            <w:tcW w:type="dxa" w:w="2232"/>
          </w:tcPr>
          <w:p>
            <w:pPr>
              <w:spacing w:after="20"/>
              <w:jc w:val="right"/>
            </w:pPr>
            <w:r>
              <w:rPr>
                <w:color w:val="1C3A36"/>
                <w:sz w:val="16"/>
              </w:rPr>
              <w:t>18,052</w:t>
            </w:r>
          </w:p>
        </w:tc>
        <w:tc>
          <w:tcPr>
            <w:tcW w:type="dxa" w:w="2232"/>
          </w:tcPr>
          <w:p>
            <w:pPr>
              <w:spacing w:after="20"/>
              <w:jc w:val="right"/>
            </w:pPr>
            <w:r>
              <w:rPr>
                <w:color w:val="1C3A36"/>
                <w:sz w:val="16"/>
              </w:rPr>
              <w:t>29,895</w:t>
            </w:r>
          </w:p>
        </w:tc>
      </w:tr>
      <w:tr>
        <w:tc>
          <w:tcPr>
            <w:tcW w:type="dxa" w:w="3384"/>
          </w:tcPr>
          <w:p>
            <w:pPr>
              <w:spacing w:after="20"/>
            </w:pPr>
            <w:r>
              <w:rPr>
                <w:color w:val="1C3A36"/>
                <w:sz w:val="16"/>
              </w:rPr>
              <w:t>Trade and other receivables</w:t>
            </w:r>
          </w:p>
        </w:tc>
        <w:tc>
          <w:tcPr>
            <w:tcW w:type="dxa" w:w="2232"/>
          </w:tcPr>
          <w:p>
            <w:pPr>
              <w:spacing w:after="20"/>
              <w:jc w:val="right"/>
            </w:pPr>
            <w:r>
              <w:rPr>
                <w:color w:val="1C3A36"/>
                <w:sz w:val="16"/>
              </w:rPr>
              <w:t>46,592</w:t>
            </w:r>
          </w:p>
        </w:tc>
        <w:tc>
          <w:tcPr>
            <w:tcW w:type="dxa" w:w="2232"/>
          </w:tcPr>
          <w:p>
            <w:pPr>
              <w:spacing w:after="20"/>
              <w:jc w:val="right"/>
            </w:pPr>
            <w:r>
              <w:rPr>
                <w:color w:val="1C3A36"/>
                <w:sz w:val="16"/>
              </w:rPr>
              <w:t>86,736</w:t>
            </w:r>
          </w:p>
        </w:tc>
        <w:tc>
          <w:tcPr>
            <w:tcW w:type="dxa" w:w="2232"/>
          </w:tcPr>
          <w:p>
            <w:pPr>
              <w:spacing w:after="20"/>
              <w:jc w:val="right"/>
            </w:pPr>
            <w:r>
              <w:rPr>
                <w:color w:val="1C3A36"/>
                <w:sz w:val="16"/>
              </w:rPr>
              <w:t>116,260</w:t>
            </w:r>
          </w:p>
        </w:tc>
      </w:tr>
      <w:tr>
        <w:tc>
          <w:tcPr>
            <w:tcW w:type="dxa" w:w="3384"/>
          </w:tcPr>
          <w:p>
            <w:pPr>
              <w:spacing w:after="20"/>
            </w:pPr>
            <w:r>
              <w:rPr>
                <w:color w:val="1C3A36"/>
                <w:sz w:val="16"/>
              </w:rPr>
              <w:t>Cash and cash equivalents</w:t>
            </w:r>
          </w:p>
        </w:tc>
        <w:tc>
          <w:tcPr>
            <w:tcW w:type="dxa" w:w="2232"/>
          </w:tcPr>
          <w:p>
            <w:pPr>
              <w:spacing w:after="20"/>
              <w:jc w:val="right"/>
            </w:pPr>
            <w:r>
              <w:rPr>
                <w:color w:val="1C3A36"/>
                <w:sz w:val="16"/>
              </w:rPr>
              <w:t>25,552</w:t>
            </w:r>
          </w:p>
        </w:tc>
        <w:tc>
          <w:tcPr>
            <w:tcW w:type="dxa" w:w="2232"/>
          </w:tcPr>
          <w:p>
            <w:pPr>
              <w:spacing w:after="20"/>
              <w:jc w:val="right"/>
            </w:pPr>
            <w:r>
              <w:rPr>
                <w:color w:val="1C3A36"/>
                <w:sz w:val="16"/>
              </w:rPr>
              <w:t>38,180</w:t>
            </w:r>
          </w:p>
        </w:tc>
        <w:tc>
          <w:tcPr>
            <w:tcW w:type="dxa" w:w="2232"/>
          </w:tcPr>
          <w:p>
            <w:pPr>
              <w:spacing w:after="20"/>
              <w:jc w:val="right"/>
            </w:pPr>
            <w:r>
              <w:rPr>
                <w:color w:val="1C3A36"/>
                <w:sz w:val="16"/>
              </w:rPr>
              <w:t>41,949</w:t>
            </w:r>
          </w:p>
        </w:tc>
      </w:tr>
      <w:tr>
        <w:tc>
          <w:tcPr>
            <w:tcW w:type="dxa" w:w="3384"/>
            <w:shd w:val="clear" w:color="auto" w:fill="F6F1E6"/>
          </w:tcPr>
          <w:p>
            <w:pPr>
              <w:spacing w:after="20"/>
            </w:pPr>
            <w:r>
              <w:rPr>
                <w:b/>
                <w:color w:val="1C3A36"/>
                <w:sz w:val="16"/>
              </w:rPr>
              <w:t>Total assets</w:t>
            </w:r>
          </w:p>
        </w:tc>
        <w:tc>
          <w:tcPr>
            <w:tcW w:type="dxa" w:w="2232"/>
            <w:shd w:val="clear" w:color="auto" w:fill="F6F1E6"/>
          </w:tcPr>
          <w:p>
            <w:pPr>
              <w:spacing w:after="20"/>
              <w:jc w:val="right"/>
            </w:pPr>
            <w:r>
              <w:rPr>
                <w:b/>
                <w:color w:val="1C3A36"/>
                <w:sz w:val="16"/>
              </w:rPr>
              <w:t>151,449</w:t>
            </w:r>
          </w:p>
        </w:tc>
        <w:tc>
          <w:tcPr>
            <w:tcW w:type="dxa" w:w="2232"/>
            <w:shd w:val="clear" w:color="auto" w:fill="F6F1E6"/>
          </w:tcPr>
          <w:p>
            <w:pPr>
              <w:spacing w:after="20"/>
              <w:jc w:val="right"/>
            </w:pPr>
            <w:r>
              <w:rPr>
                <w:b/>
                <w:color w:val="1C3A36"/>
                <w:sz w:val="16"/>
              </w:rPr>
              <w:t>249,527</w:t>
            </w:r>
          </w:p>
        </w:tc>
        <w:tc>
          <w:tcPr>
            <w:tcW w:type="dxa" w:w="2232"/>
            <w:shd w:val="clear" w:color="auto" w:fill="F6F1E6"/>
          </w:tcPr>
          <w:p>
            <w:pPr>
              <w:spacing w:after="20"/>
              <w:jc w:val="right"/>
            </w:pPr>
            <w:r>
              <w:rPr>
                <w:b/>
                <w:color w:val="1C3A36"/>
                <w:sz w:val="16"/>
              </w:rPr>
              <w:t>311,099</w:t>
            </w:r>
          </w:p>
        </w:tc>
      </w:tr>
      <w:tr>
        <w:tc>
          <w:tcPr>
            <w:tcW w:type="dxa" w:w="3384"/>
          </w:tcPr>
          <w:p>
            <w:pPr>
              <w:spacing w:after="20"/>
            </w:pPr>
            <w:r>
              <w:rPr>
                <w:color w:val="1C3A36"/>
                <w:sz w:val="16"/>
              </w:rPr>
              <w:t>Loans and borrowings</w:t>
            </w:r>
          </w:p>
        </w:tc>
        <w:tc>
          <w:tcPr>
            <w:tcW w:type="dxa" w:w="2232"/>
          </w:tcPr>
          <w:p>
            <w:pPr>
              <w:spacing w:after="20"/>
              <w:jc w:val="right"/>
            </w:pPr>
            <w:r>
              <w:rPr>
                <w:color w:val="1C3A36"/>
                <w:sz w:val="16"/>
              </w:rPr>
              <w:t>41,766</w:t>
            </w:r>
          </w:p>
        </w:tc>
        <w:tc>
          <w:tcPr>
            <w:tcW w:type="dxa" w:w="2232"/>
          </w:tcPr>
          <w:p>
            <w:pPr>
              <w:spacing w:after="20"/>
              <w:jc w:val="right"/>
            </w:pPr>
            <w:r>
              <w:rPr>
                <w:color w:val="1C3A36"/>
                <w:sz w:val="16"/>
              </w:rPr>
              <w:t>59,083</w:t>
            </w:r>
          </w:p>
        </w:tc>
        <w:tc>
          <w:tcPr>
            <w:tcW w:type="dxa" w:w="2232"/>
          </w:tcPr>
          <w:p>
            <w:pPr>
              <w:spacing w:after="20"/>
              <w:jc w:val="right"/>
            </w:pPr>
            <w:r>
              <w:rPr>
                <w:color w:val="1C3A36"/>
                <w:sz w:val="16"/>
              </w:rPr>
              <w:t>62,509</w:t>
            </w:r>
          </w:p>
        </w:tc>
      </w:tr>
      <w:tr>
        <w:tc>
          <w:tcPr>
            <w:tcW w:type="dxa" w:w="3384"/>
          </w:tcPr>
          <w:p>
            <w:pPr>
              <w:spacing w:after="20"/>
            </w:pPr>
            <w:r>
              <w:rPr>
                <w:color w:val="1C3A36"/>
                <w:sz w:val="16"/>
              </w:rPr>
              <w:t>Trade and other payables</w:t>
            </w:r>
          </w:p>
        </w:tc>
        <w:tc>
          <w:tcPr>
            <w:tcW w:type="dxa" w:w="2232"/>
          </w:tcPr>
          <w:p>
            <w:pPr>
              <w:spacing w:after="20"/>
              <w:jc w:val="right"/>
            </w:pPr>
            <w:r>
              <w:rPr>
                <w:color w:val="1C3A36"/>
                <w:sz w:val="16"/>
              </w:rPr>
              <w:t>31,938</w:t>
            </w:r>
          </w:p>
        </w:tc>
        <w:tc>
          <w:tcPr>
            <w:tcW w:type="dxa" w:w="2232"/>
          </w:tcPr>
          <w:p>
            <w:pPr>
              <w:spacing w:after="20"/>
              <w:jc w:val="right"/>
            </w:pPr>
            <w:r>
              <w:rPr>
                <w:color w:val="1C3A36"/>
                <w:sz w:val="16"/>
              </w:rPr>
              <w:t>54,808</w:t>
            </w:r>
          </w:p>
        </w:tc>
        <w:tc>
          <w:tcPr>
            <w:tcW w:type="dxa" w:w="2232"/>
          </w:tcPr>
          <w:p>
            <w:pPr>
              <w:spacing w:after="20"/>
              <w:jc w:val="right"/>
            </w:pPr>
            <w:r>
              <w:rPr>
                <w:color w:val="1C3A36"/>
                <w:sz w:val="16"/>
              </w:rPr>
              <w:t>68,896</w:t>
            </w:r>
          </w:p>
        </w:tc>
      </w:tr>
      <w:tr>
        <w:tc>
          <w:tcPr>
            <w:tcW w:type="dxa" w:w="3384"/>
          </w:tcPr>
          <w:p>
            <w:pPr>
              <w:spacing w:after="20"/>
            </w:pPr>
            <w:r>
              <w:rPr>
                <w:color w:val="1C3A36"/>
                <w:sz w:val="16"/>
              </w:rPr>
              <w:t>Contract liabilities</w:t>
            </w:r>
          </w:p>
        </w:tc>
        <w:tc>
          <w:tcPr>
            <w:tcW w:type="dxa" w:w="2232"/>
          </w:tcPr>
          <w:p>
            <w:pPr>
              <w:spacing w:after="20"/>
              <w:jc w:val="right"/>
            </w:pPr>
            <w:r>
              <w:rPr>
                <w:color w:val="1C3A36"/>
                <w:sz w:val="16"/>
              </w:rPr>
              <w:t>25,060</w:t>
            </w:r>
          </w:p>
        </w:tc>
        <w:tc>
          <w:tcPr>
            <w:tcW w:type="dxa" w:w="2232"/>
          </w:tcPr>
          <w:p>
            <w:pPr>
              <w:spacing w:after="20"/>
              <w:jc w:val="right"/>
            </w:pPr>
            <w:r>
              <w:rPr>
                <w:color w:val="1C3A36"/>
                <w:sz w:val="16"/>
              </w:rPr>
              <w:t>53,281</w:t>
            </w:r>
          </w:p>
        </w:tc>
        <w:tc>
          <w:tcPr>
            <w:tcW w:type="dxa" w:w="2232"/>
          </w:tcPr>
          <w:p>
            <w:pPr>
              <w:spacing w:after="20"/>
              <w:jc w:val="right"/>
            </w:pPr>
            <w:r>
              <w:rPr>
                <w:color w:val="1C3A36"/>
                <w:sz w:val="16"/>
              </w:rPr>
              <w:t>81,266</w:t>
            </w:r>
          </w:p>
        </w:tc>
      </w:tr>
      <w:tr>
        <w:tc>
          <w:tcPr>
            <w:tcW w:type="dxa" w:w="3384"/>
          </w:tcPr>
          <w:p>
            <w:pPr>
              <w:spacing w:after="20"/>
            </w:pPr>
            <w:r>
              <w:rPr>
                <w:color w:val="1C3A36"/>
                <w:sz w:val="16"/>
              </w:rPr>
              <w:t>Equity attributable to shareholders</w:t>
            </w:r>
          </w:p>
        </w:tc>
        <w:tc>
          <w:tcPr>
            <w:tcW w:type="dxa" w:w="2232"/>
          </w:tcPr>
          <w:p>
            <w:pPr>
              <w:spacing w:after="20"/>
              <w:jc w:val="right"/>
            </w:pPr>
            <w:r>
              <w:rPr>
                <w:color w:val="1C3A36"/>
                <w:sz w:val="16"/>
              </w:rPr>
              <w:t>35,724</w:t>
            </w:r>
          </w:p>
        </w:tc>
        <w:tc>
          <w:tcPr>
            <w:tcW w:type="dxa" w:w="2232"/>
          </w:tcPr>
          <w:p>
            <w:pPr>
              <w:spacing w:after="20"/>
              <w:jc w:val="right"/>
            </w:pPr>
            <w:r>
              <w:rPr>
                <w:color w:val="1C3A36"/>
                <w:sz w:val="16"/>
              </w:rPr>
              <w:t>55,275</w:t>
            </w:r>
          </w:p>
        </w:tc>
        <w:tc>
          <w:tcPr>
            <w:tcW w:type="dxa" w:w="2232"/>
          </w:tcPr>
          <w:p>
            <w:pPr>
              <w:spacing w:after="20"/>
              <w:jc w:val="right"/>
            </w:pPr>
            <w:r>
              <w:rPr>
                <w:color w:val="1C3A36"/>
                <w:sz w:val="16"/>
              </w:rPr>
              <w:t>66,871</w:t>
            </w:r>
          </w:p>
        </w:tc>
      </w:tr>
      <w:tr>
        <w:tc>
          <w:tcPr>
            <w:tcW w:type="dxa" w:w="3384"/>
          </w:tcPr>
          <w:p>
            <w:pPr>
              <w:spacing w:after="20"/>
            </w:pPr>
            <w:r>
              <w:rPr>
                <w:color w:val="1C3A36"/>
                <w:sz w:val="16"/>
              </w:rPr>
              <w:t>Non-controlling interests</w:t>
            </w:r>
          </w:p>
        </w:tc>
        <w:tc>
          <w:tcPr>
            <w:tcW w:type="dxa" w:w="2232"/>
          </w:tcPr>
          <w:p>
            <w:pPr>
              <w:spacing w:after="20"/>
              <w:jc w:val="right"/>
            </w:pPr>
            <w:r>
              <w:rPr>
                <w:color w:val="1C3A36"/>
                <w:sz w:val="16"/>
              </w:rPr>
              <w:t>2,384</w:t>
            </w:r>
          </w:p>
        </w:tc>
        <w:tc>
          <w:tcPr>
            <w:tcW w:type="dxa" w:w="2232"/>
          </w:tcPr>
          <w:p>
            <w:pPr>
              <w:spacing w:after="20"/>
              <w:jc w:val="right"/>
            </w:pPr>
            <w:r>
              <w:rPr>
                <w:color w:val="1C3A36"/>
                <w:sz w:val="16"/>
              </w:rPr>
              <w:t>4,252</w:t>
            </w:r>
          </w:p>
        </w:tc>
        <w:tc>
          <w:tcPr>
            <w:tcW w:type="dxa" w:w="2232"/>
          </w:tcPr>
          <w:p>
            <w:pPr>
              <w:spacing w:after="20"/>
              <w:jc w:val="right"/>
            </w:pPr>
            <w:r>
              <w:rPr>
                <w:color w:val="1C3A36"/>
                <w:sz w:val="16"/>
              </w:rPr>
              <w:t>5,119</w:t>
            </w:r>
          </w:p>
        </w:tc>
      </w:tr>
      <w:tr>
        <w:tc>
          <w:tcPr>
            <w:tcW w:type="dxa" w:w="3384"/>
            <w:shd w:val="clear" w:color="auto" w:fill="F6F1E6"/>
          </w:tcPr>
          <w:p>
            <w:pPr>
              <w:spacing w:after="20"/>
            </w:pPr>
            <w:r>
              <w:rPr>
                <w:b/>
                <w:color w:val="1C3A36"/>
                <w:sz w:val="16"/>
              </w:rPr>
              <w:t>Net bank debt</w:t>
            </w:r>
          </w:p>
        </w:tc>
        <w:tc>
          <w:tcPr>
            <w:tcW w:type="dxa" w:w="2232"/>
            <w:shd w:val="clear" w:color="auto" w:fill="F6F1E6"/>
          </w:tcPr>
          <w:p>
            <w:pPr>
              <w:spacing w:after="20"/>
              <w:jc w:val="right"/>
            </w:pPr>
            <w:r>
              <w:rPr>
                <w:b/>
                <w:color w:val="1C3A36"/>
                <w:sz w:val="16"/>
              </w:rPr>
              <w:t>16,214</w:t>
            </w:r>
          </w:p>
        </w:tc>
        <w:tc>
          <w:tcPr>
            <w:tcW w:type="dxa" w:w="2232"/>
            <w:shd w:val="clear" w:color="auto" w:fill="F6F1E6"/>
          </w:tcPr>
          <w:p>
            <w:pPr>
              <w:spacing w:after="20"/>
              <w:jc w:val="right"/>
            </w:pPr>
            <w:r>
              <w:rPr>
                <w:b/>
                <w:color w:val="1C3A36"/>
                <w:sz w:val="16"/>
              </w:rPr>
              <w:t>20,903</w:t>
            </w:r>
          </w:p>
        </w:tc>
        <w:tc>
          <w:tcPr>
            <w:tcW w:type="dxa" w:w="2232"/>
            <w:shd w:val="clear" w:color="auto" w:fill="F6F1E6"/>
          </w:tcPr>
          <w:p>
            <w:pPr>
              <w:spacing w:after="20"/>
              <w:jc w:val="right"/>
            </w:pPr>
            <w:r>
              <w:rPr>
                <w:b/>
                <w:color w:val="1C3A36"/>
                <w:sz w:val="16"/>
              </w:rPr>
              <w:t>20,560</w:t>
            </w:r>
          </w:p>
        </w:tc>
      </w:tr>
      <w:tr>
        <w:tc>
          <w:tcPr>
            <w:tcW w:type="dxa" w:w="3384"/>
          </w:tcPr>
          <w:p>
            <w:pPr>
              <w:spacing w:after="20"/>
            </w:pPr>
            <w:r>
              <w:rPr>
                <w:color w:val="1C3A36"/>
                <w:sz w:val="16"/>
              </w:rPr>
              <w:t>Net working capital</w:t>
            </w:r>
          </w:p>
        </w:tc>
        <w:tc>
          <w:tcPr>
            <w:tcW w:type="dxa" w:w="2232"/>
          </w:tcPr>
          <w:p>
            <w:pPr>
              <w:spacing w:after="20"/>
              <w:jc w:val="right"/>
            </w:pPr>
            <w:r>
              <w:rPr>
                <w:color w:val="1C3A36"/>
                <w:sz w:val="16"/>
              </w:rPr>
              <w:t>36,655</w:t>
            </w:r>
          </w:p>
        </w:tc>
        <w:tc>
          <w:tcPr>
            <w:tcW w:type="dxa" w:w="2232"/>
          </w:tcPr>
          <w:p>
            <w:pPr>
              <w:spacing w:after="20"/>
              <w:jc w:val="right"/>
            </w:pPr>
            <w:r>
              <w:rPr>
                <w:color w:val="1C3A36"/>
                <w:sz w:val="16"/>
              </w:rPr>
              <w:t>53,495</w:t>
            </w:r>
          </w:p>
        </w:tc>
        <w:tc>
          <w:tcPr>
            <w:tcW w:type="dxa" w:w="2232"/>
          </w:tcPr>
          <w:p>
            <w:pPr>
              <w:spacing w:after="20"/>
              <w:jc w:val="right"/>
            </w:pPr>
            <w:r>
              <w:rPr>
                <w:color w:val="1C3A36"/>
                <w:sz w:val="16"/>
              </w:rPr>
              <w:t>55,853</w:t>
            </w:r>
          </w:p>
        </w:tc>
      </w:tr>
      <w:tr>
        <w:tc>
          <w:tcPr>
            <w:tcW w:type="dxa" w:w="3384"/>
            <w:shd w:val="clear" w:color="auto" w:fill="F6F1E6"/>
          </w:tcPr>
          <w:p>
            <w:pPr>
              <w:spacing w:after="20"/>
            </w:pPr>
            <w:r>
              <w:rPr>
                <w:b/>
                <w:color w:val="1C3A36"/>
                <w:sz w:val="16"/>
              </w:rPr>
              <w:t>Net debt / EBITDA</w:t>
            </w:r>
          </w:p>
        </w:tc>
        <w:tc>
          <w:tcPr>
            <w:tcW w:type="dxa" w:w="2232"/>
            <w:shd w:val="clear" w:color="auto" w:fill="F6F1E6"/>
          </w:tcPr>
          <w:p>
            <w:pPr>
              <w:spacing w:after="20"/>
              <w:jc w:val="right"/>
            </w:pPr>
            <w:r>
              <w:rPr>
                <w:b/>
                <w:color w:val="1C3A36"/>
                <w:sz w:val="16"/>
              </w:rPr>
              <w:t>0.81×</w:t>
            </w:r>
          </w:p>
        </w:tc>
        <w:tc>
          <w:tcPr>
            <w:tcW w:type="dxa" w:w="2232"/>
            <w:shd w:val="clear" w:color="auto" w:fill="F6F1E6"/>
          </w:tcPr>
          <w:p>
            <w:pPr>
              <w:spacing w:after="20"/>
              <w:jc w:val="right"/>
            </w:pPr>
            <w:r>
              <w:rPr>
                <w:b/>
                <w:color w:val="1C3A36"/>
                <w:sz w:val="16"/>
              </w:rPr>
              <w:t>0.66×</w:t>
            </w:r>
          </w:p>
        </w:tc>
        <w:tc>
          <w:tcPr>
            <w:tcW w:type="dxa" w:w="2232"/>
            <w:shd w:val="clear" w:color="auto" w:fill="F6F1E6"/>
          </w:tcPr>
          <w:p>
            <w:pPr>
              <w:spacing w:after="20"/>
              <w:jc w:val="right"/>
            </w:pPr>
            <w:r>
              <w:rPr>
                <w:b/>
                <w:color w:val="1C3A36"/>
                <w:sz w:val="16"/>
              </w:rPr>
              <w:t>0.72×</w:t>
            </w:r>
          </w:p>
        </w:tc>
      </w:tr>
    </w:tbl>
    <w:p>
      <w:pPr>
        <w:spacing w:after="40"/>
      </w:pPr>
    </w:p>
    <w:p>
      <w:pPr>
        <w:spacing w:after="200" w:before="0"/>
      </w:pPr>
      <w:r>
        <w:rPr>
          <w:b w:val="0"/>
          <w:i/>
          <w:color w:val="6E7B77"/>
          <w:sz w:val="17"/>
        </w:rPr>
        <w:t>FY2023, FY2024 and FY2025 are all audited — every line, including FY2025, is the closing figure from the company's own consolidated statements. No triangulation or roll-forward is used for any historical year.</w:t>
      </w:r>
    </w:p>
    <w:p>
      <w:pPr>
        <w:spacing w:after="80" w:before="200"/>
      </w:pPr>
      <w:r>
        <w:rPr>
          <w:b/>
          <w:i w:val="0"/>
          <w:color w:val="1C3A36"/>
          <w:sz w:val="24"/>
        </w:rPr>
        <w:t>A.3  Forecast balance 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Net working capital</w:t>
            </w:r>
          </w:p>
        </w:tc>
        <w:tc>
          <w:tcPr>
            <w:tcW w:type="dxa" w:w="1426"/>
          </w:tcPr>
          <w:p>
            <w:pPr>
              <w:spacing w:after="20"/>
              <w:jc w:val="right"/>
            </w:pPr>
            <w:r>
              <w:rPr>
                <w:color w:val="1C3A36"/>
                <w:sz w:val="16"/>
              </w:rPr>
              <w:t>73,636</w:t>
            </w:r>
          </w:p>
        </w:tc>
        <w:tc>
          <w:tcPr>
            <w:tcW w:type="dxa" w:w="1426"/>
          </w:tcPr>
          <w:p>
            <w:pPr>
              <w:spacing w:after="20"/>
              <w:jc w:val="right"/>
            </w:pPr>
            <w:r>
              <w:rPr>
                <w:color w:val="1C3A36"/>
                <w:sz w:val="16"/>
              </w:rPr>
              <w:t>84,083</w:t>
            </w:r>
          </w:p>
        </w:tc>
        <w:tc>
          <w:tcPr>
            <w:tcW w:type="dxa" w:w="1426"/>
          </w:tcPr>
          <w:p>
            <w:pPr>
              <w:spacing w:after="20"/>
              <w:jc w:val="right"/>
            </w:pPr>
            <w:r>
              <w:rPr>
                <w:color w:val="1C3A36"/>
                <w:sz w:val="16"/>
              </w:rPr>
              <w:t>92,857</w:t>
            </w:r>
          </w:p>
        </w:tc>
        <w:tc>
          <w:tcPr>
            <w:tcW w:type="dxa" w:w="1426"/>
          </w:tcPr>
          <w:p>
            <w:pPr>
              <w:spacing w:after="20"/>
              <w:jc w:val="right"/>
            </w:pPr>
            <w:r>
              <w:rPr>
                <w:color w:val="1C3A36"/>
                <w:sz w:val="16"/>
              </w:rPr>
              <w:t>101,578</w:t>
            </w:r>
          </w:p>
        </w:tc>
        <w:tc>
          <w:tcPr>
            <w:tcW w:type="dxa" w:w="1426"/>
          </w:tcPr>
          <w:p>
            <w:pPr>
              <w:spacing w:after="20"/>
              <w:jc w:val="right"/>
            </w:pPr>
            <w:r>
              <w:rPr>
                <w:color w:val="1C3A36"/>
                <w:sz w:val="16"/>
              </w:rPr>
              <w:t>110,490</w:t>
            </w:r>
          </w:p>
        </w:tc>
      </w:tr>
      <w:tr>
        <w:tc>
          <w:tcPr>
            <w:tcW w:type="dxa" w:w="2952"/>
          </w:tcPr>
          <w:p>
            <w:pPr>
              <w:spacing w:after="20"/>
            </w:pPr>
            <w:r>
              <w:rPr>
                <w:color w:val="1C3A36"/>
                <w:sz w:val="16"/>
              </w:rPr>
              <w:t>Property, plant and equipment</w:t>
            </w:r>
          </w:p>
        </w:tc>
        <w:tc>
          <w:tcPr>
            <w:tcW w:type="dxa" w:w="1426"/>
          </w:tcPr>
          <w:p>
            <w:pPr>
              <w:spacing w:after="20"/>
              <w:jc w:val="right"/>
            </w:pPr>
            <w:r>
              <w:rPr>
                <w:color w:val="1C3A36"/>
                <w:sz w:val="16"/>
              </w:rPr>
              <w:t>47,617</w:t>
            </w:r>
          </w:p>
        </w:tc>
        <w:tc>
          <w:tcPr>
            <w:tcW w:type="dxa" w:w="1426"/>
          </w:tcPr>
          <w:p>
            <w:pPr>
              <w:spacing w:after="20"/>
              <w:jc w:val="right"/>
            </w:pPr>
            <w:r>
              <w:rPr>
                <w:color w:val="1C3A36"/>
                <w:sz w:val="16"/>
              </w:rPr>
              <w:t>59,237</w:t>
            </w:r>
          </w:p>
        </w:tc>
        <w:tc>
          <w:tcPr>
            <w:tcW w:type="dxa" w:w="1426"/>
          </w:tcPr>
          <w:p>
            <w:pPr>
              <w:spacing w:after="20"/>
              <w:jc w:val="right"/>
            </w:pPr>
            <w:r>
              <w:rPr>
                <w:color w:val="1C3A36"/>
                <w:sz w:val="16"/>
              </w:rPr>
              <w:t>70,202</w:t>
            </w:r>
          </w:p>
        </w:tc>
        <w:tc>
          <w:tcPr>
            <w:tcW w:type="dxa" w:w="1426"/>
          </w:tcPr>
          <w:p>
            <w:pPr>
              <w:spacing w:after="20"/>
              <w:jc w:val="right"/>
            </w:pPr>
            <w:r>
              <w:rPr>
                <w:color w:val="1C3A36"/>
                <w:sz w:val="16"/>
              </w:rPr>
              <w:t>80,666</w:t>
            </w:r>
          </w:p>
        </w:tc>
        <w:tc>
          <w:tcPr>
            <w:tcW w:type="dxa" w:w="1426"/>
          </w:tcPr>
          <w:p>
            <w:pPr>
              <w:spacing w:after="20"/>
              <w:jc w:val="right"/>
            </w:pPr>
            <w:r>
              <w:rPr>
                <w:color w:val="1C3A36"/>
                <w:sz w:val="16"/>
              </w:rPr>
              <w:t>90,938</w:t>
            </w:r>
          </w:p>
        </w:tc>
      </w:tr>
      <w:tr>
        <w:tc>
          <w:tcPr>
            <w:tcW w:type="dxa" w:w="2952"/>
          </w:tcPr>
          <w:p>
            <w:pPr>
              <w:spacing w:after="20"/>
            </w:pPr>
            <w:r>
              <w:rPr>
                <w:color w:val="1C3A36"/>
                <w:sz w:val="16"/>
              </w:rPr>
              <w:t>Intangible assets and goodwill</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r>
      <w:tr>
        <w:tc>
          <w:tcPr>
            <w:tcW w:type="dxa" w:w="2952"/>
          </w:tcPr>
          <w:p>
            <w:pPr>
              <w:spacing w:after="20"/>
            </w:pPr>
            <w:r>
              <w:rPr>
                <w:color w:val="1C3A36"/>
                <w:sz w:val="16"/>
              </w:rPr>
              <w:t>Invested capital</w:t>
            </w:r>
          </w:p>
        </w:tc>
        <w:tc>
          <w:tcPr>
            <w:tcW w:type="dxa" w:w="1426"/>
          </w:tcPr>
          <w:p>
            <w:pPr>
              <w:spacing w:after="20"/>
              <w:jc w:val="right"/>
            </w:pPr>
            <w:r>
              <w:rPr>
                <w:color w:val="1C3A36"/>
                <w:sz w:val="16"/>
              </w:rPr>
              <w:t>123,002</w:t>
            </w:r>
          </w:p>
        </w:tc>
        <w:tc>
          <w:tcPr>
            <w:tcW w:type="dxa" w:w="1426"/>
          </w:tcPr>
          <w:p>
            <w:pPr>
              <w:spacing w:after="20"/>
              <w:jc w:val="right"/>
            </w:pPr>
            <w:r>
              <w:rPr>
                <w:color w:val="1C3A36"/>
                <w:sz w:val="16"/>
              </w:rPr>
              <w:t>145,069</w:t>
            </w:r>
          </w:p>
        </w:tc>
        <w:tc>
          <w:tcPr>
            <w:tcW w:type="dxa" w:w="1426"/>
          </w:tcPr>
          <w:p>
            <w:pPr>
              <w:spacing w:after="20"/>
              <w:jc w:val="right"/>
            </w:pPr>
            <w:r>
              <w:rPr>
                <w:color w:val="1C3A36"/>
                <w:sz w:val="16"/>
              </w:rPr>
              <w:t>164,808</w:t>
            </w:r>
          </w:p>
        </w:tc>
        <w:tc>
          <w:tcPr>
            <w:tcW w:type="dxa" w:w="1426"/>
          </w:tcPr>
          <w:p>
            <w:pPr>
              <w:spacing w:after="20"/>
              <w:jc w:val="right"/>
            </w:pPr>
            <w:r>
              <w:rPr>
                <w:color w:val="1C3A36"/>
                <w:sz w:val="16"/>
              </w:rPr>
              <w:t>183,992</w:t>
            </w:r>
          </w:p>
        </w:tc>
        <w:tc>
          <w:tcPr>
            <w:tcW w:type="dxa" w:w="1426"/>
          </w:tcPr>
          <w:p>
            <w:pPr>
              <w:spacing w:after="20"/>
              <w:jc w:val="right"/>
            </w:pPr>
            <w:r>
              <w:rPr>
                <w:color w:val="1C3A36"/>
                <w:sz w:val="16"/>
              </w:rPr>
              <w:t>203,176</w:t>
            </w:r>
          </w:p>
        </w:tc>
      </w:tr>
      <w:tr>
        <w:tc>
          <w:tcPr>
            <w:tcW w:type="dxa" w:w="2952"/>
          </w:tcPr>
          <w:p>
            <w:pPr>
              <w:spacing w:after="20"/>
            </w:pPr>
            <w:r>
              <w:rPr>
                <w:color w:val="1C3A36"/>
                <w:sz w:val="16"/>
              </w:rPr>
              <w:t>Return on invested capital</w:t>
            </w:r>
          </w:p>
        </w:tc>
        <w:tc>
          <w:tcPr>
            <w:tcW w:type="dxa" w:w="1426"/>
          </w:tcPr>
          <w:p>
            <w:pPr>
              <w:spacing w:after="20"/>
              <w:jc w:val="right"/>
            </w:pPr>
            <w:r>
              <w:rPr>
                <w:color w:val="1C3A36"/>
                <w:sz w:val="16"/>
              </w:rPr>
              <w:t>18.7%</w:t>
            </w:r>
          </w:p>
        </w:tc>
        <w:tc>
          <w:tcPr>
            <w:tcW w:type="dxa" w:w="1426"/>
          </w:tcPr>
          <w:p>
            <w:pPr>
              <w:spacing w:after="20"/>
              <w:jc w:val="right"/>
            </w:pPr>
            <w:r>
              <w:rPr>
                <w:color w:val="1C3A36"/>
                <w:sz w:val="16"/>
              </w:rPr>
              <w:t>18.9%</w:t>
            </w:r>
          </w:p>
        </w:tc>
        <w:tc>
          <w:tcPr>
            <w:tcW w:type="dxa" w:w="1426"/>
          </w:tcPr>
          <w:p>
            <w:pPr>
              <w:spacing w:after="20"/>
              <w:jc w:val="right"/>
            </w:pPr>
            <w:r>
              <w:rPr>
                <w:color w:val="1C3A36"/>
                <w:sz w:val="16"/>
              </w:rPr>
              <w:t>19.1%</w:t>
            </w:r>
          </w:p>
        </w:tc>
        <w:tc>
          <w:tcPr>
            <w:tcW w:type="dxa" w:w="1426"/>
          </w:tcPr>
          <w:p>
            <w:pPr>
              <w:spacing w:after="20"/>
              <w:jc w:val="right"/>
            </w:pPr>
            <w:r>
              <w:rPr>
                <w:color w:val="1C3A36"/>
                <w:sz w:val="16"/>
              </w:rPr>
              <w:t>19.4%</w:t>
            </w:r>
          </w:p>
        </w:tc>
        <w:tc>
          <w:tcPr>
            <w:tcW w:type="dxa" w:w="1426"/>
          </w:tcPr>
          <w:p>
            <w:pPr>
              <w:spacing w:after="20"/>
              <w:jc w:val="right"/>
            </w:pPr>
            <w:r>
              <w:rPr>
                <w:color w:val="1C3A36"/>
                <w:sz w:val="16"/>
              </w:rPr>
              <w:t>19.4%</w:t>
            </w:r>
          </w:p>
        </w:tc>
      </w:tr>
      <w:tr>
        <w:tc>
          <w:tcPr>
            <w:tcW w:type="dxa" w:w="2952"/>
          </w:tcPr>
          <w:p>
            <w:pPr>
              <w:spacing w:after="20"/>
            </w:pPr>
            <w:r>
              <w:rPr>
                <w:color w:val="1C3A36"/>
                <w:sz w:val="16"/>
              </w:rPr>
              <w:t>Capital expenditure</w:t>
            </w:r>
          </w:p>
        </w:tc>
        <w:tc>
          <w:tcPr>
            <w:tcW w:type="dxa" w:w="1426"/>
          </w:tcPr>
          <w:p>
            <w:pPr>
              <w:spacing w:after="20"/>
              <w:jc w:val="right"/>
            </w:pPr>
            <w:r>
              <w:rPr>
                <w:color w:val="1C3A36"/>
                <w:sz w:val="16"/>
              </w:rPr>
              <w:t>(16,281)</w:t>
            </w:r>
          </w:p>
        </w:tc>
        <w:tc>
          <w:tcPr>
            <w:tcW w:type="dxa" w:w="1426"/>
          </w:tcPr>
          <w:p>
            <w:pPr>
              <w:spacing w:after="20"/>
              <w:jc w:val="right"/>
            </w:pPr>
            <w:r>
              <w:rPr>
                <w:color w:val="1C3A36"/>
                <w:sz w:val="16"/>
              </w:rPr>
              <w:t>(16,901)</w:t>
            </w:r>
          </w:p>
        </w:tc>
        <w:tc>
          <w:tcPr>
            <w:tcW w:type="dxa" w:w="1426"/>
          </w:tcPr>
          <w:p>
            <w:pPr>
              <w:spacing w:after="20"/>
              <w:jc w:val="right"/>
            </w:pPr>
            <w:r>
              <w:rPr>
                <w:color w:val="1C3A36"/>
                <w:sz w:val="16"/>
              </w:rPr>
              <w:t>(16,798)</w:t>
            </w:r>
          </w:p>
        </w:tc>
        <w:tc>
          <w:tcPr>
            <w:tcW w:type="dxa" w:w="1426"/>
          </w:tcPr>
          <w:p>
            <w:pPr>
              <w:spacing w:after="20"/>
              <w:jc w:val="right"/>
            </w:pPr>
            <w:r>
              <w:rPr>
                <w:color w:val="1C3A36"/>
                <w:sz w:val="16"/>
              </w:rPr>
              <w:t>(16,845)</w:t>
            </w:r>
          </w:p>
        </w:tc>
        <w:tc>
          <w:tcPr>
            <w:tcW w:type="dxa" w:w="1426"/>
          </w:tcPr>
          <w:p>
            <w:pPr>
              <w:spacing w:after="20"/>
              <w:jc w:val="right"/>
            </w:pPr>
            <w:r>
              <w:rPr>
                <w:color w:val="1C3A36"/>
                <w:sz w:val="16"/>
              </w:rPr>
              <w:t>(17,212)</w:t>
            </w:r>
          </w:p>
        </w:tc>
      </w:tr>
      <w:tr>
        <w:tc>
          <w:tcPr>
            <w:tcW w:type="dxa" w:w="2952"/>
            <w:shd w:val="clear" w:color="auto" w:fill="F6F1E6"/>
          </w:tcPr>
          <w:p>
            <w:pPr>
              <w:spacing w:after="20"/>
            </w:pPr>
            <w:r>
              <w:rPr>
                <w:b/>
                <w:color w:val="1C3A36"/>
                <w:sz w:val="16"/>
              </w:rPr>
              <w:t>Change in working capital</w:t>
            </w:r>
          </w:p>
        </w:tc>
        <w:tc>
          <w:tcPr>
            <w:tcW w:type="dxa" w:w="1426"/>
            <w:shd w:val="clear" w:color="auto" w:fill="F6F1E6"/>
          </w:tcPr>
          <w:p>
            <w:pPr>
              <w:spacing w:after="20"/>
              <w:jc w:val="right"/>
            </w:pPr>
            <w:r>
              <w:rPr>
                <w:b/>
                <w:color w:val="1C3A36"/>
                <w:sz w:val="16"/>
              </w:rPr>
              <w:t>(17,783)</w:t>
            </w:r>
          </w:p>
        </w:tc>
        <w:tc>
          <w:tcPr>
            <w:tcW w:type="dxa" w:w="1426"/>
            <w:shd w:val="clear" w:color="auto" w:fill="F6F1E6"/>
          </w:tcPr>
          <w:p>
            <w:pPr>
              <w:spacing w:after="20"/>
              <w:jc w:val="right"/>
            </w:pPr>
            <w:r>
              <w:rPr>
                <w:b/>
                <w:color w:val="1C3A36"/>
                <w:sz w:val="16"/>
              </w:rPr>
              <w:t>(10,447)</w:t>
            </w:r>
          </w:p>
        </w:tc>
        <w:tc>
          <w:tcPr>
            <w:tcW w:type="dxa" w:w="1426"/>
            <w:shd w:val="clear" w:color="auto" w:fill="F6F1E6"/>
          </w:tcPr>
          <w:p>
            <w:pPr>
              <w:spacing w:after="20"/>
              <w:jc w:val="right"/>
            </w:pPr>
            <w:r>
              <w:rPr>
                <w:b/>
                <w:color w:val="1C3A36"/>
                <w:sz w:val="16"/>
              </w:rPr>
              <w:t>(8,774)</w:t>
            </w:r>
          </w:p>
        </w:tc>
        <w:tc>
          <w:tcPr>
            <w:tcW w:type="dxa" w:w="1426"/>
            <w:shd w:val="clear" w:color="auto" w:fill="F6F1E6"/>
          </w:tcPr>
          <w:p>
            <w:pPr>
              <w:spacing w:after="20"/>
              <w:jc w:val="right"/>
            </w:pPr>
            <w:r>
              <w:rPr>
                <w:b/>
                <w:color w:val="1C3A36"/>
                <w:sz w:val="16"/>
              </w:rPr>
              <w:t>(8,720)</w:t>
            </w:r>
          </w:p>
        </w:tc>
        <w:tc>
          <w:tcPr>
            <w:tcW w:type="dxa" w:w="1426"/>
            <w:shd w:val="clear" w:color="auto" w:fill="F6F1E6"/>
          </w:tcPr>
          <w:p>
            <w:pPr>
              <w:spacing w:after="20"/>
              <w:jc w:val="right"/>
            </w:pPr>
            <w:r>
              <w:rPr>
                <w:b/>
                <w:color w:val="1C3A36"/>
                <w:sz w:val="16"/>
              </w:rPr>
              <w:t>(8,912)</w:t>
            </w:r>
          </w:p>
        </w:tc>
      </w:tr>
      <w:tr>
        <w:tc>
          <w:tcPr>
            <w:tcW w:type="dxa" w:w="2952"/>
          </w:tcPr>
          <w:p>
            <w:pPr>
              <w:spacing w:after="20"/>
            </w:pPr>
            <w:r>
              <w:rPr>
                <w:color w:val="1C3A36"/>
                <w:sz w:val="16"/>
              </w:rPr>
              <w:t>Free cash flow to the firm</w:t>
            </w:r>
          </w:p>
        </w:tc>
        <w:tc>
          <w:tcPr>
            <w:tcW w:type="dxa" w:w="1426"/>
          </w:tcPr>
          <w:p>
            <w:pPr>
              <w:spacing w:after="20"/>
              <w:jc w:val="right"/>
            </w:pPr>
            <w:r>
              <w:rPr>
                <w:color w:val="1C3A36"/>
                <w:sz w:val="16"/>
              </w:rPr>
              <w:t>-6,387</w:t>
            </w:r>
          </w:p>
        </w:tc>
        <w:tc>
          <w:tcPr>
            <w:tcW w:type="dxa" w:w="1426"/>
          </w:tcPr>
          <w:p>
            <w:pPr>
              <w:spacing w:after="20"/>
              <w:jc w:val="right"/>
            </w:pPr>
            <w:r>
              <w:rPr>
                <w:color w:val="1C3A36"/>
                <w:sz w:val="16"/>
              </w:rPr>
              <w:t>5,387</w:t>
            </w:r>
          </w:p>
        </w:tc>
        <w:tc>
          <w:tcPr>
            <w:tcW w:type="dxa" w:w="1426"/>
          </w:tcPr>
          <w:p>
            <w:pPr>
              <w:spacing w:after="20"/>
              <w:jc w:val="right"/>
            </w:pPr>
            <w:r>
              <w:rPr>
                <w:color w:val="1C3A36"/>
                <w:sz w:val="16"/>
              </w:rPr>
              <w:t>11,797</w:t>
            </w:r>
          </w:p>
        </w:tc>
        <w:tc>
          <w:tcPr>
            <w:tcW w:type="dxa" w:w="1426"/>
          </w:tcPr>
          <w:p>
            <w:pPr>
              <w:spacing w:after="20"/>
              <w:jc w:val="right"/>
            </w:pPr>
            <w:r>
              <w:rPr>
                <w:color w:val="1C3A36"/>
                <w:sz w:val="16"/>
              </w:rPr>
              <w:t>16,503</w:t>
            </w:r>
          </w:p>
        </w:tc>
        <w:tc>
          <w:tcPr>
            <w:tcW w:type="dxa" w:w="1426"/>
          </w:tcPr>
          <w:p>
            <w:pPr>
              <w:spacing w:after="20"/>
              <w:jc w:val="right"/>
            </w:pPr>
            <w:r>
              <w:rPr>
                <w:color w:val="1C3A36"/>
                <w:sz w:val="16"/>
              </w:rPr>
              <w:t>20,279</w:t>
            </w:r>
          </w:p>
        </w:tc>
      </w:tr>
      <w:tr>
        <w:tc>
          <w:tcPr>
            <w:tcW w:type="dxa" w:w="2952"/>
          </w:tcPr>
          <w:p>
            <w:pPr>
              <w:spacing w:after="20"/>
            </w:pPr>
            <w:r>
              <w:rPr>
                <w:color w:val="1C3A36"/>
                <w:sz w:val="16"/>
              </w:rPr>
              <w:t>Shareholders' equity</w:t>
            </w:r>
          </w:p>
        </w:tc>
        <w:tc>
          <w:tcPr>
            <w:tcW w:type="dxa" w:w="1426"/>
          </w:tcPr>
          <w:p>
            <w:pPr>
              <w:spacing w:after="20"/>
              <w:jc w:val="right"/>
            </w:pPr>
            <w:r>
              <w:rPr>
                <w:color w:val="1C3A36"/>
                <w:sz w:val="16"/>
              </w:rPr>
              <w:t>82,462</w:t>
            </w:r>
          </w:p>
        </w:tc>
        <w:tc>
          <w:tcPr>
            <w:tcW w:type="dxa" w:w="1426"/>
          </w:tcPr>
          <w:p>
            <w:pPr>
              <w:spacing w:after="20"/>
              <w:jc w:val="right"/>
            </w:pPr>
            <w:r>
              <w:rPr>
                <w:color w:val="1C3A36"/>
                <w:sz w:val="16"/>
              </w:rPr>
              <w:t>100,637</w:t>
            </w:r>
          </w:p>
        </w:tc>
        <w:tc>
          <w:tcPr>
            <w:tcW w:type="dxa" w:w="1426"/>
          </w:tcPr>
          <w:p>
            <w:pPr>
              <w:spacing w:after="20"/>
              <w:jc w:val="right"/>
            </w:pPr>
            <w:r>
              <w:rPr>
                <w:color w:val="1C3A36"/>
                <w:sz w:val="16"/>
              </w:rPr>
              <w:t>121,675</w:t>
            </w:r>
          </w:p>
        </w:tc>
        <w:tc>
          <w:tcPr>
            <w:tcW w:type="dxa" w:w="1426"/>
          </w:tcPr>
          <w:p>
            <w:pPr>
              <w:spacing w:after="20"/>
              <w:jc w:val="right"/>
            </w:pPr>
            <w:r>
              <w:rPr>
                <w:color w:val="1C3A36"/>
                <w:sz w:val="16"/>
              </w:rPr>
              <w:t>145,877</w:t>
            </w:r>
          </w:p>
        </w:tc>
        <w:tc>
          <w:tcPr>
            <w:tcW w:type="dxa" w:w="1426"/>
          </w:tcPr>
          <w:p>
            <w:pPr>
              <w:spacing w:after="20"/>
              <w:jc w:val="right"/>
            </w:pPr>
            <w:r>
              <w:rPr>
                <w:color w:val="1C3A36"/>
                <w:sz w:val="16"/>
              </w:rPr>
              <w:t>173,172</w:t>
            </w:r>
          </w:p>
        </w:tc>
      </w:tr>
      <w:tr>
        <w:tc>
          <w:tcPr>
            <w:tcW w:type="dxa" w:w="2952"/>
          </w:tcPr>
          <w:p>
            <w:pPr>
              <w:spacing w:after="20"/>
            </w:pPr>
            <w:r>
              <w:rPr>
                <w:color w:val="1C3A36"/>
                <w:sz w:val="16"/>
              </w:rPr>
              <w:t>Net debt</w:t>
            </w:r>
          </w:p>
        </w:tc>
        <w:tc>
          <w:tcPr>
            <w:tcW w:type="dxa" w:w="1426"/>
          </w:tcPr>
          <w:p>
            <w:pPr>
              <w:spacing w:after="20"/>
              <w:jc w:val="right"/>
            </w:pPr>
            <w:r>
              <w:rPr>
                <w:color w:val="1C3A36"/>
                <w:sz w:val="16"/>
              </w:rPr>
              <w:t>33,461</w:t>
            </w:r>
          </w:p>
        </w:tc>
        <w:tc>
          <w:tcPr>
            <w:tcW w:type="dxa" w:w="1426"/>
          </w:tcPr>
          <w:p>
            <w:pPr>
              <w:spacing w:after="20"/>
              <w:jc w:val="right"/>
            </w:pPr>
            <w:r>
              <w:rPr>
                <w:color w:val="1C3A36"/>
                <w:sz w:val="16"/>
              </w:rPr>
              <w:t>36,139</w:t>
            </w:r>
          </w:p>
        </w:tc>
        <w:tc>
          <w:tcPr>
            <w:tcW w:type="dxa" w:w="1426"/>
          </w:tcPr>
          <w:p>
            <w:pPr>
              <w:spacing w:after="20"/>
              <w:jc w:val="right"/>
            </w:pPr>
            <w:r>
              <w:rPr>
                <w:color w:val="1C3A36"/>
                <w:sz w:val="16"/>
              </w:rPr>
              <w:t>33,328</w:t>
            </w:r>
          </w:p>
        </w:tc>
        <w:tc>
          <w:tcPr>
            <w:tcW w:type="dxa" w:w="1426"/>
          </w:tcPr>
          <w:p>
            <w:pPr>
              <w:spacing w:after="20"/>
              <w:jc w:val="right"/>
            </w:pPr>
            <w:r>
              <w:rPr>
                <w:color w:val="1C3A36"/>
                <w:sz w:val="16"/>
              </w:rPr>
              <w:t>26,465</w:t>
            </w:r>
          </w:p>
        </w:tc>
        <w:tc>
          <w:tcPr>
            <w:tcW w:type="dxa" w:w="1426"/>
          </w:tcPr>
          <w:p>
            <w:pPr>
              <w:spacing w:after="20"/>
              <w:jc w:val="right"/>
            </w:pPr>
            <w:r>
              <w:rPr>
                <w:color w:val="1C3A36"/>
                <w:sz w:val="16"/>
              </w:rPr>
              <w:t>16,197</w:t>
            </w:r>
          </w:p>
        </w:tc>
      </w:tr>
    </w:tbl>
    <w:p>
      <w:pPr>
        <w:spacing w:after="40"/>
      </w:pPr>
    </w:p>
    <w:p>
      <w:pPr>
        <w:spacing w:after="120" w:before="0"/>
      </w:pPr>
      <w:r>
        <w:rPr>
          <w:b w:val="0"/>
          <w:i w:val="0"/>
          <w:color w:val="1C3A36"/>
          <w:sz w:val="21"/>
        </w:rPr>
        <w:t>The FY2025 accounts are the reason the free-cash-flow line above should be read carefully. That year the group turned EGP 28,363mn of EBITDA into EGP 12,766mn of operating cash after interest of EGP 5,740mn and tax of EGP 8,299mn, then spent EGP 13,112mn on capital expenditure. The forecast assumes working-capital intensity stays near this level rather than deteriorating, which is what allows free cash flow to turn positive and build. If it does not, the model is wrong in the direction that matters most.</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512"/>
        <w:gridCol w:w="3024"/>
        <w:gridCol w:w="3096"/>
      </w:tblGrid>
      <w:tr>
        <w:tc>
          <w:tcPr>
            <w:tcW w:type="dxa" w:w="2448"/>
            <w:shd w:val="clear" w:color="auto" w:fill="EAF0EE"/>
          </w:tcPr>
          <w:p>
            <w:pPr>
              <w:spacing w:after="20"/>
            </w:pPr>
            <w:r>
              <w:rPr>
                <w:b/>
                <w:color w:val="1C3A36"/>
                <w:sz w:val="16"/>
              </w:rPr>
              <w:t>Company</w:t>
            </w:r>
          </w:p>
        </w:tc>
        <w:tc>
          <w:tcPr>
            <w:tcW w:type="dxa" w:w="1512"/>
            <w:shd w:val="clear" w:color="auto" w:fill="EAF0EE"/>
          </w:tcPr>
          <w:p>
            <w:pPr>
              <w:spacing w:after="20"/>
            </w:pPr>
            <w:r>
              <w:rPr>
                <w:b/>
                <w:color w:val="1C3A36"/>
                <w:sz w:val="16"/>
              </w:rPr>
              <w:t>Market</w:t>
            </w:r>
          </w:p>
        </w:tc>
        <w:tc>
          <w:tcPr>
            <w:tcW w:type="dxa" w:w="3024"/>
            <w:shd w:val="clear" w:color="auto" w:fill="EAF0EE"/>
          </w:tcPr>
          <w:p>
            <w:pPr>
              <w:spacing w:after="20"/>
            </w:pPr>
            <w:r>
              <w:rPr>
                <w:b/>
                <w:color w:val="1C3A36"/>
                <w:sz w:val="16"/>
              </w:rPr>
              <w:t>Relevance</w:t>
            </w:r>
          </w:p>
        </w:tc>
        <w:tc>
          <w:tcPr>
            <w:tcW w:type="dxa" w:w="3096"/>
            <w:shd w:val="clear" w:color="auto" w:fill="EAF0EE"/>
          </w:tcPr>
          <w:p>
            <w:pPr>
              <w:spacing w:after="20"/>
            </w:pPr>
            <w:r>
              <w:rPr>
                <w:b/>
                <w:color w:val="1C3A36"/>
                <w:sz w:val="16"/>
              </w:rPr>
              <w:t>Caution</w:t>
            </w:r>
          </w:p>
        </w:tc>
      </w:tr>
      <w:tr>
        <w:tc>
          <w:tcPr>
            <w:tcW w:type="dxa" w:w="2448"/>
          </w:tcPr>
          <w:p>
            <w:pPr>
              <w:spacing w:after="20"/>
            </w:pPr>
            <w:r>
              <w:rPr>
                <w:color w:val="1C3A36"/>
                <w:sz w:val="16"/>
              </w:rPr>
              <w:t>Riyadh Cables</w:t>
            </w:r>
          </w:p>
        </w:tc>
        <w:tc>
          <w:tcPr>
            <w:tcW w:type="dxa" w:w="1512"/>
          </w:tcPr>
          <w:p>
            <w:pPr>
              <w:spacing w:after="20"/>
              <w:jc w:val="right"/>
            </w:pPr>
            <w:r>
              <w:rPr>
                <w:color w:val="1C3A36"/>
                <w:sz w:val="16"/>
              </w:rPr>
              <w:t>Saudi Arabia</w:t>
            </w:r>
          </w:p>
        </w:tc>
        <w:tc>
          <w:tcPr>
            <w:tcW w:type="dxa" w:w="3024"/>
          </w:tcPr>
          <w:p>
            <w:pPr>
              <w:spacing w:after="20"/>
              <w:jc w:val="right"/>
            </w:pPr>
            <w:r>
              <w:rPr>
                <w:color w:val="1C3A36"/>
                <w:sz w:val="16"/>
              </w:rPr>
              <w:t>the nearest listed regional cable manufacturer</w:t>
            </w:r>
          </w:p>
        </w:tc>
        <w:tc>
          <w:tcPr>
            <w:tcW w:type="dxa" w:w="3096"/>
          </w:tcPr>
          <w:p>
            <w:pPr>
              <w:spacing w:after="20"/>
              <w:jc w:val="right"/>
            </w:pPr>
            <w:r>
              <w:rPr>
                <w:color w:val="1C3A36"/>
                <w:sz w:val="16"/>
              </w:rPr>
              <w:t>a fraction of the revenue, no contracting arm, a much lighter balance sheet and a pegged currency — the multiple is not transferable</w:t>
            </w:r>
          </w:p>
        </w:tc>
      </w:tr>
      <w:tr>
        <w:tc>
          <w:tcPr>
            <w:tcW w:type="dxa" w:w="2448"/>
          </w:tcPr>
          <w:p>
            <w:pPr>
              <w:spacing w:after="20"/>
            </w:pPr>
            <w:r>
              <w:rPr>
                <w:color w:val="1C3A36"/>
                <w:sz w:val="16"/>
              </w:rPr>
              <w:t>Electro Cable Egypt</w:t>
            </w:r>
          </w:p>
        </w:tc>
        <w:tc>
          <w:tcPr>
            <w:tcW w:type="dxa" w:w="1512"/>
          </w:tcPr>
          <w:p>
            <w:pPr>
              <w:spacing w:after="20"/>
              <w:jc w:val="right"/>
            </w:pPr>
            <w:r>
              <w:rPr>
                <w:color w:val="1C3A36"/>
                <w:sz w:val="16"/>
              </w:rPr>
              <w:t>Egypt</w:t>
            </w:r>
          </w:p>
        </w:tc>
        <w:tc>
          <w:tcPr>
            <w:tcW w:type="dxa" w:w="3024"/>
          </w:tcPr>
          <w:p>
            <w:pPr>
              <w:spacing w:after="20"/>
              <w:jc w:val="right"/>
            </w:pPr>
            <w:r>
              <w:rPr>
                <w:color w:val="1C3A36"/>
                <w:sz w:val="16"/>
              </w:rPr>
              <w:t>the only other listed Egyptian cable manufacturer, and the closest match on country risk and input costs</w:t>
            </w:r>
          </w:p>
        </w:tc>
        <w:tc>
          <w:tcPr>
            <w:tcW w:type="dxa" w:w="3096"/>
          </w:tcPr>
          <w:p>
            <w:pPr>
              <w:spacing w:after="20"/>
              <w:jc w:val="right"/>
            </w:pPr>
            <w:r>
              <w:rPr>
                <w:color w:val="1C3A36"/>
                <w:sz w:val="16"/>
              </w:rPr>
              <w:t>far smaller, domestically concentrated, heavily levered and currently loss-making — it sets a floor for country risk, not a benchmark for quality</w:t>
            </w:r>
          </w:p>
        </w:tc>
      </w:tr>
      <w:tr>
        <w:tc>
          <w:tcPr>
            <w:tcW w:type="dxa" w:w="2448"/>
          </w:tcPr>
          <w:p>
            <w:pPr>
              <w:spacing w:after="20"/>
            </w:pPr>
            <w:r>
              <w:rPr>
                <w:color w:val="1C3A36"/>
                <w:sz w:val="16"/>
              </w:rPr>
              <w:t>European cable majors</w:t>
            </w:r>
          </w:p>
        </w:tc>
        <w:tc>
          <w:tcPr>
            <w:tcW w:type="dxa" w:w="1512"/>
          </w:tcPr>
          <w:p>
            <w:pPr>
              <w:spacing w:after="20"/>
              <w:jc w:val="right"/>
            </w:pPr>
            <w:r>
              <w:rPr>
                <w:color w:val="1C3A36"/>
                <w:sz w:val="16"/>
              </w:rPr>
              <w:t>Europe</w:t>
            </w:r>
          </w:p>
        </w:tc>
        <w:tc>
          <w:tcPr>
            <w:tcW w:type="dxa" w:w="3024"/>
          </w:tcPr>
          <w:p>
            <w:pPr>
              <w:spacing w:after="20"/>
              <w:jc w:val="right"/>
            </w:pPr>
            <w:r>
              <w:rPr>
                <w:color w:val="1C3A36"/>
                <w:sz w:val="16"/>
              </w:rPr>
              <w:t>the closest match on business model — cables plus projects, with a large order book</w:t>
            </w:r>
          </w:p>
        </w:tc>
        <w:tc>
          <w:tcPr>
            <w:tcW w:type="dxa" w:w="3096"/>
          </w:tcPr>
          <w:p>
            <w:pPr>
              <w:spacing w:after="20"/>
              <w:jc w:val="right"/>
            </w:pPr>
            <w:r>
              <w:rPr>
                <w:color w:val="1C3A36"/>
                <w:sz w:val="16"/>
              </w:rPr>
              <w:t>developed-market cost of capital and no emerging-market convertibility risk; their multiples import an assumption rather than test one</w:t>
            </w:r>
          </w:p>
        </w:tc>
      </w:tr>
      <w:tr>
        <w:tc>
          <w:tcPr>
            <w:tcW w:type="dxa" w:w="2448"/>
          </w:tcPr>
          <w:p>
            <w:pPr>
              <w:spacing w:after="20"/>
            </w:pPr>
            <w:r>
              <w:rPr>
                <w:color w:val="1C3A36"/>
                <w:sz w:val="16"/>
              </w:rPr>
              <w:t>Regional engineering and construction contractors</w:t>
            </w:r>
          </w:p>
        </w:tc>
        <w:tc>
          <w:tcPr>
            <w:tcW w:type="dxa" w:w="1512"/>
          </w:tcPr>
          <w:p>
            <w:pPr>
              <w:spacing w:after="20"/>
              <w:jc w:val="right"/>
            </w:pPr>
            <w:r>
              <w:rPr>
                <w:color w:val="1C3A36"/>
                <w:sz w:val="16"/>
              </w:rPr>
              <w:t>Gulf and North Africa</w:t>
            </w:r>
          </w:p>
        </w:tc>
        <w:tc>
          <w:tcPr>
            <w:tcW w:type="dxa" w:w="3024"/>
          </w:tcPr>
          <w:p>
            <w:pPr>
              <w:spacing w:after="20"/>
              <w:jc w:val="right"/>
            </w:pPr>
            <w:r>
              <w:rPr>
                <w:color w:val="1C3A36"/>
                <w:sz w:val="16"/>
              </w:rPr>
              <w:t>the right frame for the roughly 32% of revenue that is the Constructions and infrastructure segment</w:t>
            </w:r>
          </w:p>
        </w:tc>
        <w:tc>
          <w:tcPr>
            <w:tcW w:type="dxa" w:w="3096"/>
          </w:tcPr>
          <w:p>
            <w:pPr>
              <w:spacing w:after="20"/>
              <w:jc w:val="right"/>
            </w:pPr>
            <w:r>
              <w:rPr>
                <w:color w:val="1C3A36"/>
                <w:sz w:val="16"/>
              </w:rPr>
              <w:t>project accounting differs, and backlog quality is not comparable across disclosure regimes</w:t>
            </w:r>
          </w:p>
        </w:tc>
      </w:tr>
    </w:tbl>
    <w:p>
      <w:pPr>
        <w:spacing w:after="40"/>
      </w:pPr>
    </w:p>
    <w:p>
      <w:pPr>
        <w:spacing w:after="120" w:before="0"/>
      </w:pPr>
      <w:r>
        <w:rPr>
          <w:b w:val="0"/>
          <w:i w:val="0"/>
          <w:color w:val="1C3A36"/>
          <w:sz w:val="21"/>
        </w:rPr>
        <w:t>The absence of a clean comparable is itself a finding. This is a diversified industrial group with a manufacturing business, a contracting business and an infrastructure portfolio, listed in a frontier market, earning just over half its revenue on a hard-currency-linked basis. Any single peer multiple applied to it imports assumptions about country risk that the cash-flow model tests explicitly. That is why the relative lens carries a fifth of the weight and not more.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c>
          <w:tcPr>
            <w:tcW w:type="dxa" w:w="2664"/>
            <w:shd w:val="clear" w:color="auto" w:fill="EAF0EE"/>
          </w:tcPr>
          <w:p>
            <w:pPr>
              <w:spacing w:after="20"/>
            </w:pPr>
            <w:r>
              <w:rPr>
                <w:b/>
                <w:color w:val="1C3A36"/>
                <w:sz w:val="16"/>
              </w:rPr>
              <w:t>Risk</w:t>
            </w:r>
          </w:p>
        </w:tc>
        <w:tc>
          <w:tcPr>
            <w:tcW w:type="dxa" w:w="3744"/>
            <w:shd w:val="clear" w:color="auto" w:fill="EAF0EE"/>
          </w:tcPr>
          <w:p>
            <w:pPr>
              <w:spacing w:after="20"/>
            </w:pPr>
            <w:r>
              <w:rPr>
                <w:b/>
                <w:color w:val="1C3A36"/>
                <w:sz w:val="16"/>
              </w:rPr>
              <w:t>Mechanism</w:t>
            </w:r>
          </w:p>
        </w:tc>
        <w:tc>
          <w:tcPr>
            <w:tcW w:type="dxa" w:w="3672"/>
            <w:shd w:val="clear" w:color="auto" w:fill="EAF0EE"/>
          </w:tcPr>
          <w:p>
            <w:pPr>
              <w:spacing w:after="20"/>
            </w:pPr>
            <w:r>
              <w:rPr>
                <w:b/>
                <w:color w:val="1C3A36"/>
                <w:sz w:val="16"/>
              </w:rPr>
              <w:t>Rough valuation impact</w:t>
            </w:r>
          </w:p>
        </w:tc>
      </w:tr>
      <w:tr>
        <w:tc>
          <w:tcPr>
            <w:tcW w:type="dxa" w:w="2664"/>
          </w:tcPr>
          <w:p>
            <w:pPr>
              <w:spacing w:after="20"/>
            </w:pPr>
            <w:r>
              <w:rPr>
                <w:color w:val="1C3A36"/>
                <w:sz w:val="16"/>
              </w:rPr>
              <w:t>Currency and convertibility</w:t>
            </w:r>
          </w:p>
        </w:tc>
        <w:tc>
          <w:tcPr>
            <w:tcW w:type="dxa" w:w="3744"/>
          </w:tcPr>
          <w:p>
            <w:pPr>
              <w:spacing w:after="20"/>
              <w:jc w:val="right"/>
            </w:pPr>
            <w:r>
              <w:rPr>
                <w:color w:val="1C3A36"/>
                <w:sz w:val="16"/>
              </w:rPr>
              <w:t>the ability to realise hard-currency earnings in Egyptian pounds, and the pace of depreciation</w:t>
            </w:r>
          </w:p>
        </w:tc>
        <w:tc>
          <w:tcPr>
            <w:tcW w:type="dxa" w:w="3672"/>
          </w:tcPr>
          <w:p>
            <w:pPr>
              <w:spacing w:after="20"/>
              <w:jc w:val="right"/>
            </w:pPr>
            <w:r>
              <w:rPr>
                <w:color w:val="1C3A36"/>
                <w:sz w:val="16"/>
              </w:rPr>
              <w:t>the exchange-rate sensitivity spans 29.32 per share</w:t>
            </w:r>
          </w:p>
        </w:tc>
      </w:tr>
      <w:tr>
        <w:tc>
          <w:tcPr>
            <w:tcW w:type="dxa" w:w="2664"/>
          </w:tcPr>
          <w:p>
            <w:pPr>
              <w:spacing w:after="20"/>
            </w:pPr>
            <w:r>
              <w:rPr>
                <w:color w:val="1C3A36"/>
                <w:sz w:val="16"/>
              </w:rPr>
              <w:t>Cost of capital / disinflation stall</w:t>
            </w:r>
          </w:p>
        </w:tc>
        <w:tc>
          <w:tcPr>
            <w:tcW w:type="dxa" w:w="3744"/>
          </w:tcPr>
          <w:p>
            <w:pPr>
              <w:spacing w:after="20"/>
              <w:jc w:val="right"/>
            </w:pPr>
            <w:r>
              <w:rPr>
                <w:color w:val="1C3A36"/>
                <w:sz w:val="16"/>
              </w:rPr>
              <w:t>the discount-rate glide assumes continued easing</w:t>
            </w:r>
          </w:p>
        </w:tc>
        <w:tc>
          <w:tcPr>
            <w:tcW w:type="dxa" w:w="3672"/>
          </w:tcPr>
          <w:p>
            <w:pPr>
              <w:spacing w:after="20"/>
              <w:jc w:val="right"/>
            </w:pPr>
            <w:r>
              <w:rPr>
                <w:color w:val="1C3A36"/>
                <w:sz w:val="16"/>
              </w:rPr>
              <w:t>the explicit-against-terminal grid spans 34.20 per share</w:t>
            </w:r>
          </w:p>
        </w:tc>
      </w:tr>
      <w:tr>
        <w:tc>
          <w:tcPr>
            <w:tcW w:type="dxa" w:w="2664"/>
          </w:tcPr>
          <w:p>
            <w:pPr>
              <w:spacing w:after="20"/>
            </w:pPr>
            <w:r>
              <w:rPr>
                <w:color w:val="1C3A36"/>
                <w:sz w:val="16"/>
              </w:rPr>
              <w:t>Working-capital discipline</w:t>
            </w:r>
          </w:p>
        </w:tc>
        <w:tc>
          <w:tcPr>
            <w:tcW w:type="dxa" w:w="3744"/>
          </w:tcPr>
          <w:p>
            <w:pPr>
              <w:spacing w:after="20"/>
              <w:jc w:val="right"/>
            </w:pPr>
            <w:r>
              <w:rPr>
                <w:color w:val="1C3A36"/>
                <w:sz w:val="16"/>
              </w:rPr>
              <w:t>growth is funded by inventory and receivables</w:t>
            </w:r>
          </w:p>
        </w:tc>
        <w:tc>
          <w:tcPr>
            <w:tcW w:type="dxa" w:w="3672"/>
          </w:tcPr>
          <w:p>
            <w:pPr>
              <w:spacing w:after="20"/>
              <w:jc w:val="right"/>
            </w:pPr>
            <w:r>
              <w:rPr>
                <w:color w:val="1C3A36"/>
                <w:sz w:val="16"/>
              </w:rPr>
              <w:t>14.28 per share across the tested range</w:t>
            </w:r>
          </w:p>
        </w:tc>
      </w:tr>
      <w:tr>
        <w:tc>
          <w:tcPr>
            <w:tcW w:type="dxa" w:w="2664"/>
          </w:tcPr>
          <w:p>
            <w:pPr>
              <w:spacing w:after="20"/>
            </w:pPr>
            <w:r>
              <w:rPr>
                <w:color w:val="1C3A36"/>
                <w:sz w:val="16"/>
              </w:rPr>
              <w:t>Margin normalisation overshooting</w:t>
            </w:r>
          </w:p>
        </w:tc>
        <w:tc>
          <w:tcPr>
            <w:tcW w:type="dxa" w:w="3744"/>
          </w:tcPr>
          <w:p>
            <w:pPr>
              <w:spacing w:after="20"/>
              <w:jc w:val="right"/>
            </w:pPr>
            <w:r>
              <w:rPr>
                <w:color w:val="1C3A36"/>
                <w:sz w:val="16"/>
              </w:rPr>
              <w:t>segment margins fail to stabilise after the currency windfall that lifted FY2023-24 unwinds further</w:t>
            </w:r>
          </w:p>
        </w:tc>
        <w:tc>
          <w:tcPr>
            <w:tcW w:type="dxa" w:w="3672"/>
          </w:tcPr>
          <w:p>
            <w:pPr>
              <w:spacing w:after="20"/>
              <w:jc w:val="right"/>
            </w:pPr>
            <w:r>
              <w:rPr>
                <w:color w:val="1C3A36"/>
                <w:sz w:val="16"/>
              </w:rPr>
              <w:t>51.98 per share across ±2 percentage points</w:t>
            </w:r>
          </w:p>
        </w:tc>
      </w:tr>
      <w:tr>
        <w:tc>
          <w:tcPr>
            <w:tcW w:type="dxa" w:w="2664"/>
          </w:tcPr>
          <w:p>
            <w:pPr>
              <w:spacing w:after="20"/>
            </w:pPr>
            <w:r>
              <w:rPr>
                <w:color w:val="1C3A36"/>
                <w:sz w:val="16"/>
              </w:rPr>
              <w:t>Terminal return on capital</w:t>
            </w:r>
          </w:p>
        </w:tc>
        <w:tc>
          <w:tcPr>
            <w:tcW w:type="dxa" w:w="3744"/>
          </w:tcPr>
          <w:p>
            <w:pPr>
              <w:spacing w:after="20"/>
              <w:jc w:val="right"/>
            </w:pPr>
            <w:r>
              <w:rPr>
                <w:color w:val="1C3A36"/>
                <w:sz w:val="16"/>
              </w:rPr>
              <w:t>the perpetuity assumes returns stay near the historical level</w:t>
            </w:r>
          </w:p>
        </w:tc>
        <w:tc>
          <w:tcPr>
            <w:tcW w:type="dxa" w:w="3672"/>
          </w:tcPr>
          <w:p>
            <w:pPr>
              <w:spacing w:after="20"/>
              <w:jc w:val="right"/>
            </w:pPr>
            <w:r>
              <w:rPr>
                <w:color w:val="1C3A36"/>
                <w:sz w:val="16"/>
              </w:rPr>
              <w:t>12.11 per share across the tested range</w:t>
            </w:r>
          </w:p>
        </w:tc>
      </w:tr>
      <w:tr>
        <w:tc>
          <w:tcPr>
            <w:tcW w:type="dxa" w:w="2664"/>
          </w:tcPr>
          <w:p>
            <w:pPr>
              <w:spacing w:after="20"/>
            </w:pPr>
            <w:r>
              <w:rPr>
                <w:color w:val="1C3A36"/>
                <w:sz w:val="16"/>
              </w:rPr>
              <w:t>Governance and control</w:t>
            </w:r>
          </w:p>
        </w:tc>
        <w:tc>
          <w:tcPr>
            <w:tcW w:type="dxa" w:w="3744"/>
          </w:tcPr>
          <w:p>
            <w:pPr>
              <w:spacing w:after="20"/>
              <w:jc w:val="right"/>
            </w:pPr>
            <w:r>
              <w:rPr>
                <w:color w:val="1C3A36"/>
                <w:sz w:val="16"/>
              </w:rPr>
              <w:t>free float of 13.1%; minority influence over capital allocation is limited</w:t>
            </w:r>
          </w:p>
        </w:tc>
        <w:tc>
          <w:tcPr>
            <w:tcW w:type="dxa" w:w="3672"/>
          </w:tcPr>
          <w:p>
            <w:pPr>
              <w:spacing w:after="20"/>
              <w:jc w:val="right"/>
            </w:pPr>
            <w:r>
              <w:rPr>
                <w:color w:val="1C3A36"/>
                <w:sz w:val="16"/>
              </w:rPr>
              <w:t>expressed through the discount applied to the justified multiples, not as a separate line</w:t>
            </w:r>
          </w:p>
        </w:tc>
      </w:tr>
      <w:tr>
        <w:tc>
          <w:tcPr>
            <w:tcW w:type="dxa" w:w="2664"/>
          </w:tcPr>
          <w:p>
            <w:pPr>
              <w:spacing w:after="20"/>
            </w:pPr>
            <w:r>
              <w:rPr>
                <w:color w:val="1C3A36"/>
                <w:sz w:val="16"/>
              </w:rPr>
              <w:t>Execution and country concentration</w:t>
            </w:r>
          </w:p>
        </w:tc>
        <w:tc>
          <w:tcPr>
            <w:tcW w:type="dxa" w:w="3744"/>
          </w:tcPr>
          <w:p>
            <w:pPr>
              <w:spacing w:after="20"/>
              <w:jc w:val="right"/>
            </w:pPr>
            <w:r>
              <w:rPr>
                <w:color w:val="1C3A36"/>
                <w:sz w:val="16"/>
              </w:rPr>
              <w:t>projects across Africa and the Gulf carry counterparty, payment and political risk</w:t>
            </w:r>
          </w:p>
        </w:tc>
        <w:tc>
          <w:tcPr>
            <w:tcW w:type="dxa" w:w="3672"/>
          </w:tcPr>
          <w:p>
            <w:pPr>
              <w:spacing w:after="20"/>
              <w:jc w:val="right"/>
            </w:pPr>
            <w:r>
              <w:rPr>
                <w:color w:val="1C3A36"/>
                <w:sz w:val="16"/>
              </w:rPr>
              <w:t>sits inside the Constructions and infrastructure segment margin assumption</w:t>
            </w:r>
          </w:p>
        </w:tc>
      </w:tr>
      <w:tr>
        <w:tc>
          <w:tcPr>
            <w:tcW w:type="dxa" w:w="2664"/>
          </w:tcPr>
          <w:p>
            <w:pPr>
              <w:spacing w:after="20"/>
            </w:pPr>
            <w:r>
              <w:rPr>
                <w:color w:val="1C3A36"/>
                <w:sz w:val="16"/>
              </w:rPr>
              <w:t>No order book or unit-volume disclosure</w:t>
            </w:r>
          </w:p>
        </w:tc>
        <w:tc>
          <w:tcPr>
            <w:tcW w:type="dxa" w:w="3744"/>
          </w:tcPr>
          <w:p>
            <w:pPr>
              <w:spacing w:after="20"/>
              <w:jc w:val="right"/>
            </w:pPr>
            <w:r>
              <w:rPr>
                <w:color w:val="1C3A36"/>
                <w:sz w:val="16"/>
              </w:rPr>
              <w:t>the forecast tapers on segment revenue growth rather than a reconstructed unit or backlog-burn model</w:t>
            </w:r>
          </w:p>
        </w:tc>
        <w:tc>
          <w:tcPr>
            <w:tcW w:type="dxa" w:w="3672"/>
          </w:tcPr>
          <w:p>
            <w:pPr>
              <w:spacing w:after="20"/>
              <w:jc w:val="right"/>
            </w:pPr>
            <w:r>
              <w:rPr>
                <w:color w:val="1C3A36"/>
                <w:sz w:val="16"/>
              </w:rPr>
              <w:t>stated in full in section 7</w:t>
            </w:r>
          </w:p>
        </w:tc>
      </w:tr>
    </w:tbl>
    <w:p>
      <w:pPr>
        <w:spacing w:after="40"/>
      </w:pPr>
    </w:p>
    <w:p>
      <w:pPr>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and macroeconomic backdrop; the country; the industry; and the company itself. The full source-by-source register, with dates, layers and the four-field provenance of every input, is published as a separate bibliography document accompanying this study. This version was rebuilt once the company's own audited FY2023-25 consolidated statements and Q1-2026 condensed interim statements became available; two negative results remain and are recorded here because they shaped what could and could not be asserted.</w:t>
      </w:r>
    </w:p>
    <w:p>
      <w:pPr>
        <w:pStyle w:val="ListBullet"/>
        <w:spacing w:after="60"/>
      </w:pPr>
      <w:r>
        <w:rPr>
          <w:b/>
          <w:color w:val="1C3A36"/>
          <w:sz w:val="21"/>
        </w:rPr>
        <w:t xml:space="preserve">No order book, backlog or unit-volume figure is disclosed in the audited statements. </w:t>
      </w:r>
      <w:r>
        <w:rPr>
          <w:color w:val="1C3A36"/>
          <w:sz w:val="21"/>
        </w:rPr>
        <w:t>Neither the three audited annual statements nor the Q1-2026 interim discloses a tonnage, MVA, meter-count or backlog figure for any segment. The company's quarterly earnings releases have historically carried such data but were not reachable from this research environment. The forecast is built as a taper on each segment's own recent revenue growth and margin path instead.</w:t>
      </w:r>
    </w:p>
    <w:p>
      <w:pPr>
        <w:pStyle w:val="ListBullet"/>
        <w:spacing w:after="60"/>
      </w:pPr>
      <w:r>
        <w:rPr>
          <w:b/>
          <w:color w:val="1C3A36"/>
          <w:sz w:val="21"/>
        </w:rPr>
        <w:t xml:space="preserve">A facility-by-facility currency split of the debt book is not disclosed. </w:t>
      </w:r>
      <w:r>
        <w:rPr>
          <w:color w:val="1C3A36"/>
          <w:sz w:val="21"/>
        </w:rPr>
        <w:t>The audited notes give average rates by currency bucket (Egyptian pound and a blended hard-currency bucket in FY2025) but not the size of each bucket. The pound share used here is back-solved from the independently computed effective interest rate and is labelled as inferred.</w:t>
      </w:r>
    </w:p>
    <w:p>
      <w:pPr>
        <w:spacing w:after="160" w:before="0"/>
      </w:pPr>
      <w:r>
        <w:rPr>
          <w:b w:val="0"/>
          <w:i w:val="0"/>
          <w:color w:val="1C3A36"/>
          <w:sz w:val="21"/>
        </w:rPr>
      </w:r>
    </w:p>
    <w:p>
      <w:pPr>
        <w:spacing w:after="120" w:before="280"/>
      </w:pPr>
      <w:r>
        <w:rPr>
          <w:b/>
          <w:i w:val="0"/>
          <w:color w:val="1C3A36"/>
          <w:sz w:val="30"/>
        </w:rPr>
        <w:t>Appendix C  The expert valuation panel</w:t>
      </w:r>
    </w:p>
    <w:p>
      <w:pPr>
        <w:spacing w:after="120" w:before="0"/>
      </w:pPr>
      <w:r>
        <w:rPr>
          <w:b w:val="0"/>
          <w:i w:val="0"/>
          <w:color w:val="1C3A36"/>
          <w:sz w:val="21"/>
        </w:rPr>
        <w:t>Three valuation approaches are run against the same disclosed facts by three notional experts, each committed to a different method and each required to state what would prove them wrong. They are not asked to agree, and they do not. Two dating and independence notes, stated up front: every panel figure is rolled to the 5-Aug-2026 anchor exactly as the four lenses are; and Expert 1 deliberately runs the SAME kind of earnings-power question as section 1.4 with different persona choices — FY2028-scale earnings at 9.5× against the lens's current-scale earnings at 9.0× — which is why the two land 146.62 and 108.17 respectively. The divergence is the persona doing what it says (no time-value discipline), it is disclosed, and only the section-1.4 construction enters the weighted central.</w:t>
      </w:r>
    </w:p>
    <w:p>
      <w:pPr>
        <w:spacing w:after="80" w:before="200"/>
      </w:pPr>
      <w:r>
        <w:rPr>
          <w:b/>
          <w:i w:val="0"/>
          <w:color w:val="1C3A36"/>
          <w:sz w:val="24"/>
        </w:rPr>
        <w:t>C.1  Expert 1 — earnings power: mid-cycle earnings at a justified multiple</w:t>
      </w:r>
    </w:p>
    <w:p>
      <w:pPr>
        <w:spacing w:after="120" w:before="0"/>
      </w:pPr>
      <w:r>
        <w:rPr>
          <w:b w:val="0"/>
          <w:i w:val="0"/>
          <w:color w:val="1C3A36"/>
          <w:sz w:val="21"/>
        </w:rPr>
        <w:t>Worldview: a business is worth a multiple of what it earns in a normal year. Cycles average out; discount-rate models multiply small errors in the rate by large terminal values and produce false precision. Find the mid-cycle earnings, apply a defensible multiple, stop.</w:t>
      </w:r>
    </w:p>
    <w:p>
      <w:pPr>
        <w:spacing w:after="120" w:before="0"/>
      </w:pPr>
      <w:r>
        <w:rPr>
          <w:b w:val="0"/>
          <w:i w:val="0"/>
          <w:color w:val="1C3A36"/>
          <w:sz w:val="21"/>
        </w:rPr>
        <w:t>When it works: for established franchises with a long operating record and a stable competitive position — which describes this company well. When it fails: when the multiple is imported from a market with a different cost of capital, which is precisely the trap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Mid-cycle revenue (FY2028 forecast, EGP mn)</w:t>
            </w:r>
          </w:p>
        </w:tc>
        <w:tc>
          <w:tcPr>
            <w:tcW w:type="dxa" w:w="2232"/>
          </w:tcPr>
          <w:p>
            <w:pPr>
              <w:spacing w:after="20"/>
              <w:jc w:val="right"/>
            </w:pPr>
            <w:r>
              <w:rPr>
                <w:color w:val="1C3A36"/>
                <w:sz w:val="17"/>
              </w:rPr>
              <w:t>466,619</w:t>
            </w:r>
          </w:p>
        </w:tc>
      </w:tr>
      <w:tr>
        <w:tc>
          <w:tcPr>
            <w:tcW w:type="dxa" w:w="6264"/>
          </w:tcPr>
          <w:p>
            <w:pPr>
              <w:spacing w:after="20"/>
            </w:pPr>
            <w:r>
              <w:rPr>
                <w:color w:val="1C3A36"/>
                <w:sz w:val="17"/>
              </w:rPr>
              <w:t>Mid-cycle EBITDA margin</w:t>
            </w:r>
          </w:p>
        </w:tc>
        <w:tc>
          <w:tcPr>
            <w:tcW w:type="dxa" w:w="2232"/>
          </w:tcPr>
          <w:p>
            <w:pPr>
              <w:spacing w:after="20"/>
              <w:jc w:val="right"/>
            </w:pPr>
            <w:r>
              <w:rPr>
                <w:color w:val="1C3A36"/>
                <w:sz w:val="17"/>
              </w:rPr>
              <w:t>10.2%</w:t>
            </w:r>
          </w:p>
        </w:tc>
      </w:tr>
      <w:tr>
        <w:tc>
          <w:tcPr>
            <w:tcW w:type="dxa" w:w="6264"/>
          </w:tcPr>
          <w:p>
            <w:pPr>
              <w:spacing w:after="20"/>
            </w:pPr>
            <w:r>
              <w:rPr>
                <w:color w:val="1C3A36"/>
                <w:sz w:val="17"/>
              </w:rPr>
              <w:t>Mid-cycle EBIT (EGP mn)</w:t>
            </w:r>
          </w:p>
        </w:tc>
        <w:tc>
          <w:tcPr>
            <w:tcW w:type="dxa" w:w="2232"/>
          </w:tcPr>
          <w:p>
            <w:pPr>
              <w:spacing w:after="20"/>
              <w:jc w:val="right"/>
            </w:pPr>
            <w:r>
              <w:rPr>
                <w:color w:val="1C3A36"/>
                <w:sz w:val="17"/>
              </w:rPr>
              <w:t>41,770</w:t>
            </w:r>
          </w:p>
        </w:tc>
      </w:tr>
      <w:tr>
        <w:tc>
          <w:tcPr>
            <w:tcW w:type="dxa" w:w="6264"/>
          </w:tcPr>
          <w:p>
            <w:pPr>
              <w:spacing w:after="20"/>
            </w:pPr>
            <w:r>
              <w:rPr>
                <w:color w:val="1C3A36"/>
                <w:sz w:val="17"/>
              </w:rPr>
              <w:t>Less net interest (EGP mn)</w:t>
            </w:r>
          </w:p>
        </w:tc>
        <w:tc>
          <w:tcPr>
            <w:tcW w:type="dxa" w:w="2232"/>
          </w:tcPr>
          <w:p>
            <w:pPr>
              <w:spacing w:after="20"/>
              <w:jc w:val="right"/>
            </w:pPr>
            <w:r>
              <w:rPr>
                <w:color w:val="1C3A36"/>
                <w:sz w:val="17"/>
              </w:rPr>
              <w:t>(1,056)</w:t>
            </w:r>
          </w:p>
        </w:tc>
      </w:tr>
      <w:tr>
        <w:tc>
          <w:tcPr>
            <w:tcW w:type="dxa" w:w="6264"/>
          </w:tcPr>
          <w:p>
            <w:pPr>
              <w:spacing w:after="20"/>
            </w:pPr>
            <w:r>
              <w:rPr>
                <w:color w:val="1C3A36"/>
                <w:sz w:val="17"/>
              </w:rPr>
              <w:t>After tax and minority interests — earnings per share (EGP)</w:t>
            </w:r>
          </w:p>
        </w:tc>
        <w:tc>
          <w:tcPr>
            <w:tcW w:type="dxa" w:w="2232"/>
          </w:tcPr>
          <w:p>
            <w:pPr>
              <w:spacing w:after="20"/>
              <w:jc w:val="right"/>
            </w:pPr>
            <w:r>
              <w:rPr>
                <w:color w:val="1C3A36"/>
                <w:sz w:val="17"/>
              </w:rPr>
              <w:t>13.47</w:t>
            </w:r>
          </w:p>
        </w:tc>
      </w:tr>
      <w:tr>
        <w:tc>
          <w:tcPr>
            <w:tcW w:type="dxa" w:w="6264"/>
          </w:tcPr>
          <w:p>
            <w:pPr>
              <w:spacing w:after="20"/>
            </w:pPr>
            <w:r>
              <w:rPr>
                <w:color w:val="1C3A36"/>
                <w:sz w:val="17"/>
              </w:rPr>
              <w:t>Justified price/earnings multiple</w:t>
            </w:r>
          </w:p>
        </w:tc>
        <w:tc>
          <w:tcPr>
            <w:tcW w:type="dxa" w:w="2232"/>
          </w:tcPr>
          <w:p>
            <w:pPr>
              <w:spacing w:after="20"/>
              <w:jc w:val="right"/>
            </w:pPr>
            <w:r>
              <w:rPr>
                <w:color w:val="1C3A36"/>
                <w:sz w:val="17"/>
              </w:rPr>
              <w:t>9.5×</w:t>
            </w:r>
          </w:p>
        </w:tc>
      </w:tr>
      <w:tr>
        <w:tc>
          <w:tcPr>
            <w:tcW w:type="dxa" w:w="6264"/>
          </w:tcPr>
          <w:p>
            <w:pPr>
              <w:spacing w:after="20"/>
            </w:pPr>
            <w:r>
              <w:rPr>
                <w:color w:val="1C3A36"/>
                <w:sz w:val="17"/>
              </w:rPr>
              <w:t>Fair value (EGP per share)</w:t>
            </w:r>
          </w:p>
        </w:tc>
        <w:tc>
          <w:tcPr>
            <w:tcW w:type="dxa" w:w="2232"/>
          </w:tcPr>
          <w:p>
            <w:pPr>
              <w:spacing w:after="20"/>
              <w:jc w:val="right"/>
            </w:pPr>
            <w:r>
              <w:rPr>
                <w:color w:val="1C3A36"/>
                <w:sz w:val="17"/>
              </w:rPr>
              <w:t>146.62</w:t>
            </w:r>
          </w:p>
        </w:tc>
      </w:tr>
      <w:tr>
        <w:tc>
          <w:tcPr>
            <w:tcW w:type="dxa" w:w="6264"/>
            <w:shd w:val="clear" w:color="auto" w:fill="F6F1E6"/>
          </w:tcPr>
          <w:p>
            <w:pPr>
              <w:spacing w:after="20"/>
            </w:pPr>
            <w:r>
              <w:rPr>
                <w:b/>
                <w:color w:val="1C3A36"/>
                <w:sz w:val="17"/>
              </w:rPr>
              <w:t>Range (7.0× to 12.0×)</w:t>
            </w:r>
          </w:p>
        </w:tc>
        <w:tc>
          <w:tcPr>
            <w:tcW w:type="dxa" w:w="2232"/>
            <w:shd w:val="clear" w:color="auto" w:fill="F6F1E6"/>
          </w:tcPr>
          <w:p>
            <w:pPr>
              <w:spacing w:after="20"/>
              <w:jc w:val="right"/>
            </w:pPr>
            <w:r>
              <w:rPr>
                <w:b/>
                <w:color w:val="1C3A36"/>
                <w:sz w:val="17"/>
              </w:rPr>
              <w:t>107.55 – 185.69</w:t>
            </w:r>
          </w:p>
        </w:tc>
      </w:tr>
    </w:tbl>
    <w:p>
      <w:pPr>
        <w:spacing w:after="40"/>
      </w:pPr>
    </w:p>
    <w:p>
      <w:pPr>
        <w:spacing w:after="120" w:before="0"/>
      </w:pPr>
      <w:r>
        <w:rPr>
          <w:b w:val="0"/>
          <w:i w:val="0"/>
          <w:color w:val="1C3A36"/>
          <w:sz w:val="21"/>
        </w:rPr>
        <w:t>Named sensitivity: each one-turn change in the multiple is worth EGP 13.47 per share, and each percentage point of mid-cycle EBITDA margin is worth roughly EGP 1.29 per share.</w:t>
      </w:r>
    </w:p>
    <w:p>
      <w:pPr>
        <w:spacing w:after="160" w:before="0"/>
      </w:pPr>
      <w:r>
        <w:rPr>
          <w:b w:val="0"/>
          <w:i w:val="0"/>
          <w:color w:val="1C3A36"/>
          <w:sz w:val="21"/>
        </w:rPr>
        <w:t>Falsifier, stated in advance: if the group's EBITDA margin fails to hold above 11% for two consecutive full years, the mid-cycle margin assumed here is wrong and this valuation should be discarded, not adjusted.</w:t>
      </w:r>
    </w:p>
    <w:p>
      <w:pPr>
        <w:spacing w:after="80" w:before="200"/>
      </w:pPr>
      <w:r>
        <w:rPr>
          <w:b/>
          <w:i w:val="0"/>
          <w:color w:val="1C3A36"/>
          <w:sz w:val="24"/>
        </w:rPr>
        <w:t>C.2  Expert 2 — the accountant: owner cash earnings from the statements</w:t>
      </w:r>
    </w:p>
    <w:p>
      <w:pPr>
        <w:spacing w:after="120" w:before="0"/>
      </w:pPr>
      <w:r>
        <w:rPr>
          <w:b w:val="0"/>
          <w:i w:val="0"/>
          <w:color w:val="1C3A36"/>
          <w:sz w:val="21"/>
        </w:rPr>
        <w:t>Worldview: earnings are an opinion, cash is a fact. The only number that matters is what an owner could take out of the business each year after everything the business needs to keep running at its current scale — including the working capital that growth consumes. Capitalise that, and nothing else.</w:t>
      </w:r>
    </w:p>
    <w:p>
      <w:pPr>
        <w:spacing w:after="120" w:before="0"/>
      </w:pPr>
      <w:r>
        <w:rPr>
          <w:b w:val="0"/>
          <w:i w:val="0"/>
          <w:color w:val="1C3A36"/>
          <w:sz w:val="21"/>
        </w:rPr>
        <w:t>When it works: it is the correct discipline for exactly this kind of company, where reported profit and cash generation have diverged sharply. When it fails: it undervalues a business genuinely investing ahead of demand, because it charges growth capital against the owner without crediting the growth it buys.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Average free cash flow to the firm, FY2028–FY2030 (EGP mn)</w:t>
            </w:r>
          </w:p>
        </w:tc>
        <w:tc>
          <w:tcPr>
            <w:tcW w:type="dxa" w:w="2232"/>
          </w:tcPr>
          <w:p>
            <w:pPr>
              <w:spacing w:after="20"/>
              <w:jc w:val="right"/>
            </w:pPr>
            <w:r>
              <w:rPr>
                <w:color w:val="1C3A36"/>
                <w:sz w:val="17"/>
              </w:rPr>
              <w:t>16,193</w:t>
            </w:r>
          </w:p>
        </w:tc>
      </w:tr>
      <w:tr>
        <w:tc>
          <w:tcPr>
            <w:tcW w:type="dxa" w:w="6264"/>
          </w:tcPr>
          <w:p>
            <w:pPr>
              <w:spacing w:after="20"/>
            </w:pPr>
            <w:r>
              <w:rPr>
                <w:color w:val="1C3A36"/>
                <w:sz w:val="17"/>
              </w:rPr>
              <w:t>Less after-tax interest (EGP mn)</w:t>
            </w:r>
          </w:p>
        </w:tc>
        <w:tc>
          <w:tcPr>
            <w:tcW w:type="dxa" w:w="2232"/>
          </w:tcPr>
          <w:p>
            <w:pPr>
              <w:spacing w:after="20"/>
              <w:jc w:val="right"/>
            </w:pPr>
            <w:r>
              <w:rPr>
                <w:color w:val="1C3A36"/>
                <w:sz w:val="17"/>
              </w:rPr>
              <w:t>(608) — the FY2029 point of the forecast's net-finance construction (cost-of-debt path × gross book less 10% on the FY2025 cash balance), after tax; shown because a review correctly noted it was not reconcilable as previously displayed</w:t>
            </w:r>
          </w:p>
        </w:tc>
      </w:tr>
      <w:tr>
        <w:tc>
          <w:tcPr>
            <w:tcW w:type="dxa" w:w="6264"/>
          </w:tcPr>
          <w:p>
            <w:pPr>
              <w:spacing w:after="20"/>
            </w:pPr>
            <w:r>
              <w:rPr>
                <w:color w:val="1C3A36"/>
                <w:sz w:val="17"/>
              </w:rPr>
              <w:t>Less minority share (9.7%)</w:t>
            </w:r>
          </w:p>
        </w:tc>
        <w:tc>
          <w:tcPr>
            <w:tcW w:type="dxa" w:w="2232"/>
          </w:tcPr>
          <w:p>
            <w:pPr>
              <w:spacing w:after="20"/>
              <w:jc w:val="right"/>
            </w:pPr>
            <w:r>
              <w:rPr>
                <w:color w:val="1C3A36"/>
                <w:sz w:val="17"/>
              </w:rPr>
              <w:t>(1,508)</w:t>
            </w:r>
          </w:p>
        </w:tc>
      </w:tr>
      <w:tr>
        <w:tc>
          <w:tcPr>
            <w:tcW w:type="dxa" w:w="6264"/>
          </w:tcPr>
          <w:p>
            <w:pPr>
              <w:spacing w:after="20"/>
            </w:pPr>
            <w:r>
              <w:rPr>
                <w:color w:val="1C3A36"/>
                <w:sz w:val="17"/>
              </w:rPr>
              <w:t>Owner cash earnings (EGP mn)</w:t>
            </w:r>
          </w:p>
        </w:tc>
        <w:tc>
          <w:tcPr>
            <w:tcW w:type="dxa" w:w="2232"/>
          </w:tcPr>
          <w:p>
            <w:pPr>
              <w:spacing w:after="20"/>
              <w:jc w:val="right"/>
            </w:pPr>
            <w:r>
              <w:rPr>
                <w:color w:val="1C3A36"/>
                <w:sz w:val="17"/>
              </w:rPr>
              <w:t>14,077</w:t>
            </w:r>
          </w:p>
        </w:tc>
      </w:tr>
      <w:tr>
        <w:tc>
          <w:tcPr>
            <w:tcW w:type="dxa" w:w="6264"/>
          </w:tcPr>
          <w:p>
            <w:pPr>
              <w:spacing w:after="20"/>
            </w:pPr>
            <w:r>
              <w:rPr>
                <w:color w:val="1C3A36"/>
                <w:sz w:val="17"/>
              </w:rPr>
              <w:t>Grown one year and capitalised at cost of equity less growth</w:t>
            </w:r>
          </w:p>
        </w:tc>
        <w:tc>
          <w:tcPr>
            <w:tcW w:type="dxa" w:w="2232"/>
          </w:tcPr>
          <w:p>
            <w:pPr>
              <w:spacing w:after="20"/>
              <w:jc w:val="right"/>
            </w:pPr>
            <w:r>
              <w:rPr>
                <w:color w:val="1C3A36"/>
                <w:sz w:val="17"/>
              </w:rPr>
              <w:t>× 1.05 ÷ (17.6% − 5%)</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61.91</w:t>
            </w:r>
          </w:p>
        </w:tc>
      </w:tr>
      <w:tr>
        <w:tc>
          <w:tcPr>
            <w:tcW w:type="dxa" w:w="6264"/>
            <w:shd w:val="clear" w:color="auto" w:fill="F6F1E6"/>
          </w:tcPr>
          <w:p>
            <w:pPr>
              <w:spacing w:after="20"/>
            </w:pPr>
            <w:r>
              <w:rPr>
                <w:b/>
                <w:color w:val="1C3A36"/>
                <w:sz w:val="17"/>
              </w:rPr>
              <w:t>Range</w:t>
            </w:r>
          </w:p>
        </w:tc>
        <w:tc>
          <w:tcPr>
            <w:tcW w:type="dxa" w:w="2232"/>
            <w:shd w:val="clear" w:color="auto" w:fill="F6F1E6"/>
          </w:tcPr>
          <w:p>
            <w:pPr>
              <w:spacing w:after="20"/>
              <w:jc w:val="right"/>
            </w:pPr>
            <w:r>
              <w:rPr>
                <w:b/>
                <w:color w:val="1C3A36"/>
                <w:sz w:val="17"/>
              </w:rPr>
              <w:t>37.47 – 68.09</w:t>
            </w:r>
          </w:p>
        </w:tc>
      </w:tr>
    </w:tbl>
    <w:p>
      <w:pPr>
        <w:spacing w:after="40"/>
      </w:pPr>
    </w:p>
    <w:p>
      <w:pPr>
        <w:spacing w:after="120" w:before="0"/>
      </w:pPr>
      <w:r>
        <w:rPr>
          <w:b w:val="0"/>
          <w:i w:val="0"/>
          <w:color w:val="1C3A36"/>
          <w:sz w:val="21"/>
        </w:rPr>
        <w:t>This is the harshest of the three readings, at EGP 61.91, and the reason is specific and defensible: it takes the FY2025 evidence — EGP 28,363mn of EBITDA converting to EGP 12,766mn of operating cash — as a statement about the business model rather than about one unusual year.</w:t>
      </w:r>
    </w:p>
    <w:p>
      <w:pPr>
        <w:spacing w:after="120" w:before="0"/>
      </w:pPr>
      <w:r>
        <w:rPr>
          <w:b w:val="0"/>
          <w:i w:val="0"/>
          <w:color w:val="1C3A36"/>
          <w:sz w:val="21"/>
        </w:rPr>
        <w:t>Named sensitivity: if working capital intensity fell by two percentage points of revenue, this valuation would rise by roughly a third, because the entire gap between this expert and the other two is the cash working capital absorbs.</w:t>
      </w:r>
    </w:p>
    <w:p>
      <w:pPr>
        <w:spacing w:after="160" w:before="0"/>
      </w:pPr>
      <w:r>
        <w:rPr>
          <w:b w:val="0"/>
          <w:i w:val="0"/>
          <w:color w:val="1C3A36"/>
          <w:sz w:val="21"/>
        </w:rPr>
        <w:t>Falsifier, stated in advance: two consecutive halves in which operating cash flow exceeds 60% of EBITDA would refute the premise that this business structurally cannot convert its earnings, and this number should then be abandoned.</w:t>
      </w:r>
    </w:p>
    <w:p>
      <w:pPr>
        <w:spacing w:after="80" w:before="200"/>
      </w:pPr>
      <w:r>
        <w:rPr>
          <w:b/>
          <w:i w:val="0"/>
          <w:color w:val="1C3A36"/>
          <w:sz w:val="24"/>
        </w:rPr>
        <w:t>C.3  Expert 3 — cash returns: return on capital against the cost of capital</w:t>
      </w:r>
    </w:p>
    <w:p>
      <w:pPr>
        <w:spacing w:after="120" w:before="0"/>
      </w:pPr>
      <w:r>
        <w:rPr>
          <w:b w:val="0"/>
          <w:i w:val="0"/>
          <w:color w:val="1C3A36"/>
          <w:sz w:val="21"/>
        </w:rPr>
        <w:t>Worldview: value is created only when the return on invested capital exceeds the cost of that capital, and the amount created is the spread multiplied by the capital employed. Growth without a positive spread destroys value; growth with one compounds it. Start from the capital already invested and add the present value of the economic profit earned on it.</w:t>
      </w:r>
    </w:p>
    <w:p>
      <w:pPr>
        <w:spacing w:after="120" w:before="0"/>
      </w:pPr>
      <w:r>
        <w:rPr>
          <w:b w:val="0"/>
          <w:i w:val="0"/>
          <w:color w:val="1C3A36"/>
          <w:sz w:val="21"/>
        </w:rPr>
        <w:t>When it works: it is the sharpest available test of whether growth is worth funding, and it makes the discount-rate question unavoidable rather than buried. When it fails: it is acutely sensitive to how invested capital is measured, and to the currency in which the cost of capital is struck.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Invested capital at the FY2025 base (EGP mn)</w:t>
            </w:r>
          </w:p>
        </w:tc>
        <w:tc>
          <w:tcPr>
            <w:tcW w:type="dxa" w:w="2232"/>
          </w:tcPr>
          <w:p>
            <w:pPr>
              <w:spacing w:after="20"/>
              <w:jc w:val="right"/>
            </w:pPr>
            <w:r>
              <w:rPr>
                <w:color w:val="1C3A36"/>
                <w:sz w:val="17"/>
              </w:rPr>
              <w:t>93,562</w:t>
            </w:r>
          </w:p>
        </w:tc>
      </w:tr>
      <w:tr>
        <w:tc>
          <w:tcPr>
            <w:tcW w:type="dxa" w:w="6264"/>
          </w:tcPr>
          <w:p>
            <w:pPr>
              <w:spacing w:after="20"/>
            </w:pPr>
            <w:r>
              <w:rPr>
                <w:color w:val="1C3A36"/>
                <w:sz w:val="17"/>
              </w:rPr>
              <w:t>Present value of economic profit, five explicit years (EGP mn)</w:t>
            </w:r>
          </w:p>
        </w:tc>
        <w:tc>
          <w:tcPr>
            <w:tcW w:type="dxa" w:w="2232"/>
          </w:tcPr>
          <w:p>
            <w:pPr>
              <w:spacing w:after="20"/>
              <w:jc w:val="right"/>
            </w:pPr>
            <w:r>
              <w:rPr>
                <w:color w:val="1C3A36"/>
                <w:sz w:val="17"/>
              </w:rPr>
              <w:t>6,136</w:t>
            </w:r>
          </w:p>
        </w:tc>
      </w:tr>
      <w:tr>
        <w:tc>
          <w:tcPr>
            <w:tcW w:type="dxa" w:w="6264"/>
          </w:tcPr>
          <w:p>
            <w:pPr>
              <w:spacing w:after="20"/>
            </w:pPr>
            <w:r>
              <w:rPr>
                <w:color w:val="1C3A36"/>
                <w:sz w:val="17"/>
              </w:rPr>
              <w:t>Present value of terminal economic profit (EGP mn)</w:t>
            </w:r>
          </w:p>
        </w:tc>
        <w:tc>
          <w:tcPr>
            <w:tcW w:type="dxa" w:w="2232"/>
          </w:tcPr>
          <w:p>
            <w:pPr>
              <w:spacing w:after="20"/>
              <w:jc w:val="right"/>
            </w:pPr>
            <w:r>
              <w:rPr>
                <w:color w:val="1C3A36"/>
                <w:sz w:val="17"/>
              </w:rPr>
              <w:t>26,651</w:t>
            </w:r>
          </w:p>
        </w:tc>
      </w:tr>
      <w:tr>
        <w:tc>
          <w:tcPr>
            <w:tcW w:type="dxa" w:w="6264"/>
          </w:tcPr>
          <w:p>
            <w:pPr>
              <w:spacing w:after="20"/>
            </w:pPr>
            <w:r>
              <w:rPr>
                <w:color w:val="1C3A36"/>
                <w:sz w:val="17"/>
              </w:rPr>
              <w:t>Enterprise value (EGP mn)</w:t>
            </w:r>
          </w:p>
        </w:tc>
        <w:tc>
          <w:tcPr>
            <w:tcW w:type="dxa" w:w="2232"/>
          </w:tcPr>
          <w:p>
            <w:pPr>
              <w:spacing w:after="20"/>
              <w:jc w:val="right"/>
            </w:pPr>
            <w:r>
              <w:rPr>
                <w:color w:val="1C3A36"/>
                <w:sz w:val="17"/>
              </w:rPr>
              <w:t>126,349</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53.25</w:t>
            </w:r>
          </w:p>
        </w:tc>
      </w:tr>
      <w:tr>
        <w:tc>
          <w:tcPr>
            <w:tcW w:type="dxa" w:w="6264"/>
            <w:shd w:val="clear" w:color="auto" w:fill="F6F1E6"/>
          </w:tcPr>
          <w:p>
            <w:pPr>
              <w:spacing w:after="20"/>
            </w:pPr>
            <w:r>
              <w:rPr>
                <w:b/>
                <w:color w:val="1C3A36"/>
                <w:sz w:val="17"/>
              </w:rPr>
              <w:t>Range — the upper bound is the hard-currency discounting case</w:t>
            </w:r>
          </w:p>
        </w:tc>
        <w:tc>
          <w:tcPr>
            <w:tcW w:type="dxa" w:w="2232"/>
            <w:shd w:val="clear" w:color="auto" w:fill="F6F1E6"/>
          </w:tcPr>
          <w:p>
            <w:pPr>
              <w:spacing w:after="20"/>
              <w:jc w:val="right"/>
            </w:pPr>
            <w:r>
              <w:rPr>
                <w:b/>
                <w:color w:val="1C3A36"/>
                <w:sz w:val="17"/>
              </w:rPr>
              <w:t>46.17 – 85.97</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Year</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Return on invested capital (NOPAT ÷ closing capital)</w:t>
            </w:r>
          </w:p>
        </w:tc>
        <w:tc>
          <w:tcPr>
            <w:tcW w:type="dxa" w:w="1426"/>
          </w:tcPr>
          <w:p>
            <w:pPr>
              <w:spacing w:after="20"/>
              <w:jc w:val="right"/>
            </w:pPr>
            <w:r>
              <w:rPr>
                <w:color w:val="1C3A36"/>
                <w:sz w:val="16"/>
              </w:rPr>
              <w:t>18.7%</w:t>
            </w:r>
          </w:p>
        </w:tc>
        <w:tc>
          <w:tcPr>
            <w:tcW w:type="dxa" w:w="1426"/>
          </w:tcPr>
          <w:p>
            <w:pPr>
              <w:spacing w:after="20"/>
              <w:jc w:val="right"/>
            </w:pPr>
            <w:r>
              <w:rPr>
                <w:color w:val="1C3A36"/>
                <w:sz w:val="16"/>
              </w:rPr>
              <w:t>18.9%</w:t>
            </w:r>
          </w:p>
        </w:tc>
        <w:tc>
          <w:tcPr>
            <w:tcW w:type="dxa" w:w="1426"/>
          </w:tcPr>
          <w:p>
            <w:pPr>
              <w:spacing w:after="20"/>
              <w:jc w:val="right"/>
            </w:pPr>
            <w:r>
              <w:rPr>
                <w:color w:val="1C3A36"/>
                <w:sz w:val="16"/>
              </w:rPr>
              <w:t>19.1%</w:t>
            </w:r>
          </w:p>
        </w:tc>
        <w:tc>
          <w:tcPr>
            <w:tcW w:type="dxa" w:w="1426"/>
          </w:tcPr>
          <w:p>
            <w:pPr>
              <w:spacing w:after="20"/>
              <w:jc w:val="right"/>
            </w:pPr>
            <w:r>
              <w:rPr>
                <w:color w:val="1C3A36"/>
                <w:sz w:val="16"/>
              </w:rPr>
              <w:t>19.4%</w:t>
            </w:r>
          </w:p>
        </w:tc>
        <w:tc>
          <w:tcPr>
            <w:tcW w:type="dxa" w:w="1426"/>
          </w:tcPr>
          <w:p>
            <w:pPr>
              <w:spacing w:after="20"/>
              <w:jc w:val="right"/>
            </w:pPr>
            <w:r>
              <w:rPr>
                <w:color w:val="1C3A36"/>
                <w:sz w:val="16"/>
              </w:rPr>
              <w:t>19.4%</w:t>
            </w:r>
          </w:p>
        </w:tc>
      </w:tr>
      <w:tr>
        <w:tc>
          <w:tcPr>
            <w:tcW w:type="dxa" w:w="2952"/>
          </w:tcPr>
          <w:p>
            <w:pPr>
              <w:spacing w:after="20"/>
            </w:pPr>
            <w:r>
              <w:rPr>
                <w:color w:val="1C3A36"/>
                <w:sz w:val="16"/>
              </w:rPr>
              <w:t>Cost of capital that year</w:t>
            </w:r>
          </w:p>
        </w:tc>
        <w:tc>
          <w:tcPr>
            <w:tcW w:type="dxa" w:w="1426"/>
          </w:tcPr>
          <w:p>
            <w:pPr>
              <w:spacing w:after="20"/>
              <w:jc w:val="right"/>
            </w:pPr>
            <w:r>
              <w:rPr>
                <w:color w:val="1C3A36"/>
                <w:sz w:val="16"/>
              </w:rPr>
              <w:t>26.6%</w:t>
            </w:r>
          </w:p>
        </w:tc>
        <w:tc>
          <w:tcPr>
            <w:tcW w:type="dxa" w:w="1426"/>
          </w:tcPr>
          <w:p>
            <w:pPr>
              <w:spacing w:after="20"/>
              <w:jc w:val="right"/>
            </w:pPr>
            <w:r>
              <w:rPr>
                <w:color w:val="1C3A36"/>
                <w:sz w:val="16"/>
              </w:rPr>
              <w:t>23.1%</w:t>
            </w:r>
          </w:p>
        </w:tc>
        <w:tc>
          <w:tcPr>
            <w:tcW w:type="dxa" w:w="1426"/>
          </w:tcPr>
          <w:p>
            <w:pPr>
              <w:spacing w:after="20"/>
              <w:jc w:val="right"/>
            </w:pPr>
            <w:r>
              <w:rPr>
                <w:color w:val="1C3A36"/>
                <w:sz w:val="16"/>
              </w:rPr>
              <w:t>20.1%</w:t>
            </w:r>
          </w:p>
        </w:tc>
        <w:tc>
          <w:tcPr>
            <w:tcW w:type="dxa" w:w="1426"/>
          </w:tcPr>
          <w:p>
            <w:pPr>
              <w:spacing w:after="20"/>
              <w:jc w:val="right"/>
            </w:pPr>
            <w:r>
              <w:rPr>
                <w:color w:val="1C3A36"/>
                <w:sz w:val="16"/>
              </w:rPr>
              <w:t>17.7%</w:t>
            </w:r>
          </w:p>
        </w:tc>
        <w:tc>
          <w:tcPr>
            <w:tcW w:type="dxa" w:w="1426"/>
          </w:tcPr>
          <w:p>
            <w:pPr>
              <w:spacing w:after="20"/>
              <w:jc w:val="right"/>
            </w:pPr>
            <w:r>
              <w:rPr>
                <w:color w:val="1C3A36"/>
                <w:sz w:val="16"/>
              </w:rPr>
              <w:t>15.9%</w:t>
            </w:r>
          </w:p>
        </w:tc>
      </w:tr>
      <w:tr>
        <w:tc>
          <w:tcPr>
            <w:tcW w:type="dxa" w:w="2952"/>
          </w:tcPr>
          <w:p>
            <w:pPr>
              <w:spacing w:after="20"/>
            </w:pPr>
            <w:r>
              <w:rPr>
                <w:color w:val="1C3A36"/>
                <w:sz w:val="16"/>
              </w:rPr>
              <w:t>Spread</w:t>
            </w:r>
          </w:p>
        </w:tc>
        <w:tc>
          <w:tcPr>
            <w:tcW w:type="dxa" w:w="1426"/>
          </w:tcPr>
          <w:p>
            <w:pPr>
              <w:spacing w:after="20"/>
              <w:jc w:val="right"/>
            </w:pPr>
            <w:r>
              <w:rPr>
                <w:color w:val="1C3A36"/>
                <w:sz w:val="16"/>
              </w:rPr>
              <w:t>-7.9pp</w:t>
            </w:r>
          </w:p>
        </w:tc>
        <w:tc>
          <w:tcPr>
            <w:tcW w:type="dxa" w:w="1426"/>
          </w:tcPr>
          <w:p>
            <w:pPr>
              <w:spacing w:after="20"/>
              <w:jc w:val="right"/>
            </w:pPr>
            <w:r>
              <w:rPr>
                <w:color w:val="1C3A36"/>
                <w:sz w:val="16"/>
              </w:rPr>
              <w:t>-4.1pp</w:t>
            </w:r>
          </w:p>
        </w:tc>
        <w:tc>
          <w:tcPr>
            <w:tcW w:type="dxa" w:w="1426"/>
          </w:tcPr>
          <w:p>
            <w:pPr>
              <w:spacing w:after="20"/>
              <w:jc w:val="right"/>
            </w:pPr>
            <w:r>
              <w:rPr>
                <w:color w:val="1C3A36"/>
                <w:sz w:val="16"/>
              </w:rPr>
              <w:t>-1.0pp</w:t>
            </w:r>
          </w:p>
        </w:tc>
        <w:tc>
          <w:tcPr>
            <w:tcW w:type="dxa" w:w="1426"/>
          </w:tcPr>
          <w:p>
            <w:pPr>
              <w:spacing w:after="20"/>
              <w:jc w:val="right"/>
            </w:pPr>
            <w:r>
              <w:rPr>
                <w:color w:val="1C3A36"/>
                <w:sz w:val="16"/>
              </w:rPr>
              <w:t>+1.7pp</w:t>
            </w:r>
          </w:p>
        </w:tc>
        <w:tc>
          <w:tcPr>
            <w:tcW w:type="dxa" w:w="1426"/>
          </w:tcPr>
          <w:p>
            <w:pPr>
              <w:spacing w:after="20"/>
              <w:jc w:val="right"/>
            </w:pPr>
            <w:r>
              <w:rPr>
                <w:color w:val="1C3A36"/>
                <w:sz w:val="16"/>
              </w:rPr>
              <w:t>+3.5pp</w:t>
            </w:r>
          </w:p>
        </w:tc>
      </w:tr>
      <w:tr>
        <w:tc>
          <w:tcPr>
            <w:tcW w:type="dxa" w:w="2952"/>
            <w:shd w:val="clear" w:color="auto" w:fill="F6F1E6"/>
          </w:tcPr>
          <w:p>
            <w:pPr>
              <w:spacing w:after="20"/>
            </w:pPr>
            <w:r>
              <w:rPr>
                <w:b/>
                <w:color w:val="1C3A36"/>
                <w:sz w:val="16"/>
              </w:rPr>
              <w:t>Economic profit (NOPAT − charge on OPENING capital, EGP mn)</w:t>
            </w:r>
          </w:p>
        </w:tc>
        <w:tc>
          <w:tcPr>
            <w:tcW w:type="dxa" w:w="1426"/>
            <w:shd w:val="clear" w:color="auto" w:fill="F6F1E6"/>
          </w:tcPr>
          <w:p>
            <w:pPr>
              <w:spacing w:after="20"/>
              <w:jc w:val="right"/>
            </w:pPr>
            <w:r>
              <w:rPr>
                <w:b/>
                <w:color w:val="1C3A36"/>
                <w:sz w:val="16"/>
              </w:rPr>
              <w:t>-1,862</w:t>
            </w:r>
          </w:p>
        </w:tc>
        <w:tc>
          <w:tcPr>
            <w:tcW w:type="dxa" w:w="1426"/>
            <w:shd w:val="clear" w:color="auto" w:fill="F6F1E6"/>
          </w:tcPr>
          <w:p>
            <w:pPr>
              <w:spacing w:after="20"/>
              <w:jc w:val="right"/>
            </w:pPr>
            <w:r>
              <w:rPr>
                <w:b/>
                <w:color w:val="1C3A36"/>
                <w:sz w:val="16"/>
              </w:rPr>
              <w:t>-915</w:t>
            </w:r>
          </w:p>
        </w:tc>
        <w:tc>
          <w:tcPr>
            <w:tcW w:type="dxa" w:w="1426"/>
            <w:shd w:val="clear" w:color="auto" w:fill="F6F1E6"/>
          </w:tcPr>
          <w:p>
            <w:pPr>
              <w:spacing w:after="20"/>
              <w:jc w:val="right"/>
            </w:pPr>
            <w:r>
              <w:rPr>
                <w:b/>
                <w:color w:val="1C3A36"/>
                <w:sz w:val="16"/>
              </w:rPr>
              <w:t>2,388</w:t>
            </w:r>
          </w:p>
        </w:tc>
        <w:tc>
          <w:tcPr>
            <w:tcW w:type="dxa" w:w="1426"/>
            <w:shd w:val="clear" w:color="auto" w:fill="F6F1E6"/>
          </w:tcPr>
          <w:p>
            <w:pPr>
              <w:spacing w:after="20"/>
              <w:jc w:val="right"/>
            </w:pPr>
            <w:r>
              <w:rPr>
                <w:b/>
                <w:color w:val="1C3A36"/>
                <w:sz w:val="16"/>
              </w:rPr>
              <w:t>6,489</w:t>
            </w:r>
          </w:p>
        </w:tc>
        <w:tc>
          <w:tcPr>
            <w:tcW w:type="dxa" w:w="1426"/>
            <w:shd w:val="clear" w:color="auto" w:fill="F6F1E6"/>
          </w:tcPr>
          <w:p>
            <w:pPr>
              <w:spacing w:after="20"/>
              <w:jc w:val="right"/>
            </w:pPr>
            <w:r>
              <w:rPr>
                <w:b/>
                <w:color w:val="1C3A36"/>
                <w:sz w:val="16"/>
              </w:rPr>
              <w:t>10,145</w:t>
            </w:r>
          </w:p>
        </w:tc>
      </w:tr>
    </w:tbl>
    <w:p>
      <w:pPr>
        <w:spacing w:after="40"/>
      </w:pPr>
    </w:p>
    <w:p>
      <w:pPr>
        <w:spacing w:after="200" w:before="0"/>
      </w:pPr>
      <w:r>
        <w:rPr>
          <w:b w:val="0"/>
          <w:i/>
          <w:color w:val="6E7B77"/>
          <w:sz w:val="17"/>
        </w:rPr>
        <w:t>Two conventions sit in this table and are named so they cannot be confused: the ROIC row divides by CLOSING capital (matching Appendix A.3), while economic profit charges the cost of capital on OPENING capital — the capital actually employed through the year. So spread × closing capital will not reproduce the economic-profit row; the identity holds on opening capital. Note also that this leg's enterprise value (126,349) and the DCF's (132,146) differ by 5,796: economic-profit and FCFF valuations are algebraically identical on identical assumptions, and the gap here is exactly the different terminal treatment (a fading economic-profit perpetuity versus the reinvestment-rate terminal value). Expert 3 is therefore a RESTATEMENT of the DCF under a different terminal discipline, not an independent confirmation, and is read as such.</w:t>
      </w:r>
    </w:p>
    <w:p>
      <w:pPr>
        <w:spacing w:after="120" w:before="0"/>
      </w:pPr>
      <w:r>
        <w:rPr>
          <w:b w:val="0"/>
          <w:i w:val="0"/>
          <w:color w:val="1C3A36"/>
          <w:sz w:val="21"/>
        </w:rPr>
        <w:t>This table is the single most revealing exhibit in the study. The spread is negative in the early years — the group earns roughly 19% on capital while its cost of capital is 27% — and turns positive only as the discount rate glides down. On this reading the company is not currently creating value at an Egyptian cost of capital; it creates value only if that cost of capital normalises, or if the correct cost of capital is the hard-currency one.</w:t>
      </w:r>
    </w:p>
    <w:p>
      <w:pPr>
        <w:spacing w:after="120" w:before="0"/>
      </w:pPr>
      <w:r>
        <w:rPr>
          <w:b w:val="0"/>
          <w:i w:val="0"/>
          <w:color w:val="1C3A36"/>
          <w:sz w:val="21"/>
        </w:rPr>
        <w:t>Named sensitivity: a two-percentage-point parallel reduction in the cost-of-capital schedule flips the spread positive from the first forecast year and adds materially more than any operating assumption tested elsewhere in this study.</w:t>
      </w:r>
    </w:p>
    <w:p>
      <w:pPr>
        <w:spacing w:after="160" w:before="0"/>
      </w:pPr>
      <w:r>
        <w:rPr>
          <w:b w:val="0"/>
          <w:i w:val="0"/>
          <w:color w:val="1C3A36"/>
          <w:sz w:val="21"/>
        </w:rPr>
        <w:t>Falsifier, stated in advance: if return on invested capital falls below 15% for two consecutive years while the cost of capital stays above 20%, this approach concludes the business is consuming value at scale and the estimate should collapse toward invested capital.</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728"/>
        <w:gridCol w:w="4824"/>
      </w:tblGrid>
      <w:tr>
        <w:tc>
          <w:tcPr>
            <w:tcW w:type="dxa" w:w="3528"/>
            <w:shd w:val="clear" w:color="auto" w:fill="EAF0EE"/>
          </w:tcPr>
          <w:p>
            <w:pPr>
              <w:spacing w:after="20"/>
            </w:pPr>
            <w:r>
              <w:rPr>
                <w:b/>
                <w:color w:val="1C3A36"/>
                <w:sz w:val="16"/>
              </w:rPr>
              <w:t>Challenge</w:t>
            </w:r>
          </w:p>
        </w:tc>
        <w:tc>
          <w:tcPr>
            <w:tcW w:type="dxa" w:w="1728"/>
            <w:shd w:val="clear" w:color="auto" w:fill="EAF0EE"/>
          </w:tcPr>
          <w:p>
            <w:pPr>
              <w:spacing w:after="20"/>
            </w:pPr>
            <w:r>
              <w:rPr>
                <w:b/>
                <w:color w:val="1C3A36"/>
                <w:sz w:val="16"/>
              </w:rPr>
              <w:t>From</w:t>
            </w:r>
          </w:p>
        </w:tc>
        <w:tc>
          <w:tcPr>
            <w:tcW w:type="dxa" w:w="4824"/>
            <w:shd w:val="clear" w:color="auto" w:fill="EAF0EE"/>
          </w:tcPr>
          <w:p>
            <w:pPr>
              <w:spacing w:after="20"/>
            </w:pPr>
            <w:r>
              <w:rPr>
                <w:b/>
                <w:color w:val="1C3A36"/>
                <w:sz w:val="16"/>
              </w:rPr>
              <w:t>Response</w:t>
            </w:r>
          </w:p>
        </w:tc>
      </w:tr>
      <w:tr>
        <w:tc>
          <w:tcPr>
            <w:tcW w:type="dxa" w:w="3528"/>
          </w:tcPr>
          <w:p>
            <w:pPr>
              <w:spacing w:after="20"/>
            </w:pPr>
            <w:r>
              <w:rPr>
                <w:color w:val="1C3A36"/>
                <w:sz w:val="16"/>
              </w:rPr>
              <w:t>"A multiple is just a discount rate you have not written down. Yours implies a cost of equity nowhere near the one this market charges."</w:t>
            </w:r>
          </w:p>
        </w:tc>
        <w:tc>
          <w:tcPr>
            <w:tcW w:type="dxa" w:w="1728"/>
          </w:tcPr>
          <w:p>
            <w:pPr>
              <w:spacing w:after="20"/>
              <w:jc w:val="right"/>
            </w:pPr>
            <w:r>
              <w:rPr>
                <w:color w:val="1C3A36"/>
                <w:sz w:val="16"/>
              </w:rPr>
              <w:t>Expert 3 to Expert 1</w:t>
            </w:r>
          </w:p>
        </w:tc>
        <w:tc>
          <w:tcPr>
            <w:tcW w:type="dxa" w:w="4824"/>
          </w:tcPr>
          <w:p>
            <w:pPr>
              <w:spacing w:after="20"/>
              <w:jc w:val="right"/>
            </w:pPr>
            <w:r>
              <w:rPr>
                <w:color w:val="1C3A36"/>
                <w:sz w:val="16"/>
              </w:rPr>
              <w:t>Conceded in part. The multiple is deliberately discounted below developed-market levels for exactly this reason, but the discount is a judgement rather than a derivation, and it is the weakest joint in this method.</w:t>
            </w:r>
          </w:p>
        </w:tc>
      </w:tr>
      <w:tr>
        <w:tc>
          <w:tcPr>
            <w:tcW w:type="dxa" w:w="3528"/>
          </w:tcPr>
          <w:p>
            <w:pPr>
              <w:spacing w:after="20"/>
            </w:pPr>
            <w:r>
              <w:rPr>
                <w:color w:val="1C3A36"/>
                <w:sz w:val="16"/>
              </w:rPr>
              <w:t>"You are charging the owner for working capital that funds growth which will convert to cash. That is a timing charge treated as a permanent one."</w:t>
            </w:r>
          </w:p>
        </w:tc>
        <w:tc>
          <w:tcPr>
            <w:tcW w:type="dxa" w:w="1728"/>
          </w:tcPr>
          <w:p>
            <w:pPr>
              <w:spacing w:after="20"/>
              <w:jc w:val="right"/>
            </w:pPr>
            <w:r>
              <w:rPr>
                <w:color w:val="1C3A36"/>
                <w:sz w:val="16"/>
              </w:rPr>
              <w:t>Expert 1 to Expert 2</w:t>
            </w:r>
          </w:p>
        </w:tc>
        <w:tc>
          <w:tcPr>
            <w:tcW w:type="dxa" w:w="4824"/>
          </w:tcPr>
          <w:p>
            <w:pPr>
              <w:spacing w:after="20"/>
              <w:jc w:val="right"/>
            </w:pPr>
            <w:r>
              <w:rPr>
                <w:color w:val="1C3A36"/>
                <w:sz w:val="16"/>
              </w:rPr>
              <w:t>Partly conceded. FY2025 did improve — working capital fell from 23.1% to 19.9% of revenue even as revenue grew. Until that improvement repeats for a second year, treating the earlier absorption as the norm rather than the exception is the more cautious position.</w:t>
            </w:r>
          </w:p>
        </w:tc>
      </w:tr>
      <w:tr>
        <w:tc>
          <w:tcPr>
            <w:tcW w:type="dxa" w:w="3528"/>
          </w:tcPr>
          <w:p>
            <w:pPr>
              <w:spacing w:after="20"/>
            </w:pPr>
            <w:r>
              <w:rPr>
                <w:color w:val="1C3A36"/>
                <w:sz w:val="16"/>
              </w:rPr>
              <w:t>"Your invested-capital base is understated because it excludes goodwill written off and assets held at historical cost through three devaluations."</w:t>
            </w:r>
          </w:p>
        </w:tc>
        <w:tc>
          <w:tcPr>
            <w:tcW w:type="dxa" w:w="1728"/>
          </w:tcPr>
          <w:p>
            <w:pPr>
              <w:spacing w:after="20"/>
              <w:jc w:val="right"/>
            </w:pPr>
            <w:r>
              <w:rPr>
                <w:color w:val="1C3A36"/>
                <w:sz w:val="16"/>
              </w:rPr>
              <w:t>Expert 2 to Expert 3</w:t>
            </w:r>
          </w:p>
        </w:tc>
        <w:tc>
          <w:tcPr>
            <w:tcW w:type="dxa" w:w="4824"/>
          </w:tcPr>
          <w:p>
            <w:pPr>
              <w:spacing w:after="20"/>
              <w:jc w:val="right"/>
            </w:pPr>
            <w:r>
              <w:rPr>
                <w:color w:val="1C3A36"/>
                <w:sz w:val="16"/>
              </w:rPr>
              <w:t>Conceded. A higher capital base would lower the measured return on capital and shrink the spread, making this reading more pessimistic, not less. The direction of the error is unfavourable to the conclusion already reached.</w:t>
            </w:r>
          </w:p>
        </w:tc>
      </w:tr>
      <w:tr>
        <w:tc>
          <w:tcPr>
            <w:tcW w:type="dxa" w:w="3528"/>
          </w:tcPr>
          <w:p>
            <w:pPr>
              <w:spacing w:after="20"/>
            </w:pPr>
            <w:r>
              <w:rPr>
                <w:color w:val="1C3A36"/>
                <w:sz w:val="16"/>
              </w:rPr>
              <w:t>"All three of you are answering an Egyptian question about a company that earns just over half its money on a hard-currency-linked basis."</w:t>
            </w:r>
          </w:p>
        </w:tc>
        <w:tc>
          <w:tcPr>
            <w:tcW w:type="dxa" w:w="1728"/>
          </w:tcPr>
          <w:p>
            <w:pPr>
              <w:spacing w:after="20"/>
              <w:jc w:val="right"/>
            </w:pPr>
            <w:r>
              <w:rPr>
                <w:color w:val="1C3A36"/>
                <w:sz w:val="16"/>
              </w:rPr>
              <w:t>The panel to itself</w:t>
            </w:r>
          </w:p>
        </w:tc>
        <w:tc>
          <w:tcPr>
            <w:tcW w:type="dxa" w:w="4824"/>
          </w:tcPr>
          <w:p>
            <w:pPr>
              <w:spacing w:after="20"/>
              <w:jc w:val="right"/>
            </w:pPr>
            <w:r>
              <w:rPr>
                <w:color w:val="1C3A36"/>
                <w:sz w:val="16"/>
              </w:rPr>
              <w:t>Accepted as the central unresolved issue. It is why Expert 3's range extends up to the hard-currency case, and why the main study presents both readings rather than an average.</w:t>
            </w:r>
          </w:p>
        </w:tc>
      </w:tr>
    </w:tbl>
    <w:p>
      <w:pPr>
        <w:spacing w:after="40"/>
      </w:pP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276573"/>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8 — the three experts' ranges. The gold band is the panel centre of 61.91; the vertical line is the market price of 105.20.</w:t>
      </w:r>
    </w:p>
    <w:p>
      <w:pPr>
        <w:spacing w:after="120" w:before="0"/>
      </w:pPr>
      <w:r>
        <w:rPr>
          <w:b w:val="0"/>
          <w:i w:val="0"/>
          <w:color w:val="1C3A36"/>
          <w:sz w:val="21"/>
        </w:rPr>
        <w:t>The panel spans EGP 53.25 to 146.62 — a factor of 2.8 between the most and least generous reading. That is a wide disagreement and it is not noise. Expert 1 values earnings and lands near the market price. Expert 2 values cash and lands well below it. Expert 3 values the spread between returns and the cost of capital and finds that the answer depends entirely on which cost of capital applies. The panel median of 61.91 sits -41% against the market price and -11% against the study's own weighted central of 69.73 — a real gap, stated at its size rather than smoothed, and driven by the panel's harsher cash and returns legs outvoting its generous earnings leg.</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2016"/>
        <w:gridCol w:w="2016"/>
        <w:gridCol w:w="2016"/>
        <w:gridCol w:w="1944"/>
      </w:tblGrid>
      <w:tr>
        <w:tc>
          <w:tcPr>
            <w:tcW w:type="dxa" w:w="2088"/>
            <w:shd w:val="clear" w:color="auto" w:fill="EAF0EE"/>
          </w:tcPr>
          <w:p>
            <w:pPr>
              <w:spacing w:after="20"/>
            </w:pPr>
            <w:r>
              <w:rPr>
                <w:b/>
                <w:color w:val="1C3A36"/>
                <w:sz w:val="16"/>
              </w:rPr>
              <w:t>Assumption</w:t>
            </w:r>
          </w:p>
        </w:tc>
        <w:tc>
          <w:tcPr>
            <w:tcW w:type="dxa" w:w="2016"/>
            <w:shd w:val="clear" w:color="auto" w:fill="EAF0EE"/>
          </w:tcPr>
          <w:p>
            <w:pPr>
              <w:spacing w:after="20"/>
            </w:pPr>
            <w:r>
              <w:rPr>
                <w:b/>
                <w:color w:val="1C3A36"/>
                <w:sz w:val="16"/>
              </w:rPr>
              <w:t>Expert 1</w:t>
            </w:r>
          </w:p>
        </w:tc>
        <w:tc>
          <w:tcPr>
            <w:tcW w:type="dxa" w:w="2016"/>
            <w:shd w:val="clear" w:color="auto" w:fill="EAF0EE"/>
          </w:tcPr>
          <w:p>
            <w:pPr>
              <w:spacing w:after="20"/>
            </w:pPr>
            <w:r>
              <w:rPr>
                <w:b/>
                <w:color w:val="1C3A36"/>
                <w:sz w:val="16"/>
              </w:rPr>
              <w:t>Expert 2</w:t>
            </w:r>
          </w:p>
        </w:tc>
        <w:tc>
          <w:tcPr>
            <w:tcW w:type="dxa" w:w="2016"/>
            <w:shd w:val="clear" w:color="auto" w:fill="EAF0EE"/>
          </w:tcPr>
          <w:p>
            <w:pPr>
              <w:spacing w:after="20"/>
            </w:pPr>
            <w:r>
              <w:rPr>
                <w:b/>
                <w:color w:val="1C3A36"/>
                <w:sz w:val="16"/>
              </w:rPr>
              <w:t>Expert 3</w:t>
            </w:r>
          </w:p>
        </w:tc>
        <w:tc>
          <w:tcPr>
            <w:tcW w:type="dxa" w:w="1944"/>
            <w:shd w:val="clear" w:color="auto" w:fill="EAF0EE"/>
          </w:tcPr>
          <w:p>
            <w:pPr>
              <w:spacing w:after="20"/>
            </w:pPr>
            <w:r>
              <w:rPr>
                <w:b/>
                <w:color w:val="1C3A36"/>
                <w:sz w:val="16"/>
              </w:rPr>
              <w:t>Why it swings the answer</w:t>
            </w:r>
          </w:p>
        </w:tc>
      </w:tr>
      <w:tr>
        <w:tc>
          <w:tcPr>
            <w:tcW w:type="dxa" w:w="2088"/>
          </w:tcPr>
          <w:p>
            <w:pPr>
              <w:spacing w:after="20"/>
            </w:pPr>
            <w:r>
              <w:rPr>
                <w:color w:val="1C3A36"/>
                <w:sz w:val="16"/>
              </w:rPr>
              <w:t>Working capital</w:t>
            </w:r>
          </w:p>
        </w:tc>
        <w:tc>
          <w:tcPr>
            <w:tcW w:type="dxa" w:w="2016"/>
          </w:tcPr>
          <w:p>
            <w:pPr>
              <w:spacing w:after="20"/>
              <w:jc w:val="right"/>
            </w:pPr>
            <w:r>
              <w:rPr>
                <w:color w:val="1C3A36"/>
                <w:sz w:val="16"/>
              </w:rPr>
              <w:t>ignored — earnings basis</w:t>
            </w:r>
          </w:p>
        </w:tc>
        <w:tc>
          <w:tcPr>
            <w:tcW w:type="dxa" w:w="2016"/>
          </w:tcPr>
          <w:p>
            <w:pPr>
              <w:spacing w:after="20"/>
              <w:jc w:val="right"/>
            </w:pPr>
            <w:r>
              <w:rPr>
                <w:color w:val="1C3A36"/>
                <w:sz w:val="16"/>
              </w:rPr>
              <w:t>charged in full, permanently</w:t>
            </w:r>
          </w:p>
        </w:tc>
        <w:tc>
          <w:tcPr>
            <w:tcW w:type="dxa" w:w="2016"/>
          </w:tcPr>
          <w:p>
            <w:pPr>
              <w:spacing w:after="20"/>
              <w:jc w:val="right"/>
            </w:pPr>
            <w:r>
              <w:rPr>
                <w:color w:val="1C3A36"/>
                <w:sz w:val="16"/>
              </w:rPr>
              <w:t>charged through invested capital</w:t>
            </w:r>
          </w:p>
        </w:tc>
        <w:tc>
          <w:tcPr>
            <w:tcW w:type="dxa" w:w="1944"/>
          </w:tcPr>
          <w:p>
            <w:pPr>
              <w:spacing w:after="20"/>
              <w:jc w:val="right"/>
            </w:pPr>
            <w:r>
              <w:rPr>
                <w:color w:val="1C3A36"/>
                <w:sz w:val="16"/>
              </w:rPr>
              <w:t>the largest single source of the gap between Experts 1 and 2</w:t>
            </w:r>
          </w:p>
        </w:tc>
      </w:tr>
      <w:tr>
        <w:tc>
          <w:tcPr>
            <w:tcW w:type="dxa" w:w="2088"/>
          </w:tcPr>
          <w:p>
            <w:pPr>
              <w:spacing w:after="20"/>
            </w:pPr>
            <w:r>
              <w:rPr>
                <w:color w:val="1C3A36"/>
                <w:sz w:val="16"/>
              </w:rPr>
              <w:t>Discount rate</w:t>
            </w:r>
          </w:p>
        </w:tc>
        <w:tc>
          <w:tcPr>
            <w:tcW w:type="dxa" w:w="2016"/>
          </w:tcPr>
          <w:p>
            <w:pPr>
              <w:spacing w:after="20"/>
              <w:jc w:val="right"/>
            </w:pPr>
            <w:r>
              <w:rPr>
                <w:color w:val="1C3A36"/>
                <w:sz w:val="16"/>
              </w:rPr>
              <w:t>implicit in the multiple</w:t>
            </w:r>
          </w:p>
        </w:tc>
        <w:tc>
          <w:tcPr>
            <w:tcW w:type="dxa" w:w="2016"/>
          </w:tcPr>
          <w:p>
            <w:pPr>
              <w:spacing w:after="20"/>
              <w:jc w:val="right"/>
            </w:pPr>
            <w:r>
              <w:rPr>
                <w:color w:val="1C3A36"/>
                <w:sz w:val="16"/>
              </w:rPr>
              <w:t>17.6% explicit</w:t>
            </w:r>
          </w:p>
        </w:tc>
        <w:tc>
          <w:tcPr>
            <w:tcW w:type="dxa" w:w="2016"/>
          </w:tcPr>
          <w:p>
            <w:pPr>
              <w:spacing w:after="20"/>
              <w:jc w:val="right"/>
            </w:pPr>
            <w:r>
              <w:rPr>
                <w:color w:val="1C3A36"/>
                <w:sz w:val="16"/>
              </w:rPr>
              <w:t>the full glide, year by year</w:t>
            </w:r>
          </w:p>
        </w:tc>
        <w:tc>
          <w:tcPr>
            <w:tcW w:type="dxa" w:w="1944"/>
          </w:tcPr>
          <w:p>
            <w:pPr>
              <w:spacing w:after="20"/>
              <w:jc w:val="right"/>
            </w:pPr>
            <w:r>
              <w:rPr>
                <w:color w:val="1C3A36"/>
                <w:sz w:val="16"/>
              </w:rPr>
              <w:t>Expert 3 is the only one who lets it change over time, which is why his spread turns</w:t>
            </w:r>
          </w:p>
        </w:tc>
      </w:tr>
      <w:tr>
        <w:tc>
          <w:tcPr>
            <w:tcW w:type="dxa" w:w="2088"/>
          </w:tcPr>
          <w:p>
            <w:pPr>
              <w:spacing w:after="20"/>
            </w:pPr>
            <w:r>
              <w:rPr>
                <w:color w:val="1C3A36"/>
                <w:sz w:val="16"/>
              </w:rPr>
              <w:t>Currency of discounting</w:t>
            </w:r>
          </w:p>
        </w:tc>
        <w:tc>
          <w:tcPr>
            <w:tcW w:type="dxa" w:w="2016"/>
          </w:tcPr>
          <w:p>
            <w:pPr>
              <w:spacing w:after="20"/>
              <w:jc w:val="right"/>
            </w:pPr>
            <w:r>
              <w:rPr>
                <w:color w:val="1C3A36"/>
                <w:sz w:val="16"/>
              </w:rPr>
              <w:t>not addressed</w:t>
            </w:r>
          </w:p>
        </w:tc>
        <w:tc>
          <w:tcPr>
            <w:tcW w:type="dxa" w:w="2016"/>
          </w:tcPr>
          <w:p>
            <w:pPr>
              <w:spacing w:after="20"/>
              <w:jc w:val="right"/>
            </w:pPr>
            <w:r>
              <w:rPr>
                <w:color w:val="1C3A36"/>
                <w:sz w:val="16"/>
              </w:rPr>
              <w:t>Egyptian throughout</w:t>
            </w:r>
          </w:p>
        </w:tc>
        <w:tc>
          <w:tcPr>
            <w:tcW w:type="dxa" w:w="2016"/>
          </w:tcPr>
          <w:p>
            <w:pPr>
              <w:spacing w:after="20"/>
              <w:jc w:val="right"/>
            </w:pPr>
            <w:r>
              <w:rPr>
                <w:color w:val="1C3A36"/>
                <w:sz w:val="16"/>
              </w:rPr>
              <w:t>both readings shown in the range</w:t>
            </w:r>
          </w:p>
        </w:tc>
        <w:tc>
          <w:tcPr>
            <w:tcW w:type="dxa" w:w="1944"/>
          </w:tcPr>
          <w:p>
            <w:pPr>
              <w:spacing w:after="20"/>
              <w:jc w:val="right"/>
            </w:pPr>
            <w:r>
              <w:rPr>
                <w:color w:val="1C3A36"/>
                <w:sz w:val="16"/>
              </w:rPr>
              <w:t>worth more than every operating assumption combined</w:t>
            </w:r>
          </w:p>
        </w:tc>
      </w:tr>
      <w:tr>
        <w:tc>
          <w:tcPr>
            <w:tcW w:type="dxa" w:w="2088"/>
          </w:tcPr>
          <w:p>
            <w:pPr>
              <w:spacing w:after="20"/>
            </w:pPr>
            <w:r>
              <w:rPr>
                <w:color w:val="1C3A36"/>
                <w:sz w:val="16"/>
              </w:rPr>
              <w:t>Growth</w:t>
            </w:r>
          </w:p>
        </w:tc>
        <w:tc>
          <w:tcPr>
            <w:tcW w:type="dxa" w:w="2016"/>
          </w:tcPr>
          <w:p>
            <w:pPr>
              <w:spacing w:after="20"/>
              <w:jc w:val="right"/>
            </w:pPr>
            <w:r>
              <w:rPr>
                <w:color w:val="1C3A36"/>
                <w:sz w:val="16"/>
              </w:rPr>
              <w:t>embedded in the multiple</w:t>
            </w:r>
          </w:p>
        </w:tc>
        <w:tc>
          <w:tcPr>
            <w:tcW w:type="dxa" w:w="2016"/>
          </w:tcPr>
          <w:p>
            <w:pPr>
              <w:spacing w:after="20"/>
              <w:jc w:val="right"/>
            </w:pPr>
            <w:r>
              <w:rPr>
                <w:color w:val="1C3A36"/>
                <w:sz w:val="16"/>
              </w:rPr>
              <w:t>5% perpetual</w:t>
            </w:r>
          </w:p>
        </w:tc>
        <w:tc>
          <w:tcPr>
            <w:tcW w:type="dxa" w:w="2016"/>
          </w:tcPr>
          <w:p>
            <w:pPr>
              <w:spacing w:after="20"/>
              <w:jc w:val="right"/>
            </w:pPr>
            <w:r>
              <w:rPr>
                <w:color w:val="1C3A36"/>
                <w:sz w:val="16"/>
              </w:rPr>
              <w:t>funded explicitly through reinvestment</w:t>
            </w:r>
          </w:p>
        </w:tc>
        <w:tc>
          <w:tcPr>
            <w:tcW w:type="dxa" w:w="1944"/>
          </w:tcPr>
          <w:p>
            <w:pPr>
              <w:spacing w:after="20"/>
              <w:jc w:val="right"/>
            </w:pPr>
            <w:r>
              <w:rPr>
                <w:color w:val="1C3A36"/>
                <w:sz w:val="16"/>
              </w:rPr>
              <w:t>only Expert 3 makes growth pay for the capital it needs</w:t>
            </w:r>
          </w:p>
        </w:tc>
      </w:tr>
      <w:tr>
        <w:tc>
          <w:tcPr>
            <w:tcW w:type="dxa" w:w="2088"/>
          </w:tcPr>
          <w:p>
            <w:pPr>
              <w:spacing w:after="20"/>
            </w:pPr>
            <w:r>
              <w:rPr>
                <w:color w:val="1C3A36"/>
                <w:sz w:val="16"/>
              </w:rPr>
              <w:t>Terminal value</w:t>
            </w:r>
          </w:p>
        </w:tc>
        <w:tc>
          <w:tcPr>
            <w:tcW w:type="dxa" w:w="2016"/>
          </w:tcPr>
          <w:p>
            <w:pPr>
              <w:spacing w:after="20"/>
              <w:jc w:val="right"/>
            </w:pPr>
            <w:r>
              <w:rPr>
                <w:color w:val="1C3A36"/>
                <w:sz w:val="16"/>
              </w:rPr>
              <w:t>none — no perpetuity</w:t>
            </w:r>
          </w:p>
        </w:tc>
        <w:tc>
          <w:tcPr>
            <w:tcW w:type="dxa" w:w="2016"/>
          </w:tcPr>
          <w:p>
            <w:pPr>
              <w:spacing w:after="20"/>
              <w:jc w:val="right"/>
            </w:pPr>
            <w:r>
              <w:rPr>
                <w:color w:val="1C3A36"/>
                <w:sz w:val="16"/>
              </w:rPr>
              <w:t>a perpetuity of owner cash</w:t>
            </w:r>
          </w:p>
        </w:tc>
        <w:tc>
          <w:tcPr>
            <w:tcW w:type="dxa" w:w="2016"/>
          </w:tcPr>
          <w:p>
            <w:pPr>
              <w:spacing w:after="20"/>
              <w:jc w:val="right"/>
            </w:pPr>
            <w:r>
              <w:rPr>
                <w:color w:val="1C3A36"/>
                <w:sz w:val="16"/>
              </w:rPr>
              <w:t>85% of the value in the study's main model</w:t>
            </w:r>
          </w:p>
        </w:tc>
        <w:tc>
          <w:tcPr>
            <w:tcW w:type="dxa" w:w="1944"/>
          </w:tcPr>
          <w:p>
            <w:pPr>
              <w:spacing w:after="20"/>
              <w:jc w:val="right"/>
            </w:pPr>
            <w:r>
              <w:rPr>
                <w:color w:val="1C3A36"/>
                <w:sz w:val="16"/>
              </w:rPr>
              <w:t>the reason Expert 1 is insensitive to the terminal debate and the others are not</w:t>
            </w:r>
          </w:p>
        </w:tc>
      </w:tr>
    </w:tbl>
    <w:p>
      <w:pPr>
        <w:spacing w:after="40"/>
      </w:pPr>
    </w:p>
    <w:p>
      <w:pPr>
        <w:spacing w:after="200" w:before="0"/>
      </w:pPr>
      <w:r>
        <w:rPr>
          <w:b w:val="0"/>
          <w:i w:val="0"/>
          <w:color w:val="1C3A36"/>
          <w:sz w:val="21"/>
        </w:rPr>
        <w:t>The instruction to the reader is not to average these three. It is to decide which of the three premises is true — whether working capital converts, and which currency's cost of capital applies — and then to use the corresponding number. The disagreement is a map of what you need to have a view on.</w:t>
      </w:r>
    </w:p>
    <w:p>
      <w:pPr>
        <w:spacing w:after="120" w:before="280"/>
      </w:pPr>
      <w:r>
        <w:rPr>
          <w:b/>
          <w:i w:val="0"/>
          <w:color w:val="1C3A36"/>
          <w:sz w:val="30"/>
        </w:rPr>
        <w:t>About this series</w:t>
      </w:r>
    </w:p>
    <w:p>
      <w:pPr>
        <w:spacing w:after="120" w:before="0"/>
      </w:pPr>
      <w:r>
        <w:rPr>
          <w:b w:val="0"/>
          <w:i w:val="0"/>
          <w:color w:val="1C3A36"/>
          <w:sz w:val="21"/>
        </w:rPr>
        <w:t>This series publishes independent, educational valuation studies of listed companies. Each study is built from disclosed financial statements and named market data, states its assumptions explicitly, computes every figure in an auditable model rather than in prose, and publishes the ranges its assumptions produce. Studies never carry a rating or a price target. Where a figure is estimated rather than disclosed, it is labelled. Where a source could not be reached, the gap is recorded rather than filled.</w:t>
      </w:r>
    </w:p>
    <w:p>
      <w:pPr>
        <w:spacing w:after="120" w:before="0"/>
      </w:pPr>
      <w:r>
        <w:rPr>
          <w:b w:val="0"/>
          <w:i w:val="0"/>
          <w:color w:val="1C3A36"/>
          <w:sz w:val="21"/>
        </w:rPr>
        <w:t>The probabilistic price map in section 3 is produced by a volatility model that is tested by walk-forward simulation against a random-walk benchmark before it is allowed to publish a range. It describes price dispersion and carries no view on value. It is never combined with the fair-value work.</w:t>
      </w:r>
    </w:p>
    <w:p>
      <w:pPr>
        <w:spacing w:after="120" w:before="280"/>
      </w:pPr>
      <w:r>
        <w:rPr>
          <w:b/>
          <w:i w:val="0"/>
          <w:color w:val="1C3A36"/>
          <w:sz w:val="30"/>
        </w:rPr>
        <w:t>Disclosure &amp; Disclaimer</w:t>
      </w:r>
    </w:p>
    <w:p>
      <w:pPr>
        <w:spacing w:after="120" w:before="0"/>
      </w:pPr>
      <w:r>
        <w:rPr>
          <w:b w:val="0"/>
          <w:i w:val="0"/>
          <w:color w:val="6E7B77"/>
          <w:sz w:val="18"/>
        </w:rPr>
        <w:t>This document is educational analysis and is not investment advice, an offer, or a solicitation to buy or sell any security. It contains no recommendation, no rating and no price target. The author holds no position in the security discussed and has no business relationship with the company. Figures are drawn from public sources believed reliable but not independently verified; where figures are derived or estimated this is stated in the text. Valuation is inherently uncertain and depends on assumptions that reasonable analysts will dispute — several such disputes are set out explicitly in this document rather than resolved silently. Past performance and simulated distributions are not guides to future returns. Readers must reach their own conclusions and should consider taking independent advice. No liability is accepted for any loss arising from use of this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