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1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8.64 a share against a market price of EGP 9.10. Fair value sits 5.0% BELOW the price; equivalently the price stands 5.3% ABOVE fair value. The weighted range is EGP 5.53 to 12.48 and the price is outside it. Every one of the four lenses lands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weighted central still reaches only EGP 7.47, -17.9%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9.10 is fair if AMOC sustains a gross margin of 9.37% in every forecast year and in perpetuity. The twelve months just filed ran 9.65% and the six months to June 2026 ran 12.43%. The market price therefore requires a margin BELOW what this company has just reported and well inside the range it has printed since 2021. A buyer at EGP 9.10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54%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736"/>
        <w:gridCol w:w="1037"/>
        <w:gridCol w:w="1037"/>
        <w:gridCol w:w="1037"/>
        <w:gridCol w:w="893"/>
        <w:gridCol w:w="1037"/>
      </w:tblGrid>
      <w:tr>
        <w:tc>
          <w:tcPr>
            <w:tcW w:type="dxa" w:w="2232"/>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vs price</w:t>
            </w:r>
          </w:p>
        </w:tc>
      </w:tr>
      <w:tr>
        <w:tc>
          <w:tcPr>
            <w:tcW w:type="dxa" w:w="2232"/>
          </w:tcPr>
          <w:p>
            <w:pPr>
              <w:spacing w:after="20"/>
            </w:pPr>
            <w:r>
              <w:rPr>
                <w:color w:val="1C3A36"/>
                <w:sz w:val="18"/>
              </w:rPr>
              <w:t>Discounted cash flow</w:t>
            </w:r>
          </w:p>
        </w:tc>
        <w:tc>
          <w:tcPr>
            <w:tcW w:type="dxa" w:w="2736"/>
          </w:tcPr>
          <w:p>
            <w:pPr>
              <w:spacing w:after="20"/>
            </w:pPr>
            <w:r>
              <w:rPr>
                <w:color w:val="1C3A36"/>
                <w:sz w:val="18"/>
              </w:rPr>
              <w:t>unlevered cash, discounted on a glide</w:t>
            </w:r>
          </w:p>
        </w:tc>
        <w:tc>
          <w:tcPr>
            <w:tcW w:type="dxa" w:w="1037"/>
          </w:tcPr>
          <w:p>
            <w:pPr>
              <w:spacing w:after="20"/>
              <w:jc w:val="right"/>
            </w:pPr>
            <w:r>
              <w:rPr>
                <w:color w:val="1C3A36"/>
                <w:sz w:val="18"/>
              </w:rPr>
              <w:t>4.88</w:t>
            </w:r>
          </w:p>
        </w:tc>
        <w:tc>
          <w:tcPr>
            <w:tcW w:type="dxa" w:w="1037"/>
          </w:tcPr>
          <w:p>
            <w:pPr>
              <w:spacing w:after="20"/>
              <w:jc w:val="right"/>
            </w:pPr>
            <w:r>
              <w:rPr>
                <w:color w:val="1C3A36"/>
                <w:sz w:val="18"/>
              </w:rPr>
              <w:t>9.77</w:t>
            </w:r>
          </w:p>
        </w:tc>
        <w:tc>
          <w:tcPr>
            <w:tcW w:type="dxa" w:w="1037"/>
          </w:tcPr>
          <w:p>
            <w:pPr>
              <w:spacing w:after="20"/>
              <w:jc w:val="right"/>
            </w:pPr>
            <w:r>
              <w:rPr>
                <w:color w:val="1C3A36"/>
                <w:sz w:val="18"/>
              </w:rPr>
              <w:t>16.44</w:t>
            </w:r>
          </w:p>
        </w:tc>
        <w:tc>
          <w:tcPr>
            <w:tcW w:type="dxa" w:w="893"/>
          </w:tcPr>
          <w:p>
            <w:pPr>
              <w:spacing w:after="20"/>
              <w:jc w:val="right"/>
            </w:pPr>
            <w:r>
              <w:rPr>
                <w:color w:val="1C3A36"/>
                <w:sz w:val="18"/>
              </w:rPr>
              <w:t>45%</w:t>
            </w:r>
          </w:p>
        </w:tc>
        <w:tc>
          <w:tcPr>
            <w:tcW w:type="dxa" w:w="1037"/>
          </w:tcPr>
          <w:p>
            <w:pPr>
              <w:spacing w:after="20"/>
              <w:jc w:val="right"/>
            </w:pPr>
            <w:r>
              <w:rPr>
                <w:color w:val="1C3A36"/>
                <w:sz w:val="18"/>
              </w:rPr>
              <w:t>7.4%</w:t>
            </w:r>
          </w:p>
        </w:tc>
      </w:tr>
      <w:tr>
        <w:tc>
          <w:tcPr>
            <w:tcW w:type="dxa" w:w="2232"/>
          </w:tcPr>
          <w:p>
            <w:pPr>
              <w:spacing w:after="20"/>
            </w:pPr>
            <w:r>
              <w:rPr>
                <w:color w:val="1C3A36"/>
                <w:sz w:val="18"/>
              </w:rPr>
              <w:t>Relative multiples</w:t>
            </w:r>
          </w:p>
        </w:tc>
        <w:tc>
          <w:tcPr>
            <w:tcW w:type="dxa" w:w="2736"/>
          </w:tcPr>
          <w:p>
            <w:pPr>
              <w:spacing w:after="20"/>
            </w:pPr>
            <w:r>
              <w:rPr>
                <w:color w:val="1C3A36"/>
                <w:sz w:val="18"/>
              </w:rPr>
              <w:t>own trailing EV/EBITDA, no re-rating</w:t>
            </w:r>
          </w:p>
        </w:tc>
        <w:tc>
          <w:tcPr>
            <w:tcW w:type="dxa" w:w="1037"/>
          </w:tcPr>
          <w:p>
            <w:pPr>
              <w:spacing w:after="20"/>
              <w:jc w:val="right"/>
            </w:pPr>
            <w:r>
              <w:rPr>
                <w:color w:val="1C3A36"/>
                <w:sz w:val="18"/>
              </w:rPr>
              <w:t>6.68</w:t>
            </w:r>
          </w:p>
        </w:tc>
        <w:tc>
          <w:tcPr>
            <w:tcW w:type="dxa" w:w="1037"/>
          </w:tcPr>
          <w:p>
            <w:pPr>
              <w:spacing w:after="20"/>
              <w:jc w:val="right"/>
            </w:pPr>
            <w:r>
              <w:rPr>
                <w:color w:val="1C3A36"/>
                <w:sz w:val="18"/>
              </w:rPr>
              <w:t>8.32</w:t>
            </w:r>
          </w:p>
        </w:tc>
        <w:tc>
          <w:tcPr>
            <w:tcW w:type="dxa" w:w="1037"/>
          </w:tcPr>
          <w:p>
            <w:pPr>
              <w:spacing w:after="20"/>
              <w:jc w:val="right"/>
            </w:pPr>
            <w:r>
              <w:rPr>
                <w:color w:val="1C3A36"/>
                <w:sz w:val="18"/>
              </w:rPr>
              <w:t>9.96</w:t>
            </w:r>
          </w:p>
        </w:tc>
        <w:tc>
          <w:tcPr>
            <w:tcW w:type="dxa" w:w="893"/>
          </w:tcPr>
          <w:p>
            <w:pPr>
              <w:spacing w:after="20"/>
              <w:jc w:val="right"/>
            </w:pPr>
            <w:r>
              <w:rPr>
                <w:color w:val="1C3A36"/>
                <w:sz w:val="18"/>
              </w:rPr>
              <w:t>20%</w:t>
            </w:r>
          </w:p>
        </w:tc>
        <w:tc>
          <w:tcPr>
            <w:tcW w:type="dxa" w:w="1037"/>
          </w:tcPr>
          <w:p>
            <w:pPr>
              <w:spacing w:after="20"/>
              <w:jc w:val="right"/>
            </w:pPr>
            <w:r>
              <w:rPr>
                <w:color w:val="1C3A36"/>
                <w:sz w:val="18"/>
              </w:rPr>
              <w:t>-8.6%</w:t>
            </w:r>
          </w:p>
        </w:tc>
      </w:tr>
      <w:tr>
        <w:tc>
          <w:tcPr>
            <w:tcW w:type="dxa" w:w="2232"/>
          </w:tcPr>
          <w:p>
            <w:pPr>
              <w:spacing w:after="20"/>
            </w:pPr>
            <w:r>
              <w:rPr>
                <w:color w:val="1C3A36"/>
                <w:sz w:val="18"/>
              </w:rPr>
              <w:t>Normalised earnings</w:t>
            </w:r>
          </w:p>
        </w:tc>
        <w:tc>
          <w:tcPr>
            <w:tcW w:type="dxa" w:w="2736"/>
          </w:tcPr>
          <w:p>
            <w:pPr>
              <w:spacing w:after="20"/>
            </w:pPr>
            <w:r>
              <w:rPr>
                <w:color w:val="1C3A36"/>
                <w:sz w:val="18"/>
              </w:rPr>
              <w:t>mid-cycle operating EPS, discounted</w:t>
            </w:r>
          </w:p>
        </w:tc>
        <w:tc>
          <w:tcPr>
            <w:tcW w:type="dxa" w:w="1037"/>
          </w:tcPr>
          <w:p>
            <w:pPr>
              <w:spacing w:after="20"/>
              <w:jc w:val="right"/>
            </w:pPr>
            <w:r>
              <w:rPr>
                <w:color w:val="1C3A36"/>
                <w:sz w:val="18"/>
              </w:rPr>
              <w:t>6.51</w:t>
            </w:r>
          </w:p>
        </w:tc>
        <w:tc>
          <w:tcPr>
            <w:tcW w:type="dxa" w:w="1037"/>
          </w:tcPr>
          <w:p>
            <w:pPr>
              <w:spacing w:after="20"/>
              <w:jc w:val="right"/>
            </w:pPr>
            <w:r>
              <w:rPr>
                <w:color w:val="1C3A36"/>
                <w:sz w:val="18"/>
              </w:rPr>
              <w:t>8.39</w:t>
            </w:r>
          </w:p>
        </w:tc>
        <w:tc>
          <w:tcPr>
            <w:tcW w:type="dxa" w:w="1037"/>
          </w:tcPr>
          <w:p>
            <w:pPr>
              <w:spacing w:after="20"/>
              <w:jc w:val="right"/>
            </w:pPr>
            <w:r>
              <w:rPr>
                <w:color w:val="1C3A36"/>
                <w:sz w:val="18"/>
              </w:rPr>
              <w:t>10.26</w:t>
            </w:r>
          </w:p>
        </w:tc>
        <w:tc>
          <w:tcPr>
            <w:tcW w:type="dxa" w:w="893"/>
          </w:tcPr>
          <w:p>
            <w:pPr>
              <w:spacing w:after="20"/>
              <w:jc w:val="right"/>
            </w:pPr>
            <w:r>
              <w:rPr>
                <w:color w:val="1C3A36"/>
                <w:sz w:val="18"/>
              </w:rPr>
              <w:t>20%</w:t>
            </w:r>
          </w:p>
        </w:tc>
        <w:tc>
          <w:tcPr>
            <w:tcW w:type="dxa" w:w="1037"/>
          </w:tcPr>
          <w:p>
            <w:pPr>
              <w:spacing w:after="20"/>
              <w:jc w:val="right"/>
            </w:pPr>
            <w:r>
              <w:rPr>
                <w:color w:val="1C3A36"/>
                <w:sz w:val="18"/>
              </w:rPr>
              <w:t>-7.8%</w:t>
            </w:r>
          </w:p>
        </w:tc>
      </w:tr>
      <w:tr>
        <w:tc>
          <w:tcPr>
            <w:tcW w:type="dxa" w:w="2232"/>
          </w:tcPr>
          <w:p>
            <w:pPr>
              <w:spacing w:after="20"/>
            </w:pPr>
            <w:r>
              <w:rPr>
                <w:color w:val="1C3A36"/>
                <w:sz w:val="18"/>
              </w:rPr>
              <w:t>Book and sustainable return</w:t>
            </w:r>
          </w:p>
        </w:tc>
        <w:tc>
          <w:tcPr>
            <w:tcW w:type="dxa" w:w="2736"/>
          </w:tcPr>
          <w:p>
            <w:pPr>
              <w:spacing w:after="20"/>
            </w:pPr>
            <w:r>
              <w:rPr>
                <w:color w:val="1C3A36"/>
                <w:sz w:val="18"/>
              </w:rPr>
              <w:t>justified price-to-book</w:t>
            </w:r>
          </w:p>
        </w:tc>
        <w:tc>
          <w:tcPr>
            <w:tcW w:type="dxa" w:w="1037"/>
          </w:tcPr>
          <w:p>
            <w:pPr>
              <w:spacing w:after="20"/>
              <w:jc w:val="right"/>
            </w:pPr>
            <w:r>
              <w:rPr>
                <w:color w:val="1C3A36"/>
                <w:sz w:val="18"/>
              </w:rPr>
              <w:t>4.61</w:t>
            </w:r>
          </w:p>
        </w:tc>
        <w:tc>
          <w:tcPr>
            <w:tcW w:type="dxa" w:w="1037"/>
          </w:tcPr>
          <w:p>
            <w:pPr>
              <w:spacing w:after="20"/>
              <w:jc w:val="right"/>
            </w:pPr>
            <w:r>
              <w:rPr>
                <w:color w:val="1C3A36"/>
                <w:sz w:val="18"/>
              </w:rPr>
              <w:t>6.02</w:t>
            </w:r>
          </w:p>
        </w:tc>
        <w:tc>
          <w:tcPr>
            <w:tcW w:type="dxa" w:w="1037"/>
          </w:tcPr>
          <w:p>
            <w:pPr>
              <w:spacing w:after="20"/>
              <w:jc w:val="right"/>
            </w:pPr>
            <w:r>
              <w:rPr>
                <w:color w:val="1C3A36"/>
                <w:sz w:val="18"/>
              </w:rPr>
              <w:t>6.88</w:t>
            </w:r>
          </w:p>
        </w:tc>
        <w:tc>
          <w:tcPr>
            <w:tcW w:type="dxa" w:w="893"/>
          </w:tcPr>
          <w:p>
            <w:pPr>
              <w:spacing w:after="20"/>
              <w:jc w:val="right"/>
            </w:pPr>
            <w:r>
              <w:rPr>
                <w:color w:val="1C3A36"/>
                <w:sz w:val="18"/>
              </w:rPr>
              <w:t>15%</w:t>
            </w:r>
          </w:p>
        </w:tc>
        <w:tc>
          <w:tcPr>
            <w:tcW w:type="dxa" w:w="1037"/>
          </w:tcPr>
          <w:p>
            <w:pPr>
              <w:spacing w:after="20"/>
              <w:jc w:val="right"/>
            </w:pPr>
            <w:r>
              <w:rPr>
                <w:color w:val="1C3A36"/>
                <w:sz w:val="18"/>
              </w:rPr>
              <w:t>-33.8%</w:t>
            </w:r>
          </w:p>
        </w:tc>
      </w:tr>
      <w:tr>
        <w:tc>
          <w:tcPr>
            <w:tcW w:type="dxa" w:w="2232"/>
            <w:shd w:val="clear" w:color="auto" w:fill="F6F1E6"/>
          </w:tcPr>
          <w:p>
            <w:pPr>
              <w:spacing w:after="20"/>
            </w:pPr>
            <w:r>
              <w:rPr>
                <w:b/>
                <w:color w:val="1C3A36"/>
                <w:sz w:val="18"/>
              </w:rPr>
              <w:t>WEIGHTED CENTRAL</w:t>
            </w:r>
          </w:p>
        </w:tc>
        <w:tc>
          <w:tcPr>
            <w:tcW w:type="dxa" w:w="2736"/>
            <w:shd w:val="clear" w:color="auto" w:fill="F6F1E6"/>
          </w:tcPr>
          <w:p>
            <w:pPr>
              <w:spacing w:after="20"/>
            </w:pPr>
            <w:r>
              <w:rPr>
                <w:b/>
                <w:color w:val="1C3A36"/>
                <w:sz w:val="18"/>
              </w:rPr>
              <w:t>the four, weighted</w:t>
            </w:r>
          </w:p>
        </w:tc>
        <w:tc>
          <w:tcPr>
            <w:tcW w:type="dxa" w:w="1037"/>
            <w:shd w:val="clear" w:color="auto" w:fill="F6F1E6"/>
          </w:tcPr>
          <w:p>
            <w:pPr>
              <w:spacing w:after="20"/>
              <w:jc w:val="right"/>
            </w:pPr>
            <w:r>
              <w:rPr>
                <w:b/>
                <w:color w:val="1C3A36"/>
                <w:sz w:val="18"/>
              </w:rPr>
              <w:t>5.53</w:t>
            </w:r>
          </w:p>
        </w:tc>
        <w:tc>
          <w:tcPr>
            <w:tcW w:type="dxa" w:w="1037"/>
            <w:shd w:val="clear" w:color="auto" w:fill="F6F1E6"/>
          </w:tcPr>
          <w:p>
            <w:pPr>
              <w:spacing w:after="20"/>
              <w:jc w:val="right"/>
            </w:pPr>
            <w:r>
              <w:rPr>
                <w:b/>
                <w:color w:val="1C3A36"/>
                <w:sz w:val="18"/>
              </w:rPr>
              <w:t>8.64</w:t>
            </w:r>
          </w:p>
        </w:tc>
        <w:tc>
          <w:tcPr>
            <w:tcW w:type="dxa" w:w="1037"/>
            <w:shd w:val="clear" w:color="auto" w:fill="F6F1E6"/>
          </w:tcPr>
          <w:p>
            <w:pPr>
              <w:spacing w:after="20"/>
              <w:jc w:val="right"/>
            </w:pPr>
            <w:r>
              <w:rPr>
                <w:b/>
                <w:color w:val="1C3A36"/>
                <w:sz w:val="18"/>
              </w:rPr>
              <w:t>12.48</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-5.0%</w:t>
            </w:r>
          </w:p>
        </w:tc>
      </w:tr>
    </w:tbl>
    <w:p>
      <w:pPr>
        <w:spacing w:after="40"/>
      </w:pPr>
    </w:p>
    <w:p>
      <w:pPr>
        <w:spacing w:after="200" w:before="0"/>
      </w:pPr>
      <w:r>
        <w:rPr>
          <w:b w:val="0"/>
          <w:i/>
          <w:color w:val="6E7B77"/>
          <w:sz w:val="17"/>
        </w:rPr>
        <w:t>Table 1 — the four lenses. The bear and bull columns of the weighted row are WEIGHTED with the same 45/20/20/15 weights as the base column. The widest single lens spans EGP 4.61–16.44; that is reported as an ENVELOPE, not as the range of a weighted estimate. The previous edition labelled a row "weighted central" and then took the minimum and maximum across all four lenses, both of which came from the cash-flow lens alone, overstating the published spread by about two and a half times.</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sits above every lens base and above the top of the weighted range. It falls inside only the cash-flow lens’s bull tail, which is five favourable driver moves at once.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25.5%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half AMOC disclosed to the Egyptian Exchange on 29-30 July 2026, one week before this study’s anchor date. No annualisation scalar is applied to either half. HALF OF THIS BASE YEAR IS A PRESS RELEASE AND NOT A FILING, and this study says so on every page that uses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second half SOLVED, see below</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bl>
    <w:p>
      <w:pPr>
        <w:spacing w:after="40"/>
      </w:pPr>
    </w:p>
    <w:p>
      <w:pPr>
        <w:spacing w:after="200" w:before="0"/>
      </w:pPr>
      <w:r>
        <w:rPr>
          <w:b w:val="0"/>
          <w:i/>
          <w:color w:val="6E7B77"/>
          <w:sz w:val="17"/>
        </w:rPr>
        <w:t>Table 6 — the filed margin record. Four consecutively filed periods; the margin ranges 5.05% to 10.19%, a spread of 514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6.16  (-28.7%)</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6.56  (-24.1%)</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6.39  (-26.1%)</w:t>
            </w:r>
          </w:p>
        </w:tc>
      </w:tr>
    </w:tbl>
    <w:p>
      <w:pPr>
        <w:spacing w:after="40"/>
      </w:pPr>
    </w:p>
    <w:p>
      <w:pPr>
        <w:spacing w:after="200" w:before="0"/>
      </w:pPr>
      <w:r>
        <w:rPr>
          <w:b w:val="0"/>
          <w:i/>
          <w:color w:val="6E7B77"/>
          <w:sz w:val="17"/>
        </w:rPr>
        <w:t>Table 7 — the three charges. The rightmost column is the weighted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7,719</w:t>
            </w:r>
          </w:p>
        </w:tc>
        <w:tc>
          <w:tcPr>
            <w:tcW w:type="dxa" w:w="1195"/>
          </w:tcPr>
          <w:p>
            <w:pPr>
              <w:spacing w:after="20"/>
              <w:jc w:val="right"/>
            </w:pPr>
            <w:r>
              <w:rPr>
                <w:color w:val="1C3A36"/>
                <w:sz w:val="16"/>
              </w:rPr>
              <w:t>8,510</w:t>
            </w:r>
          </w:p>
        </w:tc>
        <w:tc>
          <w:tcPr>
            <w:tcW w:type="dxa" w:w="1195"/>
          </w:tcPr>
          <w:p>
            <w:pPr>
              <w:spacing w:after="20"/>
              <w:jc w:val="right"/>
            </w:pPr>
            <w:r>
              <w:rPr>
                <w:color w:val="1C3A36"/>
                <w:sz w:val="16"/>
              </w:rPr>
              <w:t>9,257</w:t>
            </w:r>
          </w:p>
        </w:tc>
        <w:tc>
          <w:tcPr>
            <w:tcW w:type="dxa" w:w="1195"/>
          </w:tcPr>
          <w:p>
            <w:pPr>
              <w:spacing w:after="20"/>
              <w:jc w:val="right"/>
            </w:pPr>
            <w:r>
              <w:rPr>
                <w:color w:val="1C3A36"/>
                <w:sz w:val="16"/>
              </w:rPr>
              <w:t>9,935</w:t>
            </w:r>
          </w:p>
        </w:tc>
        <w:tc>
          <w:tcPr>
            <w:tcW w:type="dxa" w:w="1195"/>
          </w:tcPr>
          <w:p>
            <w:pPr>
              <w:spacing w:after="20"/>
              <w:jc w:val="right"/>
            </w:pPr>
            <w:r>
              <w:rPr>
                <w:color w:val="1C3A36"/>
                <w:sz w:val="16"/>
              </w:rPr>
              <w:t>10,613</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5,198</w:t>
            </w:r>
          </w:p>
        </w:tc>
        <w:tc>
          <w:tcPr>
            <w:tcW w:type="dxa" w:w="1195"/>
          </w:tcPr>
          <w:p>
            <w:pPr>
              <w:spacing w:after="20"/>
              <w:jc w:val="right"/>
            </w:pPr>
            <w:r>
              <w:rPr>
                <w:color w:val="1C3A36"/>
                <w:sz w:val="16"/>
              </w:rPr>
              <w:t>5,730</w:t>
            </w:r>
          </w:p>
        </w:tc>
        <w:tc>
          <w:tcPr>
            <w:tcW w:type="dxa" w:w="1195"/>
          </w:tcPr>
          <w:p>
            <w:pPr>
              <w:spacing w:after="20"/>
              <w:jc w:val="right"/>
            </w:pPr>
            <w:r>
              <w:rPr>
                <w:color w:val="1C3A36"/>
                <w:sz w:val="16"/>
              </w:rPr>
              <w:t>6,233</w:t>
            </w:r>
          </w:p>
        </w:tc>
        <w:tc>
          <w:tcPr>
            <w:tcW w:type="dxa" w:w="1195"/>
          </w:tcPr>
          <w:p>
            <w:pPr>
              <w:spacing w:after="20"/>
              <w:jc w:val="right"/>
            </w:pPr>
            <w:r>
              <w:rPr>
                <w:color w:val="1C3A36"/>
                <w:sz w:val="16"/>
              </w:rPr>
              <w:t>6,689</w:t>
            </w:r>
          </w:p>
        </w:tc>
        <w:tc>
          <w:tcPr>
            <w:tcW w:type="dxa" w:w="1195"/>
          </w:tcPr>
          <w:p>
            <w:pPr>
              <w:spacing w:after="20"/>
              <w:jc w:val="right"/>
            </w:pPr>
            <w:r>
              <w:rPr>
                <w:color w:val="1C3A36"/>
                <w:sz w:val="16"/>
              </w:rPr>
              <w:t>7,146</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14,559</w:t>
            </w:r>
          </w:p>
        </w:tc>
        <w:tc>
          <w:tcPr>
            <w:tcW w:type="dxa" w:w="1195"/>
          </w:tcPr>
          <w:p>
            <w:pPr>
              <w:spacing w:after="20"/>
              <w:jc w:val="right"/>
            </w:pPr>
            <w:r>
              <w:rPr>
                <w:color w:val="1C3A36"/>
                <w:sz w:val="16"/>
              </w:rPr>
              <w:t>16,050</w:t>
            </w:r>
          </w:p>
        </w:tc>
        <w:tc>
          <w:tcPr>
            <w:tcW w:type="dxa" w:w="1195"/>
          </w:tcPr>
          <w:p>
            <w:pPr>
              <w:spacing w:after="20"/>
              <w:jc w:val="right"/>
            </w:pPr>
            <w:r>
              <w:rPr>
                <w:color w:val="1C3A36"/>
                <w:sz w:val="16"/>
              </w:rPr>
              <w:t>17,459</w:t>
            </w:r>
          </w:p>
        </w:tc>
        <w:tc>
          <w:tcPr>
            <w:tcW w:type="dxa" w:w="1195"/>
          </w:tcPr>
          <w:p>
            <w:pPr>
              <w:spacing w:after="20"/>
              <w:jc w:val="right"/>
            </w:pPr>
            <w:r>
              <w:rPr>
                <w:color w:val="1C3A36"/>
                <w:sz w:val="16"/>
              </w:rPr>
              <w:t>18,737</w:t>
            </w:r>
          </w:p>
        </w:tc>
        <w:tc>
          <w:tcPr>
            <w:tcW w:type="dxa" w:w="1195"/>
          </w:tcPr>
          <w:p>
            <w:pPr>
              <w:spacing w:after="20"/>
              <w:jc w:val="right"/>
            </w:pPr>
            <w:r>
              <w:rPr>
                <w:color w:val="1C3A36"/>
                <w:sz w:val="16"/>
              </w:rPr>
              <w:t>20,017</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2,756</w:t>
            </w:r>
          </w:p>
        </w:tc>
        <w:tc>
          <w:tcPr>
            <w:tcW w:type="dxa" w:w="1195"/>
          </w:tcPr>
          <w:p>
            <w:pPr>
              <w:spacing w:after="20"/>
              <w:jc w:val="right"/>
            </w:pPr>
            <w:r>
              <w:rPr>
                <w:color w:val="1C3A36"/>
                <w:sz w:val="16"/>
              </w:rPr>
              <w:t>2,998</w:t>
            </w:r>
          </w:p>
        </w:tc>
        <w:tc>
          <w:tcPr>
            <w:tcW w:type="dxa" w:w="1195"/>
          </w:tcPr>
          <w:p>
            <w:pPr>
              <w:spacing w:after="20"/>
              <w:jc w:val="right"/>
            </w:pPr>
            <w:r>
              <w:rPr>
                <w:color w:val="1C3A36"/>
                <w:sz w:val="16"/>
              </w:rPr>
              <w:t>3,217</w:t>
            </w:r>
          </w:p>
        </w:tc>
        <w:tc>
          <w:tcPr>
            <w:tcW w:type="dxa" w:w="1195"/>
          </w:tcPr>
          <w:p>
            <w:pPr>
              <w:spacing w:after="20"/>
              <w:jc w:val="right"/>
            </w:pPr>
            <w:r>
              <w:rPr>
                <w:color w:val="1C3A36"/>
                <w:sz w:val="16"/>
              </w:rPr>
              <w:t>3,437</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2,313</w:t>
            </w:r>
          </w:p>
        </w:tc>
        <w:tc>
          <w:tcPr>
            <w:tcW w:type="dxa" w:w="1195"/>
          </w:tcPr>
          <w:p>
            <w:pPr>
              <w:spacing w:after="20"/>
              <w:jc w:val="right"/>
            </w:pPr>
            <w:r>
              <w:rPr>
                <w:color w:val="1C3A36"/>
                <w:sz w:val="16"/>
              </w:rPr>
              <w:t>2,550</w:t>
            </w:r>
          </w:p>
        </w:tc>
        <w:tc>
          <w:tcPr>
            <w:tcW w:type="dxa" w:w="1195"/>
          </w:tcPr>
          <w:p>
            <w:pPr>
              <w:spacing w:after="20"/>
              <w:jc w:val="right"/>
            </w:pPr>
            <w:r>
              <w:rPr>
                <w:color w:val="1C3A36"/>
                <w:sz w:val="16"/>
              </w:rPr>
              <w:t>2,774</w:t>
            </w:r>
          </w:p>
        </w:tc>
        <w:tc>
          <w:tcPr>
            <w:tcW w:type="dxa" w:w="1195"/>
          </w:tcPr>
          <w:p>
            <w:pPr>
              <w:spacing w:after="20"/>
              <w:jc w:val="right"/>
            </w:pPr>
            <w:r>
              <w:rPr>
                <w:color w:val="1C3A36"/>
                <w:sz w:val="16"/>
              </w:rPr>
              <w:t>2,977</w:t>
            </w:r>
          </w:p>
        </w:tc>
        <w:tc>
          <w:tcPr>
            <w:tcW w:type="dxa" w:w="1195"/>
          </w:tcPr>
          <w:p>
            <w:pPr>
              <w:spacing w:after="20"/>
              <w:jc w:val="right"/>
            </w:pPr>
            <w:r>
              <w:rPr>
                <w:color w:val="1C3A36"/>
                <w:sz w:val="16"/>
              </w:rPr>
              <w:t>3,180</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19,705</w:t>
            </w:r>
          </w:p>
        </w:tc>
        <w:tc>
          <w:tcPr>
            <w:tcW w:type="dxa" w:w="1195"/>
          </w:tcPr>
          <w:p>
            <w:pPr>
              <w:spacing w:after="20"/>
              <w:jc w:val="right"/>
            </w:pPr>
            <w:r>
              <w:rPr>
                <w:color w:val="1C3A36"/>
                <w:sz w:val="16"/>
              </w:rPr>
              <w:t>21,723</w:t>
            </w:r>
          </w:p>
        </w:tc>
        <w:tc>
          <w:tcPr>
            <w:tcW w:type="dxa" w:w="1195"/>
          </w:tcPr>
          <w:p>
            <w:pPr>
              <w:spacing w:after="20"/>
              <w:jc w:val="right"/>
            </w:pPr>
            <w:r>
              <w:rPr>
                <w:color w:val="1C3A36"/>
                <w:sz w:val="16"/>
              </w:rPr>
              <w:t>23,631</w:t>
            </w:r>
          </w:p>
        </w:tc>
        <w:tc>
          <w:tcPr>
            <w:tcW w:type="dxa" w:w="1195"/>
          </w:tcPr>
          <w:p>
            <w:pPr>
              <w:spacing w:after="20"/>
              <w:jc w:val="right"/>
            </w:pPr>
            <w:r>
              <w:rPr>
                <w:color w:val="1C3A36"/>
                <w:sz w:val="16"/>
              </w:rPr>
              <w:t>25,360</w:t>
            </w:r>
          </w:p>
        </w:tc>
        <w:tc>
          <w:tcPr>
            <w:tcW w:type="dxa" w:w="1195"/>
          </w:tcPr>
          <w:p>
            <w:pPr>
              <w:spacing w:after="20"/>
              <w:jc w:val="right"/>
            </w:pPr>
            <w:r>
              <w:rPr>
                <w:color w:val="1C3A36"/>
                <w:sz w:val="16"/>
              </w:rPr>
              <w:t>27,091</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463</w:t>
            </w:r>
          </w:p>
        </w:tc>
        <w:tc>
          <w:tcPr>
            <w:tcW w:type="dxa" w:w="1195"/>
          </w:tcPr>
          <w:p>
            <w:pPr>
              <w:spacing w:after="20"/>
              <w:jc w:val="right"/>
            </w:pPr>
            <w:r>
              <w:rPr>
                <w:color w:val="1C3A36"/>
                <w:sz w:val="16"/>
              </w:rPr>
              <w:t>511</w:t>
            </w:r>
          </w:p>
        </w:tc>
        <w:tc>
          <w:tcPr>
            <w:tcW w:type="dxa" w:w="1195"/>
          </w:tcPr>
          <w:p>
            <w:pPr>
              <w:spacing w:after="20"/>
              <w:jc w:val="right"/>
            </w:pPr>
            <w:r>
              <w:rPr>
                <w:color w:val="1C3A36"/>
                <w:sz w:val="16"/>
              </w:rPr>
              <w:t>556</w:t>
            </w:r>
          </w:p>
        </w:tc>
        <w:tc>
          <w:tcPr>
            <w:tcW w:type="dxa" w:w="1195"/>
          </w:tcPr>
          <w:p>
            <w:pPr>
              <w:spacing w:after="20"/>
              <w:jc w:val="right"/>
            </w:pPr>
            <w:r>
              <w:rPr>
                <w:color w:val="1C3A36"/>
                <w:sz w:val="16"/>
              </w:rPr>
              <w:t>596</w:t>
            </w:r>
          </w:p>
        </w:tc>
        <w:tc>
          <w:tcPr>
            <w:tcW w:type="dxa" w:w="1195"/>
          </w:tcPr>
          <w:p>
            <w:pPr>
              <w:spacing w:after="20"/>
              <w:jc w:val="right"/>
            </w:pPr>
            <w:r>
              <w:rPr>
                <w:color w:val="1C3A36"/>
                <w:sz w:val="16"/>
              </w:rPr>
              <w:t>637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52,456</w:t>
            </w:r>
          </w:p>
        </w:tc>
        <w:tc>
          <w:tcPr>
            <w:tcW w:type="dxa" w:w="1195"/>
            <w:shd w:val="clear" w:color="auto" w:fill="F6F1E6"/>
          </w:tcPr>
          <w:p>
            <w:pPr>
              <w:spacing w:after="20"/>
              <w:jc w:val="right"/>
            </w:pPr>
            <w:r>
              <w:rPr>
                <w:b/>
                <w:color w:val="1C3A36"/>
                <w:sz w:val="16"/>
              </w:rPr>
              <w:t>57,830</w:t>
            </w:r>
          </w:p>
        </w:tc>
        <w:tc>
          <w:tcPr>
            <w:tcW w:type="dxa" w:w="1195"/>
            <w:shd w:val="clear" w:color="auto" w:fill="F6F1E6"/>
          </w:tcPr>
          <w:p>
            <w:pPr>
              <w:spacing w:after="20"/>
              <w:jc w:val="right"/>
            </w:pPr>
            <w:r>
              <w:rPr>
                <w:b/>
                <w:color w:val="1C3A36"/>
                <w:sz w:val="16"/>
              </w:rPr>
              <w:t>62,908</w:t>
            </w:r>
          </w:p>
        </w:tc>
        <w:tc>
          <w:tcPr>
            <w:tcW w:type="dxa" w:w="1195"/>
            <w:shd w:val="clear" w:color="auto" w:fill="F6F1E6"/>
          </w:tcPr>
          <w:p>
            <w:pPr>
              <w:spacing w:after="20"/>
              <w:jc w:val="right"/>
            </w:pPr>
            <w:r>
              <w:rPr>
                <w:b/>
                <w:color w:val="1C3A36"/>
                <w:sz w:val="16"/>
              </w:rPr>
              <w:t>67,511</w:t>
            </w:r>
          </w:p>
        </w:tc>
        <w:tc>
          <w:tcPr>
            <w:tcW w:type="dxa" w:w="1195"/>
            <w:shd w:val="clear" w:color="auto" w:fill="F6F1E6"/>
          </w:tcPr>
          <w:p>
            <w:pPr>
              <w:spacing w:after="20"/>
              <w:jc w:val="right"/>
            </w:pPr>
            <w:r>
              <w:rPr>
                <w:b/>
                <w:color w:val="1C3A36"/>
                <w:sz w:val="16"/>
              </w:rPr>
              <w:t>72,121</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13.22%</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134.30%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-34.30%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-34.3%,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0.357</w:t>
            </w:r>
          </w:p>
        </w:tc>
        <w:tc>
          <w:tcPr>
            <w:tcW w:type="dxa" w:w="1195"/>
          </w:tcPr>
          <w:p>
            <w:pPr>
              <w:spacing w:after="20"/>
              <w:jc w:val="right"/>
            </w:pPr>
            <w:r>
              <w:rPr>
                <w:color w:val="1C3A36"/>
                <w:sz w:val="17"/>
              </w:rPr>
              <w:t>0.643</w:t>
            </w:r>
          </w:p>
        </w:tc>
        <w:tc>
          <w:tcPr>
            <w:tcW w:type="dxa" w:w="1195"/>
          </w:tcPr>
          <w:p>
            <w:pPr>
              <w:spacing w:after="20"/>
              <w:jc w:val="right"/>
            </w:pPr>
            <w:r>
              <w:rPr>
                <w:color w:val="1C3A36"/>
                <w:sz w:val="17"/>
              </w:rPr>
              <w:t>0.857</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24.13%</w:t>
            </w:r>
          </w:p>
        </w:tc>
        <w:tc>
          <w:tcPr>
            <w:tcW w:type="dxa" w:w="1195"/>
          </w:tcPr>
          <w:p>
            <w:pPr>
              <w:spacing w:after="20"/>
              <w:jc w:val="right"/>
            </w:pPr>
            <w:r>
              <w:rPr>
                <w:color w:val="1C3A36"/>
                <w:sz w:val="17"/>
              </w:rPr>
              <w:t>21.47%</w:t>
            </w:r>
          </w:p>
        </w:tc>
        <w:tc>
          <w:tcPr>
            <w:tcW w:type="dxa" w:w="1195"/>
          </w:tcPr>
          <w:p>
            <w:pPr>
              <w:spacing w:after="20"/>
              <w:jc w:val="right"/>
            </w:pPr>
            <w:r>
              <w:rPr>
                <w:color w:val="1C3A36"/>
                <w:sz w:val="17"/>
              </w:rPr>
              <w:t>19.47%</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0.63209</w:t>
            </w:r>
          </w:p>
        </w:tc>
        <w:tc>
          <w:tcPr>
            <w:tcW w:type="dxa" w:w="1195"/>
          </w:tcPr>
          <w:p>
            <w:pPr>
              <w:spacing w:after="20"/>
              <w:jc w:val="right"/>
            </w:pPr>
            <w:r>
              <w:rPr>
                <w:color w:val="1C3A36"/>
                <w:sz w:val="17"/>
              </w:rPr>
              <w:t>0.52039</w:t>
            </w:r>
          </w:p>
        </w:tc>
        <w:tc>
          <w:tcPr>
            <w:tcW w:type="dxa" w:w="1195"/>
          </w:tcPr>
          <w:p>
            <w:pPr>
              <w:spacing w:after="20"/>
              <w:jc w:val="right"/>
            </w:pPr>
            <w:r>
              <w:rPr>
                <w:color w:val="1C3A36"/>
                <w:sz w:val="17"/>
              </w:rPr>
              <w:t>0.43558</w:t>
            </w:r>
          </w:p>
        </w:tc>
        <w:tc>
          <w:tcPr>
            <w:tcW w:type="dxa" w:w="1195"/>
          </w:tcPr>
          <w:p>
            <w:pPr>
              <w:spacing w:after="20"/>
              <w:jc w:val="right"/>
            </w:pPr>
            <w:r>
              <w:rPr>
                <w:color w:val="1C3A36"/>
                <w:sz w:val="17"/>
              </w:rPr>
              <w:t>0.36870</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52,456</w:t>
            </w:r>
          </w:p>
        </w:tc>
        <w:tc>
          <w:tcPr>
            <w:tcW w:type="dxa" w:w="1238"/>
          </w:tcPr>
          <w:p>
            <w:pPr>
              <w:spacing w:after="20"/>
              <w:jc w:val="right"/>
            </w:pPr>
            <w:r>
              <w:rPr>
                <w:color w:val="1C3A36"/>
                <w:sz w:val="17"/>
              </w:rPr>
              <w:t>57,830</w:t>
            </w:r>
          </w:p>
        </w:tc>
        <w:tc>
          <w:tcPr>
            <w:tcW w:type="dxa" w:w="1238"/>
          </w:tcPr>
          <w:p>
            <w:pPr>
              <w:spacing w:after="20"/>
              <w:jc w:val="right"/>
            </w:pPr>
            <w:r>
              <w:rPr>
                <w:color w:val="1C3A36"/>
                <w:sz w:val="17"/>
              </w:rPr>
              <w:t>62,908</w:t>
            </w:r>
          </w:p>
        </w:tc>
        <w:tc>
          <w:tcPr>
            <w:tcW w:type="dxa" w:w="1238"/>
          </w:tcPr>
          <w:p>
            <w:pPr>
              <w:spacing w:after="20"/>
              <w:jc w:val="right"/>
            </w:pPr>
            <w:r>
              <w:rPr>
                <w:color w:val="1C3A36"/>
                <w:sz w:val="17"/>
              </w:rPr>
              <w:t>67,511</w:t>
            </w:r>
          </w:p>
        </w:tc>
        <w:tc>
          <w:tcPr>
            <w:tcW w:type="dxa" w:w="1238"/>
          </w:tcPr>
          <w:p>
            <w:pPr>
              <w:spacing w:after="20"/>
              <w:jc w:val="right"/>
            </w:pPr>
            <w:r>
              <w:rPr>
                <w:color w:val="1C3A36"/>
                <w:sz w:val="17"/>
              </w:rPr>
              <w:t>72,121</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47,476</w:t>
            </w:r>
          </w:p>
        </w:tc>
        <w:tc>
          <w:tcPr>
            <w:tcW w:type="dxa" w:w="1238"/>
          </w:tcPr>
          <w:p>
            <w:pPr>
              <w:spacing w:after="20"/>
              <w:jc w:val="right"/>
            </w:pPr>
            <w:r>
              <w:rPr>
                <w:color w:val="1C3A36"/>
                <w:sz w:val="17"/>
              </w:rPr>
              <w:t>52,437</w:t>
            </w:r>
          </w:p>
        </w:tc>
        <w:tc>
          <w:tcPr>
            <w:tcW w:type="dxa" w:w="1238"/>
          </w:tcPr>
          <w:p>
            <w:pPr>
              <w:spacing w:after="20"/>
              <w:jc w:val="right"/>
            </w:pPr>
            <w:r>
              <w:rPr>
                <w:color w:val="1C3A36"/>
                <w:sz w:val="17"/>
              </w:rPr>
              <w:t>57,154</w:t>
            </w:r>
          </w:p>
        </w:tc>
        <w:tc>
          <w:tcPr>
            <w:tcW w:type="dxa" w:w="1238"/>
          </w:tcPr>
          <w:p>
            <w:pPr>
              <w:spacing w:after="20"/>
              <w:jc w:val="right"/>
            </w:pPr>
            <w:r>
              <w:rPr>
                <w:color w:val="1C3A36"/>
                <w:sz w:val="17"/>
              </w:rPr>
              <w:t>61,463</w:t>
            </w:r>
          </w:p>
        </w:tc>
        <w:tc>
          <w:tcPr>
            <w:tcW w:type="dxa" w:w="1238"/>
          </w:tcPr>
          <w:p>
            <w:pPr>
              <w:spacing w:after="20"/>
              <w:jc w:val="right"/>
            </w:pPr>
            <w:r>
              <w:rPr>
                <w:color w:val="1C3A36"/>
                <w:sz w:val="17"/>
              </w:rPr>
              <w:t>65,800</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4,980</w:t>
            </w:r>
          </w:p>
        </w:tc>
        <w:tc>
          <w:tcPr>
            <w:tcW w:type="dxa" w:w="1238"/>
            <w:shd w:val="clear" w:color="auto" w:fill="F6F1E6"/>
          </w:tcPr>
          <w:p>
            <w:pPr>
              <w:spacing w:after="20"/>
              <w:jc w:val="right"/>
            </w:pPr>
            <w:r>
              <w:rPr>
                <w:b/>
                <w:color w:val="1C3A36"/>
                <w:sz w:val="17"/>
              </w:rPr>
              <w:t>5,393</w:t>
            </w:r>
          </w:p>
        </w:tc>
        <w:tc>
          <w:tcPr>
            <w:tcW w:type="dxa" w:w="1238"/>
            <w:shd w:val="clear" w:color="auto" w:fill="F6F1E6"/>
          </w:tcPr>
          <w:p>
            <w:pPr>
              <w:spacing w:after="20"/>
              <w:jc w:val="right"/>
            </w:pPr>
            <w:r>
              <w:rPr>
                <w:b/>
                <w:color w:val="1C3A36"/>
                <w:sz w:val="17"/>
              </w:rPr>
              <w:t>5,754</w:t>
            </w:r>
          </w:p>
        </w:tc>
        <w:tc>
          <w:tcPr>
            <w:tcW w:type="dxa" w:w="1238"/>
            <w:shd w:val="clear" w:color="auto" w:fill="F6F1E6"/>
          </w:tcPr>
          <w:p>
            <w:pPr>
              <w:spacing w:after="20"/>
              <w:jc w:val="right"/>
            </w:pPr>
            <w:r>
              <w:rPr>
                <w:b/>
                <w:color w:val="1C3A36"/>
                <w:sz w:val="17"/>
              </w:rPr>
              <w:t>6,048</w:t>
            </w:r>
          </w:p>
        </w:tc>
        <w:tc>
          <w:tcPr>
            <w:tcW w:type="dxa" w:w="1238"/>
            <w:shd w:val="clear" w:color="auto" w:fill="F6F1E6"/>
          </w:tcPr>
          <w:p>
            <w:pPr>
              <w:spacing w:after="20"/>
              <w:jc w:val="right"/>
            </w:pPr>
            <w:r>
              <w:rPr>
                <w:b/>
                <w:color w:val="1C3A36"/>
                <w:sz w:val="17"/>
              </w:rPr>
              <w:t>6,321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9.49%</w:t>
            </w:r>
          </w:p>
        </w:tc>
        <w:tc>
          <w:tcPr>
            <w:tcW w:type="dxa" w:w="1238"/>
          </w:tcPr>
          <w:p>
            <w:pPr>
              <w:spacing w:after="20"/>
              <w:jc w:val="right"/>
            </w:pPr>
            <w:r>
              <w:rPr>
                <w:color w:val="1C3A36"/>
                <w:sz w:val="17"/>
              </w:rPr>
              <w:t>9.32%</w:t>
            </w:r>
          </w:p>
        </w:tc>
        <w:tc>
          <w:tcPr>
            <w:tcW w:type="dxa" w:w="1238"/>
          </w:tcPr>
          <w:p>
            <w:pPr>
              <w:spacing w:after="20"/>
              <w:jc w:val="right"/>
            </w:pPr>
            <w:r>
              <w:rPr>
                <w:color w:val="1C3A36"/>
                <w:sz w:val="17"/>
              </w:rPr>
              <w:t>9.15%</w:t>
            </w:r>
          </w:p>
        </w:tc>
        <w:tc>
          <w:tcPr>
            <w:tcW w:type="dxa" w:w="1238"/>
          </w:tcPr>
          <w:p>
            <w:pPr>
              <w:spacing w:after="20"/>
              <w:jc w:val="right"/>
            </w:pPr>
            <w:r>
              <w:rPr>
                <w:color w:val="1C3A36"/>
                <w:sz w:val="17"/>
              </w:rPr>
              <w:t>8.96%</w:t>
            </w:r>
          </w:p>
        </w:tc>
        <w:tc>
          <w:tcPr>
            <w:tcW w:type="dxa" w:w="1238"/>
          </w:tcPr>
          <w:p>
            <w:pPr>
              <w:spacing w:after="20"/>
              <w:jc w:val="right"/>
            </w:pPr>
            <w:r>
              <w:rPr>
                <w:color w:val="1C3A36"/>
                <w:sz w:val="17"/>
              </w:rPr>
              <w:t>8.76%</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1,991</w:t>
            </w:r>
          </w:p>
        </w:tc>
        <w:tc>
          <w:tcPr>
            <w:tcW w:type="dxa" w:w="1238"/>
          </w:tcPr>
          <w:p>
            <w:pPr>
              <w:spacing w:after="20"/>
              <w:jc w:val="right"/>
            </w:pPr>
            <w:r>
              <w:rPr>
                <w:color w:val="1C3A36"/>
                <w:sz w:val="17"/>
              </w:rPr>
              <w:t>2,250</w:t>
            </w:r>
          </w:p>
        </w:tc>
        <w:tc>
          <w:tcPr>
            <w:tcW w:type="dxa" w:w="1238"/>
          </w:tcPr>
          <w:p>
            <w:pPr>
              <w:spacing w:after="20"/>
              <w:jc w:val="right"/>
            </w:pPr>
            <w:r>
              <w:rPr>
                <w:color w:val="1C3A36"/>
                <w:sz w:val="17"/>
              </w:rPr>
              <w:t>2,508</w:t>
            </w:r>
          </w:p>
        </w:tc>
        <w:tc>
          <w:tcPr>
            <w:tcW w:type="dxa" w:w="1238"/>
          </w:tcPr>
          <w:p>
            <w:pPr>
              <w:spacing w:after="20"/>
              <w:jc w:val="right"/>
            </w:pPr>
            <w:r>
              <w:rPr>
                <w:color w:val="1C3A36"/>
                <w:sz w:val="17"/>
              </w:rPr>
              <w:t>2,759</w:t>
            </w:r>
          </w:p>
        </w:tc>
        <w:tc>
          <w:tcPr>
            <w:tcW w:type="dxa" w:w="1238"/>
          </w:tcPr>
          <w:p>
            <w:pPr>
              <w:spacing w:after="20"/>
              <w:jc w:val="right"/>
            </w:pPr>
            <w:r>
              <w:rPr>
                <w:color w:val="1C3A36"/>
                <w:sz w:val="17"/>
              </w:rPr>
              <w:t>3,021</w:t>
            </w:r>
          </w:p>
        </w:tc>
      </w:tr>
      <w:tr>
        <w:tc>
          <w:tcPr>
            <w:tcW w:type="dxa" w:w="3600"/>
          </w:tcPr>
          <w:p>
            <w:pPr>
              <w:spacing w:after="20"/>
            </w:pPr>
            <w:r>
              <w:rPr>
                <w:color w:val="1C3A36"/>
                <w:sz w:val="17"/>
              </w:rPr>
              <w:t>EBITDA</w:t>
            </w:r>
          </w:p>
        </w:tc>
        <w:tc>
          <w:tcPr>
            <w:tcW w:type="dxa" w:w="1238"/>
          </w:tcPr>
          <w:p>
            <w:pPr>
              <w:spacing w:after="20"/>
              <w:jc w:val="right"/>
            </w:pPr>
            <w:r>
              <w:rPr>
                <w:color w:val="1C3A36"/>
                <w:sz w:val="17"/>
              </w:rPr>
              <w:t>2,990</w:t>
            </w:r>
          </w:p>
        </w:tc>
        <w:tc>
          <w:tcPr>
            <w:tcW w:type="dxa" w:w="1238"/>
          </w:tcPr>
          <w:p>
            <w:pPr>
              <w:spacing w:after="20"/>
              <w:jc w:val="right"/>
            </w:pPr>
            <w:r>
              <w:rPr>
                <w:color w:val="1C3A36"/>
                <w:sz w:val="17"/>
              </w:rPr>
              <w:t>3,143</w:t>
            </w:r>
          </w:p>
        </w:tc>
        <w:tc>
          <w:tcPr>
            <w:tcW w:type="dxa" w:w="1238"/>
          </w:tcPr>
          <w:p>
            <w:pPr>
              <w:spacing w:after="20"/>
              <w:jc w:val="right"/>
            </w:pPr>
            <w:r>
              <w:rPr>
                <w:color w:val="1C3A36"/>
                <w:sz w:val="17"/>
              </w:rPr>
              <w:t>3,245</w:t>
            </w:r>
          </w:p>
        </w:tc>
        <w:tc>
          <w:tcPr>
            <w:tcW w:type="dxa" w:w="1238"/>
          </w:tcPr>
          <w:p>
            <w:pPr>
              <w:spacing w:after="20"/>
              <w:jc w:val="right"/>
            </w:pPr>
            <w:r>
              <w:rPr>
                <w:color w:val="1C3A36"/>
                <w:sz w:val="17"/>
              </w:rPr>
              <w:t>3,289</w:t>
            </w:r>
          </w:p>
        </w:tc>
        <w:tc>
          <w:tcPr>
            <w:tcW w:type="dxa" w:w="1238"/>
          </w:tcPr>
          <w:p>
            <w:pPr>
              <w:spacing w:after="20"/>
              <w:jc w:val="right"/>
            </w:pPr>
            <w:r>
              <w:rPr>
                <w:color w:val="1C3A36"/>
                <w:sz w:val="17"/>
              </w:rPr>
              <w:t>3,300</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2,809</w:t>
            </w:r>
          </w:p>
        </w:tc>
        <w:tc>
          <w:tcPr>
            <w:tcW w:type="dxa" w:w="1238"/>
          </w:tcPr>
          <w:p>
            <w:pPr>
              <w:spacing w:after="20"/>
              <w:jc w:val="right"/>
            </w:pPr>
            <w:r>
              <w:rPr>
                <w:color w:val="1C3A36"/>
                <w:sz w:val="17"/>
              </w:rPr>
              <w:t>2,952</w:t>
            </w:r>
          </w:p>
        </w:tc>
        <w:tc>
          <w:tcPr>
            <w:tcW w:type="dxa" w:w="1238"/>
          </w:tcPr>
          <w:p>
            <w:pPr>
              <w:spacing w:after="20"/>
              <w:jc w:val="right"/>
            </w:pPr>
            <w:r>
              <w:rPr>
                <w:color w:val="1C3A36"/>
                <w:sz w:val="17"/>
              </w:rPr>
              <w:t>3,043</w:t>
            </w:r>
          </w:p>
        </w:tc>
        <w:tc>
          <w:tcPr>
            <w:tcW w:type="dxa" w:w="1238"/>
          </w:tcPr>
          <w:p>
            <w:pPr>
              <w:spacing w:after="20"/>
              <w:jc w:val="right"/>
            </w:pPr>
            <w:r>
              <w:rPr>
                <w:color w:val="1C3A36"/>
                <w:sz w:val="17"/>
              </w:rPr>
              <w:t>3,074</w:t>
            </w:r>
          </w:p>
        </w:tc>
        <w:tc>
          <w:tcPr>
            <w:tcW w:type="dxa" w:w="1238"/>
          </w:tcPr>
          <w:p>
            <w:pPr>
              <w:spacing w:after="20"/>
              <w:jc w:val="right"/>
            </w:pPr>
            <w:r>
              <w:rPr>
                <w:color w:val="1C3A36"/>
                <w:sz w:val="17"/>
              </w:rPr>
              <w:t>3,070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2,063</w:t>
            </w:r>
          </w:p>
        </w:tc>
        <w:tc>
          <w:tcPr>
            <w:tcW w:type="dxa" w:w="1238"/>
          </w:tcPr>
          <w:p>
            <w:pPr>
              <w:spacing w:after="20"/>
              <w:jc w:val="right"/>
            </w:pPr>
            <w:r>
              <w:rPr>
                <w:color w:val="1C3A36"/>
                <w:sz w:val="17"/>
              </w:rPr>
              <w:t>2,168</w:t>
            </w:r>
          </w:p>
        </w:tc>
        <w:tc>
          <w:tcPr>
            <w:tcW w:type="dxa" w:w="1238"/>
          </w:tcPr>
          <w:p>
            <w:pPr>
              <w:spacing w:after="20"/>
              <w:jc w:val="right"/>
            </w:pPr>
            <w:r>
              <w:rPr>
                <w:color w:val="1C3A36"/>
                <w:sz w:val="17"/>
              </w:rPr>
              <w:t>2,235</w:t>
            </w:r>
          </w:p>
        </w:tc>
        <w:tc>
          <w:tcPr>
            <w:tcW w:type="dxa" w:w="1238"/>
          </w:tcPr>
          <w:p>
            <w:pPr>
              <w:spacing w:after="20"/>
              <w:jc w:val="right"/>
            </w:pPr>
            <w:r>
              <w:rPr>
                <w:color w:val="1C3A36"/>
                <w:sz w:val="17"/>
              </w:rPr>
              <w:t>2,257</w:t>
            </w:r>
          </w:p>
        </w:tc>
        <w:tc>
          <w:tcPr>
            <w:tcW w:type="dxa" w:w="1238"/>
          </w:tcPr>
          <w:p>
            <w:pPr>
              <w:spacing w:after="20"/>
              <w:jc w:val="right"/>
            </w:pPr>
            <w:r>
              <w:rPr>
                <w:color w:val="1C3A36"/>
                <w:sz w:val="17"/>
              </w:rPr>
              <w:t>2,255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226</w:t>
            </w:r>
          </w:p>
        </w:tc>
        <w:tc>
          <w:tcPr>
            <w:tcW w:type="dxa" w:w="1238"/>
          </w:tcPr>
          <w:p>
            <w:pPr>
              <w:spacing w:after="20"/>
              <w:jc w:val="right"/>
            </w:pPr>
            <w:r>
              <w:rPr>
                <w:color w:val="1C3A36"/>
                <w:sz w:val="17"/>
              </w:rPr>
              <w:t>249</w:t>
            </w:r>
          </w:p>
        </w:tc>
        <w:tc>
          <w:tcPr>
            <w:tcW w:type="dxa" w:w="1238"/>
          </w:tcPr>
          <w:p>
            <w:pPr>
              <w:spacing w:after="20"/>
              <w:jc w:val="right"/>
            </w:pPr>
            <w:r>
              <w:rPr>
                <w:color w:val="1C3A36"/>
                <w:sz w:val="17"/>
              </w:rPr>
              <w:t>272</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398</w:t>
            </w:r>
          </w:p>
        </w:tc>
        <w:tc>
          <w:tcPr>
            <w:tcW w:type="dxa" w:w="1238"/>
          </w:tcPr>
          <w:p>
            <w:pPr>
              <w:spacing w:after="20"/>
              <w:jc w:val="right"/>
            </w:pPr>
            <w:r>
              <w:rPr>
                <w:color w:val="1C3A36"/>
                <w:sz w:val="17"/>
              </w:rPr>
              <w:t>390</w:t>
            </w:r>
          </w:p>
        </w:tc>
        <w:tc>
          <w:tcPr>
            <w:tcW w:type="dxa" w:w="1238"/>
          </w:tcPr>
          <w:p>
            <w:pPr>
              <w:spacing w:after="20"/>
              <w:jc w:val="right"/>
            </w:pPr>
            <w:r>
              <w:rPr>
                <w:color w:val="1C3A36"/>
                <w:sz w:val="17"/>
              </w:rPr>
              <w:t>369</w:t>
            </w:r>
          </w:p>
        </w:tc>
        <w:tc>
          <w:tcPr>
            <w:tcW w:type="dxa" w:w="1238"/>
          </w:tcPr>
          <w:p>
            <w:pPr>
              <w:spacing w:after="20"/>
              <w:jc w:val="right"/>
            </w:pPr>
            <w:r>
              <w:rPr>
                <w:color w:val="1C3A36"/>
                <w:sz w:val="17"/>
              </w:rPr>
              <w:t>335</w:t>
            </w:r>
          </w:p>
        </w:tc>
        <w:tc>
          <w:tcPr>
            <w:tcW w:type="dxa" w:w="1238"/>
          </w:tcPr>
          <w:p>
            <w:pPr>
              <w:spacing w:after="20"/>
              <w:jc w:val="right"/>
            </w:pPr>
            <w:r>
              <w:rPr>
                <w:color w:val="1C3A36"/>
                <w:sz w:val="17"/>
              </w:rPr>
              <w:t>336</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1,666</w:t>
            </w:r>
          </w:p>
        </w:tc>
        <w:tc>
          <w:tcPr>
            <w:tcW w:type="dxa" w:w="1238"/>
            <w:shd w:val="clear" w:color="auto" w:fill="F6F1E6"/>
          </w:tcPr>
          <w:p>
            <w:pPr>
              <w:spacing w:after="20"/>
              <w:jc w:val="right"/>
            </w:pPr>
            <w:r>
              <w:rPr>
                <w:b/>
                <w:color w:val="1C3A36"/>
                <w:sz w:val="17"/>
              </w:rPr>
              <w:t>1,767</w:t>
            </w:r>
          </w:p>
        </w:tc>
        <w:tc>
          <w:tcPr>
            <w:tcW w:type="dxa" w:w="1238"/>
            <w:shd w:val="clear" w:color="auto" w:fill="F6F1E6"/>
          </w:tcPr>
          <w:p>
            <w:pPr>
              <w:spacing w:after="20"/>
              <w:jc w:val="right"/>
            </w:pPr>
            <w:r>
              <w:rPr>
                <w:b/>
                <w:color w:val="1C3A36"/>
                <w:sz w:val="17"/>
              </w:rPr>
              <w:t>1,842</w:t>
            </w:r>
          </w:p>
        </w:tc>
        <w:tc>
          <w:tcPr>
            <w:tcW w:type="dxa" w:w="1238"/>
            <w:shd w:val="clear" w:color="auto" w:fill="F6F1E6"/>
          </w:tcPr>
          <w:p>
            <w:pPr>
              <w:spacing w:after="20"/>
              <w:jc w:val="right"/>
            </w:pPr>
            <w:r>
              <w:rPr>
                <w:b/>
                <w:color w:val="1C3A36"/>
                <w:sz w:val="17"/>
              </w:rPr>
              <w:t>1,889</w:t>
            </w:r>
          </w:p>
        </w:tc>
        <w:tc>
          <w:tcPr>
            <w:tcW w:type="dxa" w:w="1238"/>
            <w:shd w:val="clear" w:color="auto" w:fill="F6F1E6"/>
          </w:tcPr>
          <w:p>
            <w:pPr>
              <w:spacing w:after="20"/>
              <w:jc w:val="right"/>
            </w:pPr>
            <w:r>
              <w:rPr>
                <w:b/>
                <w:color w:val="1C3A36"/>
                <w:sz w:val="17"/>
              </w:rPr>
              <w:t>1,876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0.63209</w:t>
            </w:r>
          </w:p>
        </w:tc>
        <w:tc>
          <w:tcPr>
            <w:tcW w:type="dxa" w:w="1238"/>
          </w:tcPr>
          <w:p>
            <w:pPr>
              <w:spacing w:after="20"/>
              <w:jc w:val="right"/>
            </w:pPr>
            <w:r>
              <w:rPr>
                <w:color w:val="1C3A36"/>
                <w:sz w:val="17"/>
              </w:rPr>
              <w:t>0.52039</w:t>
            </w:r>
          </w:p>
        </w:tc>
        <w:tc>
          <w:tcPr>
            <w:tcW w:type="dxa" w:w="1238"/>
          </w:tcPr>
          <w:p>
            <w:pPr>
              <w:spacing w:after="20"/>
              <w:jc w:val="right"/>
            </w:pPr>
            <w:r>
              <w:rPr>
                <w:color w:val="1C3A36"/>
                <w:sz w:val="17"/>
              </w:rPr>
              <w:t>0.43558</w:t>
            </w:r>
          </w:p>
        </w:tc>
        <w:tc>
          <w:tcPr>
            <w:tcW w:type="dxa" w:w="1238"/>
          </w:tcPr>
          <w:p>
            <w:pPr>
              <w:spacing w:after="20"/>
              <w:jc w:val="right"/>
            </w:pPr>
            <w:r>
              <w:rPr>
                <w:color w:val="1C3A36"/>
                <w:sz w:val="17"/>
              </w:rPr>
              <w:t>0.36870</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1,307</w:t>
            </w:r>
          </w:p>
        </w:tc>
        <w:tc>
          <w:tcPr>
            <w:tcW w:type="dxa" w:w="1238"/>
            <w:shd w:val="clear" w:color="auto" w:fill="F6F1E6"/>
          </w:tcPr>
          <w:p>
            <w:pPr>
              <w:spacing w:after="20"/>
              <w:jc w:val="right"/>
            </w:pPr>
            <w:r>
              <w:rPr>
                <w:b/>
                <w:color w:val="1C3A36"/>
                <w:sz w:val="17"/>
              </w:rPr>
              <w:t>1,117</w:t>
            </w:r>
          </w:p>
        </w:tc>
        <w:tc>
          <w:tcPr>
            <w:tcW w:type="dxa" w:w="1238"/>
            <w:shd w:val="clear" w:color="auto" w:fill="F6F1E6"/>
          </w:tcPr>
          <w:p>
            <w:pPr>
              <w:spacing w:after="20"/>
              <w:jc w:val="right"/>
            </w:pPr>
            <w:r>
              <w:rPr>
                <w:b/>
                <w:color w:val="1C3A36"/>
                <w:sz w:val="17"/>
              </w:rPr>
              <w:t>959</w:t>
            </w:r>
          </w:p>
        </w:tc>
        <w:tc>
          <w:tcPr>
            <w:tcW w:type="dxa" w:w="1238"/>
            <w:shd w:val="clear" w:color="auto" w:fill="F6F1E6"/>
          </w:tcPr>
          <w:p>
            <w:pPr>
              <w:spacing w:after="20"/>
              <w:jc w:val="right"/>
            </w:pPr>
            <w:r>
              <w:rPr>
                <w:b/>
                <w:color w:val="1C3A36"/>
                <w:sz w:val="17"/>
              </w:rPr>
              <w:t>823</w:t>
            </w:r>
          </w:p>
        </w:tc>
        <w:tc>
          <w:tcPr>
            <w:tcW w:type="dxa" w:w="1238"/>
            <w:shd w:val="clear" w:color="auto" w:fill="F6F1E6"/>
          </w:tcPr>
          <w:p>
            <w:pPr>
              <w:spacing w:after="20"/>
              <w:jc w:val="right"/>
            </w:pPr>
            <w:r>
              <w:rPr>
                <w:b/>
                <w:color w:val="1C3A36"/>
                <w:sz w:val="17"/>
              </w:rPr>
              <w:t>692</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4,897</w:t>
            </w:r>
          </w:p>
        </w:tc>
        <w:tc>
          <w:tcPr>
            <w:tcW w:type="dxa" w:w="1296"/>
          </w:tcPr>
          <w:p>
            <w:pPr>
              <w:spacing w:after="20"/>
              <w:jc w:val="right"/>
            </w:pPr>
            <w:r>
              <w:rPr>
                <w:color w:val="1C3A36"/>
                <w:sz w:val="17"/>
              </w:rPr>
              <w:t>3.79</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5,785</w:t>
            </w:r>
          </w:p>
        </w:tc>
        <w:tc>
          <w:tcPr>
            <w:tcW w:type="dxa" w:w="1296"/>
          </w:tcPr>
          <w:p>
            <w:pPr>
              <w:spacing w:after="20"/>
              <w:jc w:val="right"/>
            </w:pPr>
            <w:r>
              <w:rPr>
                <w:color w:val="1C3A36"/>
                <w:sz w:val="17"/>
              </w:rPr>
              <w:t>4.48</w:t>
            </w:r>
          </w:p>
        </w:tc>
        <w:tc>
          <w:tcPr>
            <w:tcW w:type="dxa" w:w="3600"/>
          </w:tcPr>
          <w:p>
            <w:pPr>
              <w:spacing w:after="20"/>
            </w:pPr>
            <w:r>
              <w:rPr>
                <w:color w:val="1C3A36"/>
                <w:sz w:val="17"/>
              </w:rPr>
              <w:t>54.2%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10,683</w:t>
            </w:r>
          </w:p>
        </w:tc>
        <w:tc>
          <w:tcPr>
            <w:tcW w:type="dxa" w:w="1296"/>
            <w:shd w:val="clear" w:color="auto" w:fill="F6F1E6"/>
          </w:tcPr>
          <w:p>
            <w:pPr>
              <w:spacing w:after="20"/>
              <w:jc w:val="right"/>
            </w:pPr>
            <w:r>
              <w:rPr>
                <w:b/>
                <w:color w:val="1C3A36"/>
                <w:sz w:val="17"/>
              </w:rPr>
              <w:t>8.27</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13,684</w:t>
            </w:r>
          </w:p>
        </w:tc>
        <w:tc>
          <w:tcPr>
            <w:tcW w:type="dxa" w:w="1296"/>
          </w:tcPr>
          <w:p>
            <w:pPr>
              <w:spacing w:after="20"/>
              <w:jc w:val="right"/>
            </w:pPr>
            <w:r>
              <w:rPr>
                <w:color w:val="1C3A36"/>
                <w:sz w:val="17"/>
              </w:rPr>
              <w:t>10.60</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(405)</w:t>
            </w:r>
          </w:p>
        </w:tc>
        <w:tc>
          <w:tcPr>
            <w:tcW w:type="dxa" w:w="1296"/>
          </w:tcPr>
          <w:p>
            <w:pPr>
              <w:spacing w:after="20"/>
              <w:jc w:val="right"/>
            </w:pPr>
            <w:r>
              <w:rPr>
                <w:color w:val="1C3A36"/>
                <w:sz w:val="17"/>
              </w:rPr>
              <w:t>(0.31)</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12,618</w:t>
            </w:r>
          </w:p>
        </w:tc>
        <w:tc>
          <w:tcPr>
            <w:tcW w:type="dxa" w:w="1296"/>
            <w:shd w:val="clear" w:color="auto" w:fill="F6F1E6"/>
          </w:tcPr>
          <w:p>
            <w:pPr>
              <w:spacing w:after="20"/>
              <w:jc w:val="right"/>
            </w:pPr>
            <w:r>
              <w:rPr>
                <w:b/>
                <w:color w:val="1C3A36"/>
                <w:sz w:val="17"/>
              </w:rPr>
              <w:t>9.77</w:t>
            </w:r>
          </w:p>
        </w:tc>
        <w:tc>
          <w:tcPr>
            <w:tcW w:type="dxa" w:w="3600"/>
            <w:shd w:val="clear" w:color="auto" w:fill="F6F1E6"/>
          </w:tcPr>
          <w:p>
            <w:pPr>
              <w:spacing w:after="20"/>
            </w:pPr>
            <w:r>
              <w:rPr>
                <w:b/>
                <w:color w:val="1C3A36"/>
                <w:sz w:val="17"/>
              </w:rPr>
              <w:t>against a price of 9.10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0.83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25.4%.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25.4% return, the terminal block reinvests 27.6% of profit. That is ABOVE the final explicit year’s 16.8%, so the terminal block is funded rather than flattered — a step of +10.77%, disclosed here because it RAISES nothing and a reader is entitled to see it either way. Terminal value carries 54.2%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Four-period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0.0%</w:t>
            </w:r>
          </w:p>
        </w:tc>
        <w:tc>
          <w:tcPr>
            <w:tcW w:type="dxa" w:w="2664"/>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6.81%; the four-period average implies far less. The terminal growth sensitivity in section 1.11 shows why the choice barely matters here: because the reinvestment identity FUNDS growth before crediting it, the value moves only from EGP 9.15 at 3% to 9.77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7.44</w:t>
            </w:r>
          </w:p>
        </w:tc>
        <w:tc>
          <w:tcPr>
            <w:tcW w:type="dxa" w:w="1080"/>
          </w:tcPr>
          <w:p>
            <w:pPr>
              <w:spacing w:after="20"/>
              <w:jc w:val="right"/>
            </w:pPr>
            <w:r>
              <w:rPr>
                <w:color w:val="1C3A36"/>
                <w:sz w:val="17"/>
              </w:rPr>
              <w:t>8.61</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10.93</w:t>
            </w:r>
          </w:p>
        </w:tc>
        <w:tc>
          <w:tcPr>
            <w:tcW w:type="dxa" w:w="1080"/>
          </w:tcPr>
          <w:p>
            <w:pPr>
              <w:spacing w:after="20"/>
              <w:jc w:val="right"/>
            </w:pPr>
            <w:r>
              <w:rPr>
                <w:color w:val="1C3A36"/>
                <w:sz w:val="17"/>
              </w:rPr>
              <w:t>12.10</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6.26</w:t>
            </w:r>
          </w:p>
        </w:tc>
        <w:tc>
          <w:tcPr>
            <w:tcW w:type="dxa" w:w="1080"/>
          </w:tcPr>
          <w:p>
            <w:pPr>
              <w:spacing w:after="20"/>
              <w:jc w:val="right"/>
            </w:pPr>
            <w:r>
              <w:rPr>
                <w:color w:val="1C3A36"/>
                <w:sz w:val="17"/>
              </w:rPr>
              <w:t>7.92</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11.37</w:t>
            </w:r>
          </w:p>
        </w:tc>
        <w:tc>
          <w:tcPr>
            <w:tcW w:type="dxa" w:w="1080"/>
          </w:tcPr>
          <w:p>
            <w:pPr>
              <w:spacing w:after="20"/>
              <w:jc w:val="right"/>
            </w:pPr>
            <w:r>
              <w:rPr>
                <w:color w:val="1C3A36"/>
                <w:sz w:val="17"/>
              </w:rPr>
              <w:t>13.13</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8.50</w:t>
            </w:r>
          </w:p>
        </w:tc>
        <w:tc>
          <w:tcPr>
            <w:tcW w:type="dxa" w:w="1080"/>
          </w:tcPr>
          <w:p>
            <w:pPr>
              <w:spacing w:after="20"/>
              <w:jc w:val="right"/>
            </w:pPr>
            <w:r>
              <w:rPr>
                <w:color w:val="1C3A36"/>
                <w:sz w:val="17"/>
              </w:rPr>
              <w:t>9.13</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10.42</w:t>
            </w:r>
          </w:p>
        </w:tc>
        <w:tc>
          <w:tcPr>
            <w:tcW w:type="dxa" w:w="1080"/>
          </w:tcPr>
          <w:p>
            <w:pPr>
              <w:spacing w:after="20"/>
              <w:jc w:val="right"/>
            </w:pPr>
            <w:r>
              <w:rPr>
                <w:color w:val="1C3A36"/>
                <w:sz w:val="17"/>
              </w:rPr>
              <w:t>11.07</w:t>
            </w:r>
          </w:p>
        </w:tc>
      </w:tr>
      <w:tr>
        <w:tc>
          <w:tcPr>
            <w:tcW w:type="dxa" w:w="4104"/>
          </w:tcPr>
          <w:p>
            <w:pPr>
              <w:spacing w:after="20"/>
            </w:pPr>
            <w:r>
              <w:rPr>
                <w:color w:val="1C3A36"/>
                <w:sz w:val="17"/>
              </w:rPr>
              <w:t>Beta</w:t>
            </w:r>
          </w:p>
        </w:tc>
        <w:tc>
          <w:tcPr>
            <w:tcW w:type="dxa" w:w="1080"/>
          </w:tcPr>
          <w:p>
            <w:pPr>
              <w:spacing w:after="20"/>
              <w:jc w:val="right"/>
            </w:pPr>
            <w:r>
              <w:rPr>
                <w:color w:val="1C3A36"/>
                <w:sz w:val="17"/>
              </w:rPr>
              <w:t>11.43</w:t>
            </w:r>
          </w:p>
        </w:tc>
        <w:tc>
          <w:tcPr>
            <w:tcW w:type="dxa" w:w="1080"/>
          </w:tcPr>
          <w:p>
            <w:pPr>
              <w:spacing w:after="20"/>
              <w:jc w:val="right"/>
            </w:pPr>
            <w:r>
              <w:rPr>
                <w:color w:val="1C3A36"/>
                <w:sz w:val="17"/>
              </w:rPr>
              <w:t>10.28</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8.82</w:t>
            </w:r>
          </w:p>
        </w:tc>
        <w:tc>
          <w:tcPr>
            <w:tcW w:type="dxa" w:w="1080"/>
          </w:tcPr>
          <w:p>
            <w:pPr>
              <w:spacing w:after="20"/>
              <w:jc w:val="right"/>
            </w:pPr>
            <w:r>
              <w:rPr>
                <w:color w:val="1C3A36"/>
                <w:sz w:val="17"/>
              </w:rPr>
              <w:t>8.33</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11.61</w:t>
            </w:r>
          </w:p>
        </w:tc>
        <w:tc>
          <w:tcPr>
            <w:tcW w:type="dxa" w:w="1080"/>
          </w:tcPr>
          <w:p>
            <w:pPr>
              <w:spacing w:after="20"/>
              <w:jc w:val="right"/>
            </w:pPr>
            <w:r>
              <w:rPr>
                <w:color w:val="1C3A36"/>
                <w:sz w:val="17"/>
              </w:rPr>
              <w:t>10.69</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8.85</w:t>
            </w:r>
          </w:p>
        </w:tc>
        <w:tc>
          <w:tcPr>
            <w:tcW w:type="dxa" w:w="1080"/>
          </w:tcPr>
          <w:p>
            <w:pPr>
              <w:spacing w:after="20"/>
              <w:jc w:val="right"/>
            </w:pPr>
            <w:r>
              <w:rPr>
                <w:color w:val="1C3A36"/>
                <w:sz w:val="17"/>
              </w:rPr>
              <w:t>7.93</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9.15</w:t>
            </w:r>
          </w:p>
        </w:tc>
        <w:tc>
          <w:tcPr>
            <w:tcW w:type="dxa" w:w="1080"/>
          </w:tcPr>
          <w:p>
            <w:pPr>
              <w:spacing w:after="20"/>
              <w:jc w:val="right"/>
            </w:pPr>
            <w:r>
              <w:rPr>
                <w:color w:val="1C3A36"/>
                <w:sz w:val="17"/>
              </w:rPr>
              <w:t>9.27</w:t>
            </w:r>
          </w:p>
        </w:tc>
        <w:tc>
          <w:tcPr>
            <w:tcW w:type="dxa" w:w="1080"/>
          </w:tcPr>
          <w:p>
            <w:pPr>
              <w:spacing w:after="20"/>
              <w:jc w:val="right"/>
            </w:pPr>
            <w:r>
              <w:rPr>
                <w:color w:val="1C3A36"/>
                <w:sz w:val="17"/>
              </w:rPr>
              <w:t>9.41</w:t>
            </w:r>
          </w:p>
        </w:tc>
        <w:tc>
          <w:tcPr>
            <w:tcW w:type="dxa" w:w="1080"/>
          </w:tcPr>
          <w:p>
            <w:pPr>
              <w:spacing w:after="20"/>
              <w:jc w:val="right"/>
            </w:pPr>
            <w:r>
              <w:rPr>
                <w:color w:val="1C3A36"/>
                <w:sz w:val="17"/>
              </w:rPr>
              <w:t>9.58</w:t>
            </w:r>
          </w:p>
        </w:tc>
        <w:tc>
          <w:tcPr>
            <w:tcW w:type="dxa" w:w="1080"/>
          </w:tcPr>
          <w:p>
            <w:pPr>
              <w:spacing w:after="20"/>
              <w:jc w:val="right"/>
            </w:pPr>
            <w:r>
              <w:rPr>
                <w:color w:val="1C3A36"/>
                <w:sz w:val="17"/>
              </w:rPr>
              <w:t>9.77</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1.16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10.62</w:t>
            </w:r>
          </w:p>
        </w:tc>
        <w:tc>
          <w:tcPr>
            <w:tcW w:type="dxa" w:w="1224"/>
          </w:tcPr>
          <w:p>
            <w:pPr>
              <w:spacing w:after="20"/>
              <w:jc w:val="right"/>
            </w:pPr>
            <w:r>
              <w:rPr>
                <w:color w:val="1C3A36"/>
                <w:sz w:val="17"/>
              </w:rPr>
              <w:t>10.90</w:t>
            </w:r>
          </w:p>
        </w:tc>
        <w:tc>
          <w:tcPr>
            <w:tcW w:type="dxa" w:w="1224"/>
          </w:tcPr>
          <w:p>
            <w:pPr>
              <w:spacing w:after="20"/>
              <w:jc w:val="right"/>
            </w:pPr>
            <w:r>
              <w:rPr>
                <w:color w:val="1C3A36"/>
                <w:sz w:val="17"/>
              </w:rPr>
              <w:t>11.22</w:t>
            </w:r>
          </w:p>
        </w:tc>
        <w:tc>
          <w:tcPr>
            <w:tcW w:type="dxa" w:w="1224"/>
          </w:tcPr>
          <w:p>
            <w:pPr>
              <w:spacing w:after="20"/>
              <w:jc w:val="right"/>
            </w:pPr>
            <w:r>
              <w:rPr>
                <w:color w:val="1C3A36"/>
                <w:sz w:val="17"/>
              </w:rPr>
              <w:t>11.62</w:t>
            </w:r>
          </w:p>
        </w:tc>
        <w:tc>
          <w:tcPr>
            <w:tcW w:type="dxa" w:w="1224"/>
          </w:tcPr>
          <w:p>
            <w:pPr>
              <w:spacing w:after="20"/>
              <w:jc w:val="right"/>
            </w:pPr>
            <w:r>
              <w:rPr>
                <w:color w:val="1C3A36"/>
                <w:sz w:val="17"/>
              </w:rPr>
              <w:t>12.09</w:t>
            </w:r>
          </w:p>
        </w:tc>
      </w:tr>
      <w:tr>
        <w:tc>
          <w:tcPr>
            <w:tcW w:type="dxa" w:w="3384"/>
          </w:tcPr>
          <w:p>
            <w:pPr>
              <w:spacing w:after="20"/>
            </w:pPr>
            <w:r>
              <w:rPr>
                <w:color w:val="1C3A36"/>
                <w:sz w:val="17"/>
              </w:rPr>
              <w:t>17.14%</w:t>
            </w:r>
          </w:p>
        </w:tc>
        <w:tc>
          <w:tcPr>
            <w:tcW w:type="dxa" w:w="1224"/>
          </w:tcPr>
          <w:p>
            <w:pPr>
              <w:spacing w:after="20"/>
              <w:jc w:val="right"/>
            </w:pPr>
            <w:r>
              <w:rPr>
                <w:color w:val="1C3A36"/>
                <w:sz w:val="17"/>
              </w:rPr>
              <w:t>10.16</w:t>
            </w:r>
          </w:p>
        </w:tc>
        <w:tc>
          <w:tcPr>
            <w:tcW w:type="dxa" w:w="1224"/>
          </w:tcPr>
          <w:p>
            <w:pPr>
              <w:spacing w:after="20"/>
              <w:jc w:val="right"/>
            </w:pPr>
            <w:r>
              <w:rPr>
                <w:color w:val="1C3A36"/>
                <w:sz w:val="17"/>
              </w:rPr>
              <w:t>10.38</w:t>
            </w:r>
          </w:p>
        </w:tc>
        <w:tc>
          <w:tcPr>
            <w:tcW w:type="dxa" w:w="1224"/>
          </w:tcPr>
          <w:p>
            <w:pPr>
              <w:spacing w:after="20"/>
              <w:jc w:val="right"/>
            </w:pPr>
            <w:r>
              <w:rPr>
                <w:color w:val="1C3A36"/>
                <w:sz w:val="17"/>
              </w:rPr>
              <w:t>10.65</w:t>
            </w:r>
          </w:p>
        </w:tc>
        <w:tc>
          <w:tcPr>
            <w:tcW w:type="dxa" w:w="1224"/>
          </w:tcPr>
          <w:p>
            <w:pPr>
              <w:spacing w:after="20"/>
              <w:jc w:val="right"/>
            </w:pPr>
            <w:r>
              <w:rPr>
                <w:color w:val="1C3A36"/>
                <w:sz w:val="17"/>
              </w:rPr>
              <w:t>10.96</w:t>
            </w:r>
          </w:p>
        </w:tc>
        <w:tc>
          <w:tcPr>
            <w:tcW w:type="dxa" w:w="1224"/>
          </w:tcPr>
          <w:p>
            <w:pPr>
              <w:spacing w:after="20"/>
              <w:jc w:val="right"/>
            </w:pPr>
            <w:r>
              <w:rPr>
                <w:color w:val="1C3A36"/>
                <w:sz w:val="17"/>
              </w:rPr>
              <w:t>11.33</w:t>
            </w:r>
          </w:p>
        </w:tc>
      </w:tr>
      <w:tr>
        <w:tc>
          <w:tcPr>
            <w:tcW w:type="dxa" w:w="3384"/>
          </w:tcPr>
          <w:p>
            <w:pPr>
              <w:spacing w:after="20"/>
            </w:pPr>
            <w:r>
              <w:rPr>
                <w:color w:val="1C3A36"/>
                <w:sz w:val="17"/>
              </w:rPr>
              <w:t>18.14%</w:t>
            </w:r>
          </w:p>
        </w:tc>
        <w:tc>
          <w:tcPr>
            <w:tcW w:type="dxa" w:w="1224"/>
          </w:tcPr>
          <w:p>
            <w:pPr>
              <w:spacing w:after="20"/>
              <w:jc w:val="right"/>
            </w:pPr>
            <w:r>
              <w:rPr>
                <w:color w:val="1C3A36"/>
                <w:sz w:val="17"/>
              </w:rPr>
              <w:t>9.76</w:t>
            </w:r>
          </w:p>
        </w:tc>
        <w:tc>
          <w:tcPr>
            <w:tcW w:type="dxa" w:w="1224"/>
          </w:tcPr>
          <w:p>
            <w:pPr>
              <w:spacing w:after="20"/>
              <w:jc w:val="right"/>
            </w:pPr>
            <w:r>
              <w:rPr>
                <w:color w:val="1C3A36"/>
                <w:sz w:val="17"/>
              </w:rPr>
              <w:t>9.95</w:t>
            </w:r>
          </w:p>
        </w:tc>
        <w:tc>
          <w:tcPr>
            <w:tcW w:type="dxa" w:w="1224"/>
          </w:tcPr>
          <w:p>
            <w:pPr>
              <w:spacing w:after="20"/>
              <w:jc w:val="right"/>
            </w:pPr>
            <w:r>
              <w:rPr>
                <w:color w:val="1C3A36"/>
                <w:sz w:val="17"/>
              </w:rPr>
              <w:t>10.16</w:t>
            </w:r>
          </w:p>
        </w:tc>
        <w:tc>
          <w:tcPr>
            <w:tcW w:type="dxa" w:w="1224"/>
          </w:tcPr>
          <w:p>
            <w:pPr>
              <w:spacing w:after="20"/>
              <w:jc w:val="right"/>
            </w:pPr>
            <w:r>
              <w:rPr>
                <w:color w:val="1C3A36"/>
                <w:sz w:val="17"/>
              </w:rPr>
              <w:t>10.41</w:t>
            </w:r>
          </w:p>
        </w:tc>
        <w:tc>
          <w:tcPr>
            <w:tcW w:type="dxa" w:w="1224"/>
          </w:tcPr>
          <w:p>
            <w:pPr>
              <w:spacing w:after="20"/>
              <w:jc w:val="right"/>
            </w:pPr>
            <w:r>
              <w:rPr>
                <w:color w:val="1C3A36"/>
                <w:sz w:val="17"/>
              </w:rPr>
              <w:t>10.71</w:t>
            </w:r>
          </w:p>
        </w:tc>
      </w:tr>
      <w:tr>
        <w:tc>
          <w:tcPr>
            <w:tcW w:type="dxa" w:w="3384"/>
          </w:tcPr>
          <w:p>
            <w:pPr>
              <w:spacing w:after="20"/>
            </w:pPr>
            <w:r>
              <w:rPr>
                <w:color w:val="1C3A36"/>
                <w:sz w:val="17"/>
              </w:rPr>
              <w:t>19.14%</w:t>
            </w:r>
          </w:p>
        </w:tc>
        <w:tc>
          <w:tcPr>
            <w:tcW w:type="dxa" w:w="1224"/>
          </w:tcPr>
          <w:p>
            <w:pPr>
              <w:spacing w:after="20"/>
              <w:jc w:val="right"/>
            </w:pPr>
            <w:r>
              <w:rPr>
                <w:color w:val="1C3A36"/>
                <w:sz w:val="17"/>
              </w:rPr>
              <w:t>9.41</w:t>
            </w:r>
          </w:p>
        </w:tc>
        <w:tc>
          <w:tcPr>
            <w:tcW w:type="dxa" w:w="1224"/>
          </w:tcPr>
          <w:p>
            <w:pPr>
              <w:spacing w:after="20"/>
              <w:jc w:val="right"/>
            </w:pPr>
            <w:r>
              <w:rPr>
                <w:color w:val="1C3A36"/>
                <w:sz w:val="17"/>
              </w:rPr>
              <w:t>9.56</w:t>
            </w:r>
          </w:p>
        </w:tc>
        <w:tc>
          <w:tcPr>
            <w:tcW w:type="dxa" w:w="1224"/>
          </w:tcPr>
          <w:p>
            <w:pPr>
              <w:spacing w:after="20"/>
              <w:jc w:val="right"/>
            </w:pPr>
            <w:r>
              <w:rPr>
                <w:color w:val="1C3A36"/>
                <w:sz w:val="17"/>
              </w:rPr>
              <w:t>9.74</w:t>
            </w:r>
          </w:p>
        </w:tc>
        <w:tc>
          <w:tcPr>
            <w:tcW w:type="dxa" w:w="1224"/>
          </w:tcPr>
          <w:p>
            <w:pPr>
              <w:spacing w:after="20"/>
              <w:jc w:val="right"/>
            </w:pPr>
            <w:r>
              <w:rPr>
                <w:color w:val="1C3A36"/>
                <w:sz w:val="17"/>
              </w:rPr>
              <w:t>9.94</w:t>
            </w:r>
          </w:p>
        </w:tc>
        <w:tc>
          <w:tcPr>
            <w:tcW w:type="dxa" w:w="1224"/>
          </w:tcPr>
          <w:p>
            <w:pPr>
              <w:spacing w:after="20"/>
              <w:jc w:val="right"/>
            </w:pPr>
            <w:r>
              <w:rPr>
                <w:color w:val="1C3A36"/>
                <w:sz w:val="17"/>
              </w:rPr>
              <w:t>10.18</w:t>
            </w:r>
          </w:p>
        </w:tc>
      </w:tr>
      <w:tr>
        <w:tc>
          <w:tcPr>
            <w:tcW w:type="dxa" w:w="3384"/>
          </w:tcPr>
          <w:p>
            <w:pPr>
              <w:spacing w:after="20"/>
            </w:pPr>
            <w:r>
              <w:rPr>
                <w:color w:val="1C3A36"/>
                <w:sz w:val="17"/>
              </w:rPr>
              <w:t>20.14%</w:t>
            </w:r>
          </w:p>
        </w:tc>
        <w:tc>
          <w:tcPr>
            <w:tcW w:type="dxa" w:w="1224"/>
          </w:tcPr>
          <w:p>
            <w:pPr>
              <w:spacing w:after="20"/>
              <w:jc w:val="right"/>
            </w:pPr>
            <w:r>
              <w:rPr>
                <w:color w:val="1C3A36"/>
                <w:sz w:val="17"/>
              </w:rPr>
              <w:t>9.10</w:t>
            </w:r>
          </w:p>
        </w:tc>
        <w:tc>
          <w:tcPr>
            <w:tcW w:type="dxa" w:w="1224"/>
          </w:tcPr>
          <w:p>
            <w:pPr>
              <w:spacing w:after="20"/>
              <w:jc w:val="right"/>
            </w:pPr>
            <w:r>
              <w:rPr>
                <w:color w:val="1C3A36"/>
                <w:sz w:val="17"/>
              </w:rPr>
              <w:t>9.23</w:t>
            </w:r>
          </w:p>
        </w:tc>
        <w:tc>
          <w:tcPr>
            <w:tcW w:type="dxa" w:w="1224"/>
          </w:tcPr>
          <w:p>
            <w:pPr>
              <w:spacing w:after="20"/>
              <w:jc w:val="right"/>
            </w:pPr>
            <w:r>
              <w:rPr>
                <w:color w:val="1C3A36"/>
                <w:sz w:val="17"/>
              </w:rPr>
              <w:t>9.38</w:t>
            </w:r>
          </w:p>
        </w:tc>
        <w:tc>
          <w:tcPr>
            <w:tcW w:type="dxa" w:w="1224"/>
          </w:tcPr>
          <w:p>
            <w:pPr>
              <w:spacing w:after="20"/>
              <w:jc w:val="right"/>
            </w:pPr>
            <w:r>
              <w:rPr>
                <w:color w:val="1C3A36"/>
                <w:sz w:val="17"/>
              </w:rPr>
              <w:t>9.54</w:t>
            </w:r>
          </w:p>
        </w:tc>
        <w:tc>
          <w:tcPr>
            <w:tcW w:type="dxa" w:w="1224"/>
          </w:tcPr>
          <w:p>
            <w:pPr>
              <w:spacing w:after="20"/>
              <w:jc w:val="right"/>
            </w:pPr>
            <w:r>
              <w:rPr>
                <w:color w:val="1C3A36"/>
                <w:sz w:val="17"/>
              </w:rPr>
              <w:t>9.74</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are not a single lever moved twice — they are FIVE drivers moved together, which is why they are much wider than any single row in Table 15. They are joint-worst and joint-best cases and no probability attaches to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1.0%</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0.97x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1.03x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2.0%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-2.0%</w:t>
            </w:r>
          </w:p>
        </w:tc>
      </w:tr>
      <w:tr>
        <w:tc>
          <w:tcPr>
            <w:tcW w:type="dxa" w:w="4392"/>
          </w:tcPr>
          <w:p>
            <w:pPr>
              <w:spacing w:after="20"/>
            </w:pPr>
            <w:r>
              <w:rPr>
                <w:color w:val="1C3A36"/>
                <w:sz w:val="17"/>
              </w:rPr>
              <w:t>Terminal growth rate</w:t>
            </w:r>
          </w:p>
        </w:tc>
        <w:tc>
          <w:tcPr>
            <w:tcW w:type="dxa" w:w="1512"/>
          </w:tcPr>
          <w:p>
            <w:pPr>
              <w:spacing w:after="20"/>
              <w:jc w:val="right"/>
            </w:pPr>
            <w:r>
              <w:rPr>
                <w:color w:val="1C3A36"/>
                <w:sz w:val="17"/>
              </w:rPr>
              <w:t>3.0%</w:t>
            </w:r>
          </w:p>
        </w:tc>
        <w:tc>
          <w:tcPr>
            <w:tcW w:type="dxa" w:w="1512"/>
          </w:tcPr>
          <w:p>
            <w:pPr>
              <w:spacing w:after="20"/>
              <w:jc w:val="right"/>
            </w:pPr>
            <w:r>
              <w:rPr>
                <w:color w:val="1C3A36"/>
                <w:sz w:val="17"/>
              </w:rPr>
              <w:t>7%</w:t>
            </w:r>
          </w:p>
        </w:tc>
        <w:tc>
          <w:tcPr>
            <w:tcW w:type="dxa" w:w="1512"/>
          </w:tcPr>
          <w:p>
            <w:pPr>
              <w:spacing w:after="20"/>
              <w:jc w:val="right"/>
            </w:pPr>
            <w:r>
              <w:rPr>
                <w:color w:val="1C3A36"/>
                <w:sz w:val="17"/>
              </w:rPr>
              <w:t>6.0%</w:t>
            </w:r>
          </w:p>
        </w:tc>
      </w:tr>
      <w:tr>
        <w:tc>
          <w:tcPr>
            <w:tcW w:type="dxa" w:w="4392"/>
            <w:shd w:val="clear" w:color="auto" w:fill="F6F1E6"/>
          </w:tcPr>
          <w:p>
            <w:pPr>
              <w:spacing w:after="20"/>
            </w:pPr>
            <w:r>
              <w:rPr>
                <w:b/>
                <w:color w:val="1C3A36"/>
                <w:sz w:val="17"/>
              </w:rPr>
              <w:t>RESULTING FAIR VALUE, cash-flow lens</w:t>
            </w:r>
          </w:p>
        </w:tc>
        <w:tc>
          <w:tcPr>
            <w:tcW w:type="dxa" w:w="1512"/>
            <w:shd w:val="clear" w:color="auto" w:fill="F6F1E6"/>
          </w:tcPr>
          <w:p>
            <w:pPr>
              <w:spacing w:after="20"/>
              <w:jc w:val="right"/>
            </w:pPr>
            <w:r>
              <w:rPr>
                <w:b/>
                <w:color w:val="1C3A36"/>
                <w:sz w:val="17"/>
              </w:rPr>
              <w:t>4.88</w:t>
            </w:r>
          </w:p>
        </w:tc>
        <w:tc>
          <w:tcPr>
            <w:tcW w:type="dxa" w:w="1512"/>
            <w:shd w:val="clear" w:color="auto" w:fill="F6F1E6"/>
          </w:tcPr>
          <w:p>
            <w:pPr>
              <w:spacing w:after="20"/>
              <w:jc w:val="right"/>
            </w:pPr>
            <w:r>
              <w:rPr>
                <w:b/>
                <w:color w:val="1C3A36"/>
                <w:sz w:val="17"/>
              </w:rPr>
              <w:t>9.77</w:t>
            </w:r>
          </w:p>
        </w:tc>
        <w:tc>
          <w:tcPr>
            <w:tcW w:type="dxa" w:w="1512"/>
            <w:shd w:val="clear" w:color="auto" w:fill="F6F1E6"/>
          </w:tcPr>
          <w:p>
            <w:pPr>
              <w:spacing w:after="20"/>
              <w:jc w:val="right"/>
            </w:pPr>
            <w:r>
              <w:rPr>
                <w:b/>
                <w:color w:val="1C3A36"/>
                <w:sz w:val="17"/>
              </w:rPr>
              <w:t>16.44</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2.97 times enterprise value to EBITDA and 7.1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2.97 times TRAILING EBITDA through the same bridge: EGP 8.32.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1.679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8.39.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1.28 times = (sustainable return 28% less growth) over (cost of equity 23.39% less growth), on book value of EGP 4.70: EGP 6.02.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-34.6%</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6.56</w:t>
            </w:r>
          </w:p>
        </w:tc>
        <w:tc>
          <w:tcPr>
            <w:tcW w:type="dxa" w:w="1224"/>
          </w:tcPr>
          <w:p>
            <w:pPr>
              <w:spacing w:after="20"/>
              <w:jc w:val="right"/>
            </w:pPr>
            <w:r>
              <w:rPr>
                <w:color w:val="1C3A36"/>
                <w:sz w:val="17"/>
              </w:rPr>
              <w:t>-27.9%</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6.39</w:t>
            </w:r>
          </w:p>
        </w:tc>
        <w:tc>
          <w:tcPr>
            <w:tcW w:type="dxa" w:w="1224"/>
          </w:tcPr>
          <w:p>
            <w:pPr>
              <w:spacing w:after="20"/>
              <w:jc w:val="right"/>
            </w:pPr>
            <w:r>
              <w:rPr>
                <w:color w:val="1C3A36"/>
                <w:sz w:val="17"/>
              </w:rPr>
              <w:t>-29.8%</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6.16</w:t>
            </w:r>
          </w:p>
        </w:tc>
        <w:tc>
          <w:tcPr>
            <w:tcW w:type="dxa" w:w="1224"/>
          </w:tcPr>
          <w:p>
            <w:pPr>
              <w:spacing w:after="20"/>
              <w:jc w:val="right"/>
            </w:pPr>
            <w:r>
              <w:rPr>
                <w:color w:val="1C3A36"/>
                <w:sz w:val="17"/>
              </w:rPr>
              <w:t>-32.3%</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6.19</w:t>
            </w:r>
          </w:p>
        </w:tc>
        <w:tc>
          <w:tcPr>
            <w:tcW w:type="dxa" w:w="1224"/>
          </w:tcPr>
          <w:p>
            <w:pPr>
              <w:spacing w:after="20"/>
              <w:jc w:val="right"/>
            </w:pPr>
            <w:r>
              <w:rPr>
                <w:color w:val="1C3A36"/>
                <w:sz w:val="17"/>
              </w:rPr>
              <w:t>-32.0%</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5.97</w:t>
            </w:r>
          </w:p>
        </w:tc>
        <w:tc>
          <w:tcPr>
            <w:tcW w:type="dxa" w:w="1224"/>
          </w:tcPr>
          <w:p>
            <w:pPr>
              <w:spacing w:after="20"/>
              <w:jc w:val="right"/>
            </w:pPr>
            <w:r>
              <w:rPr>
                <w:color w:val="1C3A36"/>
                <w:sz w:val="17"/>
              </w:rPr>
              <w:t>-34.4%</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7.47</w:t>
            </w:r>
          </w:p>
        </w:tc>
        <w:tc>
          <w:tcPr>
            <w:tcW w:type="dxa" w:w="1224"/>
            <w:shd w:val="clear" w:color="auto" w:fill="F6F1E6"/>
          </w:tcPr>
          <w:p>
            <w:pPr>
              <w:spacing w:after="20"/>
              <w:jc w:val="right"/>
            </w:pPr>
            <w:r>
              <w:rPr>
                <w:b/>
                <w:color w:val="1C3A36"/>
                <w:sz w:val="17"/>
              </w:rPr>
              <w:t>-17.9%</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17.9%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8.63;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10.52.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9.10 a share on any internally consistent arithmetic this study can construct.</w:t>
      </w:r>
    </w:p>
    <w:p>
      <w:pPr>
        <w:spacing w:after="80" w:before="200"/>
      </w:pPr>
      <w:r>
        <w:rPr>
          <w:b/>
          <w:i w:val="0"/>
          <w:color w:val="1C3A36"/>
          <w:sz w:val="24"/>
        </w:rPr>
        <w:t>1.14  What a buyer at EGP 9.10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9.37% sustained in EVERY forecast year and in perpetuity, against a base year of 9.65% — that is a REDUCTION of 0.29%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9.37%.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9.10</w:t>
            </w:r>
          </w:p>
        </w:tc>
        <w:tc>
          <w:tcPr>
            <w:tcW w:type="dxa" w:w="2376"/>
          </w:tcPr>
          <w:p>
            <w:pPr>
              <w:spacing w:after="20"/>
              <w:jc w:val="right"/>
            </w:pPr>
            <w:r>
              <w:rPr>
                <w:color w:val="1C3A36"/>
                <w:sz w:val="17"/>
              </w:rPr>
              <w:t>100.0%</w:t>
            </w:r>
          </w:p>
        </w:tc>
        <w:tc>
          <w:tcPr>
            <w:tcW w:type="dxa" w:w="2376"/>
          </w:tcPr>
          <w:p>
            <w:pPr>
              <w:spacing w:after="20"/>
              <w:jc w:val="right"/>
            </w:pPr>
            <w:r>
              <w:rPr>
                <w:color w:val="1C3A36"/>
                <w:sz w:val="17"/>
              </w:rPr>
              <w:t>100.0%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8.64</w:t>
            </w:r>
          </w:p>
        </w:tc>
        <w:tc>
          <w:tcPr>
            <w:tcW w:type="dxa" w:w="2376"/>
          </w:tcPr>
          <w:p>
            <w:pPr>
              <w:spacing w:after="20"/>
              <w:jc w:val="right"/>
            </w:pPr>
            <w:r>
              <w:rPr>
                <w:color w:val="1C3A36"/>
                <w:sz w:val="17"/>
              </w:rPr>
              <w:t>61.9%</w:t>
            </w:r>
          </w:p>
        </w:tc>
        <w:tc>
          <w:tcPr>
            <w:tcW w:type="dxa" w:w="2376"/>
          </w:tcPr>
          <w:p>
            <w:pPr>
              <w:spacing w:after="20"/>
              <w:jc w:val="right"/>
            </w:pPr>
            <w:r>
              <w:rPr>
                <w:color w:val="1C3A36"/>
                <w:sz w:val="17"/>
              </w:rPr>
              <w:t>75.7%</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weighted fair value</w:t>
            </w:r>
          </w:p>
        </w:tc>
        <w:tc>
          <w:tcPr>
            <w:tcW w:type="dxa" w:w="3456"/>
          </w:tcPr>
          <w:p>
            <w:pPr>
              <w:spacing w:after="20"/>
            </w:pPr>
            <w:r>
              <w:rPr>
                <w:color w:val="1C3A36"/>
                <w:sz w:val="17"/>
              </w:rPr>
              <w:t>EGP 8.64  (range 5.53–12.48)</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9.10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1.16 on the cash-flow lens, and the filed record spans 514 basis points;</w:t>
      </w:r>
    </w:p>
    <w:p>
      <w:pPr>
        <w:pStyle w:val="ListBullet"/>
        <w:spacing w:after="60"/>
      </w:pPr>
      <w:r>
        <w:rPr>
          <w:b/>
          <w:color w:val="1C3A36"/>
          <w:sz w:val="21"/>
        </w:rPr>
        <w:t xml:space="preserve">THE REPORTED HALF — </w:t>
      </w:r>
      <w:r>
        <w:rPr>
          <w:color w:val="1C3A36"/>
          <w:sz w:val="21"/>
        </w:rPr>
        <w:t>the base year is half press release. Audited half-year statements that restate revenue or profit materially would move the whole build — and note the direction: the fully-audited nine-month alternative prices the central LOWER, not higher;</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fair value (under EGP 8.64)</w:t>
            </w:r>
          </w:p>
        </w:tc>
        <w:tc>
          <w:tcPr>
            <w:tcW w:type="dxa" w:w="2736"/>
          </w:tcPr>
          <w:p>
            <w:pPr>
              <w:spacing w:after="20"/>
              <w:jc w:val="right"/>
            </w:pPr>
            <w:r>
              <w:rPr>
                <w:color w:val="1C3A36"/>
                <w:sz w:val="18"/>
              </w:rPr>
              <w:t>32.8%</w:t>
            </w:r>
          </w:p>
        </w:tc>
      </w:tr>
      <w:tr>
        <w:tc>
          <w:tcPr>
            <w:tcW w:type="dxa" w:w="6048"/>
          </w:tcPr>
          <w:p>
            <w:pPr>
              <w:spacing w:after="20"/>
            </w:pPr>
            <w:r>
              <w:rPr>
                <w:color w:val="1C3A36"/>
                <w:sz w:val="18"/>
              </w:rPr>
              <w:t>EGP 8.64 to 7.50</w:t>
            </w:r>
          </w:p>
        </w:tc>
        <w:tc>
          <w:tcPr>
            <w:tcW w:type="dxa" w:w="2736"/>
          </w:tcPr>
          <w:p>
            <w:pPr>
              <w:spacing w:after="20"/>
              <w:jc w:val="right"/>
            </w:pPr>
            <w:r>
              <w:rPr>
                <w:color w:val="1C3A36"/>
                <w:sz w:val="18"/>
              </w:rPr>
              <w:t>-19.1%</w:t>
            </w:r>
          </w:p>
        </w:tc>
      </w:tr>
      <w:tr>
        <w:tc>
          <w:tcPr>
            <w:tcW w:type="dxa" w:w="6048"/>
          </w:tcPr>
          <w:p>
            <w:pPr>
              <w:spacing w:after="20"/>
            </w:pPr>
            <w:r>
              <w:rPr>
                <w:color w:val="1C3A36"/>
                <w:sz w:val="18"/>
              </w:rPr>
              <w:t>EGP 7.50 to 9.10</w:t>
            </w:r>
          </w:p>
        </w:tc>
        <w:tc>
          <w:tcPr>
            <w:tcW w:type="dxa" w:w="2736"/>
          </w:tcPr>
          <w:p>
            <w:pPr>
              <w:spacing w:after="20"/>
              <w:jc w:val="right"/>
            </w:pPr>
            <w:r>
              <w:rPr>
                <w:color w:val="1C3A36"/>
                <w:sz w:val="18"/>
              </w:rPr>
              <w:t>30.7%</w:t>
            </w:r>
          </w:p>
        </w:tc>
      </w:tr>
      <w:tr>
        <w:tc>
          <w:tcPr>
            <w:tcW w:type="dxa" w:w="6048"/>
          </w:tcPr>
          <w:p>
            <w:pPr>
              <w:spacing w:after="20"/>
            </w:pPr>
            <w:r>
              <w:rPr>
                <w:color w:val="1C3A36"/>
                <w:sz w:val="18"/>
              </w:rPr>
              <w:t>EGP 9.10 to 11.00</w:t>
            </w:r>
          </w:p>
        </w:tc>
        <w:tc>
          <w:tcPr>
            <w:tcW w:type="dxa" w:w="2736"/>
          </w:tcPr>
          <w:p>
            <w:pPr>
              <w:spacing w:after="20"/>
              <w:jc w:val="right"/>
            </w:pPr>
            <w:r>
              <w:rPr>
                <w:color w:val="1C3A36"/>
                <w:sz w:val="18"/>
              </w:rPr>
              <w:t>36.3%</w:t>
            </w:r>
          </w:p>
        </w:tc>
      </w:tr>
      <w:tr>
        <w:tc>
          <w:tcPr>
            <w:tcW w:type="dxa" w:w="6048"/>
          </w:tcPr>
          <w:p>
            <w:pPr>
              <w:spacing w:after="20"/>
            </w:pPr>
            <w:r>
              <w:rPr>
                <w:color w:val="1C3A36"/>
                <w:sz w:val="18"/>
              </w:rPr>
              <w:t>Above EGP 11.00</w:t>
            </w:r>
          </w:p>
        </w:tc>
        <w:tc>
          <w:tcPr>
            <w:tcW w:type="dxa" w:w="2736"/>
          </w:tcPr>
          <w:p>
            <w:pPr>
              <w:spacing w:after="20"/>
              <w:jc w:val="right"/>
            </w:pPr>
            <w:r>
              <w:rPr>
                <w:color w:val="1C3A36"/>
                <w:sz w:val="18"/>
              </w:rPr>
              <w:t>19.3%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36%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1037"/>
        <w:gridCol w:w="950"/>
        <w:gridCol w:w="950"/>
        <w:gridCol w:w="950"/>
        <w:gridCol w:w="950"/>
        <w:gridCol w:w="950"/>
      </w:tblGrid>
      <w:tr>
        <w:tc>
          <w:tcPr>
            <w:tcW w:type="dxa" w:w="2160"/>
            <w:shd w:val="clear" w:color="auto" w:fill="EAF0EE"/>
          </w:tcPr>
          <w:p>
            <w:pPr>
              <w:spacing w:after="20"/>
            </w:pPr>
            <w:r>
              <w:rPr>
                <w:b/>
                <w:color w:val="1C3A36"/>
                <w:sz w:val="15"/>
              </w:rPr>
            </w:r>
          </w:p>
        </w:tc>
        <w:tc>
          <w:tcPr>
            <w:tcW w:type="dxa" w:w="1037"/>
            <w:shd w:val="clear" w:color="auto" w:fill="EAF0EE"/>
          </w:tcPr>
          <w:p>
            <w:pPr>
              <w:spacing w:after="20"/>
            </w:pPr>
            <w:r>
              <w:rPr>
                <w:b/>
                <w:color w:val="1C3A36"/>
                <w:sz w:val="15"/>
              </w:rPr>
              <w:t>6M Dec-2024</w:t>
            </w:r>
          </w:p>
        </w:tc>
        <w:tc>
          <w:tcPr>
            <w:tcW w:type="dxa" w:w="1037"/>
            <w:shd w:val="clear" w:color="auto" w:fill="EAF0EE"/>
          </w:tcPr>
          <w:p>
            <w:pPr>
              <w:spacing w:after="20"/>
            </w:pPr>
            <w:r>
              <w:rPr>
                <w:b/>
                <w:color w:val="1C3A36"/>
                <w:sz w:val="15"/>
              </w:rPr>
              <w:t>3M Mar-2025</w:t>
            </w:r>
          </w:p>
        </w:tc>
        <w:tc>
          <w:tcPr>
            <w:tcW w:type="dxa" w:w="1037"/>
            <w:shd w:val="clear" w:color="auto" w:fill="EAF0EE"/>
          </w:tcPr>
          <w:p>
            <w:pPr>
              <w:spacing w:after="20"/>
            </w:pPr>
            <w:r>
              <w:rPr>
                <w:b/>
                <w:color w:val="1C3A36"/>
                <w:sz w:val="15"/>
              </w:rPr>
              <w:t>6M Dec-2025</w:t>
            </w:r>
          </w:p>
        </w:tc>
        <w:tc>
          <w:tcPr>
            <w:tcW w:type="dxa" w:w="1037"/>
            <w:shd w:val="clear" w:color="auto" w:fill="EAF0EE"/>
          </w:tcPr>
          <w:p>
            <w:pPr>
              <w:spacing w:after="20"/>
            </w:pPr>
            <w:r>
              <w:rPr>
                <w:b/>
                <w:color w:val="1C3A36"/>
                <w:sz w:val="15"/>
              </w:rPr>
              <w:t>3M Mar-2026</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c>
          <w:tcPr>
            <w:tcW w:type="dxa" w:w="2160"/>
          </w:tcPr>
          <w:p>
            <w:pPr>
              <w:spacing w:after="20"/>
            </w:pPr>
            <w:r>
              <w:rPr>
                <w:color w:val="1C3A36"/>
                <w:sz w:val="15"/>
              </w:rPr>
              <w:t>Net sales</w:t>
            </w:r>
          </w:p>
        </w:tc>
        <w:tc>
          <w:tcPr>
            <w:tcW w:type="dxa" w:w="1037"/>
          </w:tcPr>
          <w:p>
            <w:pPr>
              <w:spacing w:after="20"/>
              <w:jc w:val="right"/>
            </w:pPr>
            <w:r>
              <w:rPr>
                <w:color w:val="1C3A36"/>
                <w:sz w:val="15"/>
              </w:rPr>
              <w:t>18,246</w:t>
            </w:r>
          </w:p>
        </w:tc>
        <w:tc>
          <w:tcPr>
            <w:tcW w:type="dxa" w:w="1037"/>
          </w:tcPr>
          <w:p>
            <w:pPr>
              <w:spacing w:after="20"/>
              <w:jc w:val="right"/>
            </w:pPr>
            <w:r>
              <w:rPr>
                <w:color w:val="1C3A36"/>
                <w:sz w:val="15"/>
              </w:rPr>
              <w:t>10,068</w:t>
            </w:r>
          </w:p>
        </w:tc>
        <w:tc>
          <w:tcPr>
            <w:tcW w:type="dxa" w:w="1037"/>
          </w:tcPr>
          <w:p>
            <w:pPr>
              <w:spacing w:after="20"/>
              <w:jc w:val="right"/>
            </w:pPr>
            <w:r>
              <w:rPr>
                <w:color w:val="1C3A36"/>
                <w:sz w:val="15"/>
              </w:rPr>
              <w:t>20,736</w:t>
            </w:r>
          </w:p>
        </w:tc>
        <w:tc>
          <w:tcPr>
            <w:tcW w:type="dxa" w:w="1037"/>
          </w:tcPr>
          <w:p>
            <w:pPr>
              <w:spacing w:after="20"/>
              <w:jc w:val="right"/>
            </w:pPr>
            <w:r>
              <w:rPr>
                <w:color w:val="1C3A36"/>
                <w:sz w:val="15"/>
              </w:rPr>
              <w:t>10,511</w:t>
            </w:r>
          </w:p>
        </w:tc>
        <w:tc>
          <w:tcPr>
            <w:tcW w:type="dxa" w:w="950"/>
          </w:tcPr>
          <w:p>
            <w:pPr>
              <w:spacing w:after="20"/>
              <w:jc w:val="right"/>
            </w:pPr>
            <w:r>
              <w:rPr>
                <w:color w:val="1C3A36"/>
                <w:sz w:val="15"/>
              </w:rPr>
              <w:t>52,456</w:t>
            </w:r>
          </w:p>
        </w:tc>
        <w:tc>
          <w:tcPr>
            <w:tcW w:type="dxa" w:w="950"/>
          </w:tcPr>
          <w:p>
            <w:pPr>
              <w:spacing w:after="20"/>
              <w:jc w:val="right"/>
            </w:pPr>
            <w:r>
              <w:rPr>
                <w:color w:val="1C3A36"/>
                <w:sz w:val="15"/>
              </w:rPr>
              <w:t>57,830</w:t>
            </w:r>
          </w:p>
        </w:tc>
        <w:tc>
          <w:tcPr>
            <w:tcW w:type="dxa" w:w="950"/>
          </w:tcPr>
          <w:p>
            <w:pPr>
              <w:spacing w:after="20"/>
              <w:jc w:val="right"/>
            </w:pPr>
            <w:r>
              <w:rPr>
                <w:color w:val="1C3A36"/>
                <w:sz w:val="15"/>
              </w:rPr>
              <w:t>62,908</w:t>
            </w:r>
          </w:p>
        </w:tc>
        <w:tc>
          <w:tcPr>
            <w:tcW w:type="dxa" w:w="950"/>
          </w:tcPr>
          <w:p>
            <w:pPr>
              <w:spacing w:after="20"/>
              <w:jc w:val="right"/>
            </w:pPr>
            <w:r>
              <w:rPr>
                <w:color w:val="1C3A36"/>
                <w:sz w:val="15"/>
              </w:rPr>
              <w:t>67,511</w:t>
            </w:r>
          </w:p>
        </w:tc>
        <w:tc>
          <w:tcPr>
            <w:tcW w:type="dxa" w:w="950"/>
          </w:tcPr>
          <w:p>
            <w:pPr>
              <w:spacing w:after="20"/>
              <w:jc w:val="right"/>
            </w:pPr>
            <w:r>
              <w:rPr>
                <w:color w:val="1C3A36"/>
                <w:sz w:val="15"/>
              </w:rPr>
              <w:t>72,121</w:t>
            </w:r>
          </w:p>
        </w:tc>
      </w:tr>
      <w:tr>
        <w:tc>
          <w:tcPr>
            <w:tcW w:type="dxa" w:w="2160"/>
          </w:tcPr>
          <w:p>
            <w:pPr>
              <w:spacing w:after="20"/>
            </w:pPr>
            <w:r>
              <w:rPr>
                <w:color w:val="1C3A36"/>
                <w:sz w:val="15"/>
              </w:rPr>
              <w:t>Cost of sales</w:t>
            </w:r>
          </w:p>
        </w:tc>
        <w:tc>
          <w:tcPr>
            <w:tcW w:type="dxa" w:w="1037"/>
          </w:tcPr>
          <w:p>
            <w:pPr>
              <w:spacing w:after="20"/>
              <w:jc w:val="right"/>
            </w:pPr>
            <w:r>
              <w:rPr>
                <w:color w:val="1C3A36"/>
                <w:sz w:val="15"/>
              </w:rPr>
              <w:t>16,995</w:t>
            </w:r>
          </w:p>
        </w:tc>
        <w:tc>
          <w:tcPr>
            <w:tcW w:type="dxa" w:w="1037"/>
          </w:tcPr>
          <w:p>
            <w:pPr>
              <w:spacing w:after="20"/>
              <w:jc w:val="right"/>
            </w:pPr>
            <w:r>
              <w:rPr>
                <w:color w:val="1C3A36"/>
                <w:sz w:val="15"/>
              </w:rPr>
              <w:t>9,560</w:t>
            </w:r>
          </w:p>
        </w:tc>
        <w:tc>
          <w:tcPr>
            <w:tcW w:type="dxa" w:w="1037"/>
          </w:tcPr>
          <w:p>
            <w:pPr>
              <w:spacing w:after="20"/>
              <w:jc w:val="right"/>
            </w:pPr>
            <w:r>
              <w:rPr>
                <w:color w:val="1C3A36"/>
                <w:sz w:val="15"/>
              </w:rPr>
              <w:t>19,462</w:t>
            </w:r>
          </w:p>
        </w:tc>
        <w:tc>
          <w:tcPr>
            <w:tcW w:type="dxa" w:w="1037"/>
          </w:tcPr>
          <w:p>
            <w:pPr>
              <w:spacing w:after="20"/>
              <w:jc w:val="right"/>
            </w:pPr>
            <w:r>
              <w:rPr>
                <w:color w:val="1C3A36"/>
                <w:sz w:val="15"/>
              </w:rPr>
              <w:t>9,440</w:t>
            </w:r>
          </w:p>
        </w:tc>
        <w:tc>
          <w:tcPr>
            <w:tcW w:type="dxa" w:w="950"/>
          </w:tcPr>
          <w:p>
            <w:pPr>
              <w:spacing w:after="20"/>
              <w:jc w:val="right"/>
            </w:pPr>
            <w:r>
              <w:rPr>
                <w:color w:val="1C3A36"/>
                <w:sz w:val="15"/>
              </w:rPr>
              <w:t>47,476</w:t>
            </w:r>
          </w:p>
        </w:tc>
        <w:tc>
          <w:tcPr>
            <w:tcW w:type="dxa" w:w="950"/>
          </w:tcPr>
          <w:p>
            <w:pPr>
              <w:spacing w:after="20"/>
              <w:jc w:val="right"/>
            </w:pPr>
            <w:r>
              <w:rPr>
                <w:color w:val="1C3A36"/>
                <w:sz w:val="15"/>
              </w:rPr>
              <w:t>52,437</w:t>
            </w:r>
          </w:p>
        </w:tc>
        <w:tc>
          <w:tcPr>
            <w:tcW w:type="dxa" w:w="950"/>
          </w:tcPr>
          <w:p>
            <w:pPr>
              <w:spacing w:after="20"/>
              <w:jc w:val="right"/>
            </w:pPr>
            <w:r>
              <w:rPr>
                <w:color w:val="1C3A36"/>
                <w:sz w:val="15"/>
              </w:rPr>
              <w:t>57,154</w:t>
            </w:r>
          </w:p>
        </w:tc>
        <w:tc>
          <w:tcPr>
            <w:tcW w:type="dxa" w:w="950"/>
          </w:tcPr>
          <w:p>
            <w:pPr>
              <w:spacing w:after="20"/>
              <w:jc w:val="right"/>
            </w:pPr>
            <w:r>
              <w:rPr>
                <w:color w:val="1C3A36"/>
                <w:sz w:val="15"/>
              </w:rPr>
              <w:t>61,463</w:t>
            </w:r>
          </w:p>
        </w:tc>
        <w:tc>
          <w:tcPr>
            <w:tcW w:type="dxa" w:w="950"/>
          </w:tcPr>
          <w:p>
            <w:pPr>
              <w:spacing w:after="20"/>
              <w:jc w:val="right"/>
            </w:pPr>
            <w:r>
              <w:rPr>
                <w:color w:val="1C3A36"/>
                <w:sz w:val="15"/>
              </w:rPr>
              <w:t>65,800</w:t>
            </w:r>
          </w:p>
        </w:tc>
      </w:tr>
      <w:tr>
        <w:tc>
          <w:tcPr>
            <w:tcW w:type="dxa" w:w="2160"/>
          </w:tcPr>
          <w:p>
            <w:pPr>
              <w:spacing w:after="20"/>
            </w:pPr>
            <w:r>
              <w:rPr>
                <w:color w:val="1C3A36"/>
                <w:sz w:val="15"/>
              </w:rPr>
              <w:t>Gross profit</w:t>
            </w:r>
          </w:p>
        </w:tc>
        <w:tc>
          <w:tcPr>
            <w:tcW w:type="dxa" w:w="1037"/>
          </w:tcPr>
          <w:p>
            <w:pPr>
              <w:spacing w:after="20"/>
              <w:jc w:val="right"/>
            </w:pPr>
            <w:r>
              <w:rPr>
                <w:color w:val="1C3A36"/>
                <w:sz w:val="15"/>
              </w:rPr>
              <w:t>1,251</w:t>
            </w:r>
          </w:p>
        </w:tc>
        <w:tc>
          <w:tcPr>
            <w:tcW w:type="dxa" w:w="1037"/>
          </w:tcPr>
          <w:p>
            <w:pPr>
              <w:spacing w:after="20"/>
              <w:jc w:val="right"/>
            </w:pPr>
            <w:r>
              <w:rPr>
                <w:color w:val="1C3A36"/>
                <w:sz w:val="15"/>
              </w:rPr>
              <w:t>509</w:t>
            </w:r>
          </w:p>
        </w:tc>
        <w:tc>
          <w:tcPr>
            <w:tcW w:type="dxa" w:w="1037"/>
          </w:tcPr>
          <w:p>
            <w:pPr>
              <w:spacing w:after="20"/>
              <w:jc w:val="right"/>
            </w:pPr>
            <w:r>
              <w:rPr>
                <w:color w:val="1C3A36"/>
                <w:sz w:val="15"/>
              </w:rPr>
              <w:t>1,274</w:t>
            </w:r>
          </w:p>
        </w:tc>
        <w:tc>
          <w:tcPr>
            <w:tcW w:type="dxa" w:w="1037"/>
          </w:tcPr>
          <w:p>
            <w:pPr>
              <w:spacing w:after="20"/>
              <w:jc w:val="right"/>
            </w:pPr>
            <w:r>
              <w:rPr>
                <w:color w:val="1C3A36"/>
                <w:sz w:val="15"/>
              </w:rPr>
              <w:t>1,071</w:t>
            </w:r>
          </w:p>
        </w:tc>
        <w:tc>
          <w:tcPr>
            <w:tcW w:type="dxa" w:w="950"/>
          </w:tcPr>
          <w:p>
            <w:pPr>
              <w:spacing w:after="20"/>
              <w:jc w:val="right"/>
            </w:pPr>
            <w:r>
              <w:rPr>
                <w:color w:val="1C3A36"/>
                <w:sz w:val="15"/>
              </w:rPr>
              <w:t>4,980</w:t>
            </w:r>
          </w:p>
        </w:tc>
        <w:tc>
          <w:tcPr>
            <w:tcW w:type="dxa" w:w="950"/>
          </w:tcPr>
          <w:p>
            <w:pPr>
              <w:spacing w:after="20"/>
              <w:jc w:val="right"/>
            </w:pPr>
            <w:r>
              <w:rPr>
                <w:color w:val="1C3A36"/>
                <w:sz w:val="15"/>
              </w:rPr>
              <w:t>5,393</w:t>
            </w:r>
          </w:p>
        </w:tc>
        <w:tc>
          <w:tcPr>
            <w:tcW w:type="dxa" w:w="950"/>
          </w:tcPr>
          <w:p>
            <w:pPr>
              <w:spacing w:after="20"/>
              <w:jc w:val="right"/>
            </w:pPr>
            <w:r>
              <w:rPr>
                <w:color w:val="1C3A36"/>
                <w:sz w:val="15"/>
              </w:rPr>
              <w:t>5,754</w:t>
            </w:r>
          </w:p>
        </w:tc>
        <w:tc>
          <w:tcPr>
            <w:tcW w:type="dxa" w:w="950"/>
          </w:tcPr>
          <w:p>
            <w:pPr>
              <w:spacing w:after="20"/>
              <w:jc w:val="right"/>
            </w:pPr>
            <w:r>
              <w:rPr>
                <w:color w:val="1C3A36"/>
                <w:sz w:val="15"/>
              </w:rPr>
              <w:t>6,048</w:t>
            </w:r>
          </w:p>
        </w:tc>
        <w:tc>
          <w:tcPr>
            <w:tcW w:type="dxa" w:w="950"/>
          </w:tcPr>
          <w:p>
            <w:pPr>
              <w:spacing w:after="20"/>
              <w:jc w:val="right"/>
            </w:pPr>
            <w:r>
              <w:rPr>
                <w:color w:val="1C3A36"/>
                <w:sz w:val="15"/>
              </w:rPr>
              <w:t>6,321</w:t>
            </w:r>
          </w:p>
        </w:tc>
      </w:tr>
      <w:tr>
        <w:tc>
          <w:tcPr>
            <w:tcW w:type="dxa" w:w="2160"/>
          </w:tcPr>
          <w:p>
            <w:pPr>
              <w:spacing w:after="20"/>
            </w:pPr>
            <w:r>
              <w:rPr>
                <w:color w:val="1C3A36"/>
                <w:sz w:val="15"/>
              </w:rPr>
              <w:t>Gross margin</w:t>
            </w:r>
          </w:p>
        </w:tc>
        <w:tc>
          <w:tcPr>
            <w:tcW w:type="dxa" w:w="1037"/>
          </w:tcPr>
          <w:p>
            <w:pPr>
              <w:spacing w:after="20"/>
              <w:jc w:val="right"/>
            </w:pPr>
            <w:r>
              <w:rPr>
                <w:color w:val="1C3A36"/>
                <w:sz w:val="15"/>
              </w:rPr>
              <w:t>6.9%</w:t>
            </w:r>
          </w:p>
        </w:tc>
        <w:tc>
          <w:tcPr>
            <w:tcW w:type="dxa" w:w="1037"/>
          </w:tcPr>
          <w:p>
            <w:pPr>
              <w:spacing w:after="20"/>
              <w:jc w:val="right"/>
            </w:pPr>
            <w:r>
              <w:rPr>
                <w:color w:val="1C3A36"/>
                <w:sz w:val="15"/>
              </w:rPr>
              <w:t>5.1%</w:t>
            </w:r>
          </w:p>
        </w:tc>
        <w:tc>
          <w:tcPr>
            <w:tcW w:type="dxa" w:w="1037"/>
          </w:tcPr>
          <w:p>
            <w:pPr>
              <w:spacing w:after="20"/>
              <w:jc w:val="right"/>
            </w:pPr>
            <w:r>
              <w:rPr>
                <w:color w:val="1C3A36"/>
                <w:sz w:val="15"/>
              </w:rPr>
              <w:t>6.1%</w:t>
            </w:r>
          </w:p>
        </w:tc>
        <w:tc>
          <w:tcPr>
            <w:tcW w:type="dxa" w:w="1037"/>
          </w:tcPr>
          <w:p>
            <w:pPr>
              <w:spacing w:after="20"/>
              <w:jc w:val="right"/>
            </w:pPr>
            <w:r>
              <w:rPr>
                <w:color w:val="1C3A36"/>
                <w:sz w:val="15"/>
              </w:rPr>
              <w:t>10.2%</w:t>
            </w:r>
          </w:p>
        </w:tc>
        <w:tc>
          <w:tcPr>
            <w:tcW w:type="dxa" w:w="950"/>
          </w:tcPr>
          <w:p>
            <w:pPr>
              <w:spacing w:after="20"/>
              <w:jc w:val="right"/>
            </w:pPr>
            <w:r>
              <w:rPr>
                <w:color w:val="1C3A36"/>
                <w:sz w:val="15"/>
              </w:rPr>
              <w:t>9.5%</w:t>
            </w:r>
          </w:p>
        </w:tc>
        <w:tc>
          <w:tcPr>
            <w:tcW w:type="dxa" w:w="950"/>
          </w:tcPr>
          <w:p>
            <w:pPr>
              <w:spacing w:after="20"/>
              <w:jc w:val="right"/>
            </w:pPr>
            <w:r>
              <w:rPr>
                <w:color w:val="1C3A36"/>
                <w:sz w:val="15"/>
              </w:rPr>
              <w:t>9.3%</w:t>
            </w:r>
          </w:p>
        </w:tc>
        <w:tc>
          <w:tcPr>
            <w:tcW w:type="dxa" w:w="950"/>
          </w:tcPr>
          <w:p>
            <w:pPr>
              <w:spacing w:after="20"/>
              <w:jc w:val="right"/>
            </w:pPr>
            <w:r>
              <w:rPr>
                <w:color w:val="1C3A36"/>
                <w:sz w:val="15"/>
              </w:rPr>
              <w:t>9.1%</w:t>
            </w:r>
          </w:p>
        </w:tc>
        <w:tc>
          <w:tcPr>
            <w:tcW w:type="dxa" w:w="950"/>
          </w:tcPr>
          <w:p>
            <w:pPr>
              <w:spacing w:after="20"/>
              <w:jc w:val="right"/>
            </w:pPr>
            <w:r>
              <w:rPr>
                <w:color w:val="1C3A36"/>
                <w:sz w:val="15"/>
              </w:rPr>
              <w:t>9.0%</w:t>
            </w:r>
          </w:p>
        </w:tc>
        <w:tc>
          <w:tcPr>
            <w:tcW w:type="dxa" w:w="950"/>
          </w:tcPr>
          <w:p>
            <w:pPr>
              <w:spacing w:after="20"/>
              <w:jc w:val="right"/>
            </w:pPr>
            <w:r>
              <w:rPr>
                <w:color w:val="1C3A36"/>
                <w:sz w:val="15"/>
              </w:rPr>
              <w:t>8.8%</w:t>
            </w:r>
          </w:p>
        </w:tc>
      </w:tr>
      <w:tr>
        <w:tc>
          <w:tcPr>
            <w:tcW w:type="dxa" w:w="2160"/>
          </w:tcPr>
          <w:p>
            <w:pPr>
              <w:spacing w:after="20"/>
            </w:pPr>
            <w:r>
              <w:rPr>
                <w:color w:val="1C3A36"/>
                <w:sz w:val="15"/>
              </w:rPr>
              <w:t>Operating profit</w:t>
            </w:r>
          </w:p>
        </w:tc>
        <w:tc>
          <w:tcPr>
            <w:tcW w:type="dxa" w:w="1037"/>
          </w:tcPr>
          <w:p>
            <w:pPr>
              <w:spacing w:after="20"/>
              <w:jc w:val="right"/>
            </w:pPr>
            <w:r>
              <w:rPr>
                <w:color w:val="1C3A36"/>
                <w:sz w:val="15"/>
              </w:rPr>
              <w:t>744</w:t>
            </w:r>
          </w:p>
        </w:tc>
        <w:tc>
          <w:tcPr>
            <w:tcW w:type="dxa" w:w="1037"/>
          </w:tcPr>
          <w:p>
            <w:pPr>
              <w:spacing w:after="20"/>
              <w:jc w:val="right"/>
            </w:pPr>
            <w:r>
              <w:rPr>
                <w:color w:val="1C3A36"/>
                <w:sz w:val="15"/>
              </w:rPr>
              <w:t>247</w:t>
            </w:r>
          </w:p>
        </w:tc>
        <w:tc>
          <w:tcPr>
            <w:tcW w:type="dxa" w:w="1037"/>
          </w:tcPr>
          <w:p>
            <w:pPr>
              <w:spacing w:after="20"/>
              <w:jc w:val="right"/>
            </w:pPr>
            <w:r>
              <w:rPr>
                <w:color w:val="1C3A36"/>
                <w:sz w:val="15"/>
              </w:rPr>
              <w:t>486</w:t>
            </w:r>
          </w:p>
        </w:tc>
        <w:tc>
          <w:tcPr>
            <w:tcW w:type="dxa" w:w="1037"/>
          </w:tcPr>
          <w:p>
            <w:pPr>
              <w:spacing w:after="20"/>
              <w:jc w:val="right"/>
            </w:pPr>
            <w:r>
              <w:rPr>
                <w:color w:val="1C3A36"/>
                <w:sz w:val="15"/>
              </w:rPr>
              <w:t>643</w:t>
            </w:r>
          </w:p>
        </w:tc>
        <w:tc>
          <w:tcPr>
            <w:tcW w:type="dxa" w:w="950"/>
          </w:tcPr>
          <w:p>
            <w:pPr>
              <w:spacing w:after="20"/>
              <w:jc w:val="right"/>
            </w:pPr>
            <w:r>
              <w:rPr>
                <w:color w:val="1C3A36"/>
                <w:sz w:val="15"/>
              </w:rPr>
              <w:t>2,809</w:t>
            </w:r>
          </w:p>
        </w:tc>
        <w:tc>
          <w:tcPr>
            <w:tcW w:type="dxa" w:w="950"/>
          </w:tcPr>
          <w:p>
            <w:pPr>
              <w:spacing w:after="20"/>
              <w:jc w:val="right"/>
            </w:pPr>
            <w:r>
              <w:rPr>
                <w:color w:val="1C3A36"/>
                <w:sz w:val="15"/>
              </w:rPr>
              <w:t>2,952</w:t>
            </w:r>
          </w:p>
        </w:tc>
        <w:tc>
          <w:tcPr>
            <w:tcW w:type="dxa" w:w="950"/>
          </w:tcPr>
          <w:p>
            <w:pPr>
              <w:spacing w:after="20"/>
              <w:jc w:val="right"/>
            </w:pPr>
            <w:r>
              <w:rPr>
                <w:color w:val="1C3A36"/>
                <w:sz w:val="15"/>
              </w:rPr>
              <w:t>3,043</w:t>
            </w:r>
          </w:p>
        </w:tc>
        <w:tc>
          <w:tcPr>
            <w:tcW w:type="dxa" w:w="950"/>
          </w:tcPr>
          <w:p>
            <w:pPr>
              <w:spacing w:after="20"/>
              <w:jc w:val="right"/>
            </w:pPr>
            <w:r>
              <w:rPr>
                <w:color w:val="1C3A36"/>
                <w:sz w:val="15"/>
              </w:rPr>
              <w:t>3,074</w:t>
            </w:r>
          </w:p>
        </w:tc>
        <w:tc>
          <w:tcPr>
            <w:tcW w:type="dxa" w:w="950"/>
          </w:tcPr>
          <w:p>
            <w:pPr>
              <w:spacing w:after="20"/>
              <w:jc w:val="right"/>
            </w:pPr>
            <w:r>
              <w:rPr>
                <w:color w:val="1C3A36"/>
                <w:sz w:val="15"/>
              </w:rPr>
              <w:t>3,070</w:t>
            </w:r>
          </w:p>
        </w:tc>
      </w:tr>
      <w:tr>
        <w:tc>
          <w:tcPr>
            <w:tcW w:type="dxa" w:w="2160"/>
          </w:tcPr>
          <w:p>
            <w:pPr>
              <w:spacing w:after="20"/>
            </w:pPr>
            <w:r>
              <w:rPr>
                <w:color w:val="1C3A36"/>
                <w:sz w:val="15"/>
              </w:rPr>
              <w:t>Net finance income</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509</w:t>
            </w:r>
          </w:p>
        </w:tc>
        <w:tc>
          <w:tcPr>
            <w:tcW w:type="dxa" w:w="950"/>
          </w:tcPr>
          <w:p>
            <w:pPr>
              <w:spacing w:after="20"/>
              <w:jc w:val="right"/>
            </w:pPr>
            <w:r>
              <w:rPr>
                <w:color w:val="1C3A36"/>
                <w:sz w:val="15"/>
              </w:rPr>
              <w:t>375</w:t>
            </w:r>
          </w:p>
        </w:tc>
        <w:tc>
          <w:tcPr>
            <w:tcW w:type="dxa" w:w="950"/>
          </w:tcPr>
          <w:p>
            <w:pPr>
              <w:spacing w:after="20"/>
              <w:jc w:val="right"/>
            </w:pPr>
            <w:r>
              <w:rPr>
                <w:color w:val="1C3A36"/>
                <w:sz w:val="15"/>
              </w:rPr>
              <w:t>270</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121</w:t>
            </w:r>
          </w:p>
        </w:tc>
      </w:tr>
      <w:tr>
        <w:tc>
          <w:tcPr>
            <w:tcW w:type="dxa" w:w="2160"/>
          </w:tcPr>
          <w:p>
            <w:pPr>
              <w:spacing w:after="20"/>
            </w:pPr>
            <w:r>
              <w:rPr>
                <w:color w:val="1C3A36"/>
                <w:sz w:val="15"/>
              </w:rPr>
              <w:t>Attributable profit</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2,465</w:t>
            </w:r>
          </w:p>
        </w:tc>
        <w:tc>
          <w:tcPr>
            <w:tcW w:type="dxa" w:w="950"/>
          </w:tcPr>
          <w:p>
            <w:pPr>
              <w:spacing w:after="20"/>
              <w:jc w:val="right"/>
            </w:pPr>
            <w:r>
              <w:rPr>
                <w:color w:val="1C3A36"/>
                <w:sz w:val="15"/>
              </w:rPr>
              <w:t>2,471</w:t>
            </w:r>
          </w:p>
        </w:tc>
        <w:tc>
          <w:tcPr>
            <w:tcW w:type="dxa" w:w="950"/>
          </w:tcPr>
          <w:p>
            <w:pPr>
              <w:spacing w:after="20"/>
              <w:jc w:val="right"/>
            </w:pPr>
            <w:r>
              <w:rPr>
                <w:color w:val="1C3A36"/>
                <w:sz w:val="15"/>
              </w:rPr>
              <w:t>2,460</w:t>
            </w:r>
          </w:p>
        </w:tc>
        <w:tc>
          <w:tcPr>
            <w:tcW w:type="dxa" w:w="950"/>
          </w:tcPr>
          <w:p>
            <w:pPr>
              <w:spacing w:after="20"/>
              <w:jc w:val="right"/>
            </w:pPr>
            <w:r>
              <w:rPr>
                <w:color w:val="1C3A36"/>
                <w:sz w:val="15"/>
              </w:rPr>
              <w:t>2,422</w:t>
            </w:r>
          </w:p>
        </w:tc>
        <w:tc>
          <w:tcPr>
            <w:tcW w:type="dxa" w:w="950"/>
          </w:tcPr>
          <w:p>
            <w:pPr>
              <w:spacing w:after="20"/>
              <w:jc w:val="right"/>
            </w:pPr>
            <w:r>
              <w:rPr>
                <w:color w:val="1C3A36"/>
                <w:sz w:val="15"/>
              </w:rPr>
              <w:t>2,370</w:t>
            </w:r>
          </w:p>
        </w:tc>
      </w:tr>
    </w:tbl>
    <w:p>
      <w:pPr>
        <w:spacing w:after="40"/>
      </w:pPr>
    </w:p>
    <w:p>
      <w:pPr>
        <w:spacing w:after="200" w:before="0"/>
      </w:pPr>
      <w:r>
        <w:rPr>
          <w:b w:val="0"/>
          <w:i/>
          <w:color w:val="6E7B77"/>
          <w:sz w:val="17"/>
        </w:rPr>
        <w:t>Table A.1 — the four filed periods are AS FILED and are of unequal length (two six-month periods and two quarters), so they are shown as reported rather than annualised. The forecast columns are the model.</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1,287</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1,323</w:t>
            </w:r>
          </w:p>
        </w:tc>
        <w:tc>
          <w:tcPr>
            <w:tcW w:type="dxa" w:w="1037"/>
          </w:tcPr>
          <w:p>
            <w:pPr>
              <w:spacing w:after="20"/>
              <w:jc w:val="right"/>
            </w:pPr>
            <w:r>
              <w:rPr>
                <w:color w:val="1C3A36"/>
                <w:sz w:val="16"/>
              </w:rPr>
              <w:t>1,356</w:t>
            </w:r>
          </w:p>
        </w:tc>
        <w:tc>
          <w:tcPr>
            <w:tcW w:type="dxa" w:w="1037"/>
          </w:tcPr>
          <w:p>
            <w:pPr>
              <w:spacing w:after="20"/>
              <w:jc w:val="right"/>
            </w:pPr>
            <w:r>
              <w:rPr>
                <w:color w:val="1C3A36"/>
                <w:sz w:val="16"/>
              </w:rPr>
              <w:t>1,399</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3,788</w:t>
            </w:r>
          </w:p>
        </w:tc>
        <w:tc>
          <w:tcPr>
            <w:tcW w:type="dxa" w:w="1037"/>
          </w:tcPr>
          <w:p>
            <w:pPr>
              <w:spacing w:after="20"/>
              <w:jc w:val="right"/>
            </w:pPr>
            <w:r>
              <w:rPr>
                <w:color w:val="1C3A36"/>
                <w:sz w:val="16"/>
              </w:rPr>
              <w:t>4,177</w:t>
            </w:r>
          </w:p>
        </w:tc>
        <w:tc>
          <w:tcPr>
            <w:tcW w:type="dxa" w:w="1037"/>
          </w:tcPr>
          <w:p>
            <w:pPr>
              <w:spacing w:after="20"/>
              <w:jc w:val="right"/>
            </w:pPr>
            <w:r>
              <w:rPr>
                <w:color w:val="1C3A36"/>
                <w:sz w:val="16"/>
              </w:rPr>
              <w:t>4,546</w:t>
            </w:r>
          </w:p>
        </w:tc>
        <w:tc>
          <w:tcPr>
            <w:tcW w:type="dxa" w:w="1037"/>
          </w:tcPr>
          <w:p>
            <w:pPr>
              <w:spacing w:after="20"/>
              <w:jc w:val="right"/>
            </w:pPr>
            <w:r>
              <w:rPr>
                <w:color w:val="1C3A36"/>
                <w:sz w:val="16"/>
              </w:rPr>
              <w:t>4,881</w:t>
            </w:r>
          </w:p>
        </w:tc>
        <w:tc>
          <w:tcPr>
            <w:tcW w:type="dxa" w:w="1037"/>
          </w:tcPr>
          <w:p>
            <w:pPr>
              <w:spacing w:after="20"/>
              <w:jc w:val="right"/>
            </w:pPr>
            <w:r>
              <w:rPr>
                <w:color w:val="1C3A36"/>
                <w:sz w:val="16"/>
              </w:rPr>
              <w:t>5,217</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5,074</w:t>
            </w:r>
          </w:p>
        </w:tc>
        <w:tc>
          <w:tcPr>
            <w:tcW w:type="dxa" w:w="1037"/>
            <w:shd w:val="clear" w:color="auto" w:fill="F6F1E6"/>
          </w:tcPr>
          <w:p>
            <w:pPr>
              <w:spacing w:after="20"/>
              <w:jc w:val="right"/>
            </w:pPr>
            <w:r>
              <w:rPr>
                <w:b/>
                <w:color w:val="1C3A36"/>
                <w:sz w:val="16"/>
              </w:rPr>
              <w:t>5,476</w:t>
            </w:r>
          </w:p>
        </w:tc>
        <w:tc>
          <w:tcPr>
            <w:tcW w:type="dxa" w:w="1037"/>
            <w:shd w:val="clear" w:color="auto" w:fill="F6F1E6"/>
          </w:tcPr>
          <w:p>
            <w:pPr>
              <w:spacing w:after="20"/>
              <w:jc w:val="right"/>
            </w:pPr>
            <w:r>
              <w:rPr>
                <w:b/>
                <w:color w:val="1C3A36"/>
                <w:sz w:val="16"/>
              </w:rPr>
              <w:t>5,869</w:t>
            </w:r>
          </w:p>
        </w:tc>
        <w:tc>
          <w:tcPr>
            <w:tcW w:type="dxa" w:w="1037"/>
            <w:shd w:val="clear" w:color="auto" w:fill="F6F1E6"/>
          </w:tcPr>
          <w:p>
            <w:pPr>
              <w:spacing w:after="20"/>
              <w:jc w:val="right"/>
            </w:pPr>
            <w:r>
              <w:rPr>
                <w:b/>
                <w:color w:val="1C3A36"/>
                <w:sz w:val="16"/>
              </w:rPr>
              <w:t>6,237</w:t>
            </w:r>
          </w:p>
        </w:tc>
        <w:tc>
          <w:tcPr>
            <w:tcW w:type="dxa" w:w="1037"/>
            <w:shd w:val="clear" w:color="auto" w:fill="F6F1E6"/>
          </w:tcPr>
          <w:p>
            <w:pPr>
              <w:spacing w:after="20"/>
              <w:jc w:val="right"/>
            </w:pPr>
            <w:r>
              <w:rPr>
                <w:b/>
                <w:color w:val="1C3A36"/>
                <w:sz w:val="16"/>
              </w:rPr>
              <w:t>6,615</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2,525</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1,521</w:t>
            </w:r>
          </w:p>
        </w:tc>
        <w:tc>
          <w:tcPr>
            <w:tcW w:type="dxa" w:w="1037"/>
          </w:tcPr>
          <w:p>
            <w:pPr>
              <w:spacing w:after="20"/>
              <w:jc w:val="right"/>
            </w:pPr>
            <w:r>
              <w:rPr>
                <w:color w:val="1C3A36"/>
                <w:sz w:val="16"/>
              </w:rPr>
              <w:t>1,045</w:t>
            </w:r>
          </w:p>
        </w:tc>
        <w:tc>
          <w:tcPr>
            <w:tcW w:type="dxa" w:w="1037"/>
          </w:tcPr>
          <w:p>
            <w:pPr>
              <w:spacing w:after="20"/>
              <w:jc w:val="right"/>
            </w:pPr>
            <w:r>
              <w:rPr>
                <w:color w:val="1C3A36"/>
                <w:sz w:val="16"/>
              </w:rPr>
              <w:t>557</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-2,508</w:t>
            </w:r>
          </w:p>
        </w:tc>
        <w:tc>
          <w:tcPr>
            <w:tcW w:type="dxa" w:w="1037"/>
          </w:tcPr>
          <w:p>
            <w:pPr>
              <w:spacing w:after="20"/>
              <w:jc w:val="right"/>
            </w:pPr>
            <w:r>
              <w:rPr>
                <w:color w:val="1C3A36"/>
                <w:sz w:val="16"/>
              </w:rPr>
              <w:t>-2,004</w:t>
            </w:r>
          </w:p>
        </w:tc>
        <w:tc>
          <w:tcPr>
            <w:tcW w:type="dxa" w:w="1037"/>
          </w:tcPr>
          <w:p>
            <w:pPr>
              <w:spacing w:after="20"/>
              <w:jc w:val="right"/>
            </w:pPr>
            <w:r>
              <w:rPr>
                <w:color w:val="1C3A36"/>
                <w:sz w:val="16"/>
              </w:rPr>
              <w:t>-1,505</w:t>
            </w:r>
          </w:p>
        </w:tc>
        <w:tc>
          <w:tcPr>
            <w:tcW w:type="dxa" w:w="1037"/>
          </w:tcPr>
          <w:p>
            <w:pPr>
              <w:spacing w:after="20"/>
              <w:jc w:val="right"/>
            </w:pPr>
            <w:r>
              <w:rPr>
                <w:color w:val="1C3A36"/>
                <w:sz w:val="16"/>
              </w:rPr>
              <w:t>-1,028</w:t>
            </w:r>
          </w:p>
        </w:tc>
        <w:tc>
          <w:tcPr>
            <w:tcW w:type="dxa" w:w="1037"/>
          </w:tcPr>
          <w:p>
            <w:pPr>
              <w:spacing w:after="20"/>
              <w:jc w:val="right"/>
            </w:pPr>
            <w:r>
              <w:rPr>
                <w:color w:val="1C3A36"/>
                <w:sz w:val="16"/>
              </w:rPr>
              <w:t>-540</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5,979</w:t>
            </w:r>
          </w:p>
        </w:tc>
        <w:tc>
          <w:tcPr>
            <w:tcW w:type="dxa" w:w="1037"/>
          </w:tcPr>
          <w:p>
            <w:pPr>
              <w:spacing w:after="20"/>
              <w:jc w:val="right"/>
            </w:pPr>
            <w:r>
              <w:rPr>
                <w:color w:val="1C3A36"/>
                <w:sz w:val="16"/>
              </w:rPr>
              <w:t>5,887</w:t>
            </w:r>
          </w:p>
        </w:tc>
        <w:tc>
          <w:tcPr>
            <w:tcW w:type="dxa" w:w="1037"/>
          </w:tcPr>
          <w:p>
            <w:pPr>
              <w:spacing w:after="20"/>
              <w:jc w:val="right"/>
            </w:pPr>
            <w:r>
              <w:rPr>
                <w:color w:val="1C3A36"/>
                <w:sz w:val="16"/>
              </w:rPr>
              <w:t>5,796</w:t>
            </w:r>
          </w:p>
        </w:tc>
        <w:tc>
          <w:tcPr>
            <w:tcW w:type="dxa" w:w="1037"/>
          </w:tcPr>
          <w:p>
            <w:pPr>
              <w:spacing w:after="20"/>
              <w:jc w:val="right"/>
            </w:pPr>
            <w:r>
              <w:rPr>
                <w:color w:val="1C3A36"/>
                <w:sz w:val="16"/>
              </w:rPr>
              <w:t>5,706</w:t>
            </w:r>
          </w:p>
        </w:tc>
        <w:tc>
          <w:tcPr>
            <w:tcW w:type="dxa" w:w="1037"/>
          </w:tcPr>
          <w:p>
            <w:pPr>
              <w:spacing w:after="20"/>
              <w:jc w:val="right"/>
            </w:pPr>
            <w:r>
              <w:rPr>
                <w:color w:val="1C3A36"/>
                <w:sz w:val="16"/>
              </w:rPr>
              <w:t>5,617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2,063</w:t>
            </w:r>
          </w:p>
        </w:tc>
        <w:tc>
          <w:tcPr>
            <w:tcW w:type="dxa" w:w="1195"/>
          </w:tcPr>
          <w:p>
            <w:pPr>
              <w:spacing w:after="20"/>
              <w:jc w:val="right"/>
            </w:pPr>
            <w:r>
              <w:rPr>
                <w:color w:val="1C3A36"/>
                <w:sz w:val="16"/>
              </w:rPr>
              <w:t>2,168</w:t>
            </w:r>
          </w:p>
        </w:tc>
        <w:tc>
          <w:tcPr>
            <w:tcW w:type="dxa" w:w="1195"/>
          </w:tcPr>
          <w:p>
            <w:pPr>
              <w:spacing w:after="20"/>
              <w:jc w:val="right"/>
            </w:pPr>
            <w:r>
              <w:rPr>
                <w:color w:val="1C3A36"/>
                <w:sz w:val="16"/>
              </w:rPr>
              <w:t>2,235</w:t>
            </w:r>
          </w:p>
        </w:tc>
        <w:tc>
          <w:tcPr>
            <w:tcW w:type="dxa" w:w="1195"/>
          </w:tcPr>
          <w:p>
            <w:pPr>
              <w:spacing w:after="20"/>
              <w:jc w:val="right"/>
            </w:pPr>
            <w:r>
              <w:rPr>
                <w:color w:val="1C3A36"/>
                <w:sz w:val="16"/>
              </w:rPr>
              <w:t>2,257</w:t>
            </w:r>
          </w:p>
        </w:tc>
        <w:tc>
          <w:tcPr>
            <w:tcW w:type="dxa" w:w="1195"/>
          </w:tcPr>
          <w:p>
            <w:pPr>
              <w:spacing w:after="20"/>
              <w:jc w:val="right"/>
            </w:pPr>
            <w:r>
              <w:rPr>
                <w:color w:val="1C3A36"/>
                <w:sz w:val="16"/>
              </w:rPr>
              <w:t>2,255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(226)</w:t>
            </w:r>
          </w:p>
        </w:tc>
        <w:tc>
          <w:tcPr>
            <w:tcW w:type="dxa" w:w="1195"/>
          </w:tcPr>
          <w:p>
            <w:pPr>
              <w:spacing w:after="20"/>
              <w:jc w:val="right"/>
            </w:pPr>
            <w:r>
              <w:rPr>
                <w:color w:val="1C3A36"/>
                <w:sz w:val="16"/>
              </w:rPr>
              <w:t>(249)</w:t>
            </w:r>
          </w:p>
        </w:tc>
        <w:tc>
          <w:tcPr>
            <w:tcW w:type="dxa" w:w="1195"/>
          </w:tcPr>
          <w:p>
            <w:pPr>
              <w:spacing w:after="20"/>
              <w:jc w:val="right"/>
            </w:pPr>
            <w:r>
              <w:rPr>
                <w:color w:val="1C3A36"/>
                <w:sz w:val="16"/>
              </w:rPr>
              <w:t>(272)</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(398)</w:t>
            </w:r>
          </w:p>
        </w:tc>
        <w:tc>
          <w:tcPr>
            <w:tcW w:type="dxa" w:w="1195"/>
          </w:tcPr>
          <w:p>
            <w:pPr>
              <w:spacing w:after="20"/>
              <w:jc w:val="right"/>
            </w:pPr>
            <w:r>
              <w:rPr>
                <w:color w:val="1C3A36"/>
                <w:sz w:val="16"/>
              </w:rPr>
              <w:t>(390)</w:t>
            </w:r>
          </w:p>
        </w:tc>
        <w:tc>
          <w:tcPr>
            <w:tcW w:type="dxa" w:w="1195"/>
          </w:tcPr>
          <w:p>
            <w:pPr>
              <w:spacing w:after="20"/>
              <w:jc w:val="right"/>
            </w:pPr>
            <w:r>
              <w:rPr>
                <w:color w:val="1C3A36"/>
                <w:sz w:val="16"/>
              </w:rPr>
              <w:t>(369)</w:t>
            </w:r>
          </w:p>
        </w:tc>
        <w:tc>
          <w:tcPr>
            <w:tcW w:type="dxa" w:w="1195"/>
          </w:tcPr>
          <w:p>
            <w:pPr>
              <w:spacing w:after="20"/>
              <w:jc w:val="right"/>
            </w:pPr>
            <w:r>
              <w:rPr>
                <w:color w:val="1C3A36"/>
                <w:sz w:val="16"/>
              </w:rPr>
              <w:t>(335)</w:t>
            </w:r>
          </w:p>
        </w:tc>
        <w:tc>
          <w:tcPr>
            <w:tcW w:type="dxa" w:w="1195"/>
          </w:tcPr>
          <w:p>
            <w:pPr>
              <w:spacing w:after="20"/>
              <w:jc w:val="right"/>
            </w:pPr>
            <w:r>
              <w:rPr>
                <w:color w:val="1C3A36"/>
                <w:sz w:val="16"/>
              </w:rPr>
              <w:t>(336)</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1,666</w:t>
            </w:r>
          </w:p>
        </w:tc>
        <w:tc>
          <w:tcPr>
            <w:tcW w:type="dxa" w:w="1195"/>
            <w:shd w:val="clear" w:color="auto" w:fill="F6F1E6"/>
          </w:tcPr>
          <w:p>
            <w:pPr>
              <w:spacing w:after="20"/>
              <w:jc w:val="right"/>
            </w:pPr>
            <w:r>
              <w:rPr>
                <w:b/>
                <w:color w:val="1C3A36"/>
                <w:sz w:val="16"/>
              </w:rPr>
              <w:t>1,767</w:t>
            </w:r>
          </w:p>
        </w:tc>
        <w:tc>
          <w:tcPr>
            <w:tcW w:type="dxa" w:w="1195"/>
            <w:shd w:val="clear" w:color="auto" w:fill="F6F1E6"/>
          </w:tcPr>
          <w:p>
            <w:pPr>
              <w:spacing w:after="20"/>
              <w:jc w:val="right"/>
            </w:pPr>
            <w:r>
              <w:rPr>
                <w:b/>
                <w:color w:val="1C3A36"/>
                <w:sz w:val="16"/>
              </w:rPr>
              <w:t>1,842</w:t>
            </w:r>
          </w:p>
        </w:tc>
        <w:tc>
          <w:tcPr>
            <w:tcW w:type="dxa" w:w="1195"/>
            <w:shd w:val="clear" w:color="auto" w:fill="F6F1E6"/>
          </w:tcPr>
          <w:p>
            <w:pPr>
              <w:spacing w:after="20"/>
              <w:jc w:val="right"/>
            </w:pPr>
            <w:r>
              <w:rPr>
                <w:b/>
                <w:color w:val="1C3A36"/>
                <w:sz w:val="16"/>
              </w:rPr>
              <w:t>1,889</w:t>
            </w:r>
          </w:p>
        </w:tc>
        <w:tc>
          <w:tcPr>
            <w:tcW w:type="dxa" w:w="1195"/>
            <w:shd w:val="clear" w:color="auto" w:fill="F6F1E6"/>
          </w:tcPr>
          <w:p>
            <w:pPr>
              <w:spacing w:after="20"/>
              <w:jc w:val="right"/>
            </w:pPr>
            <w:r>
              <w:rPr>
                <w:b/>
                <w:color w:val="1C3A36"/>
                <w:sz w:val="16"/>
              </w:rPr>
              <w:t>1,876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40.7%</w:t>
            </w:r>
          </w:p>
        </w:tc>
        <w:tc>
          <w:tcPr>
            <w:tcW w:type="dxa" w:w="1195"/>
          </w:tcPr>
          <w:p>
            <w:pPr>
              <w:spacing w:after="20"/>
              <w:jc w:val="right"/>
            </w:pPr>
            <w:r>
              <w:rPr>
                <w:color w:val="1C3A36"/>
                <w:sz w:val="16"/>
              </w:rPr>
              <w:t>39.6%</w:t>
            </w:r>
          </w:p>
        </w:tc>
        <w:tc>
          <w:tcPr>
            <w:tcW w:type="dxa" w:w="1195"/>
          </w:tcPr>
          <w:p>
            <w:pPr>
              <w:spacing w:after="20"/>
              <w:jc w:val="right"/>
            </w:pPr>
            <w:r>
              <w:rPr>
                <w:color w:val="1C3A36"/>
                <w:sz w:val="16"/>
              </w:rPr>
              <w:t>38.1%</w:t>
            </w:r>
          </w:p>
        </w:tc>
        <w:tc>
          <w:tcPr>
            <w:tcW w:type="dxa" w:w="1195"/>
          </w:tcPr>
          <w:p>
            <w:pPr>
              <w:spacing w:after="20"/>
              <w:jc w:val="right"/>
            </w:pPr>
            <w:r>
              <w:rPr>
                <w:color w:val="1C3A36"/>
                <w:sz w:val="16"/>
              </w:rPr>
              <w:t>36.2%</w:t>
            </w:r>
          </w:p>
        </w:tc>
        <w:tc>
          <w:tcPr>
            <w:tcW w:type="dxa" w:w="1195"/>
          </w:tcPr>
          <w:p>
            <w:pPr>
              <w:spacing w:after="20"/>
              <w:jc w:val="right"/>
            </w:pPr>
            <w:r>
              <w:rPr>
                <w:color w:val="1C3A36"/>
                <w:sz w:val="16"/>
              </w:rPr>
              <w:t>34.1%</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0.99x</w:t>
            </w:r>
          </w:p>
        </w:tc>
        <w:tc>
          <w:tcPr>
            <w:tcW w:type="dxa" w:w="1195"/>
          </w:tcPr>
          <w:p>
            <w:pPr>
              <w:spacing w:after="20"/>
              <w:jc w:val="right"/>
            </w:pPr>
            <w:r>
              <w:rPr>
                <w:color w:val="1C3A36"/>
                <w:sz w:val="16"/>
              </w:rPr>
              <w:t>1.06x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1.19x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11.43 to 8.33,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11,753mn — 0.1432% of the capital structure. A 500 basis-point error in the cost of debt moves the weighted cost of capital by 0.56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32.53% and the cash-flow lens is EGP 8.63. On GROSS rather than net debt weights — the construction this study rejects, because it counts the cash pile twice — the lens is EGP 10.71.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3,043</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270</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1.905</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13.34</w:t>
            </w:r>
          </w:p>
        </w:tc>
      </w:tr>
    </w:tbl>
    <w:p>
      <w:pPr>
        <w:spacing w:after="40"/>
      </w:pPr>
    </w:p>
    <w:p>
      <w:pPr>
        <w:spacing w:after="200" w:before="0"/>
      </w:pPr>
      <w:r>
        <w:rPr>
          <w:b w:val="0"/>
          <w:i/>
          <w:color w:val="6E7B77"/>
          <w:sz w:val="17"/>
        </w:rPr>
        <w:t>Table C.1 — Expert 1. Range EGP 9.53 to 18.10 on a 5.0x to 9.5x multiple band. This is the HIGHEST of the three and it is still 46.5%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1,967</w:t>
            </w:r>
          </w:p>
        </w:tc>
        <w:tc>
          <w:tcPr>
            <w:tcW w:type="dxa" w:w="1296"/>
          </w:tcPr>
          <w:p>
            <w:pPr>
              <w:spacing w:after="20"/>
              <w:jc w:val="right"/>
            </w:pPr>
            <w:r>
              <w:rPr>
                <w:color w:val="1C3A36"/>
                <w:sz w:val="16"/>
              </w:rPr>
              <w:t>1,963</w:t>
            </w:r>
          </w:p>
        </w:tc>
        <w:tc>
          <w:tcPr>
            <w:tcW w:type="dxa" w:w="1296"/>
          </w:tcPr>
          <w:p>
            <w:pPr>
              <w:spacing w:after="20"/>
              <w:jc w:val="right"/>
            </w:pPr>
            <w:r>
              <w:rPr>
                <w:color w:val="1C3A36"/>
                <w:sz w:val="16"/>
              </w:rPr>
              <w:t>1,957</w:t>
            </w:r>
          </w:p>
        </w:tc>
        <w:tc>
          <w:tcPr>
            <w:tcW w:type="dxa" w:w="1296"/>
          </w:tcPr>
          <w:p>
            <w:pPr>
              <w:spacing w:after="20"/>
              <w:jc w:val="right"/>
            </w:pPr>
            <w:r>
              <w:rPr>
                <w:color w:val="1C3A36"/>
                <w:sz w:val="16"/>
              </w:rPr>
              <w:t>1,941</w:t>
            </w:r>
          </w:p>
        </w:tc>
        <w:tc>
          <w:tcPr>
            <w:tcW w:type="dxa" w:w="1296"/>
          </w:tcPr>
          <w:p>
            <w:pPr>
              <w:spacing w:after="20"/>
              <w:jc w:val="right"/>
            </w:pPr>
            <w:r>
              <w:rPr>
                <w:color w:val="1C3A36"/>
                <w:sz w:val="16"/>
              </w:rPr>
              <w:t>1,879</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24.38%</w:t>
            </w:r>
          </w:p>
        </w:tc>
        <w:tc>
          <w:tcPr>
            <w:tcW w:type="dxa" w:w="1296"/>
          </w:tcPr>
          <w:p>
            <w:pPr>
              <w:spacing w:after="20"/>
              <w:jc w:val="right"/>
            </w:pPr>
            <w:r>
              <w:rPr>
                <w:color w:val="1C3A36"/>
                <w:sz w:val="16"/>
              </w:rPr>
              <w:t>21.93%</w:t>
            </w:r>
          </w:p>
        </w:tc>
        <w:tc>
          <w:tcPr>
            <w:tcW w:type="dxa" w:w="1296"/>
          </w:tcPr>
          <w:p>
            <w:pPr>
              <w:spacing w:after="20"/>
              <w:jc w:val="right"/>
            </w:pPr>
            <w:r>
              <w:rPr>
                <w:color w:val="1C3A36"/>
                <w:sz w:val="16"/>
              </w:rPr>
              <w:t>20.08%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0.6308</w:t>
            </w:r>
          </w:p>
        </w:tc>
        <w:tc>
          <w:tcPr>
            <w:tcW w:type="dxa" w:w="1296"/>
          </w:tcPr>
          <w:p>
            <w:pPr>
              <w:spacing w:after="20"/>
              <w:jc w:val="right"/>
            </w:pPr>
            <w:r>
              <w:rPr>
                <w:color w:val="1C3A36"/>
                <w:sz w:val="16"/>
              </w:rPr>
              <w:t>0.5173</w:t>
            </w:r>
          </w:p>
        </w:tc>
        <w:tc>
          <w:tcPr>
            <w:tcW w:type="dxa" w:w="1296"/>
          </w:tcPr>
          <w:p>
            <w:pPr>
              <w:spacing w:after="20"/>
              <w:jc w:val="right"/>
            </w:pPr>
            <w:r>
              <w:rPr>
                <w:color w:val="1C3A36"/>
                <w:sz w:val="16"/>
              </w:rPr>
              <w:t>0.4308</w:t>
            </w:r>
          </w:p>
        </w:tc>
        <w:tc>
          <w:tcPr>
            <w:tcW w:type="dxa" w:w="1296"/>
          </w:tcPr>
          <w:p>
            <w:pPr>
              <w:spacing w:after="20"/>
              <w:jc w:val="right"/>
            </w:pPr>
            <w:r>
              <w:rPr>
                <w:color w:val="1C3A36"/>
                <w:sz w:val="16"/>
              </w:rPr>
              <w:t>0.3625</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1,543</w:t>
            </w:r>
          </w:p>
        </w:tc>
        <w:tc>
          <w:tcPr>
            <w:tcW w:type="dxa" w:w="1296"/>
          </w:tcPr>
          <w:p>
            <w:pPr>
              <w:spacing w:after="20"/>
              <w:jc w:val="right"/>
            </w:pPr>
            <w:r>
              <w:rPr>
                <w:color w:val="1C3A36"/>
                <w:sz w:val="16"/>
              </w:rPr>
              <w:t>1,238</w:t>
            </w:r>
          </w:p>
        </w:tc>
        <w:tc>
          <w:tcPr>
            <w:tcW w:type="dxa" w:w="1296"/>
          </w:tcPr>
          <w:p>
            <w:pPr>
              <w:spacing w:after="20"/>
              <w:jc w:val="right"/>
            </w:pPr>
            <w:r>
              <w:rPr>
                <w:color w:val="1C3A36"/>
                <w:sz w:val="16"/>
              </w:rPr>
              <w:t>1,013</w:t>
            </w:r>
          </w:p>
        </w:tc>
        <w:tc>
          <w:tcPr>
            <w:tcW w:type="dxa" w:w="1296"/>
          </w:tcPr>
          <w:p>
            <w:pPr>
              <w:spacing w:after="20"/>
              <w:jc w:val="right"/>
            </w:pPr>
            <w:r>
              <w:rPr>
                <w:color w:val="1C3A36"/>
                <w:sz w:val="16"/>
              </w:rPr>
              <w:t>836</w:t>
            </w:r>
          </w:p>
        </w:tc>
        <w:tc>
          <w:tcPr>
            <w:tcW w:type="dxa" w:w="1296"/>
          </w:tcPr>
          <w:p>
            <w:pPr>
              <w:spacing w:after="20"/>
              <w:jc w:val="right"/>
            </w:pPr>
            <w:r>
              <w:rPr>
                <w:color w:val="1C3A36"/>
                <w:sz w:val="16"/>
              </w:rPr>
              <w:t>681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5,311</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4,452</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9,764</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7.56</w:t>
            </w:r>
          </w:p>
        </w:tc>
      </w:tr>
    </w:tbl>
    <w:p>
      <w:pPr>
        <w:spacing w:after="40"/>
      </w:pPr>
    </w:p>
    <w:p>
      <w:pPr>
        <w:spacing w:after="200" w:before="0"/>
      </w:pPr>
      <w:r>
        <w:rPr>
          <w:b w:val="0"/>
          <w:i/>
          <w:color w:val="6E7B77"/>
          <w:sz w:val="17"/>
        </w:rPr>
        <w:t>Table C.2 — Expert 2. Range EGP 6.20 to 7.26. This is the LOWEST of the three at -16.9%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2,659</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4,015</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11,351</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10.71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779</w:t>
            </w:r>
          </w:p>
        </w:tc>
        <w:tc>
          <w:tcPr>
            <w:tcW w:type="dxa" w:w="1224"/>
          </w:tcPr>
          <w:p>
            <w:pPr>
              <w:spacing w:after="20"/>
              <w:jc w:val="right"/>
            </w:pPr>
            <w:r>
              <w:rPr>
                <w:color w:val="1C3A36"/>
                <w:sz w:val="17"/>
              </w:rPr>
              <w:t>944</w:t>
            </w:r>
          </w:p>
        </w:tc>
        <w:tc>
          <w:tcPr>
            <w:tcW w:type="dxa" w:w="1224"/>
          </w:tcPr>
          <w:p>
            <w:pPr>
              <w:spacing w:after="20"/>
              <w:jc w:val="right"/>
            </w:pPr>
            <w:r>
              <w:rPr>
                <w:color w:val="1C3A36"/>
                <w:sz w:val="17"/>
              </w:rPr>
              <w:t>1,060</w:t>
            </w:r>
          </w:p>
        </w:tc>
        <w:tc>
          <w:tcPr>
            <w:tcW w:type="dxa" w:w="1224"/>
          </w:tcPr>
          <w:p>
            <w:pPr>
              <w:spacing w:after="20"/>
              <w:jc w:val="right"/>
            </w:pPr>
            <w:r>
              <w:rPr>
                <w:color w:val="1C3A36"/>
                <w:sz w:val="17"/>
              </w:rPr>
              <w:t>1,115</w:t>
            </w:r>
          </w:p>
        </w:tc>
        <w:tc>
          <w:tcPr>
            <w:tcW w:type="dxa" w:w="1224"/>
          </w:tcPr>
          <w:p>
            <w:pPr>
              <w:spacing w:after="20"/>
              <w:jc w:val="right"/>
            </w:pPr>
            <w:r>
              <w:rPr>
                <w:color w:val="1C3A36"/>
                <w:sz w:val="17"/>
              </w:rPr>
              <w:t>1,124</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13.21%</w:t>
            </w:r>
          </w:p>
        </w:tc>
        <w:tc>
          <w:tcPr>
            <w:tcW w:type="dxa" w:w="1224"/>
          </w:tcPr>
          <w:p>
            <w:pPr>
              <w:spacing w:after="20"/>
              <w:jc w:val="right"/>
            </w:pPr>
            <w:r>
              <w:rPr>
                <w:color w:val="1C3A36"/>
                <w:sz w:val="17"/>
              </w:rPr>
              <w:t>15.47%</w:t>
            </w:r>
          </w:p>
        </w:tc>
        <w:tc>
          <w:tcPr>
            <w:tcW w:type="dxa" w:w="1224"/>
          </w:tcPr>
          <w:p>
            <w:pPr>
              <w:spacing w:after="20"/>
              <w:jc w:val="right"/>
            </w:pPr>
            <w:r>
              <w:rPr>
                <w:color w:val="1C3A36"/>
                <w:sz w:val="17"/>
              </w:rPr>
              <w:t>16.62%</w:t>
            </w:r>
          </w:p>
        </w:tc>
        <w:tc>
          <w:tcPr>
            <w:tcW w:type="dxa" w:w="1224"/>
          </w:tcPr>
          <w:p>
            <w:pPr>
              <w:spacing w:after="20"/>
              <w:jc w:val="right"/>
            </w:pPr>
            <w:r>
              <w:rPr>
                <w:color w:val="1C3A36"/>
                <w:sz w:val="17"/>
              </w:rPr>
              <w:t>16.73%</w:t>
            </w:r>
          </w:p>
        </w:tc>
        <w:tc>
          <w:tcPr>
            <w:tcW w:type="dxa" w:w="1224"/>
          </w:tcPr>
          <w:p>
            <w:pPr>
              <w:spacing w:after="20"/>
              <w:jc w:val="right"/>
            </w:pPr>
            <w:r>
              <w:rPr>
                <w:color w:val="1C3A36"/>
                <w:sz w:val="17"/>
              </w:rPr>
              <w:t>15.95%</w:t>
            </w:r>
          </w:p>
        </w:tc>
      </w:tr>
    </w:tbl>
    <w:p>
      <w:pPr>
        <w:spacing w:after="40"/>
      </w:pPr>
    </w:p>
    <w:p>
      <w:pPr>
        <w:spacing w:after="200" w:before="0"/>
      </w:pPr>
      <w:r>
        <w:rPr>
          <w:b w:val="0"/>
          <w:i/>
          <w:color w:val="6E7B77"/>
          <w:sz w:val="17"/>
        </w:rPr>
        <w:t>Table C.3 — Expert 3. Range EGP 8.59 to 10.52.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13.34</w:t>
            </w:r>
          </w:p>
        </w:tc>
        <w:tc>
          <w:tcPr>
            <w:tcW w:type="dxa" w:w="1728"/>
          </w:tcPr>
          <w:p>
            <w:pPr>
              <w:spacing w:after="20"/>
              <w:jc w:val="right"/>
            </w:pPr>
            <w:r>
              <w:rPr>
                <w:color w:val="1C3A36"/>
                <w:sz w:val="17"/>
              </w:rPr>
              <w:t>9.53–18.10</w:t>
            </w:r>
          </w:p>
        </w:tc>
        <w:tc>
          <w:tcPr>
            <w:tcW w:type="dxa" w:w="1296"/>
          </w:tcPr>
          <w:p>
            <w:pPr>
              <w:spacing w:after="20"/>
              <w:jc w:val="right"/>
            </w:pPr>
            <w:r>
              <w:rPr>
                <w:color w:val="1C3A36"/>
                <w:sz w:val="17"/>
              </w:rPr>
              <w:t>46.5%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7.56</w:t>
            </w:r>
          </w:p>
        </w:tc>
        <w:tc>
          <w:tcPr>
            <w:tcW w:type="dxa" w:w="1728"/>
          </w:tcPr>
          <w:p>
            <w:pPr>
              <w:spacing w:after="20"/>
              <w:jc w:val="right"/>
            </w:pPr>
            <w:r>
              <w:rPr>
                <w:color w:val="1C3A36"/>
                <w:sz w:val="17"/>
              </w:rPr>
              <w:t>6.20–7.26</w:t>
            </w:r>
          </w:p>
        </w:tc>
        <w:tc>
          <w:tcPr>
            <w:tcW w:type="dxa" w:w="1296"/>
          </w:tcPr>
          <w:p>
            <w:pPr>
              <w:spacing w:after="20"/>
              <w:jc w:val="right"/>
            </w:pPr>
            <w:r>
              <w:rPr>
                <w:color w:val="1C3A36"/>
                <w:sz w:val="17"/>
              </w:rPr>
              <w:t>-16.9%</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10.71</w:t>
            </w:r>
          </w:p>
        </w:tc>
        <w:tc>
          <w:tcPr>
            <w:tcW w:type="dxa" w:w="1728"/>
          </w:tcPr>
          <w:p>
            <w:pPr>
              <w:spacing w:after="20"/>
              <w:jc w:val="right"/>
            </w:pPr>
            <w:r>
              <w:rPr>
                <w:color w:val="1C3A36"/>
                <w:sz w:val="17"/>
              </w:rPr>
              <w:t>8.59–10.52</w:t>
            </w:r>
          </w:p>
        </w:tc>
        <w:tc>
          <w:tcPr>
            <w:tcW w:type="dxa" w:w="1296"/>
          </w:tcPr>
          <w:p>
            <w:pPr>
              <w:spacing w:after="20"/>
              <w:jc w:val="right"/>
            </w:pPr>
            <w:r>
              <w:rPr>
                <w:color w:val="1C3A36"/>
                <w:sz w:val="17"/>
              </w:rPr>
              <w:t>17.6%</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10.71</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17.6%</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6,068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