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6</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7</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12</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13</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14</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15</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16</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17</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18</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19</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20</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21</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22</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23</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24</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26</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27</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28</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29</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30</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31</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32</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33</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34</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35</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37</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38</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40</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41</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42</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43</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44</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45</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46</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47</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48</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51</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53</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56</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58</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59</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60</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61</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62</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63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65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67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68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70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73</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74</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75</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76</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77</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78</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79</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80</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81</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price_local_path</w:t>
            </w:r>
          </w:p>
        </w:tc>
        <w:tc>
          <w:tcPr>
            <w:tcW w:type="dxa" w:w="1325"/>
          </w:tcPr>
          <w:p>
            <w:pPr>
              <w:spacing w:after="20"/>
            </w:pPr>
            <w:r>
              <w:rPr>
                <w:color w:val="1C3A36"/>
                <w:sz w:val="14"/>
              </w:rPr>
              <w:t>1, 1.08, 1.177, 1.271, 1.36, 1.449</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growth of 8.0%, 9.0%, 8.0%, 7.0% and 6.5%, below the cost path in every year. IT IS NOW ANCHORED ON A DISCLOSED PRICE HISTORY AND A DISCLOSED EXIT RATE, which no earlier revision had.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83</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84</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85</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87</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88</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89</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90</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91</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92</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93</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95</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97</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98</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99</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100</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102</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104</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105</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106</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107</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108</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109</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110</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111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112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Cross-check against disclosure: FY2025 capex of EGP 796.471mn on 5.0Mt at an average USD/EGP of 49.26 is USD 3.23/t, and FY2024's EGP 912.015mn is USD 4.11/t — but both years carry the alternative-fuel and silo programmes, so the maintenance level is set at the middle of that band and held</w:t>
            </w:r>
          </w:p>
        </w:tc>
        <w:tc>
          <w:tcPr>
            <w:tcW w:type="dxa" w:w="1210"/>
          </w:tcPr>
          <w:p>
            <w:pPr>
              <w:spacing w:after="20"/>
            </w:pPr>
            <w:r>
              <w:rPr>
                <w:color w:val="1C3A36"/>
                <w:sz w:val="14"/>
              </w:rPr>
              <w:t>2026-08-06</w:t>
            </w:r>
          </w:p>
        </w:tc>
      </w:tr>
      <w:tr>
        <w:tc>
          <w:tcPr>
            <w:tcW w:type="dxa" w:w="432"/>
          </w:tcPr>
          <w:p>
            <w:pPr>
              <w:spacing w:after="20"/>
            </w:pPr>
            <w:r>
              <w:rPr>
                <w:color w:val="1C3A36"/>
                <w:sz w:val="14"/>
              </w:rPr>
              <w:t>114</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115</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116</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117</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118</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119</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120</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121</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122</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123</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124</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125</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Steps of 11.5%, 10.0%, 9.0%, 8.0% and 7.0% track the disinflation path the central bank's own reporting describes, converging on its 7% medium-term target.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126</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127</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128</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129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130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131</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132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133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134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135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136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137</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138</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139</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140</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141</w:t>
            </w:r>
          </w:p>
        </w:tc>
        <w:tc>
          <w:tcPr>
            <w:tcW w:type="dxa" w:w="2448"/>
          </w:tcPr>
          <w:p>
            <w:pPr>
              <w:spacing w:after="20"/>
            </w:pPr>
            <w:r>
              <w:rPr>
                <w:color w:val="1C3A36"/>
                <w:sz w:val="14"/>
              </w:rPr>
              <w:t>fx_path</w:t>
            </w:r>
          </w:p>
        </w:tc>
        <w:tc>
          <w:tcPr>
            <w:tcW w:type="dxa" w:w="1325"/>
          </w:tcPr>
          <w:p>
            <w:pPr>
              <w:spacing w:after="20"/>
            </w:pPr>
            <w:r>
              <w:rPr>
                <w:color w:val="1C3A36"/>
                <w:sz w:val="14"/>
              </w:rPr>
              <w:t>49.26, 50.6, 53.1, 55.8, 58.6, 61.5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actual average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142</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143</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144</w:t>
            </w:r>
          </w:p>
        </w:tc>
        <w:tc>
          <w:tcPr>
            <w:tcW w:type="dxa" w:w="2448"/>
          </w:tcPr>
          <w:p>
            <w:pPr>
              <w:spacing w:after="20"/>
            </w:pPr>
            <w:r>
              <w:rPr>
                <w:color w:val="1C3A36"/>
                <w:sz w:val="14"/>
              </w:rPr>
              <w:t>kd_term</w:t>
            </w:r>
          </w:p>
        </w:tc>
        <w:tc>
          <w:tcPr>
            <w:tcW w:type="dxa" w:w="1325"/>
          </w:tcPr>
          <w:p>
            <w:pPr>
              <w:spacing w:after="20"/>
            </w:pPr>
            <w:r>
              <w:rPr>
                <w:color w:val="1C3A36"/>
                <w:sz w:val="14"/>
              </w:rPr>
              <w:t>0.135</w:t>
            </w:r>
          </w:p>
        </w:tc>
        <w:tc>
          <w:tcPr>
            <w:tcW w:type="dxa" w:w="1066"/>
          </w:tcPr>
          <w:p>
            <w:pPr>
              <w:spacing w:after="20"/>
            </w:pPr>
            <w:r>
              <w:rPr>
                <w:color w:val="1C3A36"/>
                <w:sz w:val="14"/>
              </w:rPr>
              <w:t>House</w:t>
            </w:r>
          </w:p>
        </w:tc>
        <w:tc>
          <w:tcPr>
            <w:tcW w:type="dxa" w:w="7171"/>
          </w:tcPr>
          <w:p>
            <w:pPr>
              <w:spacing w:after="20"/>
            </w:pPr>
            <w:r>
              <w:rPr>
                <w:color w:val="1C3A36"/>
                <w:sz w:val="14"/>
              </w:rPr>
              <w:t>Terminal cost of debt = the terminal risk-free rate plus a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145</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146</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147</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148</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149</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150</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 seven of twelve months</w:t>
            </w:r>
          </w:p>
        </w:tc>
        <w:tc>
          <w:tcPr>
            <w:tcW w:type="dxa" w:w="1210"/>
          </w:tcPr>
          <w:p>
            <w:pPr>
              <w:spacing w:after="20"/>
            </w:pPr>
            <w:r>
              <w:rPr>
                <w:color w:val="1C3A36"/>
                <w:sz w:val="14"/>
              </w:rPr>
              <w:t>2026-08-06</w:t>
            </w:r>
          </w:p>
        </w:tc>
      </w:tr>
      <w:tr>
        <w:tc>
          <w:tcPr>
            <w:tcW w:type="dxa" w:w="432"/>
          </w:tcPr>
          <w:p>
            <w:pPr>
              <w:spacing w:after="20"/>
            </w:pPr>
            <w:r>
              <w:rPr>
                <w:color w:val="1C3A36"/>
                <w:sz w:val="14"/>
              </w:rPr>
              <w:t>151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152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153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154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155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156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7.89%</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8.8%</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0.628 adopted</w:t>
            </w:r>
          </w:p>
        </w:tc>
        <w:tc>
          <w:tcPr>
            <w:tcW w:type="dxa" w:w="10224"/>
          </w:tcPr>
          <w:p>
            <w:pPr>
              <w:spacing w:after="20"/>
            </w:pPr>
            <w:r>
              <w:rPr>
                <w:color w:val="1C3A36"/>
                <w:sz w:val="16"/>
              </w:rPr>
              <w:t>A five-year weekly regression against a 34-name equal-weight Egyptian composite, subject excluded from its own index: 0.628 on 257 observations, R-squared 0.091, standard error 0.125. Clears the usability gate so it is adopted rather than defaulted, and is flagged statistically weak. The lead-lag correction for thin trading gives 0.919; its effect is published as a value.</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Audited cash of EGP 3,459.39mn less audited interest-bearing debt of EGP 1,135.11mn,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