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40" w:before="0"/>
      </w:pPr>
      <w:r>
        <w:rPr>
          <w:b/>
          <w:i w:val="0"/>
          <w:color w:val="1C3A36"/>
          <w:sz w:val="40"/>
        </w:rPr>
        <w:t>ADNOC Drilling Company P.J.S.C.</w:t>
      </w:r>
    </w:p>
    <w:p>
      <w:pPr>
        <w:spacing w:after="80" w:before="0"/>
      </w:pPr>
      <w:r>
        <w:rPr>
          <w:b/>
          <w:i w:val="0"/>
          <w:color w:val="896F36"/>
          <w:sz w:val="26"/>
        </w:rPr>
        <w:t>Bibliography and input register</w:t>
      </w:r>
    </w:p>
    <w:p>
      <w:pPr>
        <w:spacing w:after="240" w:before="0"/>
      </w:pPr>
      <w:r>
        <w:rPr>
          <w:b w:val="0"/>
          <w:i w:val="0"/>
          <w:color w:val="6E7B77"/>
          <w:sz w:val="21"/>
        </w:rPr>
        <w:t>Companion to the valuation study of 9 August 2026</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Why this document exists. </w:t>
            </w:r>
            <w:r>
              <w:rPr>
                <w:color w:val="1C3A36"/>
                <w:sz w:val="19"/>
              </w:rPr>
              <w:t>A valuation is only as good as what it was built from. This document lists every source that was read, every number that entered the model with its value and its date, every judgement that was made and what would overturn it, and — just as important — everything that was looked for and could not be found.</w:t>
            </w:r>
          </w:p>
          <w:p>
            <w:pPr>
              <w:spacing w:after="100"/>
            </w:pPr>
            <w:r>
              <w:rPr>
                <w:b/>
                <w:color w:val="1C3A36"/>
                <w:sz w:val="19"/>
              </w:rPr>
              <w:t xml:space="preserve">The rule that governs it. </w:t>
            </w:r>
            <w:r>
              <w:rPr>
                <w:color w:val="1C3A36"/>
                <w:sz w:val="19"/>
              </w:rPr>
              <w:t>Every historical figure about ADNOC Drilling comes from the company's own issued financial statements and disclosures, read from an official source. No data vendor, broker note, press report or search-result extract is a source for any figure about the company itself. Third-party data appears in exactly one place — the peer comparison — and is labelled as such.</w:t>
            </w:r>
          </w:p>
        </w:tc>
      </w:tr>
    </w:tbl>
    <w:p>
      <w:pPr>
        <w:spacing w:after="40"/>
      </w:pPr>
    </w:p>
    <w:p>
      <w:pPr>
        <w:spacing w:after="120" w:before="280"/>
      </w:pPr>
      <w:r>
        <w:rPr>
          <w:b/>
          <w:i w:val="0"/>
          <w:color w:val="1C3A36"/>
          <w:sz w:val="30"/>
        </w:rPr>
        <w:t>1. Primary documents read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57"/>
        <w:gridCol w:w="1827"/>
        <w:gridCol w:w="2331"/>
        <w:gridCol w:w="1323"/>
        <w:gridCol w:w="2142"/>
      </w:tblGrid>
      <w:tr>
        <w:tc>
          <w:tcPr>
            <w:tcW w:type="dxa" w:w="2457"/>
            <w:shd w:val="clear" w:color="auto" w:fill="EAF0EE"/>
          </w:tcPr>
          <w:p>
            <w:pPr>
              <w:spacing w:after="20"/>
            </w:pPr>
            <w:r>
              <w:rPr>
                <w:b/>
                <w:color w:val="1C3A36"/>
                <w:sz w:val="16"/>
              </w:rPr>
              <w:t>Document</w:t>
            </w:r>
          </w:p>
        </w:tc>
        <w:tc>
          <w:tcPr>
            <w:tcW w:type="dxa" w:w="1827"/>
            <w:shd w:val="clear" w:color="auto" w:fill="EAF0EE"/>
          </w:tcPr>
          <w:p>
            <w:pPr>
              <w:spacing w:after="20"/>
            </w:pPr>
            <w:r>
              <w:rPr>
                <w:b/>
                <w:color w:val="1C3A36"/>
                <w:sz w:val="16"/>
              </w:rPr>
              <w:t>Period</w:t>
            </w:r>
          </w:p>
        </w:tc>
        <w:tc>
          <w:tcPr>
            <w:tcW w:type="dxa" w:w="2331"/>
            <w:shd w:val="clear" w:color="auto" w:fill="EAF0EE"/>
          </w:tcPr>
          <w:p>
            <w:pPr>
              <w:spacing w:after="20"/>
            </w:pPr>
            <w:r>
              <w:rPr>
                <w:b/>
                <w:color w:val="1C3A36"/>
                <w:sz w:val="16"/>
              </w:rPr>
              <w:t>Status</w:t>
            </w:r>
          </w:p>
        </w:tc>
        <w:tc>
          <w:tcPr>
            <w:tcW w:type="dxa" w:w="1323"/>
            <w:shd w:val="clear" w:color="auto" w:fill="EAF0EE"/>
          </w:tcPr>
          <w:p>
            <w:pPr>
              <w:spacing w:after="20"/>
            </w:pPr>
            <w:r>
              <w:rPr>
                <w:b/>
                <w:color w:val="1C3A36"/>
                <w:sz w:val="16"/>
              </w:rPr>
              <w:t>Signed / issued</w:t>
            </w:r>
          </w:p>
        </w:tc>
        <w:tc>
          <w:tcPr>
            <w:tcW w:type="dxa" w:w="2142"/>
            <w:shd w:val="clear" w:color="auto" w:fill="EAF0EE"/>
          </w:tcPr>
          <w:p>
            <w:pPr>
              <w:spacing w:after="20"/>
            </w:pPr>
            <w:r>
              <w:rPr>
                <w:b/>
                <w:color w:val="1C3A36"/>
                <w:sz w:val="16"/>
              </w:rPr>
              <w:t>Where it was obtained</w:t>
            </w:r>
          </w:p>
        </w:tc>
      </w:tr>
      <w:tr>
        <w:tc>
          <w:tcPr>
            <w:tcW w:type="dxa" w:w="2457"/>
          </w:tcPr>
          <w:p>
            <w:pPr>
              <w:spacing w:after="20"/>
            </w:pPr>
            <w:r>
              <w:rPr>
                <w:color w:val="1C3A36"/>
                <w:sz w:val="16"/>
              </w:rPr>
              <w:t>Reports and consolidated financial statements</w:t>
            </w:r>
          </w:p>
        </w:tc>
        <w:tc>
          <w:tcPr>
            <w:tcW w:type="dxa" w:w="1827"/>
          </w:tcPr>
          <w:p>
            <w:pPr>
              <w:spacing w:after="20"/>
              <w:jc w:val="right"/>
            </w:pPr>
            <w:r>
              <w:rPr>
                <w:color w:val="1C3A36"/>
                <w:sz w:val="16"/>
              </w:rPr>
              <w:t>Year ended 31 December 2023</w:t>
            </w:r>
          </w:p>
        </w:tc>
        <w:tc>
          <w:tcPr>
            <w:tcW w:type="dxa" w:w="2331"/>
          </w:tcPr>
          <w:p>
            <w:pPr>
              <w:spacing w:after="20"/>
              <w:jc w:val="right"/>
            </w:pPr>
            <w:r>
              <w:rPr>
                <w:color w:val="1C3A36"/>
                <w:sz w:val="16"/>
              </w:rPr>
              <w:t>Audited — KPMG Lower Gulf Limited, unqualified opinion</w:t>
            </w:r>
          </w:p>
        </w:tc>
        <w:tc>
          <w:tcPr>
            <w:tcW w:type="dxa" w:w="1323"/>
          </w:tcPr>
          <w:p>
            <w:pPr>
              <w:spacing w:after="20"/>
              <w:jc w:val="right"/>
            </w:pPr>
            <w:r>
              <w:rPr>
                <w:color w:val="1C3A36"/>
                <w:sz w:val="16"/>
              </w:rPr>
              <w:t>12 February 2024</w:t>
            </w:r>
          </w:p>
        </w:tc>
        <w:tc>
          <w:tcPr>
            <w:tcW w:type="dxa" w:w="2142"/>
          </w:tcPr>
          <w:p>
            <w:pPr>
              <w:spacing w:after="20"/>
              <w:jc w:val="right"/>
            </w:pPr>
            <w:r>
              <w:rPr>
                <w:color w:val="1C3A36"/>
                <w:sz w:val="16"/>
              </w:rPr>
              <w:t>adnocdrilling.ae — investor relations, financial results and presentations</w:t>
            </w:r>
          </w:p>
        </w:tc>
      </w:tr>
      <w:tr>
        <w:tc>
          <w:tcPr>
            <w:tcW w:type="dxa" w:w="2457"/>
          </w:tcPr>
          <w:p>
            <w:pPr>
              <w:spacing w:after="20"/>
            </w:pPr>
            <w:r>
              <w:rPr>
                <w:color w:val="1C3A36"/>
                <w:sz w:val="16"/>
              </w:rPr>
              <w:t>Reports and consolidated financial statements</w:t>
            </w:r>
          </w:p>
        </w:tc>
        <w:tc>
          <w:tcPr>
            <w:tcW w:type="dxa" w:w="1827"/>
          </w:tcPr>
          <w:p>
            <w:pPr>
              <w:spacing w:after="20"/>
              <w:jc w:val="right"/>
            </w:pPr>
            <w:r>
              <w:rPr>
                <w:color w:val="1C3A36"/>
                <w:sz w:val="16"/>
              </w:rPr>
              <w:t>Year ended 31 December 2024</w:t>
            </w:r>
          </w:p>
        </w:tc>
        <w:tc>
          <w:tcPr>
            <w:tcW w:type="dxa" w:w="2331"/>
          </w:tcPr>
          <w:p>
            <w:pPr>
              <w:spacing w:after="20"/>
              <w:jc w:val="right"/>
            </w:pPr>
            <w:r>
              <w:rPr>
                <w:color w:val="1C3A36"/>
                <w:sz w:val="16"/>
              </w:rPr>
              <w:t>Audited — Deloitte &amp; Touche (M.E.), unqualified opinion</w:t>
            </w:r>
          </w:p>
        </w:tc>
        <w:tc>
          <w:tcPr>
            <w:tcW w:type="dxa" w:w="1323"/>
          </w:tcPr>
          <w:p>
            <w:pPr>
              <w:spacing w:after="20"/>
              <w:jc w:val="right"/>
            </w:pPr>
            <w:r>
              <w:rPr>
                <w:color w:val="1C3A36"/>
                <w:sz w:val="16"/>
              </w:rPr>
              <w:t>11 February 2025</w:t>
            </w:r>
          </w:p>
        </w:tc>
        <w:tc>
          <w:tcPr>
            <w:tcW w:type="dxa" w:w="2142"/>
          </w:tcPr>
          <w:p>
            <w:pPr>
              <w:spacing w:after="20"/>
              <w:jc w:val="right"/>
            </w:pPr>
            <w:r>
              <w:rPr>
                <w:color w:val="1C3A36"/>
                <w:sz w:val="16"/>
              </w:rPr>
              <w:t>adnocdrilling.ae — investor relations</w:t>
            </w:r>
          </w:p>
        </w:tc>
      </w:tr>
      <w:tr>
        <w:tc>
          <w:tcPr>
            <w:tcW w:type="dxa" w:w="2457"/>
          </w:tcPr>
          <w:p>
            <w:pPr>
              <w:spacing w:after="20"/>
            </w:pPr>
            <w:r>
              <w:rPr>
                <w:color w:val="1C3A36"/>
                <w:sz w:val="16"/>
              </w:rPr>
              <w:t>Reports and consolidated financial statements</w:t>
            </w:r>
          </w:p>
        </w:tc>
        <w:tc>
          <w:tcPr>
            <w:tcW w:type="dxa" w:w="1827"/>
          </w:tcPr>
          <w:p>
            <w:pPr>
              <w:spacing w:after="20"/>
              <w:jc w:val="right"/>
            </w:pPr>
            <w:r>
              <w:rPr>
                <w:color w:val="1C3A36"/>
                <w:sz w:val="16"/>
              </w:rPr>
              <w:t>Year ended 31 December 2025</w:t>
            </w:r>
          </w:p>
        </w:tc>
        <w:tc>
          <w:tcPr>
            <w:tcW w:type="dxa" w:w="2331"/>
          </w:tcPr>
          <w:p>
            <w:pPr>
              <w:spacing w:after="20"/>
              <w:jc w:val="right"/>
            </w:pPr>
            <w:r>
              <w:rPr>
                <w:color w:val="1C3A36"/>
                <w:sz w:val="16"/>
              </w:rPr>
              <w:t>Audited — Deloitte &amp; Touche (M.E.), unqualified opinion</w:t>
            </w:r>
          </w:p>
        </w:tc>
        <w:tc>
          <w:tcPr>
            <w:tcW w:type="dxa" w:w="1323"/>
          </w:tcPr>
          <w:p>
            <w:pPr>
              <w:spacing w:after="20"/>
              <w:jc w:val="right"/>
            </w:pPr>
            <w:r>
              <w:rPr>
                <w:color w:val="1C3A36"/>
                <w:sz w:val="16"/>
              </w:rPr>
              <w:t>11 February 2026</w:t>
            </w:r>
          </w:p>
        </w:tc>
        <w:tc>
          <w:tcPr>
            <w:tcW w:type="dxa" w:w="2142"/>
          </w:tcPr>
          <w:p>
            <w:pPr>
              <w:spacing w:after="20"/>
              <w:jc w:val="right"/>
            </w:pPr>
            <w:r>
              <w:rPr>
                <w:color w:val="1C3A36"/>
                <w:sz w:val="16"/>
              </w:rPr>
              <w:t>adnocdrilling.ae — investor relations</w:t>
            </w:r>
          </w:p>
        </w:tc>
      </w:tr>
      <w:tr>
        <w:tc>
          <w:tcPr>
            <w:tcW w:type="dxa" w:w="2457"/>
          </w:tcPr>
          <w:p>
            <w:pPr>
              <w:spacing w:after="20"/>
            </w:pPr>
            <w:r>
              <w:rPr>
                <w:color w:val="1C3A36"/>
                <w:sz w:val="16"/>
              </w:rPr>
              <w:t>Condensed consolidated interim financial information</w:t>
            </w:r>
          </w:p>
        </w:tc>
        <w:tc>
          <w:tcPr>
            <w:tcW w:type="dxa" w:w="1827"/>
          </w:tcPr>
          <w:p>
            <w:pPr>
              <w:spacing w:after="20"/>
              <w:jc w:val="right"/>
            </w:pPr>
            <w:r>
              <w:rPr>
                <w:color w:val="1C3A36"/>
                <w:sz w:val="16"/>
              </w:rPr>
              <w:t>Three months to 31 March 2026</w:t>
            </w:r>
          </w:p>
        </w:tc>
        <w:tc>
          <w:tcPr>
            <w:tcW w:type="dxa" w:w="2331"/>
          </w:tcPr>
          <w:p>
            <w:pPr>
              <w:spacing w:after="20"/>
              <w:jc w:val="right"/>
            </w:pPr>
            <w:r>
              <w:rPr>
                <w:color w:val="1C3A36"/>
                <w:sz w:val="16"/>
              </w:rPr>
              <w:t>Reviewed</w:t>
            </w:r>
          </w:p>
        </w:tc>
        <w:tc>
          <w:tcPr>
            <w:tcW w:type="dxa" w:w="1323"/>
          </w:tcPr>
          <w:p>
            <w:pPr>
              <w:spacing w:after="20"/>
              <w:jc w:val="right"/>
            </w:pPr>
            <w:r>
              <w:rPr>
                <w:color w:val="1C3A36"/>
                <w:sz w:val="16"/>
              </w:rPr>
              <w:t>May 2026</w:t>
            </w:r>
          </w:p>
        </w:tc>
        <w:tc>
          <w:tcPr>
            <w:tcW w:type="dxa" w:w="2142"/>
          </w:tcPr>
          <w:p>
            <w:pPr>
              <w:spacing w:after="20"/>
              <w:jc w:val="right"/>
            </w:pPr>
            <w:r>
              <w:rPr>
                <w:color w:val="1C3A36"/>
                <w:sz w:val="16"/>
              </w:rPr>
              <w:t>adnocdrilling.ae — investor relations</w:t>
            </w:r>
          </w:p>
        </w:tc>
      </w:tr>
      <w:tr>
        <w:tc>
          <w:tcPr>
            <w:tcW w:type="dxa" w:w="2457"/>
          </w:tcPr>
          <w:p>
            <w:pPr>
              <w:spacing w:after="20"/>
            </w:pPr>
            <w:r>
              <w:rPr>
                <w:color w:val="1C3A36"/>
                <w:sz w:val="16"/>
              </w:rPr>
              <w:t>Condensed consolidated interim financial information</w:t>
            </w:r>
          </w:p>
        </w:tc>
        <w:tc>
          <w:tcPr>
            <w:tcW w:type="dxa" w:w="1827"/>
          </w:tcPr>
          <w:p>
            <w:pPr>
              <w:spacing w:after="20"/>
              <w:jc w:val="right"/>
            </w:pPr>
            <w:r>
              <w:rPr>
                <w:color w:val="1C3A36"/>
                <w:sz w:val="16"/>
              </w:rPr>
              <w:t>Six months to 30 June 2026</w:t>
            </w:r>
          </w:p>
        </w:tc>
        <w:tc>
          <w:tcPr>
            <w:tcW w:type="dxa" w:w="2331"/>
          </w:tcPr>
          <w:p>
            <w:pPr>
              <w:spacing w:after="20"/>
              <w:jc w:val="right"/>
            </w:pPr>
            <w:r>
              <w:rPr>
                <w:color w:val="1C3A36"/>
                <w:sz w:val="16"/>
              </w:rPr>
              <w:t>Reviewed</w:t>
            </w:r>
          </w:p>
        </w:tc>
        <w:tc>
          <w:tcPr>
            <w:tcW w:type="dxa" w:w="1323"/>
          </w:tcPr>
          <w:p>
            <w:pPr>
              <w:spacing w:after="20"/>
              <w:jc w:val="right"/>
            </w:pPr>
            <w:r>
              <w:rPr>
                <w:color w:val="1C3A36"/>
                <w:sz w:val="16"/>
              </w:rPr>
              <w:t>30 July 2026</w:t>
            </w:r>
          </w:p>
        </w:tc>
        <w:tc>
          <w:tcPr>
            <w:tcW w:type="dxa" w:w="2142"/>
          </w:tcPr>
          <w:p>
            <w:pPr>
              <w:spacing w:after="20"/>
              <w:jc w:val="right"/>
            </w:pPr>
            <w:r>
              <w:rPr>
                <w:color w:val="1C3A36"/>
                <w:sz w:val="16"/>
              </w:rPr>
              <w:t>adnocdrilling.ae — investor relations</w:t>
            </w:r>
          </w:p>
        </w:tc>
      </w:tr>
      <w:tr>
        <w:tc>
          <w:tcPr>
            <w:tcW w:type="dxa" w:w="2457"/>
          </w:tcPr>
          <w:p>
            <w:pPr>
              <w:spacing w:after="20"/>
            </w:pPr>
            <w:r>
              <w:rPr>
                <w:color w:val="1C3A36"/>
                <w:sz w:val="16"/>
              </w:rPr>
              <w:t>Management discussion and analysis</w:t>
            </w:r>
          </w:p>
        </w:tc>
        <w:tc>
          <w:tcPr>
            <w:tcW w:type="dxa" w:w="1827"/>
          </w:tcPr>
          <w:p>
            <w:pPr>
              <w:spacing w:after="20"/>
              <w:jc w:val="right"/>
            </w:pPr>
            <w:r>
              <w:rPr>
                <w:color w:val="1C3A36"/>
                <w:sz w:val="16"/>
              </w:rPr>
              <w:t>Full year 2023</w:t>
            </w:r>
          </w:p>
        </w:tc>
        <w:tc>
          <w:tcPr>
            <w:tcW w:type="dxa" w:w="2331"/>
          </w:tcPr>
          <w:p>
            <w:pPr>
              <w:spacing w:after="20"/>
              <w:jc w:val="right"/>
            </w:pPr>
            <w:r>
              <w:rPr>
                <w:color w:val="1C3A36"/>
                <w:sz w:val="16"/>
              </w:rPr>
              <w:t>Company-issued</w:t>
            </w:r>
          </w:p>
        </w:tc>
        <w:tc>
          <w:tcPr>
            <w:tcW w:type="dxa" w:w="1323"/>
          </w:tcPr>
          <w:p>
            <w:pPr>
              <w:spacing w:after="20"/>
              <w:jc w:val="right"/>
            </w:pPr>
            <w:r>
              <w:rPr>
                <w:color w:val="1C3A36"/>
                <w:sz w:val="16"/>
              </w:rPr>
              <w:t>February 2024</w:t>
            </w:r>
          </w:p>
        </w:tc>
        <w:tc>
          <w:tcPr>
            <w:tcW w:type="dxa" w:w="2142"/>
          </w:tcPr>
          <w:p>
            <w:pPr>
              <w:spacing w:after="20"/>
              <w:jc w:val="right"/>
            </w:pPr>
            <w:r>
              <w:rPr>
                <w:color w:val="1C3A36"/>
                <w:sz w:val="16"/>
              </w:rPr>
              <w:t>adnocdrilling.ae — investor relations</w:t>
            </w:r>
          </w:p>
        </w:tc>
      </w:tr>
      <w:tr>
        <w:tc>
          <w:tcPr>
            <w:tcW w:type="dxa" w:w="2457"/>
          </w:tcPr>
          <w:p>
            <w:pPr>
              <w:spacing w:after="20"/>
            </w:pPr>
            <w:r>
              <w:rPr>
                <w:color w:val="1C3A36"/>
                <w:sz w:val="16"/>
              </w:rPr>
              <w:t>Management discussion and analysis</w:t>
            </w:r>
          </w:p>
        </w:tc>
        <w:tc>
          <w:tcPr>
            <w:tcW w:type="dxa" w:w="1827"/>
          </w:tcPr>
          <w:p>
            <w:pPr>
              <w:spacing w:after="20"/>
              <w:jc w:val="right"/>
            </w:pPr>
            <w:r>
              <w:rPr>
                <w:color w:val="1C3A36"/>
                <w:sz w:val="16"/>
              </w:rPr>
              <w:t>Full year 2024</w:t>
            </w:r>
          </w:p>
        </w:tc>
        <w:tc>
          <w:tcPr>
            <w:tcW w:type="dxa" w:w="2331"/>
          </w:tcPr>
          <w:p>
            <w:pPr>
              <w:spacing w:after="20"/>
              <w:jc w:val="right"/>
            </w:pPr>
            <w:r>
              <w:rPr>
                <w:color w:val="1C3A36"/>
                <w:sz w:val="16"/>
              </w:rPr>
              <w:t>Company-issued</w:t>
            </w:r>
          </w:p>
        </w:tc>
        <w:tc>
          <w:tcPr>
            <w:tcW w:type="dxa" w:w="1323"/>
          </w:tcPr>
          <w:p>
            <w:pPr>
              <w:spacing w:after="20"/>
              <w:jc w:val="right"/>
            </w:pPr>
            <w:r>
              <w:rPr>
                <w:color w:val="1C3A36"/>
                <w:sz w:val="16"/>
              </w:rPr>
              <w:t>February 2025</w:t>
            </w:r>
          </w:p>
        </w:tc>
        <w:tc>
          <w:tcPr>
            <w:tcW w:type="dxa" w:w="2142"/>
          </w:tcPr>
          <w:p>
            <w:pPr>
              <w:spacing w:after="20"/>
              <w:jc w:val="right"/>
            </w:pPr>
            <w:r>
              <w:rPr>
                <w:color w:val="1C3A36"/>
                <w:sz w:val="16"/>
              </w:rPr>
              <w:t>adnocdrilling.ae — investor relations</w:t>
            </w:r>
          </w:p>
        </w:tc>
      </w:tr>
      <w:tr>
        <w:tc>
          <w:tcPr>
            <w:tcW w:type="dxa" w:w="2457"/>
          </w:tcPr>
          <w:p>
            <w:pPr>
              <w:spacing w:after="20"/>
            </w:pPr>
            <w:r>
              <w:rPr>
                <w:color w:val="1C3A36"/>
                <w:sz w:val="16"/>
              </w:rPr>
              <w:t>Management discussion and analysis</w:t>
            </w:r>
          </w:p>
        </w:tc>
        <w:tc>
          <w:tcPr>
            <w:tcW w:type="dxa" w:w="1827"/>
          </w:tcPr>
          <w:p>
            <w:pPr>
              <w:spacing w:after="20"/>
              <w:jc w:val="right"/>
            </w:pPr>
            <w:r>
              <w:rPr>
                <w:color w:val="1C3A36"/>
                <w:sz w:val="16"/>
              </w:rPr>
              <w:t>Full year 2025</w:t>
            </w:r>
          </w:p>
        </w:tc>
        <w:tc>
          <w:tcPr>
            <w:tcW w:type="dxa" w:w="2331"/>
          </w:tcPr>
          <w:p>
            <w:pPr>
              <w:spacing w:after="20"/>
              <w:jc w:val="right"/>
            </w:pPr>
            <w:r>
              <w:rPr>
                <w:color w:val="1C3A36"/>
                <w:sz w:val="16"/>
              </w:rPr>
              <w:t>Company-issued</w:t>
            </w:r>
          </w:p>
        </w:tc>
        <w:tc>
          <w:tcPr>
            <w:tcW w:type="dxa" w:w="1323"/>
          </w:tcPr>
          <w:p>
            <w:pPr>
              <w:spacing w:after="20"/>
              <w:jc w:val="right"/>
            </w:pPr>
            <w:r>
              <w:rPr>
                <w:color w:val="1C3A36"/>
                <w:sz w:val="16"/>
              </w:rPr>
              <w:t>February 2026</w:t>
            </w:r>
          </w:p>
        </w:tc>
        <w:tc>
          <w:tcPr>
            <w:tcW w:type="dxa" w:w="2142"/>
          </w:tcPr>
          <w:p>
            <w:pPr>
              <w:spacing w:after="20"/>
              <w:jc w:val="right"/>
            </w:pPr>
            <w:r>
              <w:rPr>
                <w:color w:val="1C3A36"/>
                <w:sz w:val="16"/>
              </w:rPr>
              <w:t>adnocdrilling.ae — investor relations</w:t>
            </w:r>
          </w:p>
        </w:tc>
      </w:tr>
      <w:tr>
        <w:tc>
          <w:tcPr>
            <w:tcW w:type="dxa" w:w="2457"/>
          </w:tcPr>
          <w:p>
            <w:pPr>
              <w:spacing w:after="20"/>
            </w:pPr>
            <w:r>
              <w:rPr>
                <w:color w:val="1C3A36"/>
                <w:sz w:val="16"/>
              </w:rPr>
              <w:t>Management discussion and analysis</w:t>
            </w:r>
          </w:p>
        </w:tc>
        <w:tc>
          <w:tcPr>
            <w:tcW w:type="dxa" w:w="1827"/>
          </w:tcPr>
          <w:p>
            <w:pPr>
              <w:spacing w:after="20"/>
              <w:jc w:val="right"/>
            </w:pPr>
            <w:r>
              <w:rPr>
                <w:color w:val="1C3A36"/>
                <w:sz w:val="16"/>
              </w:rPr>
              <w:t>First quarter 2026</w:t>
            </w:r>
          </w:p>
        </w:tc>
        <w:tc>
          <w:tcPr>
            <w:tcW w:type="dxa" w:w="2331"/>
          </w:tcPr>
          <w:p>
            <w:pPr>
              <w:spacing w:after="20"/>
              <w:jc w:val="right"/>
            </w:pPr>
            <w:r>
              <w:rPr>
                <w:color w:val="1C3A36"/>
                <w:sz w:val="16"/>
              </w:rPr>
              <w:t>Company-issued</w:t>
            </w:r>
          </w:p>
        </w:tc>
        <w:tc>
          <w:tcPr>
            <w:tcW w:type="dxa" w:w="1323"/>
          </w:tcPr>
          <w:p>
            <w:pPr>
              <w:spacing w:after="20"/>
              <w:jc w:val="right"/>
            </w:pPr>
            <w:r>
              <w:rPr>
                <w:color w:val="1C3A36"/>
                <w:sz w:val="16"/>
              </w:rPr>
              <w:t>May 2026</w:t>
            </w:r>
          </w:p>
        </w:tc>
        <w:tc>
          <w:tcPr>
            <w:tcW w:type="dxa" w:w="2142"/>
          </w:tcPr>
          <w:p>
            <w:pPr>
              <w:spacing w:after="20"/>
              <w:jc w:val="right"/>
            </w:pPr>
            <w:r>
              <w:rPr>
                <w:color w:val="1C3A36"/>
                <w:sz w:val="16"/>
              </w:rPr>
              <w:t>adnocdrilling.ae — investor relations</w:t>
            </w:r>
          </w:p>
        </w:tc>
      </w:tr>
      <w:tr>
        <w:tc>
          <w:tcPr>
            <w:tcW w:type="dxa" w:w="2457"/>
          </w:tcPr>
          <w:p>
            <w:pPr>
              <w:spacing w:after="20"/>
            </w:pPr>
            <w:r>
              <w:rPr>
                <w:color w:val="1C3A36"/>
                <w:sz w:val="16"/>
              </w:rPr>
              <w:t>Management discussion and analysis</w:t>
            </w:r>
          </w:p>
        </w:tc>
        <w:tc>
          <w:tcPr>
            <w:tcW w:type="dxa" w:w="1827"/>
          </w:tcPr>
          <w:p>
            <w:pPr>
              <w:spacing w:after="20"/>
              <w:jc w:val="right"/>
            </w:pPr>
            <w:r>
              <w:rPr>
                <w:color w:val="1C3A36"/>
                <w:sz w:val="16"/>
              </w:rPr>
              <w:t>First half 2026</w:t>
            </w:r>
          </w:p>
        </w:tc>
        <w:tc>
          <w:tcPr>
            <w:tcW w:type="dxa" w:w="2331"/>
          </w:tcPr>
          <w:p>
            <w:pPr>
              <w:spacing w:after="20"/>
              <w:jc w:val="right"/>
            </w:pPr>
            <w:r>
              <w:rPr>
                <w:color w:val="1C3A36"/>
                <w:sz w:val="16"/>
              </w:rPr>
              <w:t>Company-issued</w:t>
            </w:r>
          </w:p>
        </w:tc>
        <w:tc>
          <w:tcPr>
            <w:tcW w:type="dxa" w:w="1323"/>
          </w:tcPr>
          <w:p>
            <w:pPr>
              <w:spacing w:after="20"/>
              <w:jc w:val="right"/>
            </w:pPr>
            <w:r>
              <w:rPr>
                <w:color w:val="1C3A36"/>
                <w:sz w:val="16"/>
              </w:rPr>
              <w:t>30 July 2026</w:t>
            </w:r>
          </w:p>
        </w:tc>
        <w:tc>
          <w:tcPr>
            <w:tcW w:type="dxa" w:w="2142"/>
          </w:tcPr>
          <w:p>
            <w:pPr>
              <w:spacing w:after="20"/>
              <w:jc w:val="right"/>
            </w:pPr>
            <w:r>
              <w:rPr>
                <w:color w:val="1C3A36"/>
                <w:sz w:val="16"/>
              </w:rPr>
              <w:t>adnocdrilling.ae — investor relations</w:t>
            </w:r>
          </w:p>
        </w:tc>
      </w:tr>
      <w:tr>
        <w:tc>
          <w:tcPr>
            <w:tcW w:type="dxa" w:w="2457"/>
          </w:tcPr>
          <w:p>
            <w:pPr>
              <w:spacing w:after="20"/>
            </w:pPr>
            <w:r>
              <w:rPr>
                <w:color w:val="1C3A36"/>
                <w:sz w:val="16"/>
              </w:rPr>
              <w:t>Earnings presentation</w:t>
            </w:r>
          </w:p>
        </w:tc>
        <w:tc>
          <w:tcPr>
            <w:tcW w:type="dxa" w:w="1827"/>
          </w:tcPr>
          <w:p>
            <w:pPr>
              <w:spacing w:after="20"/>
              <w:jc w:val="right"/>
            </w:pPr>
            <w:r>
              <w:rPr>
                <w:color w:val="1C3A36"/>
                <w:sz w:val="16"/>
              </w:rPr>
              <w:t>Full year 2025</w:t>
            </w:r>
          </w:p>
        </w:tc>
        <w:tc>
          <w:tcPr>
            <w:tcW w:type="dxa" w:w="2331"/>
          </w:tcPr>
          <w:p>
            <w:pPr>
              <w:spacing w:after="20"/>
              <w:jc w:val="right"/>
            </w:pPr>
            <w:r>
              <w:rPr>
                <w:color w:val="1C3A36"/>
                <w:sz w:val="16"/>
              </w:rPr>
              <w:t>Company-issued</w:t>
            </w:r>
          </w:p>
        </w:tc>
        <w:tc>
          <w:tcPr>
            <w:tcW w:type="dxa" w:w="1323"/>
          </w:tcPr>
          <w:p>
            <w:pPr>
              <w:spacing w:after="20"/>
              <w:jc w:val="right"/>
            </w:pPr>
            <w:r>
              <w:rPr>
                <w:color w:val="1C3A36"/>
                <w:sz w:val="16"/>
              </w:rPr>
              <w:t>February 2026</w:t>
            </w:r>
          </w:p>
        </w:tc>
        <w:tc>
          <w:tcPr>
            <w:tcW w:type="dxa" w:w="2142"/>
          </w:tcPr>
          <w:p>
            <w:pPr>
              <w:spacing w:after="20"/>
              <w:jc w:val="right"/>
            </w:pPr>
            <w:r>
              <w:rPr>
                <w:color w:val="1C3A36"/>
                <w:sz w:val="16"/>
              </w:rPr>
              <w:t>adnocdrilling.ae — investor relations</w:t>
            </w:r>
          </w:p>
        </w:tc>
      </w:tr>
      <w:tr>
        <w:tc>
          <w:tcPr>
            <w:tcW w:type="dxa" w:w="2457"/>
          </w:tcPr>
          <w:p>
            <w:pPr>
              <w:spacing w:after="20"/>
            </w:pPr>
            <w:r>
              <w:rPr>
                <w:color w:val="1C3A36"/>
                <w:sz w:val="16"/>
              </w:rPr>
              <w:t>Earnings presentation</w:t>
            </w:r>
          </w:p>
        </w:tc>
        <w:tc>
          <w:tcPr>
            <w:tcW w:type="dxa" w:w="1827"/>
          </w:tcPr>
          <w:p>
            <w:pPr>
              <w:spacing w:after="20"/>
              <w:jc w:val="right"/>
            </w:pPr>
            <w:r>
              <w:rPr>
                <w:color w:val="1C3A36"/>
                <w:sz w:val="16"/>
              </w:rPr>
              <w:t>Second quarter and first half 2026</w:t>
            </w:r>
          </w:p>
        </w:tc>
        <w:tc>
          <w:tcPr>
            <w:tcW w:type="dxa" w:w="2331"/>
          </w:tcPr>
          <w:p>
            <w:pPr>
              <w:spacing w:after="20"/>
              <w:jc w:val="right"/>
            </w:pPr>
            <w:r>
              <w:rPr>
                <w:color w:val="1C3A36"/>
                <w:sz w:val="16"/>
              </w:rPr>
              <w:t>Company-issued</w:t>
            </w:r>
          </w:p>
        </w:tc>
        <w:tc>
          <w:tcPr>
            <w:tcW w:type="dxa" w:w="1323"/>
          </w:tcPr>
          <w:p>
            <w:pPr>
              <w:spacing w:after="20"/>
              <w:jc w:val="right"/>
            </w:pPr>
            <w:r>
              <w:rPr>
                <w:color w:val="1C3A36"/>
                <w:sz w:val="16"/>
              </w:rPr>
              <w:t>30 July 2026</w:t>
            </w:r>
          </w:p>
        </w:tc>
        <w:tc>
          <w:tcPr>
            <w:tcW w:type="dxa" w:w="2142"/>
          </w:tcPr>
          <w:p>
            <w:pPr>
              <w:spacing w:after="20"/>
              <w:jc w:val="right"/>
            </w:pPr>
            <w:r>
              <w:rPr>
                <w:color w:val="1C3A36"/>
                <w:sz w:val="16"/>
              </w:rPr>
              <w:t>adnocdrilling.ae — investor relations</w:t>
            </w:r>
          </w:p>
        </w:tc>
      </w:tr>
      <w:tr>
        <w:tc>
          <w:tcPr>
            <w:tcW w:type="dxa" w:w="2457"/>
          </w:tcPr>
          <w:p>
            <w:pPr>
              <w:spacing w:after="20"/>
            </w:pPr>
            <w:r>
              <w:rPr>
                <w:color w:val="1C3A36"/>
                <w:sz w:val="16"/>
              </w:rPr>
              <w:t>Earnings press release</w:t>
            </w:r>
          </w:p>
        </w:tc>
        <w:tc>
          <w:tcPr>
            <w:tcW w:type="dxa" w:w="1827"/>
          </w:tcPr>
          <w:p>
            <w:pPr>
              <w:spacing w:after="20"/>
              <w:jc w:val="right"/>
            </w:pPr>
            <w:r>
              <w:rPr>
                <w:color w:val="1C3A36"/>
                <w:sz w:val="16"/>
              </w:rPr>
              <w:t>Second quarter and first half 2026</w:t>
            </w:r>
          </w:p>
        </w:tc>
        <w:tc>
          <w:tcPr>
            <w:tcW w:type="dxa" w:w="2331"/>
          </w:tcPr>
          <w:p>
            <w:pPr>
              <w:spacing w:after="20"/>
              <w:jc w:val="right"/>
            </w:pPr>
            <w:r>
              <w:rPr>
                <w:color w:val="1C3A36"/>
                <w:sz w:val="16"/>
              </w:rPr>
              <w:t>Company-issued</w:t>
            </w:r>
          </w:p>
        </w:tc>
        <w:tc>
          <w:tcPr>
            <w:tcW w:type="dxa" w:w="1323"/>
          </w:tcPr>
          <w:p>
            <w:pPr>
              <w:spacing w:after="20"/>
              <w:jc w:val="right"/>
            </w:pPr>
            <w:r>
              <w:rPr>
                <w:color w:val="1C3A36"/>
                <w:sz w:val="16"/>
              </w:rPr>
              <w:t>30 July 2026</w:t>
            </w:r>
          </w:p>
        </w:tc>
        <w:tc>
          <w:tcPr>
            <w:tcW w:type="dxa" w:w="2142"/>
          </w:tcPr>
          <w:p>
            <w:pPr>
              <w:spacing w:after="20"/>
              <w:jc w:val="right"/>
            </w:pPr>
            <w:r>
              <w:rPr>
                <w:color w:val="1C3A36"/>
                <w:sz w:val="16"/>
              </w:rPr>
              <w:t>adnocdrilling.ae — investor relations</w:t>
            </w:r>
          </w:p>
        </w:tc>
      </w:tr>
      <w:tr>
        <w:tc>
          <w:tcPr>
            <w:tcW w:type="dxa" w:w="2457"/>
          </w:tcPr>
          <w:p>
            <w:pPr>
              <w:spacing w:after="20"/>
            </w:pPr>
            <w:r>
              <w:rPr>
                <w:color w:val="1C3A36"/>
                <w:sz w:val="16"/>
              </w:rPr>
              <w:t>Earnings call and webcast transcript</w:t>
            </w:r>
          </w:p>
        </w:tc>
        <w:tc>
          <w:tcPr>
            <w:tcW w:type="dxa" w:w="1827"/>
          </w:tcPr>
          <w:p>
            <w:pPr>
              <w:spacing w:after="20"/>
              <w:jc w:val="right"/>
            </w:pPr>
            <w:r>
              <w:rPr>
                <w:color w:val="1C3A36"/>
                <w:sz w:val="16"/>
              </w:rPr>
              <w:t>Second quarter 2026</w:t>
            </w:r>
          </w:p>
        </w:tc>
        <w:tc>
          <w:tcPr>
            <w:tcW w:type="dxa" w:w="2331"/>
          </w:tcPr>
          <w:p>
            <w:pPr>
              <w:spacing w:after="20"/>
              <w:jc w:val="right"/>
            </w:pPr>
            <w:r>
              <w:rPr>
                <w:color w:val="1C3A36"/>
                <w:sz w:val="16"/>
              </w:rPr>
              <w:t>Company-issued</w:t>
            </w:r>
          </w:p>
        </w:tc>
        <w:tc>
          <w:tcPr>
            <w:tcW w:type="dxa" w:w="1323"/>
          </w:tcPr>
          <w:p>
            <w:pPr>
              <w:spacing w:after="20"/>
              <w:jc w:val="right"/>
            </w:pPr>
            <w:r>
              <w:rPr>
                <w:color w:val="1C3A36"/>
                <w:sz w:val="16"/>
              </w:rPr>
              <w:t>30 July 2026</w:t>
            </w:r>
          </w:p>
        </w:tc>
        <w:tc>
          <w:tcPr>
            <w:tcW w:type="dxa" w:w="2142"/>
          </w:tcPr>
          <w:p>
            <w:pPr>
              <w:spacing w:after="20"/>
              <w:jc w:val="right"/>
            </w:pPr>
            <w:r>
              <w:rPr>
                <w:color w:val="1C3A36"/>
                <w:sz w:val="16"/>
              </w:rPr>
              <w:t>adnocdrilling.ae — investor relations</w:t>
            </w:r>
          </w:p>
        </w:tc>
      </w:tr>
      <w:tr>
        <w:tc>
          <w:tcPr>
            <w:tcW w:type="dxa" w:w="2457"/>
          </w:tcPr>
          <w:p>
            <w:pPr>
              <w:spacing w:after="20"/>
            </w:pPr>
            <w:r>
              <w:rPr>
                <w:color w:val="1C3A36"/>
                <w:sz w:val="16"/>
              </w:rPr>
              <w:t>Corporate presentation</w:t>
            </w:r>
          </w:p>
        </w:tc>
        <w:tc>
          <w:tcPr>
            <w:tcW w:type="dxa" w:w="1827"/>
          </w:tcPr>
          <w:p>
            <w:pPr>
              <w:spacing w:after="20"/>
              <w:jc w:val="right"/>
            </w:pPr>
            <w:r>
              <w:rPr>
                <w:color w:val="1C3A36"/>
                <w:sz w:val="16"/>
              </w:rPr>
              <w:t>2026</w:t>
            </w:r>
          </w:p>
        </w:tc>
        <w:tc>
          <w:tcPr>
            <w:tcW w:type="dxa" w:w="2331"/>
          </w:tcPr>
          <w:p>
            <w:pPr>
              <w:spacing w:after="20"/>
              <w:jc w:val="right"/>
            </w:pPr>
            <w:r>
              <w:rPr>
                <w:color w:val="1C3A36"/>
                <w:sz w:val="16"/>
              </w:rPr>
              <w:t>Company-issued</w:t>
            </w:r>
          </w:p>
        </w:tc>
        <w:tc>
          <w:tcPr>
            <w:tcW w:type="dxa" w:w="1323"/>
          </w:tcPr>
          <w:p>
            <w:pPr>
              <w:spacing w:after="20"/>
              <w:jc w:val="right"/>
            </w:pPr>
            <w:r>
              <w:rPr>
                <w:color w:val="1C3A36"/>
                <w:sz w:val="16"/>
              </w:rPr>
              <w:t>2026</w:t>
            </w:r>
          </w:p>
        </w:tc>
        <w:tc>
          <w:tcPr>
            <w:tcW w:type="dxa" w:w="2142"/>
          </w:tcPr>
          <w:p>
            <w:pPr>
              <w:spacing w:after="20"/>
              <w:jc w:val="right"/>
            </w:pPr>
            <w:r>
              <w:rPr>
                <w:color w:val="1C3A36"/>
                <w:sz w:val="16"/>
              </w:rPr>
              <w:t>adnocdrilling.ae — investor relations</w:t>
            </w:r>
          </w:p>
        </w:tc>
      </w:tr>
      <w:tr>
        <w:tc>
          <w:tcPr>
            <w:tcW w:type="dxa" w:w="2457"/>
          </w:tcPr>
          <w:p>
            <w:pPr>
              <w:spacing w:after="20"/>
            </w:pPr>
            <w:r>
              <w:rPr>
                <w:color w:val="1C3A36"/>
                <w:sz w:val="16"/>
              </w:rPr>
              <w:t>Daily price history, October 2021 to 7 August 2026</w:t>
            </w:r>
          </w:p>
        </w:tc>
        <w:tc>
          <w:tcPr>
            <w:tcW w:type="dxa" w:w="1827"/>
          </w:tcPr>
          <w:p>
            <w:pPr>
              <w:spacing w:after="20"/>
              <w:jc w:val="right"/>
            </w:pPr>
            <w:r>
              <w:rPr>
                <w:color w:val="1C3A36"/>
                <w:sz w:val="16"/>
              </w:rPr>
              <w:t>Market data</w:t>
            </w:r>
          </w:p>
        </w:tc>
        <w:tc>
          <w:tcPr>
            <w:tcW w:type="dxa" w:w="2331"/>
          </w:tcPr>
          <w:p>
            <w:pPr>
              <w:spacing w:after="20"/>
              <w:jc w:val="right"/>
            </w:pPr>
            <w:r>
              <w:rPr>
                <w:color w:val="1C3A36"/>
                <w:sz w:val="16"/>
              </w:rPr>
              <w:t>1,215 sessions, screened for corporate actions and non-trading rows before use</w:t>
            </w:r>
          </w:p>
        </w:tc>
        <w:tc>
          <w:tcPr>
            <w:tcW w:type="dxa" w:w="1323"/>
          </w:tcPr>
          <w:p>
            <w:pPr>
              <w:spacing w:after="20"/>
              <w:jc w:val="right"/>
            </w:pPr>
            <w:r>
              <w:rPr>
                <w:color w:val="1C3A36"/>
                <w:sz w:val="16"/>
              </w:rPr>
              <w:t>7 August 2026</w:t>
            </w:r>
          </w:p>
        </w:tc>
        <w:tc>
          <w:tcPr>
            <w:tcW w:type="dxa" w:w="2142"/>
          </w:tcPr>
          <w:p>
            <w:pPr>
              <w:spacing w:after="20"/>
              <w:jc w:val="right"/>
            </w:pPr>
            <w:r>
              <w:rPr>
                <w:color w:val="1C3A36"/>
                <w:sz w:val="16"/>
              </w:rPr>
              <w:t>Supplied price file</w:t>
            </w:r>
          </w:p>
        </w:tc>
      </w:tr>
    </w:tbl>
    <w:p>
      <w:pPr>
        <w:spacing w:after="40"/>
      </w:pPr>
    </w:p>
    <w:p>
      <w:pPr>
        <w:spacing w:after="120" w:before="0"/>
      </w:pPr>
      <w:r>
        <w:rPr>
          <w:b w:val="0"/>
          <w:i w:val="0"/>
          <w:color w:val="1C3A36"/>
          <w:sz w:val="19"/>
        </w:rPr>
        <w:t>The 2023 and 2024 statements were each cross-confirmed against the following year's comparative column and tie to the dollar. Every statement page parsed cleanly except the signed balance-sheet page in each annual report, which is an image; those three pages were read by optical character recognition and then verified by checking that the totals foot and that each year's figures match the following year's comparative column.</w:t>
      </w:r>
    </w:p>
    <w:p>
      <w:r>
        <w:br w:type="page"/>
      </w:r>
    </w:p>
    <w:p>
      <w:pPr>
        <w:spacing w:after="120" w:before="280"/>
      </w:pPr>
      <w:r>
        <w:rPr>
          <w:b/>
          <w:i w:val="0"/>
          <w:color w:val="1C3A36"/>
          <w:sz w:val="30"/>
        </w:rPr>
        <w:t>2. The input register</w:t>
      </w:r>
    </w:p>
    <w:p>
      <w:pPr>
        <w:spacing w:after="120" w:before="0"/>
      </w:pPr>
      <w:r>
        <w:rPr>
          <w:b w:val="0"/>
          <w:i w:val="0"/>
          <w:color w:val="1C3A36"/>
          <w:sz w:val="21"/>
        </w:rPr>
        <w:t>Every input to the model, grouped by the layer of research it came from. An input with no source is not permitted to enter the model — the build fails rather than proceeding.</w:t>
      </w:r>
    </w:p>
    <w:p>
      <w:pPr>
        <w:spacing w:after="80" w:before="200"/>
      </w:pPr>
      <w:r>
        <w:rPr>
          <w:b/>
          <w:i w:val="0"/>
          <w:color w:val="1C3A36"/>
          <w:sz w:val="24"/>
        </w:rPr>
        <w:t>Company — audited and reviewed financial statements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1296"/>
        <w:gridCol w:w="1224"/>
        <w:gridCol w:w="5472"/>
      </w:tblGrid>
      <w:tr>
        <w:tc>
          <w:tcPr>
            <w:tcW w:type="dxa" w:w="2088"/>
            <w:shd w:val="clear" w:color="auto" w:fill="EAF0EE"/>
          </w:tcPr>
          <w:p>
            <w:pPr>
              <w:spacing w:after="20"/>
            </w:pPr>
            <w:r>
              <w:rPr>
                <w:b/>
                <w:color w:val="1C3A36"/>
                <w:sz w:val="16"/>
              </w:rPr>
              <w:t>Input</w:t>
            </w:r>
          </w:p>
        </w:tc>
        <w:tc>
          <w:tcPr>
            <w:tcW w:type="dxa" w:w="1296"/>
            <w:shd w:val="clear" w:color="auto" w:fill="EAF0EE"/>
          </w:tcPr>
          <w:p>
            <w:pPr>
              <w:spacing w:after="20"/>
            </w:pPr>
            <w:r>
              <w:rPr>
                <w:b/>
                <w:color w:val="1C3A36"/>
                <w:sz w:val="16"/>
              </w:rPr>
              <w:t>Value</w:t>
            </w:r>
          </w:p>
        </w:tc>
        <w:tc>
          <w:tcPr>
            <w:tcW w:type="dxa" w:w="1224"/>
            <w:shd w:val="clear" w:color="auto" w:fill="EAF0EE"/>
          </w:tcPr>
          <w:p>
            <w:pPr>
              <w:spacing w:after="20"/>
            </w:pPr>
            <w:r>
              <w:rPr>
                <w:b/>
                <w:color w:val="1C3A36"/>
                <w:sz w:val="16"/>
              </w:rPr>
              <w:t>Date</w:t>
            </w:r>
          </w:p>
        </w:tc>
        <w:tc>
          <w:tcPr>
            <w:tcW w:type="dxa" w:w="5472"/>
            <w:shd w:val="clear" w:color="auto" w:fill="EAF0EE"/>
          </w:tcPr>
          <w:p>
            <w:pPr>
              <w:spacing w:after="20"/>
            </w:pPr>
            <w:r>
              <w:rPr>
                <w:b/>
                <w:color w:val="1C3A36"/>
                <w:sz w:val="16"/>
              </w:rPr>
              <w:t>Source and construction</w:t>
            </w:r>
          </w:p>
        </w:tc>
      </w:tr>
      <w:tr>
        <w:tc>
          <w:tcPr>
            <w:tcW w:type="dxa" w:w="2088"/>
          </w:tcPr>
          <w:p>
            <w:pPr>
              <w:spacing w:after="20"/>
            </w:pPr>
            <w:r>
              <w:rPr>
                <w:color w:val="1C3A36"/>
                <w:sz w:val="16"/>
              </w:rPr>
              <w:t>advnc fy23</w:t>
            </w:r>
          </w:p>
        </w:tc>
        <w:tc>
          <w:tcPr>
            <w:tcW w:type="dxa" w:w="1296"/>
          </w:tcPr>
          <w:p>
            <w:pPr>
              <w:spacing w:after="20"/>
              <w:jc w:val="right"/>
            </w:pPr>
            <w:r>
              <w:rPr>
                <w:color w:val="1C3A36"/>
                <w:sz w:val="16"/>
              </w:rPr>
              <w:t>1,654.0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Advances (non-current), FY2023 audited consolidated financial statements (KPMG Lower Gulf Limited, unqualified)</w:t>
            </w:r>
          </w:p>
        </w:tc>
      </w:tr>
      <w:tr>
        <w:tc>
          <w:tcPr>
            <w:tcW w:type="dxa" w:w="2088"/>
          </w:tcPr>
          <w:p>
            <w:pPr>
              <w:spacing w:after="20"/>
            </w:pPr>
            <w:r>
              <w:rPr>
                <w:color w:val="1C3A36"/>
                <w:sz w:val="16"/>
              </w:rPr>
              <w:t>advnc fy24</w:t>
            </w:r>
          </w:p>
        </w:tc>
        <w:tc>
          <w:tcPr>
            <w:tcW w:type="dxa" w:w="1296"/>
          </w:tcPr>
          <w:p>
            <w:pPr>
              <w:spacing w:after="20"/>
              <w:jc w:val="right"/>
            </w:pPr>
            <w:r>
              <w:rPr>
                <w:color w:val="1C3A36"/>
                <w:sz w:val="16"/>
              </w:rPr>
              <w:t>2,230.0</w:t>
            </w:r>
          </w:p>
        </w:tc>
        <w:tc>
          <w:tcPr>
            <w:tcW w:type="dxa" w:w="1224"/>
          </w:tcPr>
          <w:p>
            <w:pPr>
              <w:spacing w:after="20"/>
              <w:jc w:val="right"/>
            </w:pPr>
            <w:r>
              <w:rPr>
                <w:color w:val="1C3A36"/>
                <w:sz w:val="16"/>
              </w:rPr>
              <w:t>2025-02-11</w:t>
            </w:r>
          </w:p>
        </w:tc>
        <w:tc>
          <w:tcPr>
            <w:tcW w:type="dxa" w:w="5472"/>
          </w:tcPr>
          <w:p>
            <w:pPr>
              <w:spacing w:after="20"/>
              <w:jc w:val="right"/>
            </w:pPr>
            <w:r>
              <w:rPr>
                <w:color w:val="1C3A36"/>
                <w:sz w:val="16"/>
              </w:rPr>
              <w:t>Advances (non-current), FY2024 audited consolidated financial statements (Deloitte &amp; Touche (M.E.), unqualified)</w:t>
            </w:r>
          </w:p>
        </w:tc>
      </w:tr>
      <w:tr>
        <w:tc>
          <w:tcPr>
            <w:tcW w:type="dxa" w:w="2088"/>
          </w:tcPr>
          <w:p>
            <w:pPr>
              <w:spacing w:after="20"/>
            </w:pPr>
            <w:r>
              <w:rPr>
                <w:color w:val="1C3A36"/>
                <w:sz w:val="16"/>
              </w:rPr>
              <w:t>advnc fy25</w:t>
            </w:r>
          </w:p>
        </w:tc>
        <w:tc>
          <w:tcPr>
            <w:tcW w:type="dxa" w:w="1296"/>
          </w:tcPr>
          <w:p>
            <w:pPr>
              <w:spacing w:after="20"/>
              <w:jc w:val="right"/>
            </w:pPr>
            <w:r>
              <w:rPr>
                <w:color w:val="1C3A36"/>
                <w:sz w:val="16"/>
              </w:rPr>
              <w:t>99,218.0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Advances 8,292 plus advance for acquisition of a subsidiary 90,926, FY2025 audited consolidated financial statements (Deloitte &amp; Touche (M.E.), unqualified)</w:t>
            </w:r>
          </w:p>
        </w:tc>
      </w:tr>
      <w:tr>
        <w:tc>
          <w:tcPr>
            <w:tcW w:type="dxa" w:w="2088"/>
          </w:tcPr>
          <w:p>
            <w:pPr>
              <w:spacing w:after="20"/>
            </w:pPr>
            <w:r>
              <w:rPr>
                <w:color w:val="1C3A36"/>
                <w:sz w:val="16"/>
              </w:rPr>
              <w:t>afs fy23</w:t>
            </w:r>
          </w:p>
        </w:tc>
        <w:tc>
          <w:tcPr>
            <w:tcW w:type="dxa" w:w="1296"/>
          </w:tcPr>
          <w:p>
            <w:pPr>
              <w:spacing w:after="20"/>
              <w:jc w:val="right"/>
            </w:pPr>
            <w:r>
              <w:rPr>
                <w:color w:val="1C3A36"/>
                <w:sz w:val="16"/>
              </w:rPr>
              <w:t>10,717.0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Assets held for sale, FY2023 audited consolidated financial statements (KPMG Lower Gulf Limited, unqualified)</w:t>
            </w:r>
          </w:p>
        </w:tc>
      </w:tr>
      <w:tr>
        <w:tc>
          <w:tcPr>
            <w:tcW w:type="dxa" w:w="2088"/>
          </w:tcPr>
          <w:p>
            <w:pPr>
              <w:spacing w:after="20"/>
            </w:pPr>
            <w:r>
              <w:rPr>
                <w:color w:val="1C3A36"/>
                <w:sz w:val="16"/>
              </w:rPr>
              <w:t>afs fy24</w:t>
            </w:r>
          </w:p>
        </w:tc>
        <w:tc>
          <w:tcPr>
            <w:tcW w:type="dxa" w:w="1296"/>
          </w:tcPr>
          <w:p>
            <w:pPr>
              <w:spacing w:after="20"/>
              <w:jc w:val="right"/>
            </w:pPr>
            <w:r>
              <w:rPr>
                <w:color w:val="1C3A36"/>
                <w:sz w:val="16"/>
              </w:rPr>
              <w:t>5,708.0</w:t>
            </w:r>
          </w:p>
        </w:tc>
        <w:tc>
          <w:tcPr>
            <w:tcW w:type="dxa" w:w="1224"/>
          </w:tcPr>
          <w:p>
            <w:pPr>
              <w:spacing w:after="20"/>
              <w:jc w:val="right"/>
            </w:pPr>
            <w:r>
              <w:rPr>
                <w:color w:val="1C3A36"/>
                <w:sz w:val="16"/>
              </w:rPr>
              <w:t>2025-02-11</w:t>
            </w:r>
          </w:p>
        </w:tc>
        <w:tc>
          <w:tcPr>
            <w:tcW w:type="dxa" w:w="5472"/>
          </w:tcPr>
          <w:p>
            <w:pPr>
              <w:spacing w:after="20"/>
              <w:jc w:val="right"/>
            </w:pPr>
            <w:r>
              <w:rPr>
                <w:color w:val="1C3A36"/>
                <w:sz w:val="16"/>
              </w:rPr>
              <w:t>Assets held for sale, FY2024 audited consolidated financial statements (Deloitte &amp; Touche (M.E.), unqualified)</w:t>
            </w:r>
          </w:p>
        </w:tc>
      </w:tr>
      <w:tr>
        <w:tc>
          <w:tcPr>
            <w:tcW w:type="dxa" w:w="2088"/>
          </w:tcPr>
          <w:p>
            <w:pPr>
              <w:spacing w:after="20"/>
            </w:pPr>
            <w:r>
              <w:rPr>
                <w:color w:val="1C3A36"/>
                <w:sz w:val="16"/>
              </w:rPr>
              <w:t>afs fy25</w:t>
            </w:r>
          </w:p>
        </w:tc>
        <w:tc>
          <w:tcPr>
            <w:tcW w:type="dxa" w:w="1296"/>
          </w:tcPr>
          <w:p>
            <w:pPr>
              <w:spacing w:after="20"/>
              <w:jc w:val="right"/>
            </w:pPr>
            <w:r>
              <w:rPr>
                <w:color w:val="1C3A36"/>
                <w:sz w:val="16"/>
              </w:rPr>
              <w:t>0.0000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Assets held for sale, FY2025 audited consolidated financial statements (Deloitte &amp; Touche (M.E.), unqualified) — nil at year end</w:t>
            </w:r>
          </w:p>
        </w:tc>
      </w:tr>
      <w:tr>
        <w:tc>
          <w:tcPr>
            <w:tcW w:type="dxa" w:w="2088"/>
          </w:tcPr>
          <w:p>
            <w:pPr>
              <w:spacing w:after="20"/>
            </w:pPr>
            <w:r>
              <w:rPr>
                <w:color w:val="1C3A36"/>
                <w:sz w:val="16"/>
              </w:rPr>
              <w:t>capex fy23</w:t>
            </w:r>
          </w:p>
        </w:tc>
        <w:tc>
          <w:tcPr>
            <w:tcW w:type="dxa" w:w="1296"/>
          </w:tcPr>
          <w:p>
            <w:pPr>
              <w:spacing w:after="20"/>
              <w:jc w:val="right"/>
            </w:pPr>
            <w:r>
              <w:rPr>
                <w:color w:val="1C3A36"/>
                <w:sz w:val="16"/>
              </w:rPr>
              <w:t>1,062,274.0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Payments for purchase of property and equipment, FY2023 audited consolidated financial statements (KPMG Lower Gulf Limited, unqualified)</w:t>
            </w:r>
          </w:p>
        </w:tc>
      </w:tr>
      <w:tr>
        <w:tc>
          <w:tcPr>
            <w:tcW w:type="dxa" w:w="2088"/>
          </w:tcPr>
          <w:p>
            <w:pPr>
              <w:spacing w:after="20"/>
            </w:pPr>
            <w:r>
              <w:rPr>
                <w:color w:val="1C3A36"/>
                <w:sz w:val="16"/>
              </w:rPr>
              <w:t>capex fy24</w:t>
            </w:r>
          </w:p>
        </w:tc>
        <w:tc>
          <w:tcPr>
            <w:tcW w:type="dxa" w:w="1296"/>
          </w:tcPr>
          <w:p>
            <w:pPr>
              <w:spacing w:after="20"/>
              <w:jc w:val="right"/>
            </w:pPr>
            <w:r>
              <w:rPr>
                <w:color w:val="1C3A36"/>
                <w:sz w:val="16"/>
              </w:rPr>
              <w:t>761,822.0</w:t>
            </w:r>
          </w:p>
        </w:tc>
        <w:tc>
          <w:tcPr>
            <w:tcW w:type="dxa" w:w="1224"/>
          </w:tcPr>
          <w:p>
            <w:pPr>
              <w:spacing w:after="20"/>
              <w:jc w:val="right"/>
            </w:pPr>
            <w:r>
              <w:rPr>
                <w:color w:val="1C3A36"/>
                <w:sz w:val="16"/>
              </w:rPr>
              <w:t>2025-02-11</w:t>
            </w:r>
          </w:p>
        </w:tc>
        <w:tc>
          <w:tcPr>
            <w:tcW w:type="dxa" w:w="5472"/>
          </w:tcPr>
          <w:p>
            <w:pPr>
              <w:spacing w:after="20"/>
              <w:jc w:val="right"/>
            </w:pPr>
            <w:r>
              <w:rPr>
                <w:color w:val="1C3A36"/>
                <w:sz w:val="16"/>
              </w:rPr>
              <w:t>Purchase of property and equipment 758,409 plus intangibles 3,413, FY2024 audited consolidated financial statements (Deloitte &amp; Touche (M.E.), unqualified)</w:t>
            </w:r>
          </w:p>
        </w:tc>
      </w:tr>
      <w:tr>
        <w:tc>
          <w:tcPr>
            <w:tcW w:type="dxa" w:w="2088"/>
          </w:tcPr>
          <w:p>
            <w:pPr>
              <w:spacing w:after="20"/>
            </w:pPr>
            <w:r>
              <w:rPr>
                <w:color w:val="1C3A36"/>
                <w:sz w:val="16"/>
              </w:rPr>
              <w:t>capex fy25</w:t>
            </w:r>
          </w:p>
        </w:tc>
        <w:tc>
          <w:tcPr>
            <w:tcW w:type="dxa" w:w="1296"/>
          </w:tcPr>
          <w:p>
            <w:pPr>
              <w:spacing w:after="20"/>
              <w:jc w:val="right"/>
            </w:pPr>
            <w:r>
              <w:rPr>
                <w:color w:val="1C3A36"/>
                <w:sz w:val="16"/>
              </w:rPr>
              <w:t>814,876.0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Purchase of property and equipment 805,215 plus intangibles 9,661, FY2025 audited consolidated financial statements (Deloitte &amp; Touche (M.E.), unqualified)</w:t>
            </w:r>
          </w:p>
        </w:tc>
      </w:tr>
      <w:tr>
        <w:tc>
          <w:tcPr>
            <w:tcW w:type="dxa" w:w="2088"/>
          </w:tcPr>
          <w:p>
            <w:pPr>
              <w:spacing w:after="20"/>
            </w:pPr>
            <w:r>
              <w:rPr>
                <w:color w:val="1C3A36"/>
                <w:sz w:val="16"/>
              </w:rPr>
              <w:t>cash 1h26</w:t>
            </w:r>
          </w:p>
        </w:tc>
        <w:tc>
          <w:tcPr>
            <w:tcW w:type="dxa" w:w="1296"/>
          </w:tcPr>
          <w:p>
            <w:pPr>
              <w:spacing w:after="20"/>
              <w:jc w:val="right"/>
            </w:pPr>
            <w:r>
              <w:rPr>
                <w:color w:val="1C3A36"/>
                <w:sz w:val="16"/>
              </w:rPr>
              <w:t>355,423.0</w:t>
            </w:r>
          </w:p>
        </w:tc>
        <w:tc>
          <w:tcPr>
            <w:tcW w:type="dxa" w:w="1224"/>
          </w:tcPr>
          <w:p>
            <w:pPr>
              <w:spacing w:after="20"/>
              <w:jc w:val="right"/>
            </w:pPr>
            <w:r>
              <w:rPr>
                <w:color w:val="1C3A36"/>
                <w:sz w:val="16"/>
              </w:rPr>
              <w:t>2026-06-30</w:t>
            </w:r>
          </w:p>
        </w:tc>
        <w:tc>
          <w:tcPr>
            <w:tcW w:type="dxa" w:w="5472"/>
          </w:tcPr>
          <w:p>
            <w:pPr>
              <w:spacing w:after="20"/>
              <w:jc w:val="right"/>
            </w:pPr>
            <w:r>
              <w:rPr>
                <w:color w:val="1C3A36"/>
                <w:sz w:val="16"/>
              </w:rPr>
              <w:t>Cash and cash equivalents, 1H-2026 condensed consolidated interim financial information (reviewed)</w:t>
            </w:r>
          </w:p>
        </w:tc>
      </w:tr>
      <w:tr>
        <w:tc>
          <w:tcPr>
            <w:tcW w:type="dxa" w:w="2088"/>
          </w:tcPr>
          <w:p>
            <w:pPr>
              <w:spacing w:after="20"/>
            </w:pPr>
            <w:r>
              <w:rPr>
                <w:color w:val="1C3A36"/>
                <w:sz w:val="16"/>
              </w:rPr>
              <w:t>cash fy23</w:t>
            </w:r>
          </w:p>
        </w:tc>
        <w:tc>
          <w:tcPr>
            <w:tcW w:type="dxa" w:w="1296"/>
          </w:tcPr>
          <w:p>
            <w:pPr>
              <w:spacing w:after="20"/>
              <w:jc w:val="right"/>
            </w:pPr>
            <w:r>
              <w:rPr>
                <w:color w:val="1C3A36"/>
                <w:sz w:val="16"/>
              </w:rPr>
              <w:t>354,122.0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Cash and cash equivalents, FY2023 audited consolidated financial statements (KPMG Lower Gulf Limited, unqualified)</w:t>
            </w:r>
          </w:p>
        </w:tc>
      </w:tr>
      <w:tr>
        <w:tc>
          <w:tcPr>
            <w:tcW w:type="dxa" w:w="2088"/>
          </w:tcPr>
          <w:p>
            <w:pPr>
              <w:spacing w:after="20"/>
            </w:pPr>
            <w:r>
              <w:rPr>
                <w:color w:val="1C3A36"/>
                <w:sz w:val="16"/>
              </w:rPr>
              <w:t>cash fy24</w:t>
            </w:r>
          </w:p>
        </w:tc>
        <w:tc>
          <w:tcPr>
            <w:tcW w:type="dxa" w:w="1296"/>
          </w:tcPr>
          <w:p>
            <w:pPr>
              <w:spacing w:after="20"/>
              <w:jc w:val="right"/>
            </w:pPr>
            <w:r>
              <w:rPr>
                <w:color w:val="1C3A36"/>
                <w:sz w:val="16"/>
              </w:rPr>
              <w:t>330,288.0</w:t>
            </w:r>
          </w:p>
        </w:tc>
        <w:tc>
          <w:tcPr>
            <w:tcW w:type="dxa" w:w="1224"/>
          </w:tcPr>
          <w:p>
            <w:pPr>
              <w:spacing w:after="20"/>
              <w:jc w:val="right"/>
            </w:pPr>
            <w:r>
              <w:rPr>
                <w:color w:val="1C3A36"/>
                <w:sz w:val="16"/>
              </w:rPr>
              <w:t>2025-02-11</w:t>
            </w:r>
          </w:p>
        </w:tc>
        <w:tc>
          <w:tcPr>
            <w:tcW w:type="dxa" w:w="5472"/>
          </w:tcPr>
          <w:p>
            <w:pPr>
              <w:spacing w:after="20"/>
              <w:jc w:val="right"/>
            </w:pPr>
            <w:r>
              <w:rPr>
                <w:color w:val="1C3A36"/>
                <w:sz w:val="16"/>
              </w:rPr>
              <w:t>Cash and cash equivalents, FY2024 audited consolidated financial statements (Deloitte &amp; Touche (M.E.), unqualified)</w:t>
            </w:r>
          </w:p>
        </w:tc>
      </w:tr>
      <w:tr>
        <w:tc>
          <w:tcPr>
            <w:tcW w:type="dxa" w:w="2088"/>
          </w:tcPr>
          <w:p>
            <w:pPr>
              <w:spacing w:after="20"/>
            </w:pPr>
            <w:r>
              <w:rPr>
                <w:color w:val="1C3A36"/>
                <w:sz w:val="16"/>
              </w:rPr>
              <w:t>cash fy25</w:t>
            </w:r>
          </w:p>
        </w:tc>
        <w:tc>
          <w:tcPr>
            <w:tcW w:type="dxa" w:w="1296"/>
          </w:tcPr>
          <w:p>
            <w:pPr>
              <w:spacing w:after="20"/>
              <w:jc w:val="right"/>
            </w:pPr>
            <w:r>
              <w:rPr>
                <w:color w:val="1C3A36"/>
                <w:sz w:val="16"/>
              </w:rPr>
              <w:t>236,016.0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Cash and cash equivalents, FY2025 audited consolidated financial statements (Deloitte &amp; Touche (M.E.), unqualified)</w:t>
            </w:r>
          </w:p>
        </w:tc>
      </w:tr>
      <w:tr>
        <w:tc>
          <w:tcPr>
            <w:tcW w:type="dxa" w:w="2088"/>
          </w:tcPr>
          <w:p>
            <w:pPr>
              <w:spacing w:after="20"/>
            </w:pPr>
            <w:r>
              <w:rPr>
                <w:color w:val="1C3A36"/>
                <w:sz w:val="16"/>
              </w:rPr>
              <w:t>cfo fy23</w:t>
            </w:r>
          </w:p>
        </w:tc>
        <w:tc>
          <w:tcPr>
            <w:tcW w:type="dxa" w:w="1296"/>
          </w:tcPr>
          <w:p>
            <w:pPr>
              <w:spacing w:after="20"/>
              <w:jc w:val="right"/>
            </w:pPr>
            <w:r>
              <w:rPr>
                <w:color w:val="1C3A36"/>
                <w:sz w:val="16"/>
              </w:rPr>
              <w:t>1,355,056.0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Net cash from operating activities, FY2023 audited consolidated financial statements (KPMG Lower Gulf Limited, unqualified)</w:t>
            </w:r>
          </w:p>
        </w:tc>
      </w:tr>
      <w:tr>
        <w:tc>
          <w:tcPr>
            <w:tcW w:type="dxa" w:w="2088"/>
          </w:tcPr>
          <w:p>
            <w:pPr>
              <w:spacing w:after="20"/>
            </w:pPr>
            <w:r>
              <w:rPr>
                <w:color w:val="1C3A36"/>
                <w:sz w:val="16"/>
              </w:rPr>
              <w:t>cfo fy24</w:t>
            </w:r>
          </w:p>
        </w:tc>
        <w:tc>
          <w:tcPr>
            <w:tcW w:type="dxa" w:w="1296"/>
          </w:tcPr>
          <w:p>
            <w:pPr>
              <w:spacing w:after="20"/>
              <w:jc w:val="right"/>
            </w:pPr>
            <w:r>
              <w:rPr>
                <w:color w:val="1C3A36"/>
                <w:sz w:val="16"/>
              </w:rPr>
              <w:t>1,653,666.0</w:t>
            </w:r>
          </w:p>
        </w:tc>
        <w:tc>
          <w:tcPr>
            <w:tcW w:type="dxa" w:w="1224"/>
          </w:tcPr>
          <w:p>
            <w:pPr>
              <w:spacing w:after="20"/>
              <w:jc w:val="right"/>
            </w:pPr>
            <w:r>
              <w:rPr>
                <w:color w:val="1C3A36"/>
                <w:sz w:val="16"/>
              </w:rPr>
              <w:t>2025-02-11</w:t>
            </w:r>
          </w:p>
        </w:tc>
        <w:tc>
          <w:tcPr>
            <w:tcW w:type="dxa" w:w="5472"/>
          </w:tcPr>
          <w:p>
            <w:pPr>
              <w:spacing w:after="20"/>
              <w:jc w:val="right"/>
            </w:pPr>
            <w:r>
              <w:rPr>
                <w:color w:val="1C3A36"/>
                <w:sz w:val="16"/>
              </w:rPr>
              <w:t>Net cash from operating activities, FY2024 audited consolidated financial statements (Deloitte &amp; Touche (M.E.), unqualified)</w:t>
            </w:r>
          </w:p>
        </w:tc>
      </w:tr>
      <w:tr>
        <w:tc>
          <w:tcPr>
            <w:tcW w:type="dxa" w:w="2088"/>
          </w:tcPr>
          <w:p>
            <w:pPr>
              <w:spacing w:after="20"/>
            </w:pPr>
            <w:r>
              <w:rPr>
                <w:color w:val="1C3A36"/>
                <w:sz w:val="16"/>
              </w:rPr>
              <w:t>cfo fy25</w:t>
            </w:r>
          </w:p>
        </w:tc>
        <w:tc>
          <w:tcPr>
            <w:tcW w:type="dxa" w:w="1296"/>
          </w:tcPr>
          <w:p>
            <w:pPr>
              <w:spacing w:after="20"/>
              <w:jc w:val="right"/>
            </w:pPr>
            <w:r>
              <w:rPr>
                <w:color w:val="1C3A36"/>
                <w:sz w:val="16"/>
              </w:rPr>
              <w:t>2,225,843.0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Net cash from operating activities, FY2025 audited consolidated financial statements (Deloitte &amp; Touche (M.E.), unqualified)</w:t>
            </w:r>
          </w:p>
        </w:tc>
      </w:tr>
      <w:tr>
        <w:tc>
          <w:tcPr>
            <w:tcW w:type="dxa" w:w="2088"/>
          </w:tcPr>
          <w:p>
            <w:pPr>
              <w:spacing w:after="20"/>
            </w:pPr>
            <w:r>
              <w:rPr>
                <w:color w:val="1C3A36"/>
                <w:sz w:val="16"/>
              </w:rPr>
              <w:t>dc chem fy25</w:t>
            </w:r>
          </w:p>
        </w:tc>
        <w:tc>
          <w:tcPr>
            <w:tcW w:type="dxa" w:w="1296"/>
          </w:tcPr>
          <w:p>
            <w:pPr>
              <w:spacing w:after="20"/>
              <w:jc w:val="right"/>
            </w:pPr>
            <w:r>
              <w:rPr>
                <w:color w:val="1C3A36"/>
                <w:sz w:val="16"/>
              </w:rPr>
              <w:t>254,535.0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Direct cost note 20, FY2025 audited consolidated financial statements (Deloitte &amp; Touche (M.E.), unqualified) — chemicals</w:t>
            </w:r>
          </w:p>
        </w:tc>
      </w:tr>
      <w:tr>
        <w:tc>
          <w:tcPr>
            <w:tcW w:type="dxa" w:w="2088"/>
          </w:tcPr>
          <w:p>
            <w:pPr>
              <w:spacing w:after="20"/>
            </w:pPr>
            <w:r>
              <w:rPr>
                <w:color w:val="1C3A36"/>
                <w:sz w:val="16"/>
              </w:rPr>
              <w:t>dc dep fy25</w:t>
            </w:r>
          </w:p>
        </w:tc>
        <w:tc>
          <w:tcPr>
            <w:tcW w:type="dxa" w:w="1296"/>
          </w:tcPr>
          <w:p>
            <w:pPr>
              <w:spacing w:after="20"/>
              <w:jc w:val="right"/>
            </w:pPr>
            <w:r>
              <w:rPr>
                <w:color w:val="1C3A36"/>
                <w:sz w:val="16"/>
              </w:rPr>
              <w:t>493,064.0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Direct cost note 20, FY2025 audited consolidated financial statements (Deloitte &amp; Touche (M.E.), unqualified) — depreciation of property and equipment charged to direct cost</w:t>
            </w:r>
          </w:p>
        </w:tc>
      </w:tr>
      <w:tr>
        <w:tc>
          <w:tcPr>
            <w:tcW w:type="dxa" w:w="2088"/>
          </w:tcPr>
          <w:p>
            <w:pPr>
              <w:spacing w:after="20"/>
            </w:pPr>
            <w:r>
              <w:rPr>
                <w:color w:val="1C3A36"/>
                <w:sz w:val="16"/>
              </w:rPr>
              <w:t>dc fuel fy25</w:t>
            </w:r>
          </w:p>
        </w:tc>
        <w:tc>
          <w:tcPr>
            <w:tcW w:type="dxa" w:w="1296"/>
          </w:tcPr>
          <w:p>
            <w:pPr>
              <w:spacing w:after="20"/>
              <w:jc w:val="right"/>
            </w:pPr>
            <w:r>
              <w:rPr>
                <w:color w:val="1C3A36"/>
                <w:sz w:val="16"/>
              </w:rPr>
              <w:t>170,776.0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Direct cost note 20, FY2025 audited consolidated financial statements (Deloitte &amp; Touche (M.E.), unqualified) — fuel and lubricants</w:t>
            </w:r>
          </w:p>
        </w:tc>
      </w:tr>
      <w:tr>
        <w:tc>
          <w:tcPr>
            <w:tcW w:type="dxa" w:w="2088"/>
          </w:tcPr>
          <w:p>
            <w:pPr>
              <w:spacing w:after="20"/>
            </w:pPr>
            <w:r>
              <w:rPr>
                <w:color w:val="1C3A36"/>
                <w:sz w:val="16"/>
              </w:rPr>
              <w:t>dc hire fy25</w:t>
            </w:r>
          </w:p>
        </w:tc>
        <w:tc>
          <w:tcPr>
            <w:tcW w:type="dxa" w:w="1296"/>
          </w:tcPr>
          <w:p>
            <w:pPr>
              <w:spacing w:after="20"/>
              <w:jc w:val="right"/>
            </w:pPr>
            <w:r>
              <w:rPr>
                <w:color w:val="1C3A36"/>
                <w:sz w:val="16"/>
              </w:rPr>
              <w:t>303,652.0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Direct cost note 20, FY2025 audited consolidated financial statements (Deloitte &amp; Touche (M.E.), unqualified) — hire of equipment</w:t>
            </w:r>
          </w:p>
        </w:tc>
      </w:tr>
      <w:tr>
        <w:tc>
          <w:tcPr>
            <w:tcW w:type="dxa" w:w="2088"/>
          </w:tcPr>
          <w:p>
            <w:pPr>
              <w:spacing w:after="20"/>
            </w:pPr>
            <w:r>
              <w:rPr>
                <w:color w:val="1C3A36"/>
                <w:sz w:val="16"/>
              </w:rPr>
              <w:t>dc majmaint fy25</w:t>
            </w:r>
          </w:p>
        </w:tc>
        <w:tc>
          <w:tcPr>
            <w:tcW w:type="dxa" w:w="1296"/>
          </w:tcPr>
          <w:p>
            <w:pPr>
              <w:spacing w:after="20"/>
              <w:jc w:val="right"/>
            </w:pPr>
            <w:r>
              <w:rPr>
                <w:color w:val="1C3A36"/>
                <w:sz w:val="16"/>
              </w:rPr>
              <w:t>53,151.0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Direct cost note 20, FY2025 audited consolidated financial statements (Deloitte &amp; Touche (M.E.), unqualified) — major maintenance charges</w:t>
            </w:r>
          </w:p>
        </w:tc>
      </w:tr>
      <w:tr>
        <w:tc>
          <w:tcPr>
            <w:tcW w:type="dxa" w:w="2088"/>
          </w:tcPr>
          <w:p>
            <w:pPr>
              <w:spacing w:after="20"/>
            </w:pPr>
            <w:r>
              <w:rPr>
                <w:color w:val="1C3A36"/>
                <w:sz w:val="16"/>
              </w:rPr>
              <w:t>dc other fy25</w:t>
            </w:r>
          </w:p>
        </w:tc>
        <w:tc>
          <w:tcPr>
            <w:tcW w:type="dxa" w:w="1296"/>
          </w:tcPr>
          <w:p>
            <w:pPr>
              <w:spacing w:after="20"/>
              <w:jc w:val="right"/>
            </w:pPr>
            <w:r>
              <w:rPr>
                <w:color w:val="1C3A36"/>
                <w:sz w:val="16"/>
              </w:rPr>
              <w:t>123,312.0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Direct cost note 20, FY2025 audited consolidated financial statements (Deloitte &amp; Touche (M.E.), unqualified) — other direct cost</w:t>
            </w:r>
          </w:p>
        </w:tc>
      </w:tr>
      <w:tr>
        <w:tc>
          <w:tcPr>
            <w:tcW w:type="dxa" w:w="2088"/>
          </w:tcPr>
          <w:p>
            <w:pPr>
              <w:spacing w:after="20"/>
            </w:pPr>
            <w:r>
              <w:rPr>
                <w:color w:val="1C3A36"/>
                <w:sz w:val="16"/>
              </w:rPr>
              <w:t>dc repairs fy25</w:t>
            </w:r>
          </w:p>
        </w:tc>
        <w:tc>
          <w:tcPr>
            <w:tcW w:type="dxa" w:w="1296"/>
          </w:tcPr>
          <w:p>
            <w:pPr>
              <w:spacing w:after="20"/>
              <w:jc w:val="right"/>
            </w:pPr>
            <w:r>
              <w:rPr>
                <w:color w:val="1C3A36"/>
                <w:sz w:val="16"/>
              </w:rPr>
              <w:t>904,937.0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Direct cost note 20, FY2025 audited consolidated financial statements (Deloitte &amp; Touche (M.E.), unqualified) — repairs and maintenance</w:t>
            </w:r>
          </w:p>
        </w:tc>
      </w:tr>
      <w:tr>
        <w:tc>
          <w:tcPr>
            <w:tcW w:type="dxa" w:w="2088"/>
          </w:tcPr>
          <w:p>
            <w:pPr>
              <w:spacing w:after="20"/>
            </w:pPr>
            <w:r>
              <w:rPr>
                <w:color w:val="1C3A36"/>
                <w:sz w:val="16"/>
              </w:rPr>
              <w:t>dc staff fy25</w:t>
            </w:r>
          </w:p>
        </w:tc>
        <w:tc>
          <w:tcPr>
            <w:tcW w:type="dxa" w:w="1296"/>
          </w:tcPr>
          <w:p>
            <w:pPr>
              <w:spacing w:after="20"/>
              <w:jc w:val="right"/>
            </w:pPr>
            <w:r>
              <w:rPr>
                <w:color w:val="1C3A36"/>
                <w:sz w:val="16"/>
              </w:rPr>
              <w:t>802,536.0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Direct cost note 20, FY2025 audited consolidated financial statements (Deloitte &amp; Touche (M.E.), unqualified) — staff costs</w:t>
            </w:r>
          </w:p>
        </w:tc>
      </w:tr>
      <w:tr>
        <w:tc>
          <w:tcPr>
            <w:tcW w:type="dxa" w:w="2088"/>
          </w:tcPr>
          <w:p>
            <w:pPr>
              <w:spacing w:after="20"/>
            </w:pPr>
            <w:r>
              <w:rPr>
                <w:color w:val="1C3A36"/>
                <w:sz w:val="16"/>
              </w:rPr>
              <w:t>dcost fy23</w:t>
            </w:r>
          </w:p>
        </w:tc>
        <w:tc>
          <w:tcPr>
            <w:tcW w:type="dxa" w:w="1296"/>
          </w:tcPr>
          <w:p>
            <w:pPr>
              <w:spacing w:after="20"/>
              <w:jc w:val="right"/>
            </w:pPr>
            <w:r>
              <w:rPr>
                <w:color w:val="1C3A36"/>
                <w:sz w:val="16"/>
              </w:rPr>
              <w:t>1,848,729.0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Direct cost, FY2023 audited consolidated financial statements (KPMG Lower Gulf Limited, unqualified)</w:t>
            </w:r>
          </w:p>
        </w:tc>
      </w:tr>
      <w:tr>
        <w:tc>
          <w:tcPr>
            <w:tcW w:type="dxa" w:w="2088"/>
          </w:tcPr>
          <w:p>
            <w:pPr>
              <w:spacing w:after="20"/>
            </w:pPr>
            <w:r>
              <w:rPr>
                <w:color w:val="1C3A36"/>
                <w:sz w:val="16"/>
              </w:rPr>
              <w:t>dcost fy24</w:t>
            </w:r>
          </w:p>
        </w:tc>
        <w:tc>
          <w:tcPr>
            <w:tcW w:type="dxa" w:w="1296"/>
          </w:tcPr>
          <w:p>
            <w:pPr>
              <w:spacing w:after="20"/>
              <w:jc w:val="right"/>
            </w:pPr>
            <w:r>
              <w:rPr>
                <w:color w:val="1C3A36"/>
                <w:sz w:val="16"/>
              </w:rPr>
              <w:t>2,337,407.0</w:t>
            </w:r>
          </w:p>
        </w:tc>
        <w:tc>
          <w:tcPr>
            <w:tcW w:type="dxa" w:w="1224"/>
          </w:tcPr>
          <w:p>
            <w:pPr>
              <w:spacing w:after="20"/>
              <w:jc w:val="right"/>
            </w:pPr>
            <w:r>
              <w:rPr>
                <w:color w:val="1C3A36"/>
                <w:sz w:val="16"/>
              </w:rPr>
              <w:t>2025-02-11</w:t>
            </w:r>
          </w:p>
        </w:tc>
        <w:tc>
          <w:tcPr>
            <w:tcW w:type="dxa" w:w="5472"/>
          </w:tcPr>
          <w:p>
            <w:pPr>
              <w:spacing w:after="20"/>
              <w:jc w:val="right"/>
            </w:pPr>
            <w:r>
              <w:rPr>
                <w:color w:val="1C3A36"/>
                <w:sz w:val="16"/>
              </w:rPr>
              <w:t>Direct cost, FY2024 audited consolidated financial statements (Deloitte &amp; Touche (M.E.), unqualified)</w:t>
            </w:r>
          </w:p>
        </w:tc>
      </w:tr>
      <w:tr>
        <w:tc>
          <w:tcPr>
            <w:tcW w:type="dxa" w:w="2088"/>
          </w:tcPr>
          <w:p>
            <w:pPr>
              <w:spacing w:after="20"/>
            </w:pPr>
            <w:r>
              <w:rPr>
                <w:color w:val="1C3A36"/>
                <w:sz w:val="16"/>
              </w:rPr>
              <w:t>dcost fy25</w:t>
            </w:r>
          </w:p>
        </w:tc>
        <w:tc>
          <w:tcPr>
            <w:tcW w:type="dxa" w:w="1296"/>
          </w:tcPr>
          <w:p>
            <w:pPr>
              <w:spacing w:after="20"/>
              <w:jc w:val="right"/>
            </w:pPr>
            <w:r>
              <w:rPr>
                <w:color w:val="1C3A36"/>
                <w:sz w:val="16"/>
              </w:rPr>
              <w:t>3,105,963.0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Direct cost, FY2025 audited consolidated financial statements (Deloitte &amp; Touche (M.E.), unqualified)</w:t>
            </w:r>
          </w:p>
        </w:tc>
      </w:tr>
      <w:tr>
        <w:tc>
          <w:tcPr>
            <w:tcW w:type="dxa" w:w="2088"/>
          </w:tcPr>
          <w:p>
            <w:pPr>
              <w:spacing w:after="20"/>
            </w:pPr>
            <w:r>
              <w:rPr>
                <w:color w:val="1C3A36"/>
                <w:sz w:val="16"/>
              </w:rPr>
              <w:t>debt 1h26</w:t>
            </w:r>
          </w:p>
        </w:tc>
        <w:tc>
          <w:tcPr>
            <w:tcW w:type="dxa" w:w="1296"/>
          </w:tcPr>
          <w:p>
            <w:pPr>
              <w:spacing w:after="20"/>
              <w:jc w:val="right"/>
            </w:pPr>
            <w:r>
              <w:rPr>
                <w:color w:val="1C3A36"/>
                <w:sz w:val="16"/>
              </w:rPr>
              <w:t>2,468,779.0</w:t>
            </w:r>
          </w:p>
        </w:tc>
        <w:tc>
          <w:tcPr>
            <w:tcW w:type="dxa" w:w="1224"/>
          </w:tcPr>
          <w:p>
            <w:pPr>
              <w:spacing w:after="20"/>
              <w:jc w:val="right"/>
            </w:pPr>
            <w:r>
              <w:rPr>
                <w:color w:val="1C3A36"/>
                <w:sz w:val="16"/>
              </w:rPr>
              <w:t>2026-06-30</w:t>
            </w:r>
          </w:p>
        </w:tc>
        <w:tc>
          <w:tcPr>
            <w:tcW w:type="dxa" w:w="5472"/>
          </w:tcPr>
          <w:p>
            <w:pPr>
              <w:spacing w:after="20"/>
              <w:jc w:val="right"/>
            </w:pPr>
            <w:r>
              <w:rPr>
                <w:color w:val="1C3A36"/>
                <w:sz w:val="16"/>
              </w:rPr>
              <w:t>Borrowings, 1H-2026 condensed consolidated interim financial information (reviewed): non-current 1,247,510 plus current 1,221,269</w:t>
            </w:r>
          </w:p>
        </w:tc>
      </w:tr>
      <w:tr>
        <w:tc>
          <w:tcPr>
            <w:tcW w:type="dxa" w:w="2088"/>
          </w:tcPr>
          <w:p>
            <w:pPr>
              <w:spacing w:after="20"/>
            </w:pPr>
            <w:r>
              <w:rPr>
                <w:color w:val="1C3A36"/>
                <w:sz w:val="16"/>
              </w:rPr>
              <w:t>debt fy23</w:t>
            </w:r>
          </w:p>
        </w:tc>
        <w:tc>
          <w:tcPr>
            <w:tcW w:type="dxa" w:w="1296"/>
          </w:tcPr>
          <w:p>
            <w:pPr>
              <w:spacing w:after="20"/>
              <w:jc w:val="right"/>
            </w:pPr>
            <w:r>
              <w:rPr>
                <w:color w:val="1C3A36"/>
                <w:sz w:val="16"/>
              </w:rPr>
              <w:t>1,992,264.0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Borrowings note 13, FY2023 audited consolidated financial statements (KPMG Lower Gulf Limited, unqualified) (non-current 1,992,264, current nil)</w:t>
            </w:r>
          </w:p>
        </w:tc>
      </w:tr>
      <w:tr>
        <w:tc>
          <w:tcPr>
            <w:tcW w:type="dxa" w:w="2088"/>
          </w:tcPr>
          <w:p>
            <w:pPr>
              <w:spacing w:after="20"/>
            </w:pPr>
            <w:r>
              <w:rPr>
                <w:color w:val="1C3A36"/>
                <w:sz w:val="16"/>
              </w:rPr>
              <w:t>debt fy24</w:t>
            </w:r>
          </w:p>
        </w:tc>
        <w:tc>
          <w:tcPr>
            <w:tcW w:type="dxa" w:w="1296"/>
          </w:tcPr>
          <w:p>
            <w:pPr>
              <w:spacing w:after="20"/>
              <w:jc w:val="right"/>
            </w:pPr>
            <w:r>
              <w:rPr>
                <w:color w:val="1C3A36"/>
                <w:sz w:val="16"/>
              </w:rPr>
              <w:t>2,294,750.0</w:t>
            </w:r>
          </w:p>
        </w:tc>
        <w:tc>
          <w:tcPr>
            <w:tcW w:type="dxa" w:w="1224"/>
          </w:tcPr>
          <w:p>
            <w:pPr>
              <w:spacing w:after="20"/>
              <w:jc w:val="right"/>
            </w:pPr>
            <w:r>
              <w:rPr>
                <w:color w:val="1C3A36"/>
                <w:sz w:val="16"/>
              </w:rPr>
              <w:t>2025-02-11</w:t>
            </w:r>
          </w:p>
        </w:tc>
        <w:tc>
          <w:tcPr>
            <w:tcW w:type="dxa" w:w="5472"/>
          </w:tcPr>
          <w:p>
            <w:pPr>
              <w:spacing w:after="20"/>
              <w:jc w:val="right"/>
            </w:pPr>
            <w:r>
              <w:rPr>
                <w:color w:val="1C3A36"/>
                <w:sz w:val="16"/>
              </w:rPr>
              <w:t>Borrowings note 15, FY2024 audited consolidated financial statements (Deloitte &amp; Touche (M.E.), unqualified): non-current 1,495,227 plus current 799,523</w:t>
            </w:r>
          </w:p>
        </w:tc>
      </w:tr>
      <w:tr>
        <w:tc>
          <w:tcPr>
            <w:tcW w:type="dxa" w:w="2088"/>
          </w:tcPr>
          <w:p>
            <w:pPr>
              <w:spacing w:after="20"/>
            </w:pPr>
            <w:r>
              <w:rPr>
                <w:color w:val="1C3A36"/>
                <w:sz w:val="16"/>
              </w:rPr>
              <w:t>debt fy25</w:t>
            </w:r>
          </w:p>
        </w:tc>
        <w:tc>
          <w:tcPr>
            <w:tcW w:type="dxa" w:w="1296"/>
          </w:tcPr>
          <w:p>
            <w:pPr>
              <w:spacing w:after="20"/>
              <w:jc w:val="right"/>
            </w:pPr>
            <w:r>
              <w:rPr>
                <w:color w:val="1C3A36"/>
                <w:sz w:val="16"/>
              </w:rPr>
              <w:t>2,269,039.0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Borrowings note 15, FY2025 audited consolidated financial statements (Deloitte &amp; Touche (M.E.), unqualified): non-current 1,246,507 plus current 1,022,532</w:t>
            </w:r>
          </w:p>
        </w:tc>
      </w:tr>
      <w:tr>
        <w:tc>
          <w:tcPr>
            <w:tcW w:type="dxa" w:w="2088"/>
          </w:tcPr>
          <w:p>
            <w:pPr>
              <w:spacing w:after="20"/>
            </w:pPr>
            <w:r>
              <w:rPr>
                <w:color w:val="1C3A36"/>
                <w:sz w:val="16"/>
              </w:rPr>
              <w:t>dfrp fy23</w:t>
            </w:r>
          </w:p>
        </w:tc>
        <w:tc>
          <w:tcPr>
            <w:tcW w:type="dxa" w:w="1296"/>
          </w:tcPr>
          <w:p>
            <w:pPr>
              <w:spacing w:after="20"/>
              <w:jc w:val="right"/>
            </w:pPr>
            <w:r>
              <w:rPr>
                <w:color w:val="1C3A36"/>
                <w:sz w:val="16"/>
              </w:rPr>
              <w:t>986,696.0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Due from related parties, FY2023 audited consolidated financial statements (KPMG Lower Gulf Limited, unqualified)</w:t>
            </w:r>
          </w:p>
        </w:tc>
      </w:tr>
      <w:tr>
        <w:tc>
          <w:tcPr>
            <w:tcW w:type="dxa" w:w="2088"/>
          </w:tcPr>
          <w:p>
            <w:pPr>
              <w:spacing w:after="20"/>
            </w:pPr>
            <w:r>
              <w:rPr>
                <w:color w:val="1C3A36"/>
                <w:sz w:val="16"/>
              </w:rPr>
              <w:t>dfrp fy24</w:t>
            </w:r>
          </w:p>
        </w:tc>
        <w:tc>
          <w:tcPr>
            <w:tcW w:type="dxa" w:w="1296"/>
          </w:tcPr>
          <w:p>
            <w:pPr>
              <w:spacing w:after="20"/>
              <w:jc w:val="right"/>
            </w:pPr>
            <w:r>
              <w:rPr>
                <w:color w:val="1C3A36"/>
                <w:sz w:val="16"/>
              </w:rPr>
              <w:t>1,361,282.0</w:t>
            </w:r>
          </w:p>
        </w:tc>
        <w:tc>
          <w:tcPr>
            <w:tcW w:type="dxa" w:w="1224"/>
          </w:tcPr>
          <w:p>
            <w:pPr>
              <w:spacing w:after="20"/>
              <w:jc w:val="right"/>
            </w:pPr>
            <w:r>
              <w:rPr>
                <w:color w:val="1C3A36"/>
                <w:sz w:val="16"/>
              </w:rPr>
              <w:t>2025-02-11</w:t>
            </w:r>
          </w:p>
        </w:tc>
        <w:tc>
          <w:tcPr>
            <w:tcW w:type="dxa" w:w="5472"/>
          </w:tcPr>
          <w:p>
            <w:pPr>
              <w:spacing w:after="20"/>
              <w:jc w:val="right"/>
            </w:pPr>
            <w:r>
              <w:rPr>
                <w:color w:val="1C3A36"/>
                <w:sz w:val="16"/>
              </w:rPr>
              <w:t>Due from related parties, FY2024 audited consolidated financial statements (Deloitte &amp; Touche (M.E.), unqualified)</w:t>
            </w:r>
          </w:p>
        </w:tc>
      </w:tr>
      <w:tr>
        <w:tc>
          <w:tcPr>
            <w:tcW w:type="dxa" w:w="2088"/>
          </w:tcPr>
          <w:p>
            <w:pPr>
              <w:spacing w:after="20"/>
            </w:pPr>
            <w:r>
              <w:rPr>
                <w:color w:val="1C3A36"/>
                <w:sz w:val="16"/>
              </w:rPr>
              <w:t>dfrp fy25</w:t>
            </w:r>
          </w:p>
        </w:tc>
        <w:tc>
          <w:tcPr>
            <w:tcW w:type="dxa" w:w="1296"/>
          </w:tcPr>
          <w:p>
            <w:pPr>
              <w:spacing w:after="20"/>
              <w:jc w:val="right"/>
            </w:pPr>
            <w:r>
              <w:rPr>
                <w:color w:val="1C3A36"/>
                <w:sz w:val="16"/>
              </w:rPr>
              <w:t>1,364,794.0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Due from related parties note 18, FY2025 audited consolidated financial statements (Deloitte &amp; Touche (M.E.), unqualified) — 228,666 billed plus 1,164,132 of unbilled contract assets less a 28,004 expected-credit-loss allowance</w:t>
            </w:r>
          </w:p>
        </w:tc>
      </w:tr>
      <w:tr>
        <w:tc>
          <w:tcPr>
            <w:tcW w:type="dxa" w:w="2088"/>
          </w:tcPr>
          <w:p>
            <w:pPr>
              <w:spacing w:after="20"/>
            </w:pPr>
            <w:r>
              <w:rPr>
                <w:color w:val="1C3A36"/>
                <w:sz w:val="16"/>
              </w:rPr>
              <w:t>div fy23</w:t>
            </w:r>
          </w:p>
        </w:tc>
        <w:tc>
          <w:tcPr>
            <w:tcW w:type="dxa" w:w="1296"/>
          </w:tcPr>
          <w:p>
            <w:pPr>
              <w:spacing w:after="20"/>
              <w:jc w:val="right"/>
            </w:pPr>
            <w:r>
              <w:rPr>
                <w:color w:val="1C3A36"/>
                <w:sz w:val="16"/>
              </w:rPr>
              <w:t>699,559.0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Dividends paid, FY2023 audited consolidated financial statements (KPMG Lower Gulf Limited, unqualified)</w:t>
            </w:r>
          </w:p>
        </w:tc>
      </w:tr>
      <w:tr>
        <w:tc>
          <w:tcPr>
            <w:tcW w:type="dxa" w:w="2088"/>
          </w:tcPr>
          <w:p>
            <w:pPr>
              <w:spacing w:after="20"/>
            </w:pPr>
            <w:r>
              <w:rPr>
                <w:color w:val="1C3A36"/>
                <w:sz w:val="16"/>
              </w:rPr>
              <w:t>div fy24</w:t>
            </w:r>
          </w:p>
        </w:tc>
        <w:tc>
          <w:tcPr>
            <w:tcW w:type="dxa" w:w="1296"/>
          </w:tcPr>
          <w:p>
            <w:pPr>
              <w:spacing w:after="20"/>
              <w:jc w:val="right"/>
            </w:pPr>
            <w:r>
              <w:rPr>
                <w:color w:val="1C3A36"/>
                <w:sz w:val="16"/>
              </w:rPr>
              <w:t>752,452.0</w:t>
            </w:r>
          </w:p>
        </w:tc>
        <w:tc>
          <w:tcPr>
            <w:tcW w:type="dxa" w:w="1224"/>
          </w:tcPr>
          <w:p>
            <w:pPr>
              <w:spacing w:after="20"/>
              <w:jc w:val="right"/>
            </w:pPr>
            <w:r>
              <w:rPr>
                <w:color w:val="1C3A36"/>
                <w:sz w:val="16"/>
              </w:rPr>
              <w:t>2025-02-11</w:t>
            </w:r>
          </w:p>
        </w:tc>
        <w:tc>
          <w:tcPr>
            <w:tcW w:type="dxa" w:w="5472"/>
          </w:tcPr>
          <w:p>
            <w:pPr>
              <w:spacing w:after="20"/>
              <w:jc w:val="right"/>
            </w:pPr>
            <w:r>
              <w:rPr>
                <w:color w:val="1C3A36"/>
                <w:sz w:val="16"/>
              </w:rPr>
              <w:t>Dividends paid, FY2024 audited consolidated financial statements (Deloitte &amp; Touche (M.E.), unqualified)</w:t>
            </w:r>
          </w:p>
        </w:tc>
      </w:tr>
      <w:tr>
        <w:tc>
          <w:tcPr>
            <w:tcW w:type="dxa" w:w="2088"/>
          </w:tcPr>
          <w:p>
            <w:pPr>
              <w:spacing w:after="20"/>
            </w:pPr>
            <w:r>
              <w:rPr>
                <w:color w:val="1C3A36"/>
                <w:sz w:val="16"/>
              </w:rPr>
              <w:t>div fy25</w:t>
            </w:r>
          </w:p>
        </w:tc>
        <w:tc>
          <w:tcPr>
            <w:tcW w:type="dxa" w:w="1296"/>
          </w:tcPr>
          <w:p>
            <w:pPr>
              <w:spacing w:after="20"/>
              <w:jc w:val="right"/>
            </w:pPr>
            <w:r>
              <w:rPr>
                <w:color w:val="1C3A36"/>
                <w:sz w:val="16"/>
              </w:rPr>
              <w:t>1,143,567.0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Dividends paid, FY2025 audited consolidated financial statements (Deloitte &amp; Touche (M.E.), unqualified)</w:t>
            </w:r>
          </w:p>
        </w:tc>
      </w:tr>
      <w:tr>
        <w:tc>
          <w:tcPr>
            <w:tcW w:type="dxa" w:w="2088"/>
          </w:tcPr>
          <w:p>
            <w:pPr>
              <w:spacing w:after="20"/>
            </w:pPr>
            <w:r>
              <w:rPr>
                <w:color w:val="1C3A36"/>
                <w:sz w:val="16"/>
              </w:rPr>
              <w:t>dna 1h26</w:t>
            </w:r>
          </w:p>
        </w:tc>
        <w:tc>
          <w:tcPr>
            <w:tcW w:type="dxa" w:w="1296"/>
          </w:tcPr>
          <w:p>
            <w:pPr>
              <w:spacing w:after="20"/>
              <w:jc w:val="right"/>
            </w:pPr>
            <w:r>
              <w:rPr>
                <w:color w:val="1C3A36"/>
                <w:sz w:val="16"/>
              </w:rPr>
              <w:t>260,530.0</w:t>
            </w:r>
          </w:p>
        </w:tc>
        <w:tc>
          <w:tcPr>
            <w:tcW w:type="dxa" w:w="1224"/>
          </w:tcPr>
          <w:p>
            <w:pPr>
              <w:spacing w:after="20"/>
              <w:jc w:val="right"/>
            </w:pPr>
            <w:r>
              <w:rPr>
                <w:color w:val="1C3A36"/>
                <w:sz w:val="16"/>
              </w:rPr>
              <w:t>2026-07-30</w:t>
            </w:r>
          </w:p>
        </w:tc>
        <w:tc>
          <w:tcPr>
            <w:tcW w:type="dxa" w:w="5472"/>
          </w:tcPr>
          <w:p>
            <w:pPr>
              <w:spacing w:after="20"/>
              <w:jc w:val="right"/>
            </w:pPr>
            <w:r>
              <w:rPr>
                <w:color w:val="1C3A36"/>
                <w:sz w:val="16"/>
              </w:rPr>
              <w:t>Cash-flow statement adjustments, 1H-2026 condensed consolidated interim financial information (reviewed): property and equipment 252,319 plus right-of-use 5,906 plus intangibles 2,305</w:t>
            </w:r>
          </w:p>
        </w:tc>
      </w:tr>
      <w:tr>
        <w:tc>
          <w:tcPr>
            <w:tcW w:type="dxa" w:w="2088"/>
          </w:tcPr>
          <w:p>
            <w:pPr>
              <w:spacing w:after="20"/>
            </w:pPr>
            <w:r>
              <w:rPr>
                <w:color w:val="1C3A36"/>
                <w:sz w:val="16"/>
              </w:rPr>
              <w:t>dna fy23</w:t>
            </w:r>
          </w:p>
        </w:tc>
        <w:tc>
          <w:tcPr>
            <w:tcW w:type="dxa" w:w="1296"/>
          </w:tcPr>
          <w:p>
            <w:pPr>
              <w:spacing w:after="20"/>
              <w:jc w:val="right"/>
            </w:pPr>
            <w:r>
              <w:rPr>
                <w:color w:val="1C3A36"/>
                <w:sz w:val="16"/>
              </w:rPr>
              <w:t>391,247.0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Consolidated statement of cash flows, FY2023 audited consolidated financial statements (KPMG Lower Gulf Limited, unqualified): property and equipment 368,110 + right-of-use assets 19,589 + intangibles 3,548. Ties to the segment note's total depreciation of 391,247</w:t>
            </w:r>
          </w:p>
        </w:tc>
      </w:tr>
      <w:tr>
        <w:tc>
          <w:tcPr>
            <w:tcW w:type="dxa" w:w="2088"/>
          </w:tcPr>
          <w:p>
            <w:pPr>
              <w:spacing w:after="20"/>
            </w:pPr>
            <w:r>
              <w:rPr>
                <w:color w:val="1C3A36"/>
                <w:sz w:val="16"/>
              </w:rPr>
              <w:t>dna fy24</w:t>
            </w:r>
          </w:p>
        </w:tc>
        <w:tc>
          <w:tcPr>
            <w:tcW w:type="dxa" w:w="1296"/>
          </w:tcPr>
          <w:p>
            <w:pPr>
              <w:spacing w:after="20"/>
              <w:jc w:val="right"/>
            </w:pPr>
            <w:r>
              <w:rPr>
                <w:color w:val="1C3A36"/>
                <w:sz w:val="16"/>
              </w:rPr>
              <w:t>458,452.0</w:t>
            </w:r>
          </w:p>
        </w:tc>
        <w:tc>
          <w:tcPr>
            <w:tcW w:type="dxa" w:w="1224"/>
          </w:tcPr>
          <w:p>
            <w:pPr>
              <w:spacing w:after="20"/>
              <w:jc w:val="right"/>
            </w:pPr>
            <w:r>
              <w:rPr>
                <w:color w:val="1C3A36"/>
                <w:sz w:val="16"/>
              </w:rPr>
              <w:t>2025-02-11</w:t>
            </w:r>
          </w:p>
        </w:tc>
        <w:tc>
          <w:tcPr>
            <w:tcW w:type="dxa" w:w="5472"/>
          </w:tcPr>
          <w:p>
            <w:pPr>
              <w:spacing w:after="20"/>
              <w:jc w:val="right"/>
            </w:pPr>
            <w:r>
              <w:rPr>
                <w:color w:val="1C3A36"/>
                <w:sz w:val="16"/>
              </w:rPr>
              <w:t>Consolidated statement of cash flows, FY2024 audited consolidated financial statements (Deloitte &amp; Touche (M.E.), unqualified): property and equipment 426,473 + right-of-use assets 28,435 + intangibles 3,544. Ties to the segment note's total depreciation and amortisation of 458,452</w:t>
            </w:r>
          </w:p>
        </w:tc>
      </w:tr>
      <w:tr>
        <w:tc>
          <w:tcPr>
            <w:tcW w:type="dxa" w:w="2088"/>
          </w:tcPr>
          <w:p>
            <w:pPr>
              <w:spacing w:after="20"/>
            </w:pPr>
            <w:r>
              <w:rPr>
                <w:color w:val="1C3A36"/>
                <w:sz w:val="16"/>
              </w:rPr>
              <w:t>dna fy25</w:t>
            </w:r>
          </w:p>
        </w:tc>
        <w:tc>
          <w:tcPr>
            <w:tcW w:type="dxa" w:w="1296"/>
          </w:tcPr>
          <w:p>
            <w:pPr>
              <w:spacing w:after="20"/>
              <w:jc w:val="right"/>
            </w:pPr>
            <w:r>
              <w:rPr>
                <w:color w:val="1C3A36"/>
                <w:sz w:val="16"/>
              </w:rPr>
              <w:t>512,319.0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Consolidated statement of cash flows, FY2025 audited consolidated financial statements (Deloitte &amp; Touche (M.E.), unqualified): property and equipment 497,084 + right-of-use assets 11,042 + intangibles 4,193. Ties to the segment note's total depreciation and amortisation of 512,319</w:t>
            </w:r>
          </w:p>
        </w:tc>
      </w:tr>
      <w:tr>
        <w:tc>
          <w:tcPr>
            <w:tcW w:type="dxa" w:w="2088"/>
          </w:tcPr>
          <w:p>
            <w:pPr>
              <w:spacing w:after="20"/>
            </w:pPr>
            <w:r>
              <w:rPr>
                <w:color w:val="1C3A36"/>
                <w:sz w:val="16"/>
              </w:rPr>
              <w:t>dta fy23</w:t>
            </w:r>
          </w:p>
        </w:tc>
        <w:tc>
          <w:tcPr>
            <w:tcW w:type="dxa" w:w="1296"/>
          </w:tcPr>
          <w:p>
            <w:pPr>
              <w:spacing w:after="20"/>
              <w:jc w:val="right"/>
            </w:pPr>
            <w:r>
              <w:rPr>
                <w:color w:val="1C3A36"/>
                <w:sz w:val="16"/>
              </w:rPr>
              <w:t>0.0000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Deferred tax assets, FY2023 audited consolidated financial statements (KPMG Lower Gulf Limited, unqualified) — none recognised</w:t>
            </w:r>
          </w:p>
        </w:tc>
      </w:tr>
      <w:tr>
        <w:tc>
          <w:tcPr>
            <w:tcW w:type="dxa" w:w="2088"/>
          </w:tcPr>
          <w:p>
            <w:pPr>
              <w:spacing w:after="20"/>
            </w:pPr>
            <w:r>
              <w:rPr>
                <w:color w:val="1C3A36"/>
                <w:sz w:val="16"/>
              </w:rPr>
              <w:t>dta fy24</w:t>
            </w:r>
          </w:p>
        </w:tc>
        <w:tc>
          <w:tcPr>
            <w:tcW w:type="dxa" w:w="1296"/>
          </w:tcPr>
          <w:p>
            <w:pPr>
              <w:spacing w:after="20"/>
              <w:jc w:val="right"/>
            </w:pPr>
            <w:r>
              <w:rPr>
                <w:color w:val="1C3A36"/>
                <w:sz w:val="16"/>
              </w:rPr>
              <w:t>1,397.0</w:t>
            </w:r>
          </w:p>
        </w:tc>
        <w:tc>
          <w:tcPr>
            <w:tcW w:type="dxa" w:w="1224"/>
          </w:tcPr>
          <w:p>
            <w:pPr>
              <w:spacing w:after="20"/>
              <w:jc w:val="right"/>
            </w:pPr>
            <w:r>
              <w:rPr>
                <w:color w:val="1C3A36"/>
                <w:sz w:val="16"/>
              </w:rPr>
              <w:t>2025-02-11</w:t>
            </w:r>
          </w:p>
        </w:tc>
        <w:tc>
          <w:tcPr>
            <w:tcW w:type="dxa" w:w="5472"/>
          </w:tcPr>
          <w:p>
            <w:pPr>
              <w:spacing w:after="20"/>
              <w:jc w:val="right"/>
            </w:pPr>
            <w:r>
              <w:rPr>
                <w:color w:val="1C3A36"/>
                <w:sz w:val="16"/>
              </w:rPr>
              <w:t>Deferred tax assets, FY2024 audited consolidated financial statements (Deloitte &amp; Touche (M.E.), unqualified)</w:t>
            </w:r>
          </w:p>
        </w:tc>
      </w:tr>
      <w:tr>
        <w:tc>
          <w:tcPr>
            <w:tcW w:type="dxa" w:w="2088"/>
          </w:tcPr>
          <w:p>
            <w:pPr>
              <w:spacing w:after="20"/>
            </w:pPr>
            <w:r>
              <w:rPr>
                <w:color w:val="1C3A36"/>
                <w:sz w:val="16"/>
              </w:rPr>
              <w:t>dta fy25</w:t>
            </w:r>
          </w:p>
        </w:tc>
        <w:tc>
          <w:tcPr>
            <w:tcW w:type="dxa" w:w="1296"/>
          </w:tcPr>
          <w:p>
            <w:pPr>
              <w:spacing w:after="20"/>
              <w:jc w:val="right"/>
            </w:pPr>
            <w:r>
              <w:rPr>
                <w:color w:val="1C3A36"/>
                <w:sz w:val="16"/>
              </w:rPr>
              <w:t>1,228.0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Deferred tax assets, FY2025 audited consolidated financial statements (Deloitte &amp; Touche (M.E.), unqualified)</w:t>
            </w:r>
          </w:p>
        </w:tc>
      </w:tr>
      <w:tr>
        <w:tc>
          <w:tcPr>
            <w:tcW w:type="dxa" w:w="2088"/>
          </w:tcPr>
          <w:p>
            <w:pPr>
              <w:spacing w:after="20"/>
            </w:pPr>
            <w:r>
              <w:rPr>
                <w:color w:val="1C3A36"/>
                <w:sz w:val="16"/>
              </w:rPr>
              <w:t>dtrp fy23</w:t>
            </w:r>
          </w:p>
        </w:tc>
        <w:tc>
          <w:tcPr>
            <w:tcW w:type="dxa" w:w="1296"/>
          </w:tcPr>
          <w:p>
            <w:pPr>
              <w:spacing w:after="20"/>
              <w:jc w:val="right"/>
            </w:pPr>
            <w:r>
              <w:rPr>
                <w:color w:val="1C3A36"/>
                <w:sz w:val="16"/>
              </w:rPr>
              <w:t>250,237.0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Due to related parties, FY2023 audited consolidated financial statements (KPMG Lower Gulf Limited, unqualified)</w:t>
            </w:r>
          </w:p>
        </w:tc>
      </w:tr>
      <w:tr>
        <w:tc>
          <w:tcPr>
            <w:tcW w:type="dxa" w:w="2088"/>
          </w:tcPr>
          <w:p>
            <w:pPr>
              <w:spacing w:after="20"/>
            </w:pPr>
            <w:r>
              <w:rPr>
                <w:color w:val="1C3A36"/>
                <w:sz w:val="16"/>
              </w:rPr>
              <w:t>dtrp fy24</w:t>
            </w:r>
          </w:p>
        </w:tc>
        <w:tc>
          <w:tcPr>
            <w:tcW w:type="dxa" w:w="1296"/>
          </w:tcPr>
          <w:p>
            <w:pPr>
              <w:spacing w:after="20"/>
              <w:jc w:val="right"/>
            </w:pPr>
            <w:r>
              <w:rPr>
                <w:color w:val="1C3A36"/>
                <w:sz w:val="16"/>
              </w:rPr>
              <w:t>250,850.0</w:t>
            </w:r>
          </w:p>
        </w:tc>
        <w:tc>
          <w:tcPr>
            <w:tcW w:type="dxa" w:w="1224"/>
          </w:tcPr>
          <w:p>
            <w:pPr>
              <w:spacing w:after="20"/>
              <w:jc w:val="right"/>
            </w:pPr>
            <w:r>
              <w:rPr>
                <w:color w:val="1C3A36"/>
                <w:sz w:val="16"/>
              </w:rPr>
              <w:t>2025-02-11</w:t>
            </w:r>
          </w:p>
        </w:tc>
        <w:tc>
          <w:tcPr>
            <w:tcW w:type="dxa" w:w="5472"/>
          </w:tcPr>
          <w:p>
            <w:pPr>
              <w:spacing w:after="20"/>
              <w:jc w:val="right"/>
            </w:pPr>
            <w:r>
              <w:rPr>
                <w:color w:val="1C3A36"/>
                <w:sz w:val="16"/>
              </w:rPr>
              <w:t>Due to related parties, FY2024 audited consolidated financial statements (Deloitte &amp; Touche (M.E.), unqualified)</w:t>
            </w:r>
          </w:p>
        </w:tc>
      </w:tr>
      <w:tr>
        <w:tc>
          <w:tcPr>
            <w:tcW w:type="dxa" w:w="2088"/>
          </w:tcPr>
          <w:p>
            <w:pPr>
              <w:spacing w:after="20"/>
            </w:pPr>
            <w:r>
              <w:rPr>
                <w:color w:val="1C3A36"/>
                <w:sz w:val="16"/>
              </w:rPr>
              <w:t>dtrp fy25</w:t>
            </w:r>
          </w:p>
        </w:tc>
        <w:tc>
          <w:tcPr>
            <w:tcW w:type="dxa" w:w="1296"/>
          </w:tcPr>
          <w:p>
            <w:pPr>
              <w:spacing w:after="20"/>
              <w:jc w:val="right"/>
            </w:pPr>
            <w:r>
              <w:rPr>
                <w:color w:val="1C3A36"/>
                <w:sz w:val="16"/>
              </w:rPr>
              <w:t>416,071.0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Due to related parties note 18, FY2025 audited consolidated financial statements (Deloitte &amp; Touche (M.E.), unqualified)</w:t>
            </w:r>
          </w:p>
        </w:tc>
      </w:tr>
      <w:tr>
        <w:tc>
          <w:tcPr>
            <w:tcW w:type="dxa" w:w="2088"/>
          </w:tcPr>
          <w:p>
            <w:pPr>
              <w:spacing w:after="20"/>
            </w:pPr>
            <w:r>
              <w:rPr>
                <w:color w:val="1C3A36"/>
                <w:sz w:val="16"/>
              </w:rPr>
              <w:t>ebitda 1h26</w:t>
            </w:r>
          </w:p>
        </w:tc>
        <w:tc>
          <w:tcPr>
            <w:tcW w:type="dxa" w:w="1296"/>
          </w:tcPr>
          <w:p>
            <w:pPr>
              <w:spacing w:after="20"/>
              <w:jc w:val="right"/>
            </w:pPr>
            <w:r>
              <w:rPr>
                <w:color w:val="1C3A36"/>
                <w:sz w:val="16"/>
              </w:rPr>
              <w:t>1,084,000.0</w:t>
            </w:r>
          </w:p>
        </w:tc>
        <w:tc>
          <w:tcPr>
            <w:tcW w:type="dxa" w:w="1224"/>
          </w:tcPr>
          <w:p>
            <w:pPr>
              <w:spacing w:after="20"/>
              <w:jc w:val="right"/>
            </w:pPr>
            <w:r>
              <w:rPr>
                <w:color w:val="1C3A36"/>
                <w:sz w:val="16"/>
              </w:rPr>
              <w:t>2026-07-30</w:t>
            </w:r>
          </w:p>
        </w:tc>
        <w:tc>
          <w:tcPr>
            <w:tcW w:type="dxa" w:w="5472"/>
          </w:tcPr>
          <w:p>
            <w:pPr>
              <w:spacing w:after="20"/>
              <w:jc w:val="right"/>
            </w:pPr>
            <w:r>
              <w:rPr>
                <w:color w:val="1C3A36"/>
                <w:sz w:val="16"/>
              </w:rPr>
              <w:t>EBITDA, 1H-2026 management discussion and analysis financial summary. Reconciles to the interim statements: revenue 2,459,813 less direct cost 1,566,479 less general and administrative 90,356 plus joint-venture share 16,479 plus other income 3,807 = 823,264 before adding back the 260,530 of depreciation and amortisation inside cost of sales and overheads</w:t>
            </w:r>
          </w:p>
        </w:tc>
      </w:tr>
      <w:tr>
        <w:tc>
          <w:tcPr>
            <w:tcW w:type="dxa" w:w="2088"/>
          </w:tcPr>
          <w:p>
            <w:pPr>
              <w:spacing w:after="20"/>
            </w:pPr>
            <w:r>
              <w:rPr>
                <w:color w:val="1C3A36"/>
                <w:sz w:val="16"/>
              </w:rPr>
              <w:t>eosb fy23</w:t>
            </w:r>
          </w:p>
        </w:tc>
        <w:tc>
          <w:tcPr>
            <w:tcW w:type="dxa" w:w="1296"/>
          </w:tcPr>
          <w:p>
            <w:pPr>
              <w:spacing w:after="20"/>
              <w:jc w:val="right"/>
            </w:pPr>
            <w:r>
              <w:rPr>
                <w:color w:val="1C3A36"/>
                <w:sz w:val="16"/>
              </w:rPr>
              <w:t>114,422.0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Provision for employees' end of service benefits, FY2023 audited consolidated financial statements (KPMG Lower Gulf Limited, unqualified): non-current 105,328 plus current 9,094</w:t>
            </w:r>
          </w:p>
        </w:tc>
      </w:tr>
      <w:tr>
        <w:tc>
          <w:tcPr>
            <w:tcW w:type="dxa" w:w="2088"/>
          </w:tcPr>
          <w:p>
            <w:pPr>
              <w:spacing w:after="20"/>
            </w:pPr>
            <w:r>
              <w:rPr>
                <w:color w:val="1C3A36"/>
                <w:sz w:val="16"/>
              </w:rPr>
              <w:t>eosb fy24</w:t>
            </w:r>
          </w:p>
        </w:tc>
        <w:tc>
          <w:tcPr>
            <w:tcW w:type="dxa" w:w="1296"/>
          </w:tcPr>
          <w:p>
            <w:pPr>
              <w:spacing w:after="20"/>
              <w:jc w:val="right"/>
            </w:pPr>
            <w:r>
              <w:rPr>
                <w:color w:val="1C3A36"/>
                <w:sz w:val="16"/>
              </w:rPr>
              <w:t>129,947.0</w:t>
            </w:r>
          </w:p>
        </w:tc>
        <w:tc>
          <w:tcPr>
            <w:tcW w:type="dxa" w:w="1224"/>
          </w:tcPr>
          <w:p>
            <w:pPr>
              <w:spacing w:after="20"/>
              <w:jc w:val="right"/>
            </w:pPr>
            <w:r>
              <w:rPr>
                <w:color w:val="1C3A36"/>
                <w:sz w:val="16"/>
              </w:rPr>
              <w:t>2025-02-11</w:t>
            </w:r>
          </w:p>
        </w:tc>
        <w:tc>
          <w:tcPr>
            <w:tcW w:type="dxa" w:w="5472"/>
          </w:tcPr>
          <w:p>
            <w:pPr>
              <w:spacing w:after="20"/>
              <w:jc w:val="right"/>
            </w:pPr>
            <w:r>
              <w:rPr>
                <w:color w:val="1C3A36"/>
                <w:sz w:val="16"/>
              </w:rPr>
              <w:t>Provision for employees' end of service benefits note 16, FY2024 audited consolidated financial statements (Deloitte &amp; Touche (M.E.), unqualified)</w:t>
            </w:r>
          </w:p>
        </w:tc>
      </w:tr>
      <w:tr>
        <w:tc>
          <w:tcPr>
            <w:tcW w:type="dxa" w:w="2088"/>
          </w:tcPr>
          <w:p>
            <w:pPr>
              <w:spacing w:after="20"/>
            </w:pPr>
            <w:r>
              <w:rPr>
                <w:color w:val="1C3A36"/>
                <w:sz w:val="16"/>
              </w:rPr>
              <w:t>eosb fy25</w:t>
            </w:r>
          </w:p>
        </w:tc>
        <w:tc>
          <w:tcPr>
            <w:tcW w:type="dxa" w:w="1296"/>
          </w:tcPr>
          <w:p>
            <w:pPr>
              <w:spacing w:after="20"/>
              <w:jc w:val="right"/>
            </w:pPr>
            <w:r>
              <w:rPr>
                <w:color w:val="1C3A36"/>
                <w:sz w:val="16"/>
              </w:rPr>
              <w:t>143,587.0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Provision for employees' end of service benefits note 16, FY2025 audited consolidated financial statements (Deloitte &amp; Touche (M.E.), unqualified)</w:t>
            </w:r>
          </w:p>
        </w:tc>
      </w:tr>
      <w:tr>
        <w:tc>
          <w:tcPr>
            <w:tcW w:type="dxa" w:w="2088"/>
          </w:tcPr>
          <w:p>
            <w:pPr>
              <w:spacing w:after="20"/>
            </w:pPr>
            <w:r>
              <w:rPr>
                <w:color w:val="1C3A36"/>
                <w:sz w:val="16"/>
              </w:rPr>
              <w:t>equity 1h26</w:t>
            </w:r>
          </w:p>
        </w:tc>
        <w:tc>
          <w:tcPr>
            <w:tcW w:type="dxa" w:w="1296"/>
          </w:tcPr>
          <w:p>
            <w:pPr>
              <w:spacing w:after="20"/>
              <w:jc w:val="right"/>
            </w:pPr>
            <w:r>
              <w:rPr>
                <w:color w:val="1C3A36"/>
                <w:sz w:val="16"/>
              </w:rPr>
              <w:t>4,287,313.0</w:t>
            </w:r>
          </w:p>
        </w:tc>
        <w:tc>
          <w:tcPr>
            <w:tcW w:type="dxa" w:w="1224"/>
          </w:tcPr>
          <w:p>
            <w:pPr>
              <w:spacing w:after="20"/>
              <w:jc w:val="right"/>
            </w:pPr>
            <w:r>
              <w:rPr>
                <w:color w:val="1C3A36"/>
                <w:sz w:val="16"/>
              </w:rPr>
              <w:t>2026-06-30</w:t>
            </w:r>
          </w:p>
        </w:tc>
        <w:tc>
          <w:tcPr>
            <w:tcW w:type="dxa" w:w="5472"/>
          </w:tcPr>
          <w:p>
            <w:pPr>
              <w:spacing w:after="20"/>
              <w:jc w:val="right"/>
            </w:pPr>
            <w:r>
              <w:rPr>
                <w:color w:val="1C3A36"/>
                <w:sz w:val="16"/>
              </w:rPr>
              <w:t>Total equity, 1H-2026 condensed consolidated interim financial information (reviewed)</w:t>
            </w:r>
          </w:p>
        </w:tc>
      </w:tr>
      <w:tr>
        <w:tc>
          <w:tcPr>
            <w:tcW w:type="dxa" w:w="2088"/>
          </w:tcPr>
          <w:p>
            <w:pPr>
              <w:spacing w:after="20"/>
            </w:pPr>
            <w:r>
              <w:rPr>
                <w:color w:val="1C3A36"/>
                <w:sz w:val="16"/>
              </w:rPr>
              <w:t>equity fy23</w:t>
            </w:r>
          </w:p>
        </w:tc>
        <w:tc>
          <w:tcPr>
            <w:tcW w:type="dxa" w:w="1296"/>
          </w:tcPr>
          <w:p>
            <w:pPr>
              <w:spacing w:after="20"/>
              <w:jc w:val="right"/>
            </w:pPr>
            <w:r>
              <w:rPr>
                <w:color w:val="1C3A36"/>
                <w:sz w:val="16"/>
              </w:rPr>
              <w:t>3,264,221.0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Total equity, FY2023 audited consolidated financial statements (KPMG Lower Gulf Limited, unqualified)</w:t>
            </w:r>
          </w:p>
        </w:tc>
      </w:tr>
      <w:tr>
        <w:tc>
          <w:tcPr>
            <w:tcW w:type="dxa" w:w="2088"/>
          </w:tcPr>
          <w:p>
            <w:pPr>
              <w:spacing w:after="20"/>
            </w:pPr>
            <w:r>
              <w:rPr>
                <w:color w:val="1C3A36"/>
                <w:sz w:val="16"/>
              </w:rPr>
              <w:t>equity fy24</w:t>
            </w:r>
          </w:p>
        </w:tc>
        <w:tc>
          <w:tcPr>
            <w:tcW w:type="dxa" w:w="1296"/>
          </w:tcPr>
          <w:p>
            <w:pPr>
              <w:spacing w:after="20"/>
              <w:jc w:val="right"/>
            </w:pPr>
            <w:r>
              <w:rPr>
                <w:color w:val="1C3A36"/>
                <w:sz w:val="16"/>
              </w:rPr>
              <w:t>3,810,169.0</w:t>
            </w:r>
          </w:p>
        </w:tc>
        <w:tc>
          <w:tcPr>
            <w:tcW w:type="dxa" w:w="1224"/>
          </w:tcPr>
          <w:p>
            <w:pPr>
              <w:spacing w:after="20"/>
              <w:jc w:val="right"/>
            </w:pPr>
            <w:r>
              <w:rPr>
                <w:color w:val="1C3A36"/>
                <w:sz w:val="16"/>
              </w:rPr>
              <w:t>2025-02-11</w:t>
            </w:r>
          </w:p>
        </w:tc>
        <w:tc>
          <w:tcPr>
            <w:tcW w:type="dxa" w:w="5472"/>
          </w:tcPr>
          <w:p>
            <w:pPr>
              <w:spacing w:after="20"/>
              <w:jc w:val="right"/>
            </w:pPr>
            <w:r>
              <w:rPr>
                <w:color w:val="1C3A36"/>
                <w:sz w:val="16"/>
              </w:rPr>
              <w:t>Total equity, FY2024 audited consolidated financial statements (Deloitte &amp; Touche (M.E.), unqualified)</w:t>
            </w:r>
          </w:p>
        </w:tc>
      </w:tr>
      <w:tr>
        <w:tc>
          <w:tcPr>
            <w:tcW w:type="dxa" w:w="2088"/>
          </w:tcPr>
          <w:p>
            <w:pPr>
              <w:spacing w:after="20"/>
            </w:pPr>
            <w:r>
              <w:rPr>
                <w:color w:val="1C3A36"/>
                <w:sz w:val="16"/>
              </w:rPr>
              <w:t>equity fy25</w:t>
            </w:r>
          </w:p>
        </w:tc>
        <w:tc>
          <w:tcPr>
            <w:tcW w:type="dxa" w:w="1296"/>
          </w:tcPr>
          <w:p>
            <w:pPr>
              <w:spacing w:after="20"/>
              <w:jc w:val="right"/>
            </w:pPr>
            <w:r>
              <w:rPr>
                <w:color w:val="1C3A36"/>
                <w:sz w:val="16"/>
              </w:rPr>
              <w:t>4,099,312.0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Total equity, FY2025 audited consolidated financial statements (Deloitte &amp; Touche (M.E.), unqualified)</w:t>
            </w:r>
          </w:p>
        </w:tc>
      </w:tr>
      <w:tr>
        <w:tc>
          <w:tcPr>
            <w:tcW w:type="dxa" w:w="2088"/>
          </w:tcPr>
          <w:p>
            <w:pPr>
              <w:spacing w:after="20"/>
            </w:pPr>
            <w:r>
              <w:rPr>
                <w:color w:val="1C3A36"/>
                <w:sz w:val="16"/>
              </w:rPr>
              <w:t>facility margin</w:t>
            </w:r>
          </w:p>
        </w:tc>
        <w:tc>
          <w:tcPr>
            <w:tcW w:type="dxa" w:w="1296"/>
          </w:tcPr>
          <w:p>
            <w:pPr>
              <w:spacing w:after="20"/>
              <w:jc w:val="right"/>
            </w:pPr>
            <w:r>
              <w:rPr>
                <w:color w:val="1C3A36"/>
                <w:sz w:val="16"/>
              </w:rPr>
              <w:t>0.0075</w:t>
            </w:r>
          </w:p>
        </w:tc>
        <w:tc>
          <w:tcPr>
            <w:tcW w:type="dxa" w:w="1224"/>
          </w:tcPr>
          <w:p>
            <w:pPr>
              <w:spacing w:after="20"/>
              <w:jc w:val="right"/>
            </w:pPr>
            <w:r>
              <w:rPr>
                <w:color w:val="1C3A36"/>
                <w:sz w:val="16"/>
              </w:rPr>
              <w:t>2025-10-16</w:t>
            </w:r>
          </w:p>
        </w:tc>
        <w:tc>
          <w:tcPr>
            <w:tcW w:type="dxa" w:w="5472"/>
          </w:tcPr>
          <w:p>
            <w:pPr>
              <w:spacing w:after="20"/>
              <w:jc w:val="right"/>
            </w:pPr>
            <w:r>
              <w:rPr>
                <w:color w:val="1C3A36"/>
                <w:sz w:val="16"/>
              </w:rPr>
              <w:t>Borrowings note 15, FY2025 audited consolidated financial statements (Deloitte &amp; Touche (M.E.), unqualified) — the Facility E and F term loan and revolving facility signed 16 October 2025, USD 2.0 billion committed, 5-year initial maturity, priced at Term SOFR plus 0.75%. This is the company's own latest and longest-dated debt issue and therefore its marginal borrowing margin</w:t>
            </w:r>
          </w:p>
        </w:tc>
      </w:tr>
      <w:tr>
        <w:tc>
          <w:tcPr>
            <w:tcW w:type="dxa" w:w="2088"/>
          </w:tcPr>
          <w:p>
            <w:pPr>
              <w:spacing w:after="20"/>
            </w:pPr>
            <w:r>
              <w:rPr>
                <w:color w:val="1C3A36"/>
                <w:sz w:val="16"/>
              </w:rPr>
              <w:t>fincost fy23</w:t>
            </w:r>
          </w:p>
        </w:tc>
        <w:tc>
          <w:tcPr>
            <w:tcW w:type="dxa" w:w="1296"/>
          </w:tcPr>
          <w:p>
            <w:pPr>
              <w:spacing w:after="20"/>
              <w:jc w:val="right"/>
            </w:pPr>
            <w:r>
              <w:rPr>
                <w:color w:val="1C3A36"/>
                <w:sz w:val="16"/>
              </w:rPr>
              <w:t>74,577.0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Finance cost, FY2023 audited consolidated financial statements (KPMG Lower Gulf Limited, unqualified) (the FY2023 face presents finance cost net of income; the gross figures are in the cash-flow statement adjustments)</w:t>
            </w:r>
          </w:p>
        </w:tc>
      </w:tr>
      <w:tr>
        <w:tc>
          <w:tcPr>
            <w:tcW w:type="dxa" w:w="2088"/>
          </w:tcPr>
          <w:p>
            <w:pPr>
              <w:spacing w:after="20"/>
            </w:pPr>
            <w:r>
              <w:rPr>
                <w:color w:val="1C3A36"/>
                <w:sz w:val="16"/>
              </w:rPr>
              <w:t>fincost fy24</w:t>
            </w:r>
          </w:p>
        </w:tc>
        <w:tc>
          <w:tcPr>
            <w:tcW w:type="dxa" w:w="1296"/>
          </w:tcPr>
          <w:p>
            <w:pPr>
              <w:spacing w:after="20"/>
              <w:jc w:val="right"/>
            </w:pPr>
            <w:r>
              <w:rPr>
                <w:color w:val="1C3A36"/>
                <w:sz w:val="16"/>
              </w:rPr>
              <w:t>135,995.0</w:t>
            </w:r>
          </w:p>
        </w:tc>
        <w:tc>
          <w:tcPr>
            <w:tcW w:type="dxa" w:w="1224"/>
          </w:tcPr>
          <w:p>
            <w:pPr>
              <w:spacing w:after="20"/>
              <w:jc w:val="right"/>
            </w:pPr>
            <w:r>
              <w:rPr>
                <w:color w:val="1C3A36"/>
                <w:sz w:val="16"/>
              </w:rPr>
              <w:t>2025-02-11</w:t>
            </w:r>
          </w:p>
        </w:tc>
        <w:tc>
          <w:tcPr>
            <w:tcW w:type="dxa" w:w="5472"/>
          </w:tcPr>
          <w:p>
            <w:pPr>
              <w:spacing w:after="20"/>
              <w:jc w:val="right"/>
            </w:pPr>
            <w:r>
              <w:rPr>
                <w:color w:val="1C3A36"/>
                <w:sz w:val="16"/>
              </w:rPr>
              <w:t>Finance cost, FY2024 audited consolidated financial statements (Deloitte &amp; Touche (M.E.), unqualified)</w:t>
            </w:r>
          </w:p>
        </w:tc>
      </w:tr>
      <w:tr>
        <w:tc>
          <w:tcPr>
            <w:tcW w:type="dxa" w:w="2088"/>
          </w:tcPr>
          <w:p>
            <w:pPr>
              <w:spacing w:after="20"/>
            </w:pPr>
            <w:r>
              <w:rPr>
                <w:color w:val="1C3A36"/>
                <w:sz w:val="16"/>
              </w:rPr>
              <w:t>fincost fy25</w:t>
            </w:r>
          </w:p>
        </w:tc>
        <w:tc>
          <w:tcPr>
            <w:tcW w:type="dxa" w:w="1296"/>
          </w:tcPr>
          <w:p>
            <w:pPr>
              <w:spacing w:after="20"/>
              <w:jc w:val="right"/>
            </w:pPr>
            <w:r>
              <w:rPr>
                <w:color w:val="1C3A36"/>
                <w:sz w:val="16"/>
              </w:rPr>
              <w:t>109,463.0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Finance cost note 23, FY2025 audited consolidated financial statements (Deloitte &amp; Touche (M.E.), unqualified): interest on loans 108,839 plus lease interest 624</w:t>
            </w:r>
          </w:p>
        </w:tc>
      </w:tr>
      <w:tr>
        <w:tc>
          <w:tcPr>
            <w:tcW w:type="dxa" w:w="2088"/>
          </w:tcPr>
          <w:p>
            <w:pPr>
              <w:spacing w:after="20"/>
            </w:pPr>
            <w:r>
              <w:rPr>
                <w:color w:val="1C3A36"/>
                <w:sz w:val="16"/>
              </w:rPr>
              <w:t>finincome fy23</w:t>
            </w:r>
          </w:p>
        </w:tc>
        <w:tc>
          <w:tcPr>
            <w:tcW w:type="dxa" w:w="1296"/>
          </w:tcPr>
          <w:p>
            <w:pPr>
              <w:spacing w:after="20"/>
              <w:jc w:val="right"/>
            </w:pPr>
            <w:r>
              <w:rPr>
                <w:color w:val="1C3A36"/>
                <w:sz w:val="16"/>
              </w:rPr>
              <w:t>15,727.0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Finance income, FY2023 audited consolidated financial statements (KPMG Lower Gulf Limited, unqualified)</w:t>
            </w:r>
          </w:p>
        </w:tc>
      </w:tr>
      <w:tr>
        <w:tc>
          <w:tcPr>
            <w:tcW w:type="dxa" w:w="2088"/>
          </w:tcPr>
          <w:p>
            <w:pPr>
              <w:spacing w:after="20"/>
            </w:pPr>
            <w:r>
              <w:rPr>
                <w:color w:val="1C3A36"/>
                <w:sz w:val="16"/>
              </w:rPr>
              <w:t>finincome fy24</w:t>
            </w:r>
          </w:p>
        </w:tc>
        <w:tc>
          <w:tcPr>
            <w:tcW w:type="dxa" w:w="1296"/>
          </w:tcPr>
          <w:p>
            <w:pPr>
              <w:spacing w:after="20"/>
              <w:jc w:val="right"/>
            </w:pPr>
            <w:r>
              <w:rPr>
                <w:color w:val="1C3A36"/>
                <w:sz w:val="16"/>
              </w:rPr>
              <w:t>11,736.0</w:t>
            </w:r>
          </w:p>
        </w:tc>
        <w:tc>
          <w:tcPr>
            <w:tcW w:type="dxa" w:w="1224"/>
          </w:tcPr>
          <w:p>
            <w:pPr>
              <w:spacing w:after="20"/>
              <w:jc w:val="right"/>
            </w:pPr>
            <w:r>
              <w:rPr>
                <w:color w:val="1C3A36"/>
                <w:sz w:val="16"/>
              </w:rPr>
              <w:t>2025-02-11</w:t>
            </w:r>
          </w:p>
        </w:tc>
        <w:tc>
          <w:tcPr>
            <w:tcW w:type="dxa" w:w="5472"/>
          </w:tcPr>
          <w:p>
            <w:pPr>
              <w:spacing w:after="20"/>
              <w:jc w:val="right"/>
            </w:pPr>
            <w:r>
              <w:rPr>
                <w:color w:val="1C3A36"/>
                <w:sz w:val="16"/>
              </w:rPr>
              <w:t>Finance income, FY2024 audited consolidated financial statements (Deloitte &amp; Touche (M.E.), unqualified)</w:t>
            </w:r>
          </w:p>
        </w:tc>
      </w:tr>
      <w:tr>
        <w:tc>
          <w:tcPr>
            <w:tcW w:type="dxa" w:w="2088"/>
          </w:tcPr>
          <w:p>
            <w:pPr>
              <w:spacing w:after="20"/>
            </w:pPr>
            <w:r>
              <w:rPr>
                <w:color w:val="1C3A36"/>
                <w:sz w:val="16"/>
              </w:rPr>
              <w:t>finincome fy25</w:t>
            </w:r>
          </w:p>
        </w:tc>
        <w:tc>
          <w:tcPr>
            <w:tcW w:type="dxa" w:w="1296"/>
          </w:tcPr>
          <w:p>
            <w:pPr>
              <w:spacing w:after="20"/>
              <w:jc w:val="right"/>
            </w:pPr>
            <w:r>
              <w:rPr>
                <w:color w:val="1C3A36"/>
                <w:sz w:val="16"/>
              </w:rPr>
              <w:t>11,626.0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Finance income, FY2025 audited consolidated financial statements (Deloitte &amp; Touche (M.E.), unqualified)</w:t>
            </w:r>
          </w:p>
        </w:tc>
      </w:tr>
      <w:tr>
        <w:tc>
          <w:tcPr>
            <w:tcW w:type="dxa" w:w="2088"/>
          </w:tcPr>
          <w:p>
            <w:pPr>
              <w:spacing w:after="20"/>
            </w:pPr>
            <w:r>
              <w:rPr>
                <w:color w:val="1C3A36"/>
                <w:sz w:val="16"/>
              </w:rPr>
              <w:t>finliab 1h26</w:t>
            </w:r>
          </w:p>
        </w:tc>
        <w:tc>
          <w:tcPr>
            <w:tcW w:type="dxa" w:w="1296"/>
          </w:tcPr>
          <w:p>
            <w:pPr>
              <w:spacing w:after="20"/>
              <w:jc w:val="right"/>
            </w:pPr>
            <w:r>
              <w:rPr>
                <w:color w:val="1C3A36"/>
                <w:sz w:val="16"/>
              </w:rPr>
              <w:t>62,530.0</w:t>
            </w:r>
          </w:p>
        </w:tc>
        <w:tc>
          <w:tcPr>
            <w:tcW w:type="dxa" w:w="1224"/>
          </w:tcPr>
          <w:p>
            <w:pPr>
              <w:spacing w:after="20"/>
              <w:jc w:val="right"/>
            </w:pPr>
            <w:r>
              <w:rPr>
                <w:color w:val="1C3A36"/>
                <w:sz w:val="16"/>
              </w:rPr>
              <w:t>2026-06-30</w:t>
            </w:r>
          </w:p>
        </w:tc>
        <w:tc>
          <w:tcPr>
            <w:tcW w:type="dxa" w:w="5472"/>
          </w:tcPr>
          <w:p>
            <w:pPr>
              <w:spacing w:after="20"/>
              <w:jc w:val="right"/>
            </w:pPr>
            <w:r>
              <w:rPr>
                <w:color w:val="1C3A36"/>
                <w:sz w:val="16"/>
              </w:rPr>
              <w:t>Financial liability, 1H-2026 condensed consolidated interim financial information (reviewed) note 5 — the put obligation recognised over the non-controlling interests in the acquired regional businesses</w:t>
            </w:r>
          </w:p>
        </w:tc>
      </w:tr>
      <w:tr>
        <w:tc>
          <w:tcPr>
            <w:tcW w:type="dxa" w:w="2088"/>
          </w:tcPr>
          <w:p>
            <w:pPr>
              <w:spacing w:after="20"/>
            </w:pPr>
            <w:r>
              <w:rPr>
                <w:color w:val="1C3A36"/>
                <w:sz w:val="16"/>
              </w:rPr>
              <w:t>gna dep fy25</w:t>
            </w:r>
          </w:p>
        </w:tc>
        <w:tc>
          <w:tcPr>
            <w:tcW w:type="dxa" w:w="1296"/>
          </w:tcPr>
          <w:p>
            <w:pPr>
              <w:spacing w:after="20"/>
              <w:jc w:val="right"/>
            </w:pPr>
            <w:r>
              <w:rPr>
                <w:color w:val="1C3A36"/>
                <w:sz w:val="16"/>
              </w:rPr>
              <w:t>19,255.0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Segment note 28, FY2025 audited consolidated financial statements (Deloitte &amp; Touche (M.E.), unqualified) — depreciation and amortisation included in general and administrative expenses. Ties to note 21: property and equipment 4,020 plus right-of-use 11,042 plus intangibles 4,193</w:t>
            </w:r>
          </w:p>
        </w:tc>
      </w:tr>
      <w:tr>
        <w:tc>
          <w:tcPr>
            <w:tcW w:type="dxa" w:w="2088"/>
          </w:tcPr>
          <w:p>
            <w:pPr>
              <w:spacing w:after="20"/>
            </w:pPr>
            <w:r>
              <w:rPr>
                <w:color w:val="1C3A36"/>
                <w:sz w:val="16"/>
              </w:rPr>
              <w:t>gna fy23</w:t>
            </w:r>
          </w:p>
        </w:tc>
        <w:tc>
          <w:tcPr>
            <w:tcW w:type="dxa" w:w="1296"/>
          </w:tcPr>
          <w:p>
            <w:pPr>
              <w:spacing w:after="20"/>
              <w:jc w:val="right"/>
            </w:pPr>
            <w:r>
              <w:rPr>
                <w:color w:val="1C3A36"/>
                <w:sz w:val="16"/>
              </w:rPr>
              <w:t>126,334.0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General and administrative expenses, FY2023 audited consolidated financial statements (KPMG Lower Gulf Limited, unqualified)</w:t>
            </w:r>
          </w:p>
        </w:tc>
      </w:tr>
      <w:tr>
        <w:tc>
          <w:tcPr>
            <w:tcW w:type="dxa" w:w="2088"/>
          </w:tcPr>
          <w:p>
            <w:pPr>
              <w:spacing w:after="20"/>
            </w:pPr>
            <w:r>
              <w:rPr>
                <w:color w:val="1C3A36"/>
                <w:sz w:val="16"/>
              </w:rPr>
              <w:t>gna fy24</w:t>
            </w:r>
          </w:p>
        </w:tc>
        <w:tc>
          <w:tcPr>
            <w:tcW w:type="dxa" w:w="1296"/>
          </w:tcPr>
          <w:p>
            <w:pPr>
              <w:spacing w:after="20"/>
              <w:jc w:val="right"/>
            </w:pPr>
            <w:r>
              <w:rPr>
                <w:color w:val="1C3A36"/>
                <w:sz w:val="16"/>
              </w:rPr>
              <w:t>155,358.0</w:t>
            </w:r>
          </w:p>
        </w:tc>
        <w:tc>
          <w:tcPr>
            <w:tcW w:type="dxa" w:w="1224"/>
          </w:tcPr>
          <w:p>
            <w:pPr>
              <w:spacing w:after="20"/>
              <w:jc w:val="right"/>
            </w:pPr>
            <w:r>
              <w:rPr>
                <w:color w:val="1C3A36"/>
                <w:sz w:val="16"/>
              </w:rPr>
              <w:t>2025-02-11</w:t>
            </w:r>
          </w:p>
        </w:tc>
        <w:tc>
          <w:tcPr>
            <w:tcW w:type="dxa" w:w="5472"/>
          </w:tcPr>
          <w:p>
            <w:pPr>
              <w:spacing w:after="20"/>
              <w:jc w:val="right"/>
            </w:pPr>
            <w:r>
              <w:rPr>
                <w:color w:val="1C3A36"/>
                <w:sz w:val="16"/>
              </w:rPr>
              <w:t>General and administrative expenses, FY2024 audited consolidated financial statements (Deloitte &amp; Touche (M.E.), unqualified)</w:t>
            </w:r>
          </w:p>
        </w:tc>
      </w:tr>
      <w:tr>
        <w:tc>
          <w:tcPr>
            <w:tcW w:type="dxa" w:w="2088"/>
          </w:tcPr>
          <w:p>
            <w:pPr>
              <w:spacing w:after="20"/>
            </w:pPr>
            <w:r>
              <w:rPr>
                <w:color w:val="1C3A36"/>
                <w:sz w:val="16"/>
              </w:rPr>
              <w:t>gna fy25</w:t>
            </w:r>
          </w:p>
        </w:tc>
        <w:tc>
          <w:tcPr>
            <w:tcW w:type="dxa" w:w="1296"/>
          </w:tcPr>
          <w:p>
            <w:pPr>
              <w:spacing w:after="20"/>
              <w:jc w:val="right"/>
            </w:pPr>
            <w:r>
              <w:rPr>
                <w:color w:val="1C3A36"/>
                <w:sz w:val="16"/>
              </w:rPr>
              <w:t>167,197.0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General and administrative expenses, FY2025 audited consolidated financial statements (Deloitte &amp; Touche (M.E.), unqualified)</w:t>
            </w:r>
          </w:p>
        </w:tc>
      </w:tr>
      <w:tr>
        <w:tc>
          <w:tcPr>
            <w:tcW w:type="dxa" w:w="2088"/>
          </w:tcPr>
          <w:p>
            <w:pPr>
              <w:spacing w:after="20"/>
            </w:pPr>
            <w:r>
              <w:rPr>
                <w:color w:val="1C3A36"/>
                <w:sz w:val="16"/>
              </w:rPr>
              <w:t>intang fy23</w:t>
            </w:r>
          </w:p>
        </w:tc>
        <w:tc>
          <w:tcPr>
            <w:tcW w:type="dxa" w:w="1296"/>
          </w:tcPr>
          <w:p>
            <w:pPr>
              <w:spacing w:after="20"/>
              <w:jc w:val="right"/>
            </w:pPr>
            <w:r>
              <w:rPr>
                <w:color w:val="1C3A36"/>
                <w:sz w:val="16"/>
              </w:rPr>
              <w:t>5,432.0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Intangible assets, FY2023 audited consolidated financial statements (KPMG Lower Gulf Limited, unqualified)</w:t>
            </w:r>
          </w:p>
        </w:tc>
      </w:tr>
      <w:tr>
        <w:tc>
          <w:tcPr>
            <w:tcW w:type="dxa" w:w="2088"/>
          </w:tcPr>
          <w:p>
            <w:pPr>
              <w:spacing w:after="20"/>
            </w:pPr>
            <w:r>
              <w:rPr>
                <w:color w:val="1C3A36"/>
                <w:sz w:val="16"/>
              </w:rPr>
              <w:t>intang fy24</w:t>
            </w:r>
          </w:p>
        </w:tc>
        <w:tc>
          <w:tcPr>
            <w:tcW w:type="dxa" w:w="1296"/>
          </w:tcPr>
          <w:p>
            <w:pPr>
              <w:spacing w:after="20"/>
              <w:jc w:val="right"/>
            </w:pPr>
            <w:r>
              <w:rPr>
                <w:color w:val="1C3A36"/>
                <w:sz w:val="16"/>
              </w:rPr>
              <w:t>5,301.0</w:t>
            </w:r>
          </w:p>
        </w:tc>
        <w:tc>
          <w:tcPr>
            <w:tcW w:type="dxa" w:w="1224"/>
          </w:tcPr>
          <w:p>
            <w:pPr>
              <w:spacing w:after="20"/>
              <w:jc w:val="right"/>
            </w:pPr>
            <w:r>
              <w:rPr>
                <w:color w:val="1C3A36"/>
                <w:sz w:val="16"/>
              </w:rPr>
              <w:t>2025-02-11</w:t>
            </w:r>
          </w:p>
        </w:tc>
        <w:tc>
          <w:tcPr>
            <w:tcW w:type="dxa" w:w="5472"/>
          </w:tcPr>
          <w:p>
            <w:pPr>
              <w:spacing w:after="20"/>
              <w:jc w:val="right"/>
            </w:pPr>
            <w:r>
              <w:rPr>
                <w:color w:val="1C3A36"/>
                <w:sz w:val="16"/>
              </w:rPr>
              <w:t>Intangible assets, FY2024 audited consolidated financial statements (Deloitte &amp; Touche (M.E.), unqualified)</w:t>
            </w:r>
          </w:p>
        </w:tc>
      </w:tr>
      <w:tr>
        <w:tc>
          <w:tcPr>
            <w:tcW w:type="dxa" w:w="2088"/>
          </w:tcPr>
          <w:p>
            <w:pPr>
              <w:spacing w:after="20"/>
            </w:pPr>
            <w:r>
              <w:rPr>
                <w:color w:val="1C3A36"/>
                <w:sz w:val="16"/>
              </w:rPr>
              <w:t>intang fy25</w:t>
            </w:r>
          </w:p>
        </w:tc>
        <w:tc>
          <w:tcPr>
            <w:tcW w:type="dxa" w:w="1296"/>
          </w:tcPr>
          <w:p>
            <w:pPr>
              <w:spacing w:after="20"/>
              <w:jc w:val="right"/>
            </w:pPr>
            <w:r>
              <w:rPr>
                <w:color w:val="1C3A36"/>
                <w:sz w:val="16"/>
              </w:rPr>
              <w:t>10,769.0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Intangible assets, FY2025 audited consolidated financial statements (Deloitte &amp; Touche (M.E.), unqualified)</w:t>
            </w:r>
          </w:p>
        </w:tc>
      </w:tr>
      <w:tr>
        <w:tc>
          <w:tcPr>
            <w:tcW w:type="dxa" w:w="2088"/>
          </w:tcPr>
          <w:p>
            <w:pPr>
              <w:spacing w:after="20"/>
            </w:pPr>
            <w:r>
              <w:rPr>
                <w:color w:val="1C3A36"/>
                <w:sz w:val="16"/>
              </w:rPr>
              <w:t>inv fy23</w:t>
            </w:r>
          </w:p>
        </w:tc>
        <w:tc>
          <w:tcPr>
            <w:tcW w:type="dxa" w:w="1296"/>
          </w:tcPr>
          <w:p>
            <w:pPr>
              <w:spacing w:after="20"/>
              <w:jc w:val="right"/>
            </w:pPr>
            <w:r>
              <w:rPr>
                <w:color w:val="1C3A36"/>
                <w:sz w:val="16"/>
              </w:rPr>
              <w:t>206,107.0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Inventories, FY2023 audited consolidated financial statements (KPMG Lower Gulf Limited, unqualified)</w:t>
            </w:r>
          </w:p>
        </w:tc>
      </w:tr>
      <w:tr>
        <w:tc>
          <w:tcPr>
            <w:tcW w:type="dxa" w:w="2088"/>
          </w:tcPr>
          <w:p>
            <w:pPr>
              <w:spacing w:after="20"/>
            </w:pPr>
            <w:r>
              <w:rPr>
                <w:color w:val="1C3A36"/>
                <w:sz w:val="16"/>
              </w:rPr>
              <w:t>inv fy24</w:t>
            </w:r>
          </w:p>
        </w:tc>
        <w:tc>
          <w:tcPr>
            <w:tcW w:type="dxa" w:w="1296"/>
          </w:tcPr>
          <w:p>
            <w:pPr>
              <w:spacing w:after="20"/>
              <w:jc w:val="right"/>
            </w:pPr>
            <w:r>
              <w:rPr>
                <w:color w:val="1C3A36"/>
                <w:sz w:val="16"/>
              </w:rPr>
              <w:t>223,083.0</w:t>
            </w:r>
          </w:p>
        </w:tc>
        <w:tc>
          <w:tcPr>
            <w:tcW w:type="dxa" w:w="1224"/>
          </w:tcPr>
          <w:p>
            <w:pPr>
              <w:spacing w:after="20"/>
              <w:jc w:val="right"/>
            </w:pPr>
            <w:r>
              <w:rPr>
                <w:color w:val="1C3A36"/>
                <w:sz w:val="16"/>
              </w:rPr>
              <w:t>2025-02-11</w:t>
            </w:r>
          </w:p>
        </w:tc>
        <w:tc>
          <w:tcPr>
            <w:tcW w:type="dxa" w:w="5472"/>
          </w:tcPr>
          <w:p>
            <w:pPr>
              <w:spacing w:after="20"/>
              <w:jc w:val="right"/>
            </w:pPr>
            <w:r>
              <w:rPr>
                <w:color w:val="1C3A36"/>
                <w:sz w:val="16"/>
              </w:rPr>
              <w:t>Inventories, FY2024 audited consolidated financial statements (Deloitte &amp; Touche (M.E.), unqualified)</w:t>
            </w:r>
          </w:p>
        </w:tc>
      </w:tr>
      <w:tr>
        <w:tc>
          <w:tcPr>
            <w:tcW w:type="dxa" w:w="2088"/>
          </w:tcPr>
          <w:p>
            <w:pPr>
              <w:spacing w:after="20"/>
            </w:pPr>
            <w:r>
              <w:rPr>
                <w:color w:val="1C3A36"/>
                <w:sz w:val="16"/>
              </w:rPr>
              <w:t>inv fy25</w:t>
            </w:r>
          </w:p>
        </w:tc>
        <w:tc>
          <w:tcPr>
            <w:tcW w:type="dxa" w:w="1296"/>
          </w:tcPr>
          <w:p>
            <w:pPr>
              <w:spacing w:after="20"/>
              <w:jc w:val="right"/>
            </w:pPr>
            <w:r>
              <w:rPr>
                <w:color w:val="1C3A36"/>
                <w:sz w:val="16"/>
              </w:rPr>
              <w:t>279,030.0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Inventories, FY2025 audited consolidated financial statements (Deloitte &amp; Touche (M.E.), unqualified)</w:t>
            </w:r>
          </w:p>
        </w:tc>
      </w:tr>
      <w:tr>
        <w:tc>
          <w:tcPr>
            <w:tcW w:type="dxa" w:w="2088"/>
          </w:tcPr>
          <w:p>
            <w:pPr>
              <w:spacing w:after="20"/>
            </w:pPr>
            <w:r>
              <w:rPr>
                <w:color w:val="1C3A36"/>
                <w:sz w:val="16"/>
              </w:rPr>
              <w:t>jv fy23</w:t>
            </w:r>
          </w:p>
        </w:tc>
        <w:tc>
          <w:tcPr>
            <w:tcW w:type="dxa" w:w="1296"/>
          </w:tcPr>
          <w:p>
            <w:pPr>
              <w:spacing w:after="20"/>
              <w:jc w:val="right"/>
            </w:pPr>
            <w:r>
              <w:rPr>
                <w:color w:val="1C3A36"/>
                <w:sz w:val="16"/>
              </w:rPr>
              <w:t>0.0000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Share of results of joint ventures, FY2023 audited consolidated financial statements (KPMG Lower Gulf Limited, unqualified) — the joint ventures did not exist in FY2023; the first investment was made in FY2024</w:t>
            </w:r>
          </w:p>
        </w:tc>
      </w:tr>
      <w:tr>
        <w:tc>
          <w:tcPr>
            <w:tcW w:type="dxa" w:w="2088"/>
          </w:tcPr>
          <w:p>
            <w:pPr>
              <w:spacing w:after="20"/>
            </w:pPr>
            <w:r>
              <w:rPr>
                <w:color w:val="1C3A36"/>
                <w:sz w:val="16"/>
              </w:rPr>
              <w:t>jv fy24</w:t>
            </w:r>
          </w:p>
        </w:tc>
        <w:tc>
          <w:tcPr>
            <w:tcW w:type="dxa" w:w="1296"/>
          </w:tcPr>
          <w:p>
            <w:pPr>
              <w:spacing w:after="20"/>
              <w:jc w:val="right"/>
            </w:pPr>
            <w:r>
              <w:rPr>
                <w:color w:val="1C3A36"/>
                <w:sz w:val="16"/>
              </w:rPr>
              <w:t>8,490.0</w:t>
            </w:r>
          </w:p>
        </w:tc>
        <w:tc>
          <w:tcPr>
            <w:tcW w:type="dxa" w:w="1224"/>
          </w:tcPr>
          <w:p>
            <w:pPr>
              <w:spacing w:after="20"/>
              <w:jc w:val="right"/>
            </w:pPr>
            <w:r>
              <w:rPr>
                <w:color w:val="1C3A36"/>
                <w:sz w:val="16"/>
              </w:rPr>
              <w:t>2025-02-11</w:t>
            </w:r>
          </w:p>
        </w:tc>
        <w:tc>
          <w:tcPr>
            <w:tcW w:type="dxa" w:w="5472"/>
          </w:tcPr>
          <w:p>
            <w:pPr>
              <w:spacing w:after="20"/>
              <w:jc w:val="right"/>
            </w:pPr>
            <w:r>
              <w:rPr>
                <w:color w:val="1C3A36"/>
                <w:sz w:val="16"/>
              </w:rPr>
              <w:t>Share of results of joint ventures, FY2024 audited consolidated financial statements (Deloitte &amp; Touche (M.E.), unqualified)</w:t>
            </w:r>
          </w:p>
        </w:tc>
      </w:tr>
      <w:tr>
        <w:tc>
          <w:tcPr>
            <w:tcW w:type="dxa" w:w="2088"/>
          </w:tcPr>
          <w:p>
            <w:pPr>
              <w:spacing w:after="20"/>
            </w:pPr>
            <w:r>
              <w:rPr>
                <w:color w:val="1C3A36"/>
                <w:sz w:val="16"/>
              </w:rPr>
              <w:t>jv fy25</w:t>
            </w:r>
          </w:p>
        </w:tc>
        <w:tc>
          <w:tcPr>
            <w:tcW w:type="dxa" w:w="1296"/>
          </w:tcPr>
          <w:p>
            <w:pPr>
              <w:spacing w:after="20"/>
              <w:jc w:val="right"/>
            </w:pPr>
            <w:r>
              <w:rPr>
                <w:color w:val="1C3A36"/>
                <w:sz w:val="16"/>
              </w:rPr>
              <w:t>29,000.0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Share of results of joint ventures, FY2025 audited consolidated financial statements (Deloitte &amp; Touche (M.E.), unqualified)</w:t>
            </w:r>
          </w:p>
        </w:tc>
      </w:tr>
      <w:tr>
        <w:tc>
          <w:tcPr>
            <w:tcW w:type="dxa" w:w="2088"/>
          </w:tcPr>
          <w:p>
            <w:pPr>
              <w:spacing w:after="20"/>
            </w:pPr>
            <w:r>
              <w:rPr>
                <w:color w:val="1C3A36"/>
                <w:sz w:val="16"/>
              </w:rPr>
              <w:t>jvinv 1h26</w:t>
            </w:r>
          </w:p>
        </w:tc>
        <w:tc>
          <w:tcPr>
            <w:tcW w:type="dxa" w:w="1296"/>
          </w:tcPr>
          <w:p>
            <w:pPr>
              <w:spacing w:after="20"/>
              <w:jc w:val="right"/>
            </w:pPr>
            <w:r>
              <w:rPr>
                <w:color w:val="1C3A36"/>
                <w:sz w:val="16"/>
              </w:rPr>
              <w:t>461,729.0</w:t>
            </w:r>
          </w:p>
        </w:tc>
        <w:tc>
          <w:tcPr>
            <w:tcW w:type="dxa" w:w="1224"/>
          </w:tcPr>
          <w:p>
            <w:pPr>
              <w:spacing w:after="20"/>
              <w:jc w:val="right"/>
            </w:pPr>
            <w:r>
              <w:rPr>
                <w:color w:val="1C3A36"/>
                <w:sz w:val="16"/>
              </w:rPr>
              <w:t>2026-06-30</w:t>
            </w:r>
          </w:p>
        </w:tc>
        <w:tc>
          <w:tcPr>
            <w:tcW w:type="dxa" w:w="5472"/>
          </w:tcPr>
          <w:p>
            <w:pPr>
              <w:spacing w:after="20"/>
              <w:jc w:val="right"/>
            </w:pPr>
            <w:r>
              <w:rPr>
                <w:color w:val="1C3A36"/>
                <w:sz w:val="16"/>
              </w:rPr>
              <w:t>Investment in joint ventures, 1H-2026 condensed consolidated interim financial information (reviewed)</w:t>
            </w:r>
          </w:p>
        </w:tc>
      </w:tr>
      <w:tr>
        <w:tc>
          <w:tcPr>
            <w:tcW w:type="dxa" w:w="2088"/>
          </w:tcPr>
          <w:p>
            <w:pPr>
              <w:spacing w:after="20"/>
            </w:pPr>
            <w:r>
              <w:rPr>
                <w:color w:val="1C3A36"/>
                <w:sz w:val="16"/>
              </w:rPr>
              <w:t>jvinv fy23</w:t>
            </w:r>
          </w:p>
        </w:tc>
        <w:tc>
          <w:tcPr>
            <w:tcW w:type="dxa" w:w="1296"/>
          </w:tcPr>
          <w:p>
            <w:pPr>
              <w:spacing w:after="20"/>
              <w:jc w:val="right"/>
            </w:pPr>
            <w:r>
              <w:rPr>
                <w:color w:val="1C3A36"/>
                <w:sz w:val="16"/>
              </w:rPr>
              <w:t>0.0000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Investment in joint ventures, FY2023 audited consolidated financial statements (KPMG Lower Gulf Limited, unqualified) — none held</w:t>
            </w:r>
          </w:p>
        </w:tc>
      </w:tr>
      <w:tr>
        <w:tc>
          <w:tcPr>
            <w:tcW w:type="dxa" w:w="2088"/>
          </w:tcPr>
          <w:p>
            <w:pPr>
              <w:spacing w:after="20"/>
            </w:pPr>
            <w:r>
              <w:rPr>
                <w:color w:val="1C3A36"/>
                <w:sz w:val="16"/>
              </w:rPr>
              <w:t>jvinv fy24</w:t>
            </w:r>
          </w:p>
        </w:tc>
        <w:tc>
          <w:tcPr>
            <w:tcW w:type="dxa" w:w="1296"/>
          </w:tcPr>
          <w:p>
            <w:pPr>
              <w:spacing w:after="20"/>
              <w:jc w:val="right"/>
            </w:pPr>
            <w:r>
              <w:rPr>
                <w:color w:val="1C3A36"/>
                <w:sz w:val="16"/>
              </w:rPr>
              <w:t>275,240.0</w:t>
            </w:r>
          </w:p>
        </w:tc>
        <w:tc>
          <w:tcPr>
            <w:tcW w:type="dxa" w:w="1224"/>
          </w:tcPr>
          <w:p>
            <w:pPr>
              <w:spacing w:after="20"/>
              <w:jc w:val="right"/>
            </w:pPr>
            <w:r>
              <w:rPr>
                <w:color w:val="1C3A36"/>
                <w:sz w:val="16"/>
              </w:rPr>
              <w:t>2025-02-11</w:t>
            </w:r>
          </w:p>
        </w:tc>
        <w:tc>
          <w:tcPr>
            <w:tcW w:type="dxa" w:w="5472"/>
          </w:tcPr>
          <w:p>
            <w:pPr>
              <w:spacing w:after="20"/>
              <w:jc w:val="right"/>
            </w:pPr>
            <w:r>
              <w:rPr>
                <w:color w:val="1C3A36"/>
                <w:sz w:val="16"/>
              </w:rPr>
              <w:t>Investment in joint ventures, FY2024 audited consolidated financial statements (Deloitte &amp; Touche (M.E.), unqualified)</w:t>
            </w:r>
          </w:p>
        </w:tc>
      </w:tr>
      <w:tr>
        <w:tc>
          <w:tcPr>
            <w:tcW w:type="dxa" w:w="2088"/>
          </w:tcPr>
          <w:p>
            <w:pPr>
              <w:spacing w:after="20"/>
            </w:pPr>
            <w:r>
              <w:rPr>
                <w:color w:val="1C3A36"/>
                <w:sz w:val="16"/>
              </w:rPr>
              <w:t>jvinv fy25</w:t>
            </w:r>
          </w:p>
        </w:tc>
        <w:tc>
          <w:tcPr>
            <w:tcW w:type="dxa" w:w="1296"/>
          </w:tcPr>
          <w:p>
            <w:pPr>
              <w:spacing w:after="20"/>
              <w:jc w:val="right"/>
            </w:pPr>
            <w:r>
              <w:rPr>
                <w:color w:val="1C3A36"/>
                <w:sz w:val="16"/>
              </w:rPr>
              <w:t>437,090.0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Investment in joint ventures, FY2025 audited consolidated financial statements (Deloitte &amp; Touche (M.E.), unqualified)</w:t>
            </w:r>
          </w:p>
        </w:tc>
      </w:tr>
      <w:tr>
        <w:tc>
          <w:tcPr>
            <w:tcW w:type="dxa" w:w="2088"/>
          </w:tcPr>
          <w:p>
            <w:pPr>
              <w:spacing w:after="20"/>
            </w:pPr>
            <w:r>
              <w:rPr>
                <w:color w:val="1C3A36"/>
                <w:sz w:val="16"/>
              </w:rPr>
              <w:t>lease 1h26</w:t>
            </w:r>
          </w:p>
        </w:tc>
        <w:tc>
          <w:tcPr>
            <w:tcW w:type="dxa" w:w="1296"/>
          </w:tcPr>
          <w:p>
            <w:pPr>
              <w:spacing w:after="20"/>
              <w:jc w:val="right"/>
            </w:pPr>
            <w:r>
              <w:rPr>
                <w:color w:val="1C3A36"/>
                <w:sz w:val="16"/>
              </w:rPr>
              <w:t>45,183.0</w:t>
            </w:r>
          </w:p>
        </w:tc>
        <w:tc>
          <w:tcPr>
            <w:tcW w:type="dxa" w:w="1224"/>
          </w:tcPr>
          <w:p>
            <w:pPr>
              <w:spacing w:after="20"/>
              <w:jc w:val="right"/>
            </w:pPr>
            <w:r>
              <w:rPr>
                <w:color w:val="1C3A36"/>
                <w:sz w:val="16"/>
              </w:rPr>
              <w:t>2026-06-30</w:t>
            </w:r>
          </w:p>
        </w:tc>
        <w:tc>
          <w:tcPr>
            <w:tcW w:type="dxa" w:w="5472"/>
          </w:tcPr>
          <w:p>
            <w:pPr>
              <w:spacing w:after="20"/>
              <w:jc w:val="right"/>
            </w:pPr>
            <w:r>
              <w:rPr>
                <w:color w:val="1C3A36"/>
                <w:sz w:val="16"/>
              </w:rPr>
              <w:t>Lease liabilities, 1H-2026 condensed consolidated interim financial information (reviewed): non-current 28,206 plus current 16,977</w:t>
            </w:r>
          </w:p>
        </w:tc>
      </w:tr>
      <w:tr>
        <w:tc>
          <w:tcPr>
            <w:tcW w:type="dxa" w:w="2088"/>
          </w:tcPr>
          <w:p>
            <w:pPr>
              <w:spacing w:after="20"/>
            </w:pPr>
            <w:r>
              <w:rPr>
                <w:color w:val="1C3A36"/>
                <w:sz w:val="16"/>
              </w:rPr>
              <w:t>lease fy23</w:t>
            </w:r>
          </w:p>
        </w:tc>
        <w:tc>
          <w:tcPr>
            <w:tcW w:type="dxa" w:w="1296"/>
          </w:tcPr>
          <w:p>
            <w:pPr>
              <w:spacing w:after="20"/>
              <w:jc w:val="right"/>
            </w:pPr>
            <w:r>
              <w:rPr>
                <w:color w:val="1C3A36"/>
                <w:sz w:val="16"/>
              </w:rPr>
              <w:t>189,211.0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Lease liabilities, FY2023 audited consolidated financial statements (KPMG Lower Gulf Limited, unqualified): non-current 152,378 plus current 36,833</w:t>
            </w:r>
          </w:p>
        </w:tc>
      </w:tr>
      <w:tr>
        <w:tc>
          <w:tcPr>
            <w:tcW w:type="dxa" w:w="2088"/>
          </w:tcPr>
          <w:p>
            <w:pPr>
              <w:spacing w:after="20"/>
            </w:pPr>
            <w:r>
              <w:rPr>
                <w:color w:val="1C3A36"/>
                <w:sz w:val="16"/>
              </w:rPr>
              <w:t>lease fy24</w:t>
            </w:r>
          </w:p>
        </w:tc>
        <w:tc>
          <w:tcPr>
            <w:tcW w:type="dxa" w:w="1296"/>
          </w:tcPr>
          <w:p>
            <w:pPr>
              <w:spacing w:after="20"/>
              <w:jc w:val="right"/>
            </w:pPr>
            <w:r>
              <w:rPr>
                <w:color w:val="1C3A36"/>
                <w:sz w:val="16"/>
              </w:rPr>
              <w:t>25,157.0</w:t>
            </w:r>
          </w:p>
        </w:tc>
        <w:tc>
          <w:tcPr>
            <w:tcW w:type="dxa" w:w="1224"/>
          </w:tcPr>
          <w:p>
            <w:pPr>
              <w:spacing w:after="20"/>
              <w:jc w:val="right"/>
            </w:pPr>
            <w:r>
              <w:rPr>
                <w:color w:val="1C3A36"/>
                <w:sz w:val="16"/>
              </w:rPr>
              <w:t>2025-02-11</w:t>
            </w:r>
          </w:p>
        </w:tc>
        <w:tc>
          <w:tcPr>
            <w:tcW w:type="dxa" w:w="5472"/>
          </w:tcPr>
          <w:p>
            <w:pPr>
              <w:spacing w:after="20"/>
              <w:jc w:val="right"/>
            </w:pPr>
            <w:r>
              <w:rPr>
                <w:color w:val="1C3A36"/>
                <w:sz w:val="16"/>
              </w:rPr>
              <w:t>Lease liabilities, FY2024 audited consolidated financial statements (Deloitte &amp; Touche (M.E.), unqualified): non-current 12,027 plus current 13,130</w:t>
            </w:r>
          </w:p>
        </w:tc>
      </w:tr>
      <w:tr>
        <w:tc>
          <w:tcPr>
            <w:tcW w:type="dxa" w:w="2088"/>
          </w:tcPr>
          <w:p>
            <w:pPr>
              <w:spacing w:after="20"/>
            </w:pPr>
            <w:r>
              <w:rPr>
                <w:color w:val="1C3A36"/>
                <w:sz w:val="16"/>
              </w:rPr>
              <w:t>lease fy25</w:t>
            </w:r>
          </w:p>
        </w:tc>
        <w:tc>
          <w:tcPr>
            <w:tcW w:type="dxa" w:w="1296"/>
          </w:tcPr>
          <w:p>
            <w:pPr>
              <w:spacing w:after="20"/>
              <w:jc w:val="right"/>
            </w:pPr>
            <w:r>
              <w:rPr>
                <w:color w:val="1C3A36"/>
                <w:sz w:val="16"/>
              </w:rPr>
              <w:t>47,581.0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Lease liabilities, FY2025 audited consolidated financial statements (Deloitte &amp; Touche (M.E.), unqualified): non-current 35,855 plus current 11,726</w:t>
            </w:r>
          </w:p>
        </w:tc>
      </w:tr>
      <w:tr>
        <w:tc>
          <w:tcPr>
            <w:tcW w:type="dxa" w:w="2088"/>
          </w:tcPr>
          <w:p>
            <w:pPr>
              <w:spacing w:after="20"/>
            </w:pPr>
            <w:r>
              <w:rPr>
                <w:color w:val="1C3A36"/>
                <w:sz w:val="16"/>
              </w:rPr>
              <w:t>nci 1h26</w:t>
            </w:r>
          </w:p>
        </w:tc>
        <w:tc>
          <w:tcPr>
            <w:tcW w:type="dxa" w:w="1296"/>
          </w:tcPr>
          <w:p>
            <w:pPr>
              <w:spacing w:after="20"/>
              <w:jc w:val="right"/>
            </w:pPr>
            <w:r>
              <w:rPr>
                <w:color w:val="1C3A36"/>
                <w:sz w:val="16"/>
              </w:rPr>
              <w:t>53,594.0</w:t>
            </w:r>
          </w:p>
        </w:tc>
        <w:tc>
          <w:tcPr>
            <w:tcW w:type="dxa" w:w="1224"/>
          </w:tcPr>
          <w:p>
            <w:pPr>
              <w:spacing w:after="20"/>
              <w:jc w:val="right"/>
            </w:pPr>
            <w:r>
              <w:rPr>
                <w:color w:val="1C3A36"/>
                <w:sz w:val="16"/>
              </w:rPr>
              <w:t>2026-06-30</w:t>
            </w:r>
          </w:p>
        </w:tc>
        <w:tc>
          <w:tcPr>
            <w:tcW w:type="dxa" w:w="5472"/>
          </w:tcPr>
          <w:p>
            <w:pPr>
              <w:spacing w:after="20"/>
              <w:jc w:val="right"/>
            </w:pPr>
            <w:r>
              <w:rPr>
                <w:color w:val="1C3A36"/>
                <w:sz w:val="16"/>
              </w:rPr>
              <w:t>Non-controlling interests, 1H-2026 condensed consolidated interim financial information (reviewed) — arising on the SLDC and MBPS acquisitions completed in the period</w:t>
            </w:r>
          </w:p>
        </w:tc>
      </w:tr>
      <w:tr>
        <w:tc>
          <w:tcPr>
            <w:tcW w:type="dxa" w:w="2088"/>
          </w:tcPr>
          <w:p>
            <w:pPr>
              <w:spacing w:after="20"/>
            </w:pPr>
            <w:r>
              <w:rPr>
                <w:color w:val="1C3A36"/>
                <w:sz w:val="16"/>
              </w:rPr>
              <w:t>othinc fy23</w:t>
            </w:r>
          </w:p>
        </w:tc>
        <w:tc>
          <w:tcPr>
            <w:tcW w:type="dxa" w:w="1296"/>
          </w:tcPr>
          <w:p>
            <w:pPr>
              <w:spacing w:after="20"/>
              <w:jc w:val="right"/>
            </w:pPr>
            <w:r>
              <w:rPr>
                <w:color w:val="1C3A36"/>
                <w:sz w:val="16"/>
              </w:rPr>
              <w:t>9,847.0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Other income - net, FY2023 audited consolidated financial statements (KPMG Lower Gulf Limited, unqualified)</w:t>
            </w:r>
          </w:p>
        </w:tc>
      </w:tr>
      <w:tr>
        <w:tc>
          <w:tcPr>
            <w:tcW w:type="dxa" w:w="2088"/>
          </w:tcPr>
          <w:p>
            <w:pPr>
              <w:spacing w:after="20"/>
            </w:pPr>
            <w:r>
              <w:rPr>
                <w:color w:val="1C3A36"/>
                <w:sz w:val="16"/>
              </w:rPr>
              <w:t>othinc fy24</w:t>
            </w:r>
          </w:p>
        </w:tc>
        <w:tc>
          <w:tcPr>
            <w:tcW w:type="dxa" w:w="1296"/>
          </w:tcPr>
          <w:p>
            <w:pPr>
              <w:spacing w:after="20"/>
              <w:jc w:val="right"/>
            </w:pPr>
            <w:r>
              <w:rPr>
                <w:color w:val="1C3A36"/>
                <w:sz w:val="16"/>
              </w:rPr>
              <w:t>6,388.0</w:t>
            </w:r>
          </w:p>
        </w:tc>
        <w:tc>
          <w:tcPr>
            <w:tcW w:type="dxa" w:w="1224"/>
          </w:tcPr>
          <w:p>
            <w:pPr>
              <w:spacing w:after="20"/>
              <w:jc w:val="right"/>
            </w:pPr>
            <w:r>
              <w:rPr>
                <w:color w:val="1C3A36"/>
                <w:sz w:val="16"/>
              </w:rPr>
              <w:t>2025-02-11</w:t>
            </w:r>
          </w:p>
        </w:tc>
        <w:tc>
          <w:tcPr>
            <w:tcW w:type="dxa" w:w="5472"/>
          </w:tcPr>
          <w:p>
            <w:pPr>
              <w:spacing w:after="20"/>
              <w:jc w:val="right"/>
            </w:pPr>
            <w:r>
              <w:rPr>
                <w:color w:val="1C3A36"/>
                <w:sz w:val="16"/>
              </w:rPr>
              <w:t>Other income - net, FY2024 audited consolidated financial statements (Deloitte &amp; Touche (M.E.), unqualified)</w:t>
            </w:r>
          </w:p>
        </w:tc>
      </w:tr>
      <w:tr>
        <w:tc>
          <w:tcPr>
            <w:tcW w:type="dxa" w:w="2088"/>
          </w:tcPr>
          <w:p>
            <w:pPr>
              <w:spacing w:after="20"/>
            </w:pPr>
            <w:r>
              <w:rPr>
                <w:color w:val="1C3A36"/>
                <w:sz w:val="16"/>
              </w:rPr>
              <w:t>othinc fy25</w:t>
            </w:r>
          </w:p>
        </w:tc>
        <w:tc>
          <w:tcPr>
            <w:tcW w:type="dxa" w:w="1296"/>
          </w:tcPr>
          <w:p>
            <w:pPr>
              <w:spacing w:after="20"/>
              <w:jc w:val="right"/>
            </w:pPr>
            <w:r>
              <w:rPr>
                <w:color w:val="1C3A36"/>
                <w:sz w:val="16"/>
              </w:rPr>
              <w:t>26,991.0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Other income - net, FY2025 audited consolidated financial statements (Deloitte &amp; Touche (M.E.), unqualified)</w:t>
            </w:r>
          </w:p>
        </w:tc>
      </w:tr>
      <w:tr>
        <w:tc>
          <w:tcPr>
            <w:tcW w:type="dxa" w:w="2088"/>
          </w:tcPr>
          <w:p>
            <w:pPr>
              <w:spacing w:after="20"/>
            </w:pPr>
            <w:r>
              <w:rPr>
                <w:color w:val="1C3A36"/>
                <w:sz w:val="16"/>
              </w:rPr>
              <w:t>pat 1h26</w:t>
            </w:r>
          </w:p>
        </w:tc>
        <w:tc>
          <w:tcPr>
            <w:tcW w:type="dxa" w:w="1296"/>
          </w:tcPr>
          <w:p>
            <w:pPr>
              <w:spacing w:after="20"/>
              <w:jc w:val="right"/>
            </w:pPr>
            <w:r>
              <w:rPr>
                <w:color w:val="1C3A36"/>
                <w:sz w:val="16"/>
              </w:rPr>
              <w:t>705,545.0</w:t>
            </w:r>
          </w:p>
        </w:tc>
        <w:tc>
          <w:tcPr>
            <w:tcW w:type="dxa" w:w="1224"/>
          </w:tcPr>
          <w:p>
            <w:pPr>
              <w:spacing w:after="20"/>
              <w:jc w:val="right"/>
            </w:pPr>
            <w:r>
              <w:rPr>
                <w:color w:val="1C3A36"/>
                <w:sz w:val="16"/>
              </w:rPr>
              <w:t>2026-07-30</w:t>
            </w:r>
          </w:p>
        </w:tc>
        <w:tc>
          <w:tcPr>
            <w:tcW w:type="dxa" w:w="5472"/>
          </w:tcPr>
          <w:p>
            <w:pPr>
              <w:spacing w:after="20"/>
              <w:jc w:val="right"/>
            </w:pPr>
            <w:r>
              <w:rPr>
                <w:color w:val="1C3A36"/>
                <w:sz w:val="16"/>
              </w:rPr>
              <w:t>Profit after tax, 1H-2026 condensed consolidated interim financial information (reviewed)</w:t>
            </w:r>
          </w:p>
        </w:tc>
      </w:tr>
      <w:tr>
        <w:tc>
          <w:tcPr>
            <w:tcW w:type="dxa" w:w="2088"/>
          </w:tcPr>
          <w:p>
            <w:pPr>
              <w:spacing w:after="20"/>
            </w:pPr>
            <w:r>
              <w:rPr>
                <w:color w:val="1C3A36"/>
                <w:sz w:val="16"/>
              </w:rPr>
              <w:t>pat fy23</w:t>
            </w:r>
          </w:p>
        </w:tc>
        <w:tc>
          <w:tcPr>
            <w:tcW w:type="dxa" w:w="1296"/>
          </w:tcPr>
          <w:p>
            <w:pPr>
              <w:spacing w:after="20"/>
              <w:jc w:val="right"/>
            </w:pPr>
            <w:r>
              <w:rPr>
                <w:color w:val="1C3A36"/>
                <w:sz w:val="16"/>
              </w:rPr>
              <w:t>1,032,799.0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Profit for the year, FY2023 audited consolidated financial statements (KPMG Lower Gulf Limited, unqualified)</w:t>
            </w:r>
          </w:p>
        </w:tc>
      </w:tr>
      <w:tr>
        <w:tc>
          <w:tcPr>
            <w:tcW w:type="dxa" w:w="2088"/>
          </w:tcPr>
          <w:p>
            <w:pPr>
              <w:spacing w:after="20"/>
            </w:pPr>
            <w:r>
              <w:rPr>
                <w:color w:val="1C3A36"/>
                <w:sz w:val="16"/>
              </w:rPr>
              <w:t>pat fy24</w:t>
            </w:r>
          </w:p>
        </w:tc>
        <w:tc>
          <w:tcPr>
            <w:tcW w:type="dxa" w:w="1296"/>
          </w:tcPr>
          <w:p>
            <w:pPr>
              <w:spacing w:after="20"/>
              <w:jc w:val="right"/>
            </w:pPr>
            <w:r>
              <w:rPr>
                <w:color w:val="1C3A36"/>
                <w:sz w:val="16"/>
              </w:rPr>
              <w:t>1,303,566.0</w:t>
            </w:r>
          </w:p>
        </w:tc>
        <w:tc>
          <w:tcPr>
            <w:tcW w:type="dxa" w:w="1224"/>
          </w:tcPr>
          <w:p>
            <w:pPr>
              <w:spacing w:after="20"/>
              <w:jc w:val="right"/>
            </w:pPr>
            <w:r>
              <w:rPr>
                <w:color w:val="1C3A36"/>
                <w:sz w:val="16"/>
              </w:rPr>
              <w:t>2025-02-11</w:t>
            </w:r>
          </w:p>
        </w:tc>
        <w:tc>
          <w:tcPr>
            <w:tcW w:type="dxa" w:w="5472"/>
          </w:tcPr>
          <w:p>
            <w:pPr>
              <w:spacing w:after="20"/>
              <w:jc w:val="right"/>
            </w:pPr>
            <w:r>
              <w:rPr>
                <w:color w:val="1C3A36"/>
                <w:sz w:val="16"/>
              </w:rPr>
              <w:t>Profit after tax, FY2024 audited consolidated financial statements (Deloitte &amp; Touche (M.E.), unqualified)</w:t>
            </w:r>
          </w:p>
        </w:tc>
      </w:tr>
      <w:tr>
        <w:tc>
          <w:tcPr>
            <w:tcW w:type="dxa" w:w="2088"/>
          </w:tcPr>
          <w:p>
            <w:pPr>
              <w:spacing w:after="20"/>
            </w:pPr>
            <w:r>
              <w:rPr>
                <w:color w:val="1C3A36"/>
                <w:sz w:val="16"/>
              </w:rPr>
              <w:t>pat fy25</w:t>
            </w:r>
          </w:p>
        </w:tc>
        <w:tc>
          <w:tcPr>
            <w:tcW w:type="dxa" w:w="1296"/>
          </w:tcPr>
          <w:p>
            <w:pPr>
              <w:spacing w:after="20"/>
              <w:jc w:val="right"/>
            </w:pPr>
            <w:r>
              <w:rPr>
                <w:color w:val="1C3A36"/>
                <w:sz w:val="16"/>
              </w:rPr>
              <w:t>1,448,781.0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Profit after tax, FY2025 audited consolidated financial statements (Deloitte &amp; Touche (M.E.), unqualified)</w:t>
            </w:r>
          </w:p>
        </w:tc>
      </w:tr>
      <w:tr>
        <w:tc>
          <w:tcPr>
            <w:tcW w:type="dxa" w:w="2088"/>
          </w:tcPr>
          <w:p>
            <w:pPr>
              <w:spacing w:after="20"/>
            </w:pPr>
            <w:r>
              <w:rPr>
                <w:color w:val="1C3A36"/>
                <w:sz w:val="16"/>
              </w:rPr>
              <w:t>ppe 1h26</w:t>
            </w:r>
          </w:p>
        </w:tc>
        <w:tc>
          <w:tcPr>
            <w:tcW w:type="dxa" w:w="1296"/>
          </w:tcPr>
          <w:p>
            <w:pPr>
              <w:spacing w:after="20"/>
              <w:jc w:val="right"/>
            </w:pPr>
            <w:r>
              <w:rPr>
                <w:color w:val="1C3A36"/>
                <w:sz w:val="16"/>
              </w:rPr>
              <w:t>5,705,373.0</w:t>
            </w:r>
          </w:p>
        </w:tc>
        <w:tc>
          <w:tcPr>
            <w:tcW w:type="dxa" w:w="1224"/>
          </w:tcPr>
          <w:p>
            <w:pPr>
              <w:spacing w:after="20"/>
              <w:jc w:val="right"/>
            </w:pPr>
            <w:r>
              <w:rPr>
                <w:color w:val="1C3A36"/>
                <w:sz w:val="16"/>
              </w:rPr>
              <w:t>2026-06-30</w:t>
            </w:r>
          </w:p>
        </w:tc>
        <w:tc>
          <w:tcPr>
            <w:tcW w:type="dxa" w:w="5472"/>
          </w:tcPr>
          <w:p>
            <w:pPr>
              <w:spacing w:after="20"/>
              <w:jc w:val="right"/>
            </w:pPr>
            <w:r>
              <w:rPr>
                <w:color w:val="1C3A36"/>
                <w:sz w:val="16"/>
              </w:rPr>
              <w:t>Property and equipment, 1H-2026 condensed consolidated interim financial information (reviewed)</w:t>
            </w:r>
          </w:p>
        </w:tc>
      </w:tr>
      <w:tr>
        <w:tc>
          <w:tcPr>
            <w:tcW w:type="dxa" w:w="2088"/>
          </w:tcPr>
          <w:p>
            <w:pPr>
              <w:spacing w:after="20"/>
            </w:pPr>
            <w:r>
              <w:rPr>
                <w:color w:val="1C3A36"/>
                <w:sz w:val="16"/>
              </w:rPr>
              <w:t>ppe fy23</w:t>
            </w:r>
          </w:p>
        </w:tc>
        <w:tc>
          <w:tcPr>
            <w:tcW w:type="dxa" w:w="1296"/>
          </w:tcPr>
          <w:p>
            <w:pPr>
              <w:spacing w:after="20"/>
              <w:jc w:val="right"/>
            </w:pPr>
            <w:r>
              <w:rPr>
                <w:color w:val="1C3A36"/>
                <w:sz w:val="16"/>
              </w:rPr>
              <w:t>4,847,540.0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Consolidated statement of financial position, FY2023 audited consolidated financial statements (KPMG Lower Gulf Limited, unqualified)</w:t>
            </w:r>
          </w:p>
        </w:tc>
      </w:tr>
      <w:tr>
        <w:tc>
          <w:tcPr>
            <w:tcW w:type="dxa" w:w="2088"/>
          </w:tcPr>
          <w:p>
            <w:pPr>
              <w:spacing w:after="20"/>
            </w:pPr>
            <w:r>
              <w:rPr>
                <w:color w:val="1C3A36"/>
                <w:sz w:val="16"/>
              </w:rPr>
              <w:t>ppe fy24</w:t>
            </w:r>
          </w:p>
        </w:tc>
        <w:tc>
          <w:tcPr>
            <w:tcW w:type="dxa" w:w="1296"/>
          </w:tcPr>
          <w:p>
            <w:pPr>
              <w:spacing w:after="20"/>
              <w:jc w:val="right"/>
            </w:pPr>
            <w:r>
              <w:rPr>
                <w:color w:val="1C3A36"/>
                <w:sz w:val="16"/>
              </w:rPr>
              <w:t>5,352,674.0</w:t>
            </w:r>
          </w:p>
        </w:tc>
        <w:tc>
          <w:tcPr>
            <w:tcW w:type="dxa" w:w="1224"/>
          </w:tcPr>
          <w:p>
            <w:pPr>
              <w:spacing w:after="20"/>
              <w:jc w:val="right"/>
            </w:pPr>
            <w:r>
              <w:rPr>
                <w:color w:val="1C3A36"/>
                <w:sz w:val="16"/>
              </w:rPr>
              <w:t>2025-02-11</w:t>
            </w:r>
          </w:p>
        </w:tc>
        <w:tc>
          <w:tcPr>
            <w:tcW w:type="dxa" w:w="5472"/>
          </w:tcPr>
          <w:p>
            <w:pPr>
              <w:spacing w:after="20"/>
              <w:jc w:val="right"/>
            </w:pPr>
            <w:r>
              <w:rPr>
                <w:color w:val="1C3A36"/>
                <w:sz w:val="16"/>
              </w:rPr>
              <w:t>Consolidated statement of financial position, FY2024 audited consolidated financial statements (Deloitte &amp; Touche (M.E.), unqualified)</w:t>
            </w:r>
          </w:p>
        </w:tc>
      </w:tr>
      <w:tr>
        <w:tc>
          <w:tcPr>
            <w:tcW w:type="dxa" w:w="2088"/>
          </w:tcPr>
          <w:p>
            <w:pPr>
              <w:spacing w:after="20"/>
            </w:pPr>
            <w:r>
              <w:rPr>
                <w:color w:val="1C3A36"/>
                <w:sz w:val="16"/>
              </w:rPr>
              <w:t>ppe fy25</w:t>
            </w:r>
          </w:p>
        </w:tc>
        <w:tc>
          <w:tcPr>
            <w:tcW w:type="dxa" w:w="1296"/>
          </w:tcPr>
          <w:p>
            <w:pPr>
              <w:spacing w:after="20"/>
              <w:jc w:val="right"/>
            </w:pPr>
            <w:r>
              <w:rPr>
                <w:color w:val="1C3A36"/>
                <w:sz w:val="16"/>
              </w:rPr>
              <w:t>5,477,158.0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Consolidated statement of financial position, FY2025 audited consolidated financial statements (Deloitte &amp; Touche (M.E.), unqualified)</w:t>
            </w:r>
          </w:p>
        </w:tc>
      </w:tr>
      <w:tr>
        <w:tc>
          <w:tcPr>
            <w:tcW w:type="dxa" w:w="2088"/>
          </w:tcPr>
          <w:p>
            <w:pPr>
              <w:spacing w:after="20"/>
            </w:pPr>
            <w:r>
              <w:rPr>
                <w:color w:val="1C3A36"/>
                <w:sz w:val="16"/>
              </w:rPr>
              <w:t>rev 1h26</w:t>
            </w:r>
          </w:p>
        </w:tc>
        <w:tc>
          <w:tcPr>
            <w:tcW w:type="dxa" w:w="1296"/>
          </w:tcPr>
          <w:p>
            <w:pPr>
              <w:spacing w:after="20"/>
              <w:jc w:val="right"/>
            </w:pPr>
            <w:r>
              <w:rPr>
                <w:color w:val="1C3A36"/>
                <w:sz w:val="16"/>
              </w:rPr>
              <w:t>2,459,813.0</w:t>
            </w:r>
          </w:p>
        </w:tc>
        <w:tc>
          <w:tcPr>
            <w:tcW w:type="dxa" w:w="1224"/>
          </w:tcPr>
          <w:p>
            <w:pPr>
              <w:spacing w:after="20"/>
              <w:jc w:val="right"/>
            </w:pPr>
            <w:r>
              <w:rPr>
                <w:color w:val="1C3A36"/>
                <w:sz w:val="16"/>
              </w:rPr>
              <w:t>2026-07-30</w:t>
            </w:r>
          </w:p>
        </w:tc>
        <w:tc>
          <w:tcPr>
            <w:tcW w:type="dxa" w:w="5472"/>
          </w:tcPr>
          <w:p>
            <w:pPr>
              <w:spacing w:after="20"/>
              <w:jc w:val="right"/>
            </w:pPr>
            <w:r>
              <w:rPr>
                <w:color w:val="1C3A36"/>
                <w:sz w:val="16"/>
              </w:rPr>
              <w:t>Revenue, 1H-2026 condensed consolidated interim financial information (reviewed)</w:t>
            </w:r>
          </w:p>
        </w:tc>
      </w:tr>
      <w:tr>
        <w:tc>
          <w:tcPr>
            <w:tcW w:type="dxa" w:w="2088"/>
          </w:tcPr>
          <w:p>
            <w:pPr>
              <w:spacing w:after="20"/>
            </w:pPr>
            <w:r>
              <w:rPr>
                <w:color w:val="1C3A36"/>
                <w:sz w:val="16"/>
              </w:rPr>
              <w:t>rev fy23</w:t>
            </w:r>
          </w:p>
        </w:tc>
        <w:tc>
          <w:tcPr>
            <w:tcW w:type="dxa" w:w="1296"/>
          </w:tcPr>
          <w:p>
            <w:pPr>
              <w:spacing w:after="20"/>
              <w:jc w:val="right"/>
            </w:pPr>
            <w:r>
              <w:rPr>
                <w:color w:val="1C3A36"/>
                <w:sz w:val="16"/>
              </w:rPr>
              <w:t>3,056,865.0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Consolidated statement of profit or loss, FY2023 audited consolidated financial statements (KPMG Lower Gulf Limited, unqualified) (confirmed to the dollar by the FY2024 filing's comparative column)</w:t>
            </w:r>
          </w:p>
        </w:tc>
      </w:tr>
      <w:tr>
        <w:tc>
          <w:tcPr>
            <w:tcW w:type="dxa" w:w="2088"/>
          </w:tcPr>
          <w:p>
            <w:pPr>
              <w:spacing w:after="20"/>
            </w:pPr>
            <w:r>
              <w:rPr>
                <w:color w:val="1C3A36"/>
                <w:sz w:val="16"/>
              </w:rPr>
              <w:t>rev fy24</w:t>
            </w:r>
          </w:p>
        </w:tc>
        <w:tc>
          <w:tcPr>
            <w:tcW w:type="dxa" w:w="1296"/>
          </w:tcPr>
          <w:p>
            <w:pPr>
              <w:spacing w:after="20"/>
              <w:jc w:val="right"/>
            </w:pPr>
            <w:r>
              <w:rPr>
                <w:color w:val="1C3A36"/>
                <w:sz w:val="16"/>
              </w:rPr>
              <w:t>4,034,222.0</w:t>
            </w:r>
          </w:p>
        </w:tc>
        <w:tc>
          <w:tcPr>
            <w:tcW w:type="dxa" w:w="1224"/>
          </w:tcPr>
          <w:p>
            <w:pPr>
              <w:spacing w:after="20"/>
              <w:jc w:val="right"/>
            </w:pPr>
            <w:r>
              <w:rPr>
                <w:color w:val="1C3A36"/>
                <w:sz w:val="16"/>
              </w:rPr>
              <w:t>2025-02-11</w:t>
            </w:r>
          </w:p>
        </w:tc>
        <w:tc>
          <w:tcPr>
            <w:tcW w:type="dxa" w:w="5472"/>
          </w:tcPr>
          <w:p>
            <w:pPr>
              <w:spacing w:after="20"/>
              <w:jc w:val="right"/>
            </w:pPr>
            <w:r>
              <w:rPr>
                <w:color w:val="1C3A36"/>
                <w:sz w:val="16"/>
              </w:rPr>
              <w:t>Consolidated statement of profit or loss, FY2024 audited consolidated financial statements (Deloitte &amp; Touche (M.E.), unqualified) (confirmed to the dollar by the FY2025 filing's comparative column)</w:t>
            </w:r>
          </w:p>
        </w:tc>
      </w:tr>
      <w:tr>
        <w:tc>
          <w:tcPr>
            <w:tcW w:type="dxa" w:w="2088"/>
          </w:tcPr>
          <w:p>
            <w:pPr>
              <w:spacing w:after="20"/>
            </w:pPr>
            <w:r>
              <w:rPr>
                <w:color w:val="1C3A36"/>
                <w:sz w:val="16"/>
              </w:rPr>
              <w:t>rev fy25</w:t>
            </w:r>
          </w:p>
        </w:tc>
        <w:tc>
          <w:tcPr>
            <w:tcW w:type="dxa" w:w="1296"/>
          </w:tcPr>
          <w:p>
            <w:pPr>
              <w:spacing w:after="20"/>
              <w:jc w:val="right"/>
            </w:pPr>
            <w:r>
              <w:rPr>
                <w:color w:val="1C3A36"/>
                <w:sz w:val="16"/>
              </w:rPr>
              <w:t>4,902,886.0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Consolidated statement of profit or loss, FY2025 audited consolidated financial statements (Deloitte &amp; Touche (M.E.), unqualified)</w:t>
            </w:r>
          </w:p>
        </w:tc>
      </w:tr>
      <w:tr>
        <w:tc>
          <w:tcPr>
            <w:tcW w:type="dxa" w:w="2088"/>
          </w:tcPr>
          <w:p>
            <w:pPr>
              <w:spacing w:after="20"/>
            </w:pPr>
            <w:r>
              <w:rPr>
                <w:color w:val="1C3A36"/>
                <w:sz w:val="16"/>
              </w:rPr>
              <w:t>rou fy23</w:t>
            </w:r>
          </w:p>
        </w:tc>
        <w:tc>
          <w:tcPr>
            <w:tcW w:type="dxa" w:w="1296"/>
          </w:tcPr>
          <w:p>
            <w:pPr>
              <w:spacing w:after="20"/>
              <w:jc w:val="right"/>
            </w:pPr>
            <w:r>
              <w:rPr>
                <w:color w:val="1C3A36"/>
                <w:sz w:val="16"/>
              </w:rPr>
              <w:t>173,911.0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Right-of-use assets, FY2023 audited consolidated financial statements (KPMG Lower Gulf Limited, unqualified)</w:t>
            </w:r>
          </w:p>
        </w:tc>
      </w:tr>
      <w:tr>
        <w:tc>
          <w:tcPr>
            <w:tcW w:type="dxa" w:w="2088"/>
          </w:tcPr>
          <w:p>
            <w:pPr>
              <w:spacing w:after="20"/>
            </w:pPr>
            <w:r>
              <w:rPr>
                <w:color w:val="1C3A36"/>
                <w:sz w:val="16"/>
              </w:rPr>
              <w:t>rou fy24</w:t>
            </w:r>
          </w:p>
        </w:tc>
        <w:tc>
          <w:tcPr>
            <w:tcW w:type="dxa" w:w="1296"/>
          </w:tcPr>
          <w:p>
            <w:pPr>
              <w:spacing w:after="20"/>
              <w:jc w:val="right"/>
            </w:pPr>
            <w:r>
              <w:rPr>
                <w:color w:val="1C3A36"/>
                <w:sz w:val="16"/>
              </w:rPr>
              <w:t>23,310.0</w:t>
            </w:r>
          </w:p>
        </w:tc>
        <w:tc>
          <w:tcPr>
            <w:tcW w:type="dxa" w:w="1224"/>
          </w:tcPr>
          <w:p>
            <w:pPr>
              <w:spacing w:after="20"/>
              <w:jc w:val="right"/>
            </w:pPr>
            <w:r>
              <w:rPr>
                <w:color w:val="1C3A36"/>
                <w:sz w:val="16"/>
              </w:rPr>
              <w:t>2025-02-11</w:t>
            </w:r>
          </w:p>
        </w:tc>
        <w:tc>
          <w:tcPr>
            <w:tcW w:type="dxa" w:w="5472"/>
          </w:tcPr>
          <w:p>
            <w:pPr>
              <w:spacing w:after="20"/>
              <w:jc w:val="right"/>
            </w:pPr>
            <w:r>
              <w:rPr>
                <w:color w:val="1C3A36"/>
                <w:sz w:val="16"/>
              </w:rPr>
              <w:t>Right-of-use assets, FY2024 audited consolidated financial statements (Deloitte &amp; Touche (M.E.), unqualified)</w:t>
            </w:r>
          </w:p>
        </w:tc>
      </w:tr>
      <w:tr>
        <w:tc>
          <w:tcPr>
            <w:tcW w:type="dxa" w:w="2088"/>
          </w:tcPr>
          <w:p>
            <w:pPr>
              <w:spacing w:after="20"/>
            </w:pPr>
            <w:r>
              <w:rPr>
                <w:color w:val="1C3A36"/>
                <w:sz w:val="16"/>
              </w:rPr>
              <w:t>rou fy25</w:t>
            </w:r>
          </w:p>
        </w:tc>
        <w:tc>
          <w:tcPr>
            <w:tcW w:type="dxa" w:w="1296"/>
          </w:tcPr>
          <w:p>
            <w:pPr>
              <w:spacing w:after="20"/>
              <w:jc w:val="right"/>
            </w:pPr>
            <w:r>
              <w:rPr>
                <w:color w:val="1C3A36"/>
                <w:sz w:val="16"/>
              </w:rPr>
              <w:t>45,729.0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Right-of-use assets, FY2025 audited consolidated financial statements (Deloitte &amp; Touche (M.E.), unqualified)</w:t>
            </w:r>
          </w:p>
        </w:tc>
      </w:tr>
      <w:tr>
        <w:tc>
          <w:tcPr>
            <w:tcW w:type="dxa" w:w="2088"/>
          </w:tcPr>
          <w:p>
            <w:pPr>
              <w:spacing w:after="20"/>
            </w:pPr>
            <w:r>
              <w:rPr>
                <w:color w:val="1C3A36"/>
                <w:sz w:val="16"/>
              </w:rPr>
              <w:t>seg ebitda off fy25</w:t>
            </w:r>
          </w:p>
        </w:tc>
        <w:tc>
          <w:tcPr>
            <w:tcW w:type="dxa" w:w="1296"/>
          </w:tcPr>
          <w:p>
            <w:pPr>
              <w:spacing w:after="20"/>
              <w:jc w:val="right"/>
            </w:pPr>
            <w:r>
              <w:rPr>
                <w:color w:val="1C3A36"/>
                <w:sz w:val="16"/>
              </w:rPr>
              <w:t>952,523.0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Segment note 28, FY2025 audited consolidated financial statements (Deloitte &amp; Touche (M.E.), unqualified) — Offshore EBITDA</w:t>
            </w:r>
          </w:p>
        </w:tc>
      </w:tr>
      <w:tr>
        <w:tc>
          <w:tcPr>
            <w:tcW w:type="dxa" w:w="2088"/>
          </w:tcPr>
          <w:p>
            <w:pPr>
              <w:spacing w:after="20"/>
            </w:pPr>
            <w:r>
              <w:rPr>
                <w:color w:val="1C3A36"/>
                <w:sz w:val="16"/>
              </w:rPr>
              <w:t>seg ebitda ofs fy25</w:t>
            </w:r>
          </w:p>
        </w:tc>
        <w:tc>
          <w:tcPr>
            <w:tcW w:type="dxa" w:w="1296"/>
          </w:tcPr>
          <w:p>
            <w:pPr>
              <w:spacing w:after="20"/>
              <w:jc w:val="right"/>
            </w:pPr>
            <w:r>
              <w:rPr>
                <w:color w:val="1C3A36"/>
                <w:sz w:val="16"/>
              </w:rPr>
              <w:t>251,036.0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Segment note 28, FY2025 audited consolidated financial statements (Deloitte &amp; Touche (M.E.), unqualified) — Oilfield Services EBITDA</w:t>
            </w:r>
          </w:p>
        </w:tc>
      </w:tr>
      <w:tr>
        <w:tc>
          <w:tcPr>
            <w:tcW w:type="dxa" w:w="2088"/>
          </w:tcPr>
          <w:p>
            <w:pPr>
              <w:spacing w:after="20"/>
            </w:pPr>
            <w:r>
              <w:rPr>
                <w:color w:val="1C3A36"/>
                <w:sz w:val="16"/>
              </w:rPr>
              <w:t>seg ebitda on fy25</w:t>
            </w:r>
          </w:p>
        </w:tc>
        <w:tc>
          <w:tcPr>
            <w:tcW w:type="dxa" w:w="1296"/>
          </w:tcPr>
          <w:p>
            <w:pPr>
              <w:spacing w:after="20"/>
              <w:jc w:val="right"/>
            </w:pPr>
            <w:r>
              <w:rPr>
                <w:color w:val="1C3A36"/>
                <w:sz w:val="16"/>
              </w:rPr>
              <w:t>994,477.0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Segment note 28, FY2025 audited consolidated financial statements (Deloitte &amp; Touche (M.E.), unqualified) — Onshore EBITDA</w:t>
            </w:r>
          </w:p>
        </w:tc>
      </w:tr>
      <w:tr>
        <w:tc>
          <w:tcPr>
            <w:tcW w:type="dxa" w:w="2088"/>
          </w:tcPr>
          <w:p>
            <w:pPr>
              <w:spacing w:after="20"/>
            </w:pPr>
            <w:r>
              <w:rPr>
                <w:color w:val="1C3A36"/>
                <w:sz w:val="16"/>
              </w:rPr>
              <w:t>seg off fy23</w:t>
            </w:r>
          </w:p>
        </w:tc>
        <w:tc>
          <w:tcPr>
            <w:tcW w:type="dxa" w:w="1296"/>
          </w:tcPr>
          <w:p>
            <w:pPr>
              <w:spacing w:after="20"/>
              <w:jc w:val="right"/>
            </w:pPr>
            <w:r>
              <w:rPr>
                <w:color w:val="1C3A36"/>
                <w:sz w:val="16"/>
              </w:rPr>
              <w:t>1,008,805.0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Segment note 26, FY2023 audited consolidated financial statements (KPMG Lower Gulf Limited, unqualified) — Offshore Jackup 799,726 plus Offshore Island 209,079. The two were reported separately until FY2024 and combined into a single Offshore segment from 1Q-2025; they are summed here so the three-year series is on one basis</w:t>
            </w:r>
          </w:p>
        </w:tc>
      </w:tr>
      <w:tr>
        <w:tc>
          <w:tcPr>
            <w:tcW w:type="dxa" w:w="2088"/>
          </w:tcPr>
          <w:p>
            <w:pPr>
              <w:spacing w:after="20"/>
            </w:pPr>
            <w:r>
              <w:rPr>
                <w:color w:val="1C3A36"/>
                <w:sz w:val="16"/>
              </w:rPr>
              <w:t>seg off fy24</w:t>
            </w:r>
          </w:p>
        </w:tc>
        <w:tc>
          <w:tcPr>
            <w:tcW w:type="dxa" w:w="1296"/>
          </w:tcPr>
          <w:p>
            <w:pPr>
              <w:spacing w:after="20"/>
              <w:jc w:val="right"/>
            </w:pPr>
            <w:r>
              <w:rPr>
                <w:color w:val="1C3A36"/>
                <w:sz w:val="16"/>
              </w:rPr>
              <w:t>1,328,436.0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Segment note 28, FY2025 audited consolidated financial statements (Deloitte &amp; Touche (M.E.), unqualified) comparative column — Offshore</w:t>
            </w:r>
          </w:p>
        </w:tc>
      </w:tr>
      <w:tr>
        <w:tc>
          <w:tcPr>
            <w:tcW w:type="dxa" w:w="2088"/>
          </w:tcPr>
          <w:p>
            <w:pPr>
              <w:spacing w:after="20"/>
            </w:pPr>
            <w:r>
              <w:rPr>
                <w:color w:val="1C3A36"/>
                <w:sz w:val="16"/>
              </w:rPr>
              <w:t>seg off fy25</w:t>
            </w:r>
          </w:p>
        </w:tc>
        <w:tc>
          <w:tcPr>
            <w:tcW w:type="dxa" w:w="1296"/>
          </w:tcPr>
          <w:p>
            <w:pPr>
              <w:spacing w:after="20"/>
              <w:jc w:val="right"/>
            </w:pPr>
            <w:r>
              <w:rPr>
                <w:color w:val="1C3A36"/>
                <w:sz w:val="16"/>
              </w:rPr>
              <w:t>1,403,893.0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Segment note 28, FY2025 audited consolidated financial statements (Deloitte &amp; Touche (M.E.), unqualified) — Offshore</w:t>
            </w:r>
          </w:p>
        </w:tc>
      </w:tr>
      <w:tr>
        <w:tc>
          <w:tcPr>
            <w:tcW w:type="dxa" w:w="2088"/>
          </w:tcPr>
          <w:p>
            <w:pPr>
              <w:spacing w:after="20"/>
            </w:pPr>
            <w:r>
              <w:rPr>
                <w:color w:val="1C3A36"/>
                <w:sz w:val="16"/>
              </w:rPr>
              <w:t>seg ofs fy23</w:t>
            </w:r>
          </w:p>
        </w:tc>
        <w:tc>
          <w:tcPr>
            <w:tcW w:type="dxa" w:w="1296"/>
          </w:tcPr>
          <w:p>
            <w:pPr>
              <w:spacing w:after="20"/>
              <w:jc w:val="right"/>
            </w:pPr>
            <w:r>
              <w:rPr>
                <w:color w:val="1C3A36"/>
                <w:sz w:val="16"/>
              </w:rPr>
              <w:t>553,003.0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Segment note 26, FY2023 audited consolidated financial statements (KPMG Lower Gulf Limited, unqualified) — Oilfield Services</w:t>
            </w:r>
          </w:p>
        </w:tc>
      </w:tr>
      <w:tr>
        <w:tc>
          <w:tcPr>
            <w:tcW w:type="dxa" w:w="2088"/>
          </w:tcPr>
          <w:p>
            <w:pPr>
              <w:spacing w:after="20"/>
            </w:pPr>
            <w:r>
              <w:rPr>
                <w:color w:val="1C3A36"/>
                <w:sz w:val="16"/>
              </w:rPr>
              <w:t>seg ofs fy24</w:t>
            </w:r>
          </w:p>
        </w:tc>
        <w:tc>
          <w:tcPr>
            <w:tcW w:type="dxa" w:w="1296"/>
          </w:tcPr>
          <w:p>
            <w:pPr>
              <w:spacing w:after="20"/>
              <w:jc w:val="right"/>
            </w:pPr>
            <w:r>
              <w:rPr>
                <w:color w:val="1C3A36"/>
                <w:sz w:val="16"/>
              </w:rPr>
              <w:t>813,116.0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Segment note 28, FY2025 audited consolidated financial statements (Deloitte &amp; Touche (M.E.), unqualified) comparative column — Oilfield Services</w:t>
            </w:r>
          </w:p>
        </w:tc>
      </w:tr>
      <w:tr>
        <w:tc>
          <w:tcPr>
            <w:tcW w:type="dxa" w:w="2088"/>
          </w:tcPr>
          <w:p>
            <w:pPr>
              <w:spacing w:after="20"/>
            </w:pPr>
            <w:r>
              <w:rPr>
                <w:color w:val="1C3A36"/>
                <w:sz w:val="16"/>
              </w:rPr>
              <w:t>seg ofs fy25</w:t>
            </w:r>
          </w:p>
        </w:tc>
        <w:tc>
          <w:tcPr>
            <w:tcW w:type="dxa" w:w="1296"/>
          </w:tcPr>
          <w:p>
            <w:pPr>
              <w:spacing w:after="20"/>
              <w:jc w:val="right"/>
            </w:pPr>
            <w:r>
              <w:rPr>
                <w:color w:val="1C3A36"/>
                <w:sz w:val="16"/>
              </w:rPr>
              <w:t>1,461,968.0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Segment note 28, FY2025 audited consolidated financial statements (Deloitte &amp; Touche (M.E.), unqualified) — Oilfield Services</w:t>
            </w:r>
          </w:p>
        </w:tc>
      </w:tr>
      <w:tr>
        <w:tc>
          <w:tcPr>
            <w:tcW w:type="dxa" w:w="2088"/>
          </w:tcPr>
          <w:p>
            <w:pPr>
              <w:spacing w:after="20"/>
            </w:pPr>
            <w:r>
              <w:rPr>
                <w:color w:val="1C3A36"/>
                <w:sz w:val="16"/>
              </w:rPr>
              <w:t>seg on fy23</w:t>
            </w:r>
          </w:p>
        </w:tc>
        <w:tc>
          <w:tcPr>
            <w:tcW w:type="dxa" w:w="1296"/>
          </w:tcPr>
          <w:p>
            <w:pPr>
              <w:spacing w:after="20"/>
              <w:jc w:val="right"/>
            </w:pPr>
            <w:r>
              <w:rPr>
                <w:color w:val="1C3A36"/>
                <w:sz w:val="16"/>
              </w:rPr>
              <w:t>1,495,057.0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Segment note 26, FY2023 audited consolidated financial statements (KPMG Lower Gulf Limited, unqualified) — Onshore</w:t>
            </w:r>
          </w:p>
        </w:tc>
      </w:tr>
      <w:tr>
        <w:tc>
          <w:tcPr>
            <w:tcW w:type="dxa" w:w="2088"/>
          </w:tcPr>
          <w:p>
            <w:pPr>
              <w:spacing w:after="20"/>
            </w:pPr>
            <w:r>
              <w:rPr>
                <w:color w:val="1C3A36"/>
                <w:sz w:val="16"/>
              </w:rPr>
              <w:t>seg on fy24</w:t>
            </w:r>
          </w:p>
        </w:tc>
        <w:tc>
          <w:tcPr>
            <w:tcW w:type="dxa" w:w="1296"/>
          </w:tcPr>
          <w:p>
            <w:pPr>
              <w:spacing w:after="20"/>
              <w:jc w:val="right"/>
            </w:pPr>
            <w:r>
              <w:rPr>
                <w:color w:val="1C3A36"/>
                <w:sz w:val="16"/>
              </w:rPr>
              <w:t>1,892,670.0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Segment note 28, FY2025 audited consolidated financial statements (Deloitte &amp; Touche (M.E.), unqualified) comparative column — Onshore</w:t>
            </w:r>
          </w:p>
        </w:tc>
      </w:tr>
      <w:tr>
        <w:tc>
          <w:tcPr>
            <w:tcW w:type="dxa" w:w="2088"/>
          </w:tcPr>
          <w:p>
            <w:pPr>
              <w:spacing w:after="20"/>
            </w:pPr>
            <w:r>
              <w:rPr>
                <w:color w:val="1C3A36"/>
                <w:sz w:val="16"/>
              </w:rPr>
              <w:t>seg on fy25</w:t>
            </w:r>
          </w:p>
        </w:tc>
        <w:tc>
          <w:tcPr>
            <w:tcW w:type="dxa" w:w="1296"/>
          </w:tcPr>
          <w:p>
            <w:pPr>
              <w:spacing w:after="20"/>
              <w:jc w:val="right"/>
            </w:pPr>
            <w:r>
              <w:rPr>
                <w:color w:val="1C3A36"/>
                <w:sz w:val="16"/>
              </w:rPr>
              <w:t>2,037,025.0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Segment note 28, FY2025 audited consolidated financial statements (Deloitte &amp; Touche (M.E.), unqualified) — Onshore</w:t>
            </w:r>
          </w:p>
        </w:tc>
      </w:tr>
      <w:tr>
        <w:tc>
          <w:tcPr>
            <w:tcW w:type="dxa" w:w="2088"/>
          </w:tcPr>
          <w:p>
            <w:pPr>
              <w:spacing w:after="20"/>
            </w:pPr>
            <w:r>
              <w:rPr>
                <w:color w:val="1C3A36"/>
                <w:sz w:val="16"/>
              </w:rPr>
              <w:t>shares issued k</w:t>
            </w:r>
          </w:p>
        </w:tc>
        <w:tc>
          <w:tcPr>
            <w:tcW w:type="dxa" w:w="1296"/>
          </w:tcPr>
          <w:p>
            <w:pPr>
              <w:spacing w:after="20"/>
              <w:jc w:val="right"/>
            </w:pPr>
            <w:r>
              <w:rPr>
                <w:color w:val="1C3A36"/>
                <w:sz w:val="16"/>
              </w:rPr>
              <w:t>16,000,000.0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Share capital note 13, FY2025 audited statements: 16,000,000 thousand shares of AED 0.10 each, unchanged since listing</w:t>
            </w:r>
          </w:p>
        </w:tc>
      </w:tr>
      <w:tr>
        <w:tc>
          <w:tcPr>
            <w:tcW w:type="dxa" w:w="2088"/>
          </w:tcPr>
          <w:p>
            <w:pPr>
              <w:spacing w:after="20"/>
            </w:pPr>
            <w:r>
              <w:rPr>
                <w:color w:val="1C3A36"/>
                <w:sz w:val="16"/>
              </w:rPr>
              <w:t>ta fy23</w:t>
            </w:r>
          </w:p>
        </w:tc>
        <w:tc>
          <w:tcPr>
            <w:tcW w:type="dxa" w:w="1296"/>
          </w:tcPr>
          <w:p>
            <w:pPr>
              <w:spacing w:after="20"/>
              <w:jc w:val="right"/>
            </w:pPr>
            <w:r>
              <w:rPr>
                <w:color w:val="1C3A36"/>
                <w:sz w:val="16"/>
              </w:rPr>
              <w:t>6,740,125.0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Total assets, FY2023 audited consolidated financial statements (KPMG Lower Gulf Limited, unqualified)</w:t>
            </w:r>
          </w:p>
        </w:tc>
      </w:tr>
      <w:tr>
        <w:tc>
          <w:tcPr>
            <w:tcW w:type="dxa" w:w="2088"/>
          </w:tcPr>
          <w:p>
            <w:pPr>
              <w:spacing w:after="20"/>
            </w:pPr>
            <w:r>
              <w:rPr>
                <w:color w:val="1C3A36"/>
                <w:sz w:val="16"/>
              </w:rPr>
              <w:t>ta fy24</w:t>
            </w:r>
          </w:p>
        </w:tc>
        <w:tc>
          <w:tcPr>
            <w:tcW w:type="dxa" w:w="1296"/>
          </w:tcPr>
          <w:p>
            <w:pPr>
              <w:spacing w:after="20"/>
              <w:jc w:val="right"/>
            </w:pPr>
            <w:r>
              <w:rPr>
                <w:color w:val="1C3A36"/>
                <w:sz w:val="16"/>
              </w:rPr>
              <w:t>7,766,471.0</w:t>
            </w:r>
          </w:p>
        </w:tc>
        <w:tc>
          <w:tcPr>
            <w:tcW w:type="dxa" w:w="1224"/>
          </w:tcPr>
          <w:p>
            <w:pPr>
              <w:spacing w:after="20"/>
              <w:jc w:val="right"/>
            </w:pPr>
            <w:r>
              <w:rPr>
                <w:color w:val="1C3A36"/>
                <w:sz w:val="16"/>
              </w:rPr>
              <w:t>2025-02-11</w:t>
            </w:r>
          </w:p>
        </w:tc>
        <w:tc>
          <w:tcPr>
            <w:tcW w:type="dxa" w:w="5472"/>
          </w:tcPr>
          <w:p>
            <w:pPr>
              <w:spacing w:after="20"/>
              <w:jc w:val="right"/>
            </w:pPr>
            <w:r>
              <w:rPr>
                <w:color w:val="1C3A36"/>
                <w:sz w:val="16"/>
              </w:rPr>
              <w:t>Total assets, FY2024 audited consolidated financial statements (Deloitte &amp; Touche (M.E.), unqualified)</w:t>
            </w:r>
          </w:p>
        </w:tc>
      </w:tr>
      <w:tr>
        <w:tc>
          <w:tcPr>
            <w:tcW w:type="dxa" w:w="2088"/>
          </w:tcPr>
          <w:p>
            <w:pPr>
              <w:spacing w:after="20"/>
            </w:pPr>
            <w:r>
              <w:rPr>
                <w:color w:val="1C3A36"/>
                <w:sz w:val="16"/>
              </w:rPr>
              <w:t>ta fy25</w:t>
            </w:r>
          </w:p>
        </w:tc>
        <w:tc>
          <w:tcPr>
            <w:tcW w:type="dxa" w:w="1296"/>
          </w:tcPr>
          <w:p>
            <w:pPr>
              <w:spacing w:after="20"/>
              <w:jc w:val="right"/>
            </w:pPr>
            <w:r>
              <w:rPr>
                <w:color w:val="1C3A36"/>
                <w:sz w:val="16"/>
              </w:rPr>
              <w:t>8,101,408.0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Total assets, FY2025 audited consolidated financial statements (Deloitte &amp; Touche (M.E.), unqualified)</w:t>
            </w:r>
          </w:p>
        </w:tc>
      </w:tr>
      <w:tr>
        <w:tc>
          <w:tcPr>
            <w:tcW w:type="dxa" w:w="2088"/>
          </w:tcPr>
          <w:p>
            <w:pPr>
              <w:spacing w:after="20"/>
            </w:pPr>
            <w:r>
              <w:rPr>
                <w:color w:val="1C3A36"/>
                <w:sz w:val="16"/>
              </w:rPr>
              <w:t>tax fy23</w:t>
            </w:r>
          </w:p>
        </w:tc>
        <w:tc>
          <w:tcPr>
            <w:tcW w:type="dxa" w:w="1296"/>
          </w:tcPr>
          <w:p>
            <w:pPr>
              <w:spacing w:after="20"/>
              <w:jc w:val="right"/>
            </w:pPr>
            <w:r>
              <w:rPr>
                <w:color w:val="1C3A36"/>
                <w:sz w:val="16"/>
              </w:rPr>
              <w:t>0.0000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Income tax, FY2023 audited consolidated financial statements (KPMG Lower Gulf Limited, unqualified) — the Abu Dhabi fiscal arrangement took effect 1 January 2024, so FY2023 carries no corporate income tax charge</w:t>
            </w:r>
          </w:p>
        </w:tc>
      </w:tr>
      <w:tr>
        <w:tc>
          <w:tcPr>
            <w:tcW w:type="dxa" w:w="2088"/>
          </w:tcPr>
          <w:p>
            <w:pPr>
              <w:spacing w:after="20"/>
            </w:pPr>
            <w:r>
              <w:rPr>
                <w:color w:val="1C3A36"/>
                <w:sz w:val="16"/>
              </w:rPr>
              <w:t>tax fy24</w:t>
            </w:r>
          </w:p>
        </w:tc>
        <w:tc>
          <w:tcPr>
            <w:tcW w:type="dxa" w:w="1296"/>
          </w:tcPr>
          <w:p>
            <w:pPr>
              <w:spacing w:after="20"/>
              <w:jc w:val="right"/>
            </w:pPr>
            <w:r>
              <w:rPr>
                <w:color w:val="1C3A36"/>
                <w:sz w:val="16"/>
              </w:rPr>
              <w:t>128,510.0</w:t>
            </w:r>
          </w:p>
        </w:tc>
        <w:tc>
          <w:tcPr>
            <w:tcW w:type="dxa" w:w="1224"/>
          </w:tcPr>
          <w:p>
            <w:pPr>
              <w:spacing w:after="20"/>
              <w:jc w:val="right"/>
            </w:pPr>
            <w:r>
              <w:rPr>
                <w:color w:val="1C3A36"/>
                <w:sz w:val="16"/>
              </w:rPr>
              <w:t>2025-02-11</w:t>
            </w:r>
          </w:p>
        </w:tc>
        <w:tc>
          <w:tcPr>
            <w:tcW w:type="dxa" w:w="5472"/>
          </w:tcPr>
          <w:p>
            <w:pPr>
              <w:spacing w:after="20"/>
              <w:jc w:val="right"/>
            </w:pPr>
            <w:r>
              <w:rPr>
                <w:color w:val="1C3A36"/>
                <w:sz w:val="16"/>
              </w:rPr>
              <w:t>Income tax note 30, FY2024 audited consolidated financial statements (Deloitte &amp; Touche (M.E.), unqualified)</w:t>
            </w:r>
          </w:p>
        </w:tc>
      </w:tr>
      <w:tr>
        <w:tc>
          <w:tcPr>
            <w:tcW w:type="dxa" w:w="2088"/>
          </w:tcPr>
          <w:p>
            <w:pPr>
              <w:spacing w:after="20"/>
            </w:pPr>
            <w:r>
              <w:rPr>
                <w:color w:val="1C3A36"/>
                <w:sz w:val="16"/>
              </w:rPr>
              <w:t>tax fy25</w:t>
            </w:r>
          </w:p>
        </w:tc>
        <w:tc>
          <w:tcPr>
            <w:tcW w:type="dxa" w:w="1296"/>
          </w:tcPr>
          <w:p>
            <w:pPr>
              <w:spacing w:after="20"/>
              <w:jc w:val="right"/>
            </w:pPr>
            <w:r>
              <w:rPr>
                <w:color w:val="1C3A36"/>
                <w:sz w:val="16"/>
              </w:rPr>
              <w:t>139,099.0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Income tax note 30, FY2025 audited consolidated financial statements (Deloitte &amp; Touche (M.E.), unqualified): current 138,930 plus deferred 169</w:t>
            </w:r>
          </w:p>
        </w:tc>
      </w:tr>
      <w:tr>
        <w:tc>
          <w:tcPr>
            <w:tcW w:type="dxa" w:w="2088"/>
          </w:tcPr>
          <w:p>
            <w:pPr>
              <w:spacing w:after="20"/>
            </w:pPr>
            <w:r>
              <w:rPr>
                <w:color w:val="1C3A36"/>
                <w:sz w:val="16"/>
              </w:rPr>
              <w:t>tax rate</w:t>
            </w:r>
          </w:p>
        </w:tc>
        <w:tc>
          <w:tcPr>
            <w:tcW w:type="dxa" w:w="1296"/>
          </w:tcPr>
          <w:p>
            <w:pPr>
              <w:spacing w:after="20"/>
              <w:jc w:val="right"/>
            </w:pPr>
            <w:r>
              <w:rPr>
                <w:color w:val="1C3A36"/>
                <w:sz w:val="16"/>
              </w:rPr>
              <w:t>0.0900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Income tax note 30, FY2025 audited consolidated financial statements (Deloitte &amp; Touche (M.E.), unqualified): 'The Group is subject to income tax at 9% on its taxable profits in accordance with the fiscal arrangement with Abu Dhabi Supreme Council for Financial and Economic Affairs effective 1 January 2024.' The same 9% is the UAE statutory corporate rate in the Damodaran country file</w:t>
            </w:r>
          </w:p>
        </w:tc>
      </w:tr>
      <w:tr>
        <w:tc>
          <w:tcPr>
            <w:tcW w:type="dxa" w:w="2088"/>
          </w:tcPr>
          <w:p>
            <w:pPr>
              <w:spacing w:after="20"/>
            </w:pPr>
            <w:r>
              <w:rPr>
                <w:color w:val="1C3A36"/>
                <w:sz w:val="16"/>
              </w:rPr>
              <w:t>taxpay fy23</w:t>
            </w:r>
          </w:p>
        </w:tc>
        <w:tc>
          <w:tcPr>
            <w:tcW w:type="dxa" w:w="1296"/>
          </w:tcPr>
          <w:p>
            <w:pPr>
              <w:spacing w:after="20"/>
              <w:jc w:val="right"/>
            </w:pPr>
            <w:r>
              <w:rPr>
                <w:color w:val="1C3A36"/>
                <w:sz w:val="16"/>
              </w:rPr>
              <w:t>0.0000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Income tax payable, FY2023 audited consolidated financial statements (KPMG Lower Gulf Limited, unqualified) — nil</w:t>
            </w:r>
          </w:p>
        </w:tc>
      </w:tr>
      <w:tr>
        <w:tc>
          <w:tcPr>
            <w:tcW w:type="dxa" w:w="2088"/>
          </w:tcPr>
          <w:p>
            <w:pPr>
              <w:spacing w:after="20"/>
            </w:pPr>
            <w:r>
              <w:rPr>
                <w:color w:val="1C3A36"/>
                <w:sz w:val="16"/>
              </w:rPr>
              <w:t>taxpay fy24</w:t>
            </w:r>
          </w:p>
        </w:tc>
        <w:tc>
          <w:tcPr>
            <w:tcW w:type="dxa" w:w="1296"/>
          </w:tcPr>
          <w:p>
            <w:pPr>
              <w:spacing w:after="20"/>
              <w:jc w:val="right"/>
            </w:pPr>
            <w:r>
              <w:rPr>
                <w:color w:val="1C3A36"/>
                <w:sz w:val="16"/>
              </w:rPr>
              <w:t>15,000.0</w:t>
            </w:r>
          </w:p>
        </w:tc>
        <w:tc>
          <w:tcPr>
            <w:tcW w:type="dxa" w:w="1224"/>
          </w:tcPr>
          <w:p>
            <w:pPr>
              <w:spacing w:after="20"/>
              <w:jc w:val="right"/>
            </w:pPr>
            <w:r>
              <w:rPr>
                <w:color w:val="1C3A36"/>
                <w:sz w:val="16"/>
              </w:rPr>
              <w:t>2025-02-11</w:t>
            </w:r>
          </w:p>
        </w:tc>
        <w:tc>
          <w:tcPr>
            <w:tcW w:type="dxa" w:w="5472"/>
          </w:tcPr>
          <w:p>
            <w:pPr>
              <w:spacing w:after="20"/>
              <w:jc w:val="right"/>
            </w:pPr>
            <w:r>
              <w:rPr>
                <w:color w:val="1C3A36"/>
                <w:sz w:val="16"/>
              </w:rPr>
              <w:t>Income tax payable, FY2024 audited consolidated financial statements (Deloitte &amp; Touche (M.E.), unqualified)</w:t>
            </w:r>
          </w:p>
        </w:tc>
      </w:tr>
      <w:tr>
        <w:tc>
          <w:tcPr>
            <w:tcW w:type="dxa" w:w="2088"/>
          </w:tcPr>
          <w:p>
            <w:pPr>
              <w:spacing w:after="20"/>
            </w:pPr>
            <w:r>
              <w:rPr>
                <w:color w:val="1C3A36"/>
                <w:sz w:val="16"/>
              </w:rPr>
              <w:t>taxpay fy25</w:t>
            </w:r>
          </w:p>
        </w:tc>
        <w:tc>
          <w:tcPr>
            <w:tcW w:type="dxa" w:w="1296"/>
          </w:tcPr>
          <w:p>
            <w:pPr>
              <w:spacing w:after="20"/>
              <w:jc w:val="right"/>
            </w:pPr>
            <w:r>
              <w:rPr>
                <w:color w:val="1C3A36"/>
                <w:sz w:val="16"/>
              </w:rPr>
              <w:t>11,000.0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Income tax payable, FY2025 audited consolidated financial statements (Deloitte &amp; Touche (M.E.), unqualified)</w:t>
            </w:r>
          </w:p>
        </w:tc>
      </w:tr>
      <w:tr>
        <w:tc>
          <w:tcPr>
            <w:tcW w:type="dxa" w:w="2088"/>
          </w:tcPr>
          <w:p>
            <w:pPr>
              <w:spacing w:after="20"/>
            </w:pPr>
            <w:r>
              <w:rPr>
                <w:color w:val="1C3A36"/>
                <w:sz w:val="16"/>
              </w:rPr>
              <w:t>tp fy23</w:t>
            </w:r>
          </w:p>
        </w:tc>
        <w:tc>
          <w:tcPr>
            <w:tcW w:type="dxa" w:w="1296"/>
          </w:tcPr>
          <w:p>
            <w:pPr>
              <w:spacing w:after="20"/>
              <w:jc w:val="right"/>
            </w:pPr>
            <w:r>
              <w:rPr>
                <w:color w:val="1C3A36"/>
                <w:sz w:val="16"/>
              </w:rPr>
              <w:t>929,770.0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Trade and other payables, FY2023 audited consolidated financial statements (KPMG Lower Gulf Limited, unqualified): non-current 80,936 plus current 848,834</w:t>
            </w:r>
          </w:p>
        </w:tc>
      </w:tr>
      <w:tr>
        <w:tc>
          <w:tcPr>
            <w:tcW w:type="dxa" w:w="2088"/>
          </w:tcPr>
          <w:p>
            <w:pPr>
              <w:spacing w:after="20"/>
            </w:pPr>
            <w:r>
              <w:rPr>
                <w:color w:val="1C3A36"/>
                <w:sz w:val="16"/>
              </w:rPr>
              <w:t>tp fy24</w:t>
            </w:r>
          </w:p>
        </w:tc>
        <w:tc>
          <w:tcPr>
            <w:tcW w:type="dxa" w:w="1296"/>
          </w:tcPr>
          <w:p>
            <w:pPr>
              <w:spacing w:after="20"/>
              <w:jc w:val="right"/>
            </w:pPr>
            <w:r>
              <w:rPr>
                <w:color w:val="1C3A36"/>
                <w:sz w:val="16"/>
              </w:rPr>
              <w:t>1,240,598.0</w:t>
            </w:r>
          </w:p>
        </w:tc>
        <w:tc>
          <w:tcPr>
            <w:tcW w:type="dxa" w:w="1224"/>
          </w:tcPr>
          <w:p>
            <w:pPr>
              <w:spacing w:after="20"/>
              <w:jc w:val="right"/>
            </w:pPr>
            <w:r>
              <w:rPr>
                <w:color w:val="1C3A36"/>
                <w:sz w:val="16"/>
              </w:rPr>
              <w:t>2025-02-11</w:t>
            </w:r>
          </w:p>
        </w:tc>
        <w:tc>
          <w:tcPr>
            <w:tcW w:type="dxa" w:w="5472"/>
          </w:tcPr>
          <w:p>
            <w:pPr>
              <w:spacing w:after="20"/>
              <w:jc w:val="right"/>
            </w:pPr>
            <w:r>
              <w:rPr>
                <w:color w:val="1C3A36"/>
                <w:sz w:val="16"/>
              </w:rPr>
              <w:t>Trade and other payables note 17, FY2024 audited consolidated financial statements (Deloitte &amp; Touche (M.E.), unqualified): non-current 64,849 plus current 1,175,749</w:t>
            </w:r>
          </w:p>
        </w:tc>
      </w:tr>
      <w:tr>
        <w:tc>
          <w:tcPr>
            <w:tcW w:type="dxa" w:w="2088"/>
          </w:tcPr>
          <w:p>
            <w:pPr>
              <w:spacing w:after="20"/>
            </w:pPr>
            <w:r>
              <w:rPr>
                <w:color w:val="1C3A36"/>
                <w:sz w:val="16"/>
              </w:rPr>
              <w:t>tp fy25</w:t>
            </w:r>
          </w:p>
        </w:tc>
        <w:tc>
          <w:tcPr>
            <w:tcW w:type="dxa" w:w="1296"/>
          </w:tcPr>
          <w:p>
            <w:pPr>
              <w:spacing w:after="20"/>
              <w:jc w:val="right"/>
            </w:pPr>
            <w:r>
              <w:rPr>
                <w:color w:val="1C3A36"/>
                <w:sz w:val="16"/>
              </w:rPr>
              <w:t>1,114,818.0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Trade and other payables note 17, FY2025 audited consolidated financial statements (Deloitte &amp; Touche (M.E.), unqualified): non-current 75,399 plus current 1,039,419</w:t>
            </w:r>
          </w:p>
        </w:tc>
      </w:tr>
      <w:tr>
        <w:tc>
          <w:tcPr>
            <w:tcW w:type="dxa" w:w="2088"/>
          </w:tcPr>
          <w:p>
            <w:pPr>
              <w:spacing w:after="20"/>
            </w:pPr>
            <w:r>
              <w:rPr>
                <w:color w:val="1C3A36"/>
                <w:sz w:val="16"/>
              </w:rPr>
              <w:t>tr fy23</w:t>
            </w:r>
          </w:p>
        </w:tc>
        <w:tc>
          <w:tcPr>
            <w:tcW w:type="dxa" w:w="1296"/>
          </w:tcPr>
          <w:p>
            <w:pPr>
              <w:spacing w:after="20"/>
              <w:jc w:val="right"/>
            </w:pPr>
            <w:r>
              <w:rPr>
                <w:color w:val="1C3A36"/>
                <w:sz w:val="16"/>
              </w:rPr>
              <w:t>153,946.0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Trade and other receivables, FY2023 audited consolidated financial statements (KPMG Lower Gulf Limited, unqualified)</w:t>
            </w:r>
          </w:p>
        </w:tc>
      </w:tr>
      <w:tr>
        <w:tc>
          <w:tcPr>
            <w:tcW w:type="dxa" w:w="2088"/>
          </w:tcPr>
          <w:p>
            <w:pPr>
              <w:spacing w:after="20"/>
            </w:pPr>
            <w:r>
              <w:rPr>
                <w:color w:val="1C3A36"/>
                <w:sz w:val="16"/>
              </w:rPr>
              <w:t>tr fy24</w:t>
            </w:r>
          </w:p>
        </w:tc>
        <w:tc>
          <w:tcPr>
            <w:tcW w:type="dxa" w:w="1296"/>
          </w:tcPr>
          <w:p>
            <w:pPr>
              <w:spacing w:after="20"/>
              <w:jc w:val="right"/>
            </w:pPr>
            <w:r>
              <w:rPr>
                <w:color w:val="1C3A36"/>
                <w:sz w:val="16"/>
              </w:rPr>
              <w:t>185,958.0</w:t>
            </w:r>
          </w:p>
        </w:tc>
        <w:tc>
          <w:tcPr>
            <w:tcW w:type="dxa" w:w="1224"/>
          </w:tcPr>
          <w:p>
            <w:pPr>
              <w:spacing w:after="20"/>
              <w:jc w:val="right"/>
            </w:pPr>
            <w:r>
              <w:rPr>
                <w:color w:val="1C3A36"/>
                <w:sz w:val="16"/>
              </w:rPr>
              <w:t>2025-02-11</w:t>
            </w:r>
          </w:p>
        </w:tc>
        <w:tc>
          <w:tcPr>
            <w:tcW w:type="dxa" w:w="5472"/>
          </w:tcPr>
          <w:p>
            <w:pPr>
              <w:spacing w:after="20"/>
              <w:jc w:val="right"/>
            </w:pPr>
            <w:r>
              <w:rPr>
                <w:color w:val="1C3A36"/>
                <w:sz w:val="16"/>
              </w:rPr>
              <w:t>Trade and other receivables, FY2024 audited consolidated financial statements (Deloitte &amp; Touche (M.E.), unqualified)</w:t>
            </w:r>
          </w:p>
        </w:tc>
      </w:tr>
      <w:tr>
        <w:tc>
          <w:tcPr>
            <w:tcW w:type="dxa" w:w="2088"/>
          </w:tcPr>
          <w:p>
            <w:pPr>
              <w:spacing w:after="20"/>
            </w:pPr>
            <w:r>
              <w:rPr>
                <w:color w:val="1C3A36"/>
                <w:sz w:val="16"/>
              </w:rPr>
              <w:t>tr fy25</w:t>
            </w:r>
          </w:p>
        </w:tc>
        <w:tc>
          <w:tcPr>
            <w:tcW w:type="dxa" w:w="1296"/>
          </w:tcPr>
          <w:p>
            <w:pPr>
              <w:spacing w:after="20"/>
              <w:jc w:val="right"/>
            </w:pPr>
            <w:r>
              <w:rPr>
                <w:color w:val="1C3A36"/>
                <w:sz w:val="16"/>
              </w:rPr>
              <w:t>150,376.0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Trade and other receivables, FY2025 audited consolidated financial statements (Deloitte &amp; Touche (M.E.), unqualified)</w:t>
            </w:r>
          </w:p>
        </w:tc>
      </w:tr>
      <w:tr>
        <w:tc>
          <w:tcPr>
            <w:tcW w:type="dxa" w:w="2088"/>
          </w:tcPr>
          <w:p>
            <w:pPr>
              <w:spacing w:after="20"/>
            </w:pPr>
            <w:r>
              <w:rPr>
                <w:color w:val="1C3A36"/>
                <w:sz w:val="16"/>
              </w:rPr>
              <w:t>treasury shares k</w:t>
            </w:r>
          </w:p>
        </w:tc>
        <w:tc>
          <w:tcPr>
            <w:tcW w:type="dxa" w:w="1296"/>
          </w:tcPr>
          <w:p>
            <w:pPr>
              <w:spacing w:after="20"/>
              <w:jc w:val="right"/>
            </w:pPr>
            <w:r>
              <w:rPr>
                <w:color w:val="1C3A36"/>
                <w:sz w:val="16"/>
              </w:rPr>
              <w:t>7,349.0</w:t>
            </w:r>
          </w:p>
        </w:tc>
        <w:tc>
          <w:tcPr>
            <w:tcW w:type="dxa" w:w="1224"/>
          </w:tcPr>
          <w:p>
            <w:pPr>
              <w:spacing w:after="20"/>
              <w:jc w:val="right"/>
            </w:pPr>
            <w:r>
              <w:rPr>
                <w:color w:val="1C3A36"/>
                <w:sz w:val="16"/>
              </w:rPr>
              <w:t>2026-06-30</w:t>
            </w:r>
          </w:p>
        </w:tc>
        <w:tc>
          <w:tcPr>
            <w:tcW w:type="dxa" w:w="5472"/>
          </w:tcPr>
          <w:p>
            <w:pPr>
              <w:spacing w:after="20"/>
              <w:jc w:val="right"/>
            </w:pPr>
            <w:r>
              <w:rPr>
                <w:color w:val="1C3A36"/>
                <w:sz w:val="16"/>
              </w:rPr>
              <w:t>Note 14, 1H-2026 interim: the appointed market maker held 7,349 thousand shares on the company's behalf at 30 June 2026, classified as treasury shares in equity (31 Dec 2025: 9,279 thousand)</w:t>
            </w:r>
          </w:p>
        </w:tc>
      </w:tr>
    </w:tbl>
    <w:p>
      <w:pPr>
        <w:spacing w:after="40"/>
      </w:pPr>
    </w:p>
    <w:p>
      <w:pPr>
        <w:spacing w:after="80" w:before="200"/>
      </w:pPr>
      <w:r>
        <w:rPr>
          <w:b/>
          <w:i w:val="0"/>
          <w:color w:val="1C3A36"/>
          <w:sz w:val="24"/>
        </w:rPr>
        <w:t>Company — investor communications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1296"/>
        <w:gridCol w:w="1224"/>
        <w:gridCol w:w="5472"/>
      </w:tblGrid>
      <w:tr>
        <w:tc>
          <w:tcPr>
            <w:tcW w:type="dxa" w:w="2088"/>
            <w:shd w:val="clear" w:color="auto" w:fill="EAF0EE"/>
          </w:tcPr>
          <w:p>
            <w:pPr>
              <w:spacing w:after="20"/>
            </w:pPr>
            <w:r>
              <w:rPr>
                <w:b/>
                <w:color w:val="1C3A36"/>
                <w:sz w:val="16"/>
              </w:rPr>
              <w:t>Input</w:t>
            </w:r>
          </w:p>
        </w:tc>
        <w:tc>
          <w:tcPr>
            <w:tcW w:type="dxa" w:w="1296"/>
            <w:shd w:val="clear" w:color="auto" w:fill="EAF0EE"/>
          </w:tcPr>
          <w:p>
            <w:pPr>
              <w:spacing w:after="20"/>
            </w:pPr>
            <w:r>
              <w:rPr>
                <w:b/>
                <w:color w:val="1C3A36"/>
                <w:sz w:val="16"/>
              </w:rPr>
              <w:t>Value</w:t>
            </w:r>
          </w:p>
        </w:tc>
        <w:tc>
          <w:tcPr>
            <w:tcW w:type="dxa" w:w="1224"/>
            <w:shd w:val="clear" w:color="auto" w:fill="EAF0EE"/>
          </w:tcPr>
          <w:p>
            <w:pPr>
              <w:spacing w:after="20"/>
            </w:pPr>
            <w:r>
              <w:rPr>
                <w:b/>
                <w:color w:val="1C3A36"/>
                <w:sz w:val="16"/>
              </w:rPr>
              <w:t>Date</w:t>
            </w:r>
          </w:p>
        </w:tc>
        <w:tc>
          <w:tcPr>
            <w:tcW w:type="dxa" w:w="5472"/>
            <w:shd w:val="clear" w:color="auto" w:fill="EAF0EE"/>
          </w:tcPr>
          <w:p>
            <w:pPr>
              <w:spacing w:after="20"/>
            </w:pPr>
            <w:r>
              <w:rPr>
                <w:b/>
                <w:color w:val="1C3A36"/>
                <w:sz w:val="16"/>
              </w:rPr>
              <w:t>Source and construction</w:t>
            </w:r>
          </w:p>
        </w:tc>
      </w:tr>
      <w:tr>
        <w:tc>
          <w:tcPr>
            <w:tcW w:type="dxa" w:w="2088"/>
          </w:tcPr>
          <w:p>
            <w:pPr>
              <w:spacing w:after="20"/>
            </w:pPr>
            <w:r>
              <w:rPr>
                <w:color w:val="1C3A36"/>
                <w:sz w:val="16"/>
              </w:rPr>
              <w:t>availability fy25</w:t>
            </w:r>
          </w:p>
        </w:tc>
        <w:tc>
          <w:tcPr>
            <w:tcW w:type="dxa" w:w="1296"/>
          </w:tcPr>
          <w:p>
            <w:pPr>
              <w:spacing w:after="20"/>
              <w:jc w:val="right"/>
            </w:pPr>
            <w:r>
              <w:rPr>
                <w:color w:val="1C3A36"/>
                <w:sz w:val="16"/>
              </w:rPr>
              <w:t>0.9800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FY2025 management discussion and analysis — overall owned fleet availability at year end, excluding the 29 regional rigs</w:t>
            </w:r>
          </w:p>
        </w:tc>
      </w:tr>
      <w:tr>
        <w:tc>
          <w:tcPr>
            <w:tcW w:type="dxa" w:w="2088"/>
          </w:tcPr>
          <w:p>
            <w:pPr>
              <w:spacing w:after="20"/>
            </w:pPr>
            <w:r>
              <w:rPr>
                <w:color w:val="1C3A36"/>
                <w:sz w:val="16"/>
              </w:rPr>
              <w:t>conv ebitda margin fy25</w:t>
            </w:r>
          </w:p>
        </w:tc>
        <w:tc>
          <w:tcPr>
            <w:tcW w:type="dxa" w:w="1296"/>
          </w:tcPr>
          <w:p>
            <w:pPr>
              <w:spacing w:after="20"/>
              <w:jc w:val="right"/>
            </w:pPr>
            <w:r>
              <w:rPr>
                <w:color w:val="1C3A36"/>
                <w:sz w:val="16"/>
              </w:rPr>
              <w:t>0.5100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FY2025 management discussion and analysis financial summary — conventional EBITDA margin for FY2025, defined by the company as excluding the contribution of the unconventional business</w:t>
            </w:r>
          </w:p>
        </w:tc>
      </w:tr>
      <w:tr>
        <w:tc>
          <w:tcPr>
            <w:tcW w:type="dxa" w:w="2088"/>
          </w:tcPr>
          <w:p>
            <w:pPr>
              <w:spacing w:after="20"/>
            </w:pPr>
            <w:r>
              <w:rPr>
                <w:color w:val="1C3A36"/>
                <w:sz w:val="16"/>
              </w:rPr>
              <w:t>g26 capex hi</w:t>
            </w:r>
          </w:p>
        </w:tc>
        <w:tc>
          <w:tcPr>
            <w:tcW w:type="dxa" w:w="1296"/>
          </w:tcPr>
          <w:p>
            <w:pPr>
              <w:spacing w:after="20"/>
              <w:jc w:val="right"/>
            </w:pPr>
            <w:r>
              <w:rPr>
                <w:color w:val="1C3A36"/>
                <w:sz w:val="16"/>
              </w:rPr>
              <w:t>800,000.0</w:t>
            </w:r>
          </w:p>
        </w:tc>
        <w:tc>
          <w:tcPr>
            <w:tcW w:type="dxa" w:w="1224"/>
          </w:tcPr>
          <w:p>
            <w:pPr>
              <w:spacing w:after="20"/>
              <w:jc w:val="right"/>
            </w:pPr>
            <w:r>
              <w:rPr>
                <w:color w:val="1C3A36"/>
                <w:sz w:val="16"/>
              </w:rPr>
              <w:t>2026-07-30</w:t>
            </w:r>
          </w:p>
        </w:tc>
        <w:tc>
          <w:tcPr>
            <w:tcW w:type="dxa" w:w="5472"/>
          </w:tcPr>
          <w:p>
            <w:pPr>
              <w:spacing w:after="20"/>
              <w:jc w:val="right"/>
            </w:pPr>
            <w:r>
              <w:rPr>
                <w:color w:val="1C3A36"/>
                <w:sz w:val="16"/>
              </w:rPr>
              <w:t>1H-2026 earnings press release guidance — cash capital expenditure excluding mergers and acquisitions of $0.6-0.8 billion</w:t>
            </w:r>
          </w:p>
        </w:tc>
      </w:tr>
      <w:tr>
        <w:tc>
          <w:tcPr>
            <w:tcW w:type="dxa" w:w="2088"/>
          </w:tcPr>
          <w:p>
            <w:pPr>
              <w:spacing w:after="20"/>
            </w:pPr>
            <w:r>
              <w:rPr>
                <w:color w:val="1C3A36"/>
                <w:sz w:val="16"/>
              </w:rPr>
              <w:t>g26 capex lo</w:t>
            </w:r>
          </w:p>
        </w:tc>
        <w:tc>
          <w:tcPr>
            <w:tcW w:type="dxa" w:w="1296"/>
          </w:tcPr>
          <w:p>
            <w:pPr>
              <w:spacing w:after="20"/>
              <w:jc w:val="right"/>
            </w:pPr>
            <w:r>
              <w:rPr>
                <w:color w:val="1C3A36"/>
                <w:sz w:val="16"/>
              </w:rPr>
              <w:t>600,000.0</w:t>
            </w:r>
          </w:p>
        </w:tc>
        <w:tc>
          <w:tcPr>
            <w:tcW w:type="dxa" w:w="1224"/>
          </w:tcPr>
          <w:p>
            <w:pPr>
              <w:spacing w:after="20"/>
              <w:jc w:val="right"/>
            </w:pPr>
            <w:r>
              <w:rPr>
                <w:color w:val="1C3A36"/>
                <w:sz w:val="16"/>
              </w:rPr>
              <w:t>2026-07-30</w:t>
            </w:r>
          </w:p>
        </w:tc>
        <w:tc>
          <w:tcPr>
            <w:tcW w:type="dxa" w:w="5472"/>
          </w:tcPr>
          <w:p>
            <w:pPr>
              <w:spacing w:after="20"/>
              <w:jc w:val="right"/>
            </w:pPr>
            <w:r>
              <w:rPr>
                <w:color w:val="1C3A36"/>
                <w:sz w:val="16"/>
              </w:rPr>
              <w:t>1H-2026 earnings press release guidance — cash capital expenditure excluding mergers and acquisitions of $0.6-0.8 billion</w:t>
            </w:r>
          </w:p>
        </w:tc>
      </w:tr>
      <w:tr>
        <w:tc>
          <w:tcPr>
            <w:tcW w:type="dxa" w:w="2088"/>
          </w:tcPr>
          <w:p>
            <w:pPr>
              <w:spacing w:after="20"/>
            </w:pPr>
            <w:r>
              <w:rPr>
                <w:color w:val="1C3A36"/>
                <w:sz w:val="16"/>
              </w:rPr>
              <w:t>g26 dividend</w:t>
            </w:r>
          </w:p>
        </w:tc>
        <w:tc>
          <w:tcPr>
            <w:tcW w:type="dxa" w:w="1296"/>
          </w:tcPr>
          <w:p>
            <w:pPr>
              <w:spacing w:after="20"/>
              <w:jc w:val="right"/>
            </w:pPr>
            <w:r>
              <w:rPr>
                <w:color w:val="1C3A36"/>
                <w:sz w:val="16"/>
              </w:rPr>
              <w:t>1,050,000.0</w:t>
            </w:r>
          </w:p>
        </w:tc>
        <w:tc>
          <w:tcPr>
            <w:tcW w:type="dxa" w:w="1224"/>
          </w:tcPr>
          <w:p>
            <w:pPr>
              <w:spacing w:after="20"/>
              <w:jc w:val="right"/>
            </w:pPr>
            <w:r>
              <w:rPr>
                <w:color w:val="1C3A36"/>
                <w:sz w:val="16"/>
              </w:rPr>
              <w:t>2026-07-30</w:t>
            </w:r>
          </w:p>
        </w:tc>
        <w:tc>
          <w:tcPr>
            <w:tcW w:type="dxa" w:w="5472"/>
          </w:tcPr>
          <w:p>
            <w:pPr>
              <w:spacing w:after="20"/>
              <w:jc w:val="right"/>
            </w:pPr>
            <w:r>
              <w:rPr>
                <w:color w:val="1C3A36"/>
                <w:sz w:val="16"/>
              </w:rPr>
              <w:t>1H-2026 earnings press release guidance — dividend floor of $1.05 billion, up 5% year on year</w:t>
            </w:r>
          </w:p>
        </w:tc>
      </w:tr>
      <w:tr>
        <w:tc>
          <w:tcPr>
            <w:tcW w:type="dxa" w:w="2088"/>
          </w:tcPr>
          <w:p>
            <w:pPr>
              <w:spacing w:after="20"/>
            </w:pPr>
            <w:r>
              <w:rPr>
                <w:color w:val="1C3A36"/>
                <w:sz w:val="16"/>
              </w:rPr>
              <w:t>g26 ebitda hi</w:t>
            </w:r>
          </w:p>
        </w:tc>
        <w:tc>
          <w:tcPr>
            <w:tcW w:type="dxa" w:w="1296"/>
          </w:tcPr>
          <w:p>
            <w:pPr>
              <w:spacing w:after="20"/>
              <w:jc w:val="right"/>
            </w:pPr>
            <w:r>
              <w:rPr>
                <w:color w:val="1C3A36"/>
                <w:sz w:val="16"/>
              </w:rPr>
              <w:t>2,300,000.0</w:t>
            </w:r>
          </w:p>
        </w:tc>
        <w:tc>
          <w:tcPr>
            <w:tcW w:type="dxa" w:w="1224"/>
          </w:tcPr>
          <w:p>
            <w:pPr>
              <w:spacing w:after="20"/>
              <w:jc w:val="right"/>
            </w:pPr>
            <w:r>
              <w:rPr>
                <w:color w:val="1C3A36"/>
                <w:sz w:val="16"/>
              </w:rPr>
              <w:t>2026-07-30</w:t>
            </w:r>
          </w:p>
        </w:tc>
        <w:tc>
          <w:tcPr>
            <w:tcW w:type="dxa" w:w="5472"/>
          </w:tcPr>
          <w:p>
            <w:pPr>
              <w:spacing w:after="20"/>
              <w:jc w:val="right"/>
            </w:pPr>
            <w:r>
              <w:rPr>
                <w:color w:val="1C3A36"/>
                <w:sz w:val="16"/>
              </w:rPr>
              <w:t>1H-2026 earnings press release guidance — EBITDA of $2.2-2.3 billion</w:t>
            </w:r>
          </w:p>
        </w:tc>
      </w:tr>
      <w:tr>
        <w:tc>
          <w:tcPr>
            <w:tcW w:type="dxa" w:w="2088"/>
          </w:tcPr>
          <w:p>
            <w:pPr>
              <w:spacing w:after="20"/>
            </w:pPr>
            <w:r>
              <w:rPr>
                <w:color w:val="1C3A36"/>
                <w:sz w:val="16"/>
              </w:rPr>
              <w:t>g26 ebitda lo</w:t>
            </w:r>
          </w:p>
        </w:tc>
        <w:tc>
          <w:tcPr>
            <w:tcW w:type="dxa" w:w="1296"/>
          </w:tcPr>
          <w:p>
            <w:pPr>
              <w:spacing w:after="20"/>
              <w:jc w:val="right"/>
            </w:pPr>
            <w:r>
              <w:rPr>
                <w:color w:val="1C3A36"/>
                <w:sz w:val="16"/>
              </w:rPr>
              <w:t>2,200,000.0</w:t>
            </w:r>
          </w:p>
        </w:tc>
        <w:tc>
          <w:tcPr>
            <w:tcW w:type="dxa" w:w="1224"/>
          </w:tcPr>
          <w:p>
            <w:pPr>
              <w:spacing w:after="20"/>
              <w:jc w:val="right"/>
            </w:pPr>
            <w:r>
              <w:rPr>
                <w:color w:val="1C3A36"/>
                <w:sz w:val="16"/>
              </w:rPr>
              <w:t>2026-07-30</w:t>
            </w:r>
          </w:p>
        </w:tc>
        <w:tc>
          <w:tcPr>
            <w:tcW w:type="dxa" w:w="5472"/>
          </w:tcPr>
          <w:p>
            <w:pPr>
              <w:spacing w:after="20"/>
              <w:jc w:val="right"/>
            </w:pPr>
            <w:r>
              <w:rPr>
                <w:color w:val="1C3A36"/>
                <w:sz w:val="16"/>
              </w:rPr>
              <w:t>1H-2026 earnings press release guidance — EBITDA of $2.2-2.3 billion</w:t>
            </w:r>
          </w:p>
        </w:tc>
      </w:tr>
      <w:tr>
        <w:tc>
          <w:tcPr>
            <w:tcW w:type="dxa" w:w="2088"/>
          </w:tcPr>
          <w:p>
            <w:pPr>
              <w:spacing w:after="20"/>
            </w:pPr>
            <w:r>
              <w:rPr>
                <w:color w:val="1C3A36"/>
                <w:sz w:val="16"/>
              </w:rPr>
              <w:t>g26 rev offshore</w:t>
            </w:r>
          </w:p>
        </w:tc>
        <w:tc>
          <w:tcPr>
            <w:tcW w:type="dxa" w:w="1296"/>
          </w:tcPr>
          <w:p>
            <w:pPr>
              <w:spacing w:after="20"/>
              <w:jc w:val="right"/>
            </w:pPr>
            <w:r>
              <w:rPr>
                <w:color w:val="1C3A36"/>
                <w:sz w:val="16"/>
              </w:rPr>
              <w:t>1,500,000.0</w:t>
            </w:r>
          </w:p>
        </w:tc>
        <w:tc>
          <w:tcPr>
            <w:tcW w:type="dxa" w:w="1224"/>
          </w:tcPr>
          <w:p>
            <w:pPr>
              <w:spacing w:after="20"/>
              <w:jc w:val="right"/>
            </w:pPr>
            <w:r>
              <w:rPr>
                <w:color w:val="1C3A36"/>
                <w:sz w:val="16"/>
              </w:rPr>
              <w:t>2026-07-30</w:t>
            </w:r>
          </w:p>
        </w:tc>
        <w:tc>
          <w:tcPr>
            <w:tcW w:type="dxa" w:w="5472"/>
          </w:tcPr>
          <w:p>
            <w:pPr>
              <w:spacing w:after="20"/>
              <w:jc w:val="right"/>
            </w:pPr>
            <w:r>
              <w:rPr>
                <w:color w:val="1C3A36"/>
                <w:sz w:val="16"/>
              </w:rPr>
              <w:t>1H-2026 earnings press release guidance — Offshore revenue of approximately $1.5 billion</w:t>
            </w:r>
          </w:p>
        </w:tc>
      </w:tr>
      <w:tr>
        <w:tc>
          <w:tcPr>
            <w:tcW w:type="dxa" w:w="2088"/>
          </w:tcPr>
          <w:p>
            <w:pPr>
              <w:spacing w:after="20"/>
            </w:pPr>
            <w:r>
              <w:rPr>
                <w:color w:val="1C3A36"/>
                <w:sz w:val="16"/>
              </w:rPr>
              <w:t>g26 rev ofs</w:t>
            </w:r>
          </w:p>
        </w:tc>
        <w:tc>
          <w:tcPr>
            <w:tcW w:type="dxa" w:w="1296"/>
          </w:tcPr>
          <w:p>
            <w:pPr>
              <w:spacing w:after="20"/>
              <w:jc w:val="right"/>
            </w:pPr>
            <w:r>
              <w:rPr>
                <w:color w:val="1C3A36"/>
                <w:sz w:val="16"/>
              </w:rPr>
              <w:t>1,500,000.0</w:t>
            </w:r>
          </w:p>
        </w:tc>
        <w:tc>
          <w:tcPr>
            <w:tcW w:type="dxa" w:w="1224"/>
          </w:tcPr>
          <w:p>
            <w:pPr>
              <w:spacing w:after="20"/>
              <w:jc w:val="right"/>
            </w:pPr>
            <w:r>
              <w:rPr>
                <w:color w:val="1C3A36"/>
                <w:sz w:val="16"/>
              </w:rPr>
              <w:t>2026-07-30</w:t>
            </w:r>
          </w:p>
        </w:tc>
        <w:tc>
          <w:tcPr>
            <w:tcW w:type="dxa" w:w="5472"/>
          </w:tcPr>
          <w:p>
            <w:pPr>
              <w:spacing w:after="20"/>
              <w:jc w:val="right"/>
            </w:pPr>
            <w:r>
              <w:rPr>
                <w:color w:val="1C3A36"/>
                <w:sz w:val="16"/>
              </w:rPr>
              <w:t>1H-2026 earnings press release guidance — Oilfield Services revenue of approximately $1.5 billion</w:t>
            </w:r>
          </w:p>
        </w:tc>
      </w:tr>
      <w:tr>
        <w:tc>
          <w:tcPr>
            <w:tcW w:type="dxa" w:w="2088"/>
          </w:tcPr>
          <w:p>
            <w:pPr>
              <w:spacing w:after="20"/>
            </w:pPr>
            <w:r>
              <w:rPr>
                <w:color w:val="1C3A36"/>
                <w:sz w:val="16"/>
              </w:rPr>
              <w:t>g26 rev onshore</w:t>
            </w:r>
          </w:p>
        </w:tc>
        <w:tc>
          <w:tcPr>
            <w:tcW w:type="dxa" w:w="1296"/>
          </w:tcPr>
          <w:p>
            <w:pPr>
              <w:spacing w:after="20"/>
              <w:jc w:val="right"/>
            </w:pPr>
            <w:r>
              <w:rPr>
                <w:color w:val="1C3A36"/>
                <w:sz w:val="16"/>
              </w:rPr>
              <w:t>2,000,000.0</w:t>
            </w:r>
          </w:p>
        </w:tc>
        <w:tc>
          <w:tcPr>
            <w:tcW w:type="dxa" w:w="1224"/>
          </w:tcPr>
          <w:p>
            <w:pPr>
              <w:spacing w:after="20"/>
              <w:jc w:val="right"/>
            </w:pPr>
            <w:r>
              <w:rPr>
                <w:color w:val="1C3A36"/>
                <w:sz w:val="16"/>
              </w:rPr>
              <w:t>2026-07-30</w:t>
            </w:r>
          </w:p>
        </w:tc>
        <w:tc>
          <w:tcPr>
            <w:tcW w:type="dxa" w:w="5472"/>
          </w:tcPr>
          <w:p>
            <w:pPr>
              <w:spacing w:after="20"/>
              <w:jc w:val="right"/>
            </w:pPr>
            <w:r>
              <w:rPr>
                <w:color w:val="1C3A36"/>
                <w:sz w:val="16"/>
              </w:rPr>
              <w:t>1H-2026 earnings press release guidance — Onshore revenue of approximately $2 billion</w:t>
            </w:r>
          </w:p>
        </w:tc>
      </w:tr>
      <w:tr>
        <w:tc>
          <w:tcPr>
            <w:tcW w:type="dxa" w:w="2088"/>
          </w:tcPr>
          <w:p>
            <w:pPr>
              <w:spacing w:after="20"/>
            </w:pPr>
            <w:r>
              <w:rPr>
                <w:color w:val="1C3A36"/>
                <w:sz w:val="16"/>
              </w:rPr>
              <w:t>g26 revenue</w:t>
            </w:r>
          </w:p>
        </w:tc>
        <w:tc>
          <w:tcPr>
            <w:tcW w:type="dxa" w:w="1296"/>
          </w:tcPr>
          <w:p>
            <w:pPr>
              <w:spacing w:after="20"/>
              <w:jc w:val="right"/>
            </w:pPr>
            <w:r>
              <w:rPr>
                <w:color w:val="1C3A36"/>
                <w:sz w:val="16"/>
              </w:rPr>
              <w:t>5,000,000.0</w:t>
            </w:r>
          </w:p>
        </w:tc>
        <w:tc>
          <w:tcPr>
            <w:tcW w:type="dxa" w:w="1224"/>
          </w:tcPr>
          <w:p>
            <w:pPr>
              <w:spacing w:after="20"/>
              <w:jc w:val="right"/>
            </w:pPr>
            <w:r>
              <w:rPr>
                <w:color w:val="1C3A36"/>
                <w:sz w:val="16"/>
              </w:rPr>
              <w:t>2026-07-30</w:t>
            </w:r>
          </w:p>
        </w:tc>
        <w:tc>
          <w:tcPr>
            <w:tcW w:type="dxa" w:w="5472"/>
          </w:tcPr>
          <w:p>
            <w:pPr>
              <w:spacing w:after="20"/>
              <w:jc w:val="right"/>
            </w:pPr>
            <w:r>
              <w:rPr>
                <w:color w:val="1C3A36"/>
                <w:sz w:val="16"/>
              </w:rPr>
              <w:t>1H-2026 earnings press release full-year 2026 guidance — revenue of approximately $5 billion, reaffirmed at the 1H-2026 results</w:t>
            </w:r>
          </w:p>
        </w:tc>
      </w:tr>
      <w:tr>
        <w:tc>
          <w:tcPr>
            <w:tcW w:type="dxa" w:w="2088"/>
          </w:tcPr>
          <w:p>
            <w:pPr>
              <w:spacing w:after="20"/>
            </w:pPr>
            <w:r>
              <w:rPr>
                <w:color w:val="1C3A36"/>
                <w:sz w:val="16"/>
              </w:rPr>
              <w:t>g conv margin mt</w:t>
            </w:r>
          </w:p>
        </w:tc>
        <w:tc>
          <w:tcPr>
            <w:tcW w:type="dxa" w:w="1296"/>
          </w:tcPr>
          <w:p>
            <w:pPr>
              <w:spacing w:after="20"/>
              <w:jc w:val="right"/>
            </w:pPr>
            <w:r>
              <w:rPr>
                <w:color w:val="1C3A36"/>
                <w:sz w:val="16"/>
              </w:rPr>
              <w:t>0.5000</w:t>
            </w:r>
          </w:p>
        </w:tc>
        <w:tc>
          <w:tcPr>
            <w:tcW w:type="dxa" w:w="1224"/>
          </w:tcPr>
          <w:p>
            <w:pPr>
              <w:spacing w:after="20"/>
              <w:jc w:val="right"/>
            </w:pPr>
            <w:r>
              <w:rPr>
                <w:color w:val="1C3A36"/>
                <w:sz w:val="16"/>
              </w:rPr>
              <w:t>2026-07-30</w:t>
            </w:r>
          </w:p>
        </w:tc>
        <w:tc>
          <w:tcPr>
            <w:tcW w:type="dxa" w:w="5472"/>
          </w:tcPr>
          <w:p>
            <w:pPr>
              <w:spacing w:after="20"/>
              <w:jc w:val="right"/>
            </w:pPr>
            <w:r>
              <w:rPr>
                <w:color w:val="1C3A36"/>
                <w:sz w:val="16"/>
              </w:rPr>
              <w:t>1H-2026 earnings press release: 'management is focused on preserving a healthy EBITDA margin of circa 50% in the domestic conventional drilling business'</w:t>
            </w:r>
          </w:p>
        </w:tc>
      </w:tr>
      <w:tr>
        <w:tc>
          <w:tcPr>
            <w:tcW w:type="dxa" w:w="2088"/>
          </w:tcPr>
          <w:p>
            <w:pPr>
              <w:spacing w:after="20"/>
            </w:pPr>
            <w:r>
              <w:rPr>
                <w:color w:val="1C3A36"/>
                <w:sz w:val="16"/>
              </w:rPr>
              <w:t>g maint capex</w:t>
            </w:r>
          </w:p>
        </w:tc>
        <w:tc>
          <w:tcPr>
            <w:tcW w:type="dxa" w:w="1296"/>
          </w:tcPr>
          <w:p>
            <w:pPr>
              <w:spacing w:after="20"/>
              <w:jc w:val="right"/>
            </w:pPr>
            <w:r>
              <w:rPr>
                <w:color w:val="1C3A36"/>
                <w:sz w:val="16"/>
              </w:rPr>
              <w:t>250,000.0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FY2025 management discussion and analysis: 'Maintenance CapEx is expected at around $250 million per annum'</w:t>
            </w:r>
          </w:p>
        </w:tc>
      </w:tr>
      <w:tr>
        <w:tc>
          <w:tcPr>
            <w:tcW w:type="dxa" w:w="2088"/>
          </w:tcPr>
          <w:p>
            <w:pPr>
              <w:spacing w:after="20"/>
            </w:pPr>
            <w:r>
              <w:rPr>
                <w:color w:val="1C3A36"/>
                <w:sz w:val="16"/>
              </w:rPr>
              <w:t>g ofs margin mt hi</w:t>
            </w:r>
          </w:p>
        </w:tc>
        <w:tc>
          <w:tcPr>
            <w:tcW w:type="dxa" w:w="1296"/>
          </w:tcPr>
          <w:p>
            <w:pPr>
              <w:spacing w:after="20"/>
              <w:jc w:val="right"/>
            </w:pPr>
            <w:r>
              <w:rPr>
                <w:color w:val="1C3A36"/>
                <w:sz w:val="16"/>
              </w:rPr>
              <w:t>0.2600</w:t>
            </w:r>
          </w:p>
        </w:tc>
        <w:tc>
          <w:tcPr>
            <w:tcW w:type="dxa" w:w="1224"/>
          </w:tcPr>
          <w:p>
            <w:pPr>
              <w:spacing w:after="20"/>
              <w:jc w:val="right"/>
            </w:pPr>
            <w:r>
              <w:rPr>
                <w:color w:val="1C3A36"/>
                <w:sz w:val="16"/>
              </w:rPr>
              <w:t>2026-07-30</w:t>
            </w:r>
          </w:p>
        </w:tc>
        <w:tc>
          <w:tcPr>
            <w:tcW w:type="dxa" w:w="5472"/>
          </w:tcPr>
          <w:p>
            <w:pPr>
              <w:spacing w:after="20"/>
              <w:jc w:val="right"/>
            </w:pPr>
            <w:r>
              <w:rPr>
                <w:color w:val="1C3A36"/>
                <w:sz w:val="16"/>
              </w:rPr>
              <w:t>1H-2026 earnings press release medium-term guidance — conventional Oilfield Services EBITDA margin of 23-26%</w:t>
            </w:r>
          </w:p>
        </w:tc>
      </w:tr>
      <w:tr>
        <w:tc>
          <w:tcPr>
            <w:tcW w:type="dxa" w:w="2088"/>
          </w:tcPr>
          <w:p>
            <w:pPr>
              <w:spacing w:after="20"/>
            </w:pPr>
            <w:r>
              <w:rPr>
                <w:color w:val="1C3A36"/>
                <w:sz w:val="16"/>
              </w:rPr>
              <w:t>g ofs margin mt lo</w:t>
            </w:r>
          </w:p>
        </w:tc>
        <w:tc>
          <w:tcPr>
            <w:tcW w:type="dxa" w:w="1296"/>
          </w:tcPr>
          <w:p>
            <w:pPr>
              <w:spacing w:after="20"/>
              <w:jc w:val="right"/>
            </w:pPr>
            <w:r>
              <w:rPr>
                <w:color w:val="1C3A36"/>
                <w:sz w:val="16"/>
              </w:rPr>
              <w:t>0.2300</w:t>
            </w:r>
          </w:p>
        </w:tc>
        <w:tc>
          <w:tcPr>
            <w:tcW w:type="dxa" w:w="1224"/>
          </w:tcPr>
          <w:p>
            <w:pPr>
              <w:spacing w:after="20"/>
              <w:jc w:val="right"/>
            </w:pPr>
            <w:r>
              <w:rPr>
                <w:color w:val="1C3A36"/>
                <w:sz w:val="16"/>
              </w:rPr>
              <w:t>2026-07-30</w:t>
            </w:r>
          </w:p>
        </w:tc>
        <w:tc>
          <w:tcPr>
            <w:tcW w:type="dxa" w:w="5472"/>
          </w:tcPr>
          <w:p>
            <w:pPr>
              <w:spacing w:after="20"/>
              <w:jc w:val="right"/>
            </w:pPr>
            <w:r>
              <w:rPr>
                <w:color w:val="1C3A36"/>
                <w:sz w:val="16"/>
              </w:rPr>
              <w:t>1H-2026 earnings press release medium-term guidance — conventional Oilfield Services EBITDA margin of 23-26%</w:t>
            </w:r>
          </w:p>
        </w:tc>
      </w:tr>
      <w:tr>
        <w:tc>
          <w:tcPr>
            <w:tcW w:type="dxa" w:w="2088"/>
          </w:tcPr>
          <w:p>
            <w:pPr>
              <w:spacing w:after="20"/>
            </w:pPr>
            <w:r>
              <w:rPr>
                <w:color w:val="1C3A36"/>
                <w:sz w:val="16"/>
              </w:rPr>
              <w:t>ids 2q26</w:t>
            </w:r>
          </w:p>
        </w:tc>
        <w:tc>
          <w:tcPr>
            <w:tcW w:type="dxa" w:w="1296"/>
          </w:tcPr>
          <w:p>
            <w:pPr>
              <w:spacing w:after="20"/>
              <w:jc w:val="right"/>
            </w:pPr>
            <w:r>
              <w:rPr>
                <w:color w:val="1C3A36"/>
                <w:sz w:val="16"/>
              </w:rPr>
              <w:t>61.000</w:t>
            </w:r>
          </w:p>
        </w:tc>
        <w:tc>
          <w:tcPr>
            <w:tcW w:type="dxa" w:w="1224"/>
          </w:tcPr>
          <w:p>
            <w:pPr>
              <w:spacing w:after="20"/>
              <w:jc w:val="right"/>
            </w:pPr>
            <w:r>
              <w:rPr>
                <w:color w:val="1C3A36"/>
                <w:sz w:val="16"/>
              </w:rPr>
              <w:t>2026-07-30</w:t>
            </w:r>
          </w:p>
        </w:tc>
        <w:tc>
          <w:tcPr>
            <w:tcW w:type="dxa" w:w="5472"/>
          </w:tcPr>
          <w:p>
            <w:pPr>
              <w:spacing w:after="20"/>
              <w:jc w:val="right"/>
            </w:pPr>
            <w:r>
              <w:rPr>
                <w:color w:val="1C3A36"/>
                <w:sz w:val="16"/>
              </w:rPr>
              <w:t>1H-2026 management discussion and analysis — integrated-drilling-services rigs at 30 June 2026</w:t>
            </w:r>
          </w:p>
        </w:tc>
      </w:tr>
      <w:tr>
        <w:tc>
          <w:tcPr>
            <w:tcW w:type="dxa" w:w="2088"/>
          </w:tcPr>
          <w:p>
            <w:pPr>
              <w:spacing w:after="20"/>
            </w:pPr>
            <w:r>
              <w:rPr>
                <w:color w:val="1C3A36"/>
                <w:sz w:val="16"/>
              </w:rPr>
              <w:t>ids fy23</w:t>
            </w:r>
          </w:p>
        </w:tc>
        <w:tc>
          <w:tcPr>
            <w:tcW w:type="dxa" w:w="1296"/>
          </w:tcPr>
          <w:p>
            <w:pPr>
              <w:spacing w:after="20"/>
              <w:jc w:val="right"/>
            </w:pPr>
            <w:r>
              <w:rPr>
                <w:color w:val="1C3A36"/>
                <w:sz w:val="16"/>
              </w:rPr>
              <w:t>48.000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FY2023 MD&amp;A — integrated-drilling-services rigs at year end (2022: 40)</w:t>
            </w:r>
          </w:p>
        </w:tc>
      </w:tr>
      <w:tr>
        <w:tc>
          <w:tcPr>
            <w:tcW w:type="dxa" w:w="2088"/>
          </w:tcPr>
          <w:p>
            <w:pPr>
              <w:spacing w:after="20"/>
            </w:pPr>
            <w:r>
              <w:rPr>
                <w:color w:val="1C3A36"/>
                <w:sz w:val="16"/>
              </w:rPr>
              <w:t>ids fy24</w:t>
            </w:r>
          </w:p>
        </w:tc>
        <w:tc>
          <w:tcPr>
            <w:tcW w:type="dxa" w:w="1296"/>
          </w:tcPr>
          <w:p>
            <w:pPr>
              <w:spacing w:after="20"/>
              <w:jc w:val="right"/>
            </w:pPr>
            <w:r>
              <w:rPr>
                <w:color w:val="1C3A36"/>
                <w:sz w:val="16"/>
              </w:rPr>
              <w:t>57.000</w:t>
            </w:r>
          </w:p>
        </w:tc>
        <w:tc>
          <w:tcPr>
            <w:tcW w:type="dxa" w:w="1224"/>
          </w:tcPr>
          <w:p>
            <w:pPr>
              <w:spacing w:after="20"/>
              <w:jc w:val="right"/>
            </w:pPr>
            <w:r>
              <w:rPr>
                <w:color w:val="1C3A36"/>
                <w:sz w:val="16"/>
              </w:rPr>
              <w:t>2025-02-11</w:t>
            </w:r>
          </w:p>
        </w:tc>
        <w:tc>
          <w:tcPr>
            <w:tcW w:type="dxa" w:w="5472"/>
          </w:tcPr>
          <w:p>
            <w:pPr>
              <w:spacing w:after="20"/>
              <w:jc w:val="right"/>
            </w:pPr>
            <w:r>
              <w:rPr>
                <w:color w:val="1C3A36"/>
                <w:sz w:val="16"/>
              </w:rPr>
              <w:t>FY2024 MD&amp;A — integrated-drilling-services rigs at year end</w:t>
            </w:r>
          </w:p>
        </w:tc>
      </w:tr>
      <w:tr>
        <w:tc>
          <w:tcPr>
            <w:tcW w:type="dxa" w:w="2088"/>
          </w:tcPr>
          <w:p>
            <w:pPr>
              <w:spacing w:after="20"/>
            </w:pPr>
            <w:r>
              <w:rPr>
                <w:color w:val="1C3A36"/>
                <w:sz w:val="16"/>
              </w:rPr>
              <w:t>ids fy25</w:t>
            </w:r>
          </w:p>
        </w:tc>
        <w:tc>
          <w:tcPr>
            <w:tcW w:type="dxa" w:w="1296"/>
          </w:tcPr>
          <w:p>
            <w:pPr>
              <w:spacing w:after="20"/>
              <w:jc w:val="right"/>
            </w:pPr>
            <w:r>
              <w:rPr>
                <w:color w:val="1C3A36"/>
                <w:sz w:val="16"/>
              </w:rPr>
              <w:t>60.000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FY2025 management discussion and analysis — integrated-drilling-services rigs at year end</w:t>
            </w:r>
          </w:p>
        </w:tc>
      </w:tr>
      <w:tr>
        <w:tc>
          <w:tcPr>
            <w:tcW w:type="dxa" w:w="2088"/>
          </w:tcPr>
          <w:p>
            <w:pPr>
              <w:spacing w:after="20"/>
            </w:pPr>
            <w:r>
              <w:rPr>
                <w:color w:val="1C3A36"/>
                <w:sz w:val="16"/>
              </w:rPr>
              <w:t>ids target fy26</w:t>
            </w:r>
          </w:p>
        </w:tc>
        <w:tc>
          <w:tcPr>
            <w:tcW w:type="dxa" w:w="1296"/>
          </w:tcPr>
          <w:p>
            <w:pPr>
              <w:spacing w:after="20"/>
              <w:jc w:val="right"/>
            </w:pPr>
            <w:r>
              <w:rPr>
                <w:color w:val="1C3A36"/>
                <w:sz w:val="16"/>
              </w:rPr>
              <w:t>70.000</w:t>
            </w:r>
          </w:p>
        </w:tc>
        <w:tc>
          <w:tcPr>
            <w:tcW w:type="dxa" w:w="1224"/>
          </w:tcPr>
          <w:p>
            <w:pPr>
              <w:spacing w:after="20"/>
              <w:jc w:val="right"/>
            </w:pPr>
            <w:r>
              <w:rPr>
                <w:color w:val="1C3A36"/>
                <w:sz w:val="16"/>
              </w:rPr>
              <w:t>2026-07-30</w:t>
            </w:r>
          </w:p>
        </w:tc>
        <w:tc>
          <w:tcPr>
            <w:tcW w:type="dxa" w:w="5472"/>
          </w:tcPr>
          <w:p>
            <w:pPr>
              <w:spacing w:after="20"/>
              <w:jc w:val="right"/>
            </w:pPr>
            <w:r>
              <w:rPr>
                <w:color w:val="1C3A36"/>
                <w:sz w:val="16"/>
              </w:rPr>
              <w:t>1H-2026 earnings press release: 'ADNOC Drilling targets to deploy approximately 70 IDS rigs by the end of 2026'</w:t>
            </w:r>
          </w:p>
        </w:tc>
      </w:tr>
      <w:tr>
        <w:tc>
          <w:tcPr>
            <w:tcW w:type="dxa" w:w="2088"/>
          </w:tcPr>
          <w:p>
            <w:pPr>
              <w:spacing w:after="20"/>
            </w:pPr>
            <w:r>
              <w:rPr>
                <w:color w:val="1C3A36"/>
                <w:sz w:val="16"/>
              </w:rPr>
              <w:t>island rigs ordered</w:t>
            </w:r>
          </w:p>
        </w:tc>
        <w:tc>
          <w:tcPr>
            <w:tcW w:type="dxa" w:w="1296"/>
          </w:tcPr>
          <w:p>
            <w:pPr>
              <w:spacing w:after="20"/>
              <w:jc w:val="right"/>
            </w:pPr>
            <w:r>
              <w:rPr>
                <w:color w:val="1C3A36"/>
                <w:sz w:val="16"/>
              </w:rPr>
              <w:t>6.000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FY2025 management discussion and analysis: 'the Company has ordered an additional six new island rigs that are expected to join the fleet gradually between 2026 and 2028'</w:t>
            </w:r>
          </w:p>
        </w:tc>
      </w:tr>
      <w:tr>
        <w:tc>
          <w:tcPr>
            <w:tcW w:type="dxa" w:w="2088"/>
          </w:tcPr>
          <w:p>
            <w:pPr>
              <w:spacing w:after="20"/>
            </w:pPr>
            <w:r>
              <w:rPr>
                <w:color w:val="1C3A36"/>
                <w:sz w:val="16"/>
              </w:rPr>
              <w:t>rigs island fy22</w:t>
            </w:r>
          </w:p>
        </w:tc>
        <w:tc>
          <w:tcPr>
            <w:tcW w:type="dxa" w:w="1296"/>
          </w:tcPr>
          <w:p>
            <w:pPr>
              <w:spacing w:after="20"/>
              <w:jc w:val="right"/>
            </w:pPr>
            <w:r>
              <w:rPr>
                <w:color w:val="1C3A36"/>
                <w:sz w:val="16"/>
              </w:rPr>
              <w:t>10.000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FY2023 MD&amp;A, FY22 comparative — offshore island rigs</w:t>
            </w:r>
          </w:p>
        </w:tc>
      </w:tr>
      <w:tr>
        <w:tc>
          <w:tcPr>
            <w:tcW w:type="dxa" w:w="2088"/>
          </w:tcPr>
          <w:p>
            <w:pPr>
              <w:spacing w:after="20"/>
            </w:pPr>
            <w:r>
              <w:rPr>
                <w:color w:val="1C3A36"/>
                <w:sz w:val="16"/>
              </w:rPr>
              <w:t>rigs island fy23</w:t>
            </w:r>
          </w:p>
        </w:tc>
        <w:tc>
          <w:tcPr>
            <w:tcW w:type="dxa" w:w="1296"/>
          </w:tcPr>
          <w:p>
            <w:pPr>
              <w:spacing w:after="20"/>
              <w:jc w:val="right"/>
            </w:pPr>
            <w:r>
              <w:rPr>
                <w:color w:val="1C3A36"/>
                <w:sz w:val="16"/>
              </w:rPr>
              <w:t>10.000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FY2023 MD&amp;A — offshore island rigs at year end</w:t>
            </w:r>
          </w:p>
        </w:tc>
      </w:tr>
      <w:tr>
        <w:tc>
          <w:tcPr>
            <w:tcW w:type="dxa" w:w="2088"/>
          </w:tcPr>
          <w:p>
            <w:pPr>
              <w:spacing w:after="20"/>
            </w:pPr>
            <w:r>
              <w:rPr>
                <w:color w:val="1C3A36"/>
                <w:sz w:val="16"/>
              </w:rPr>
              <w:t>rigs island fy24</w:t>
            </w:r>
          </w:p>
        </w:tc>
        <w:tc>
          <w:tcPr>
            <w:tcW w:type="dxa" w:w="1296"/>
          </w:tcPr>
          <w:p>
            <w:pPr>
              <w:spacing w:after="20"/>
              <w:jc w:val="right"/>
            </w:pPr>
            <w:r>
              <w:rPr>
                <w:color w:val="1C3A36"/>
                <w:sz w:val="16"/>
              </w:rPr>
              <w:t>10.000</w:t>
            </w:r>
          </w:p>
        </w:tc>
        <w:tc>
          <w:tcPr>
            <w:tcW w:type="dxa" w:w="1224"/>
          </w:tcPr>
          <w:p>
            <w:pPr>
              <w:spacing w:after="20"/>
              <w:jc w:val="right"/>
            </w:pPr>
            <w:r>
              <w:rPr>
                <w:color w:val="1C3A36"/>
                <w:sz w:val="16"/>
              </w:rPr>
              <w:t>2025-02-11</w:t>
            </w:r>
          </w:p>
        </w:tc>
        <w:tc>
          <w:tcPr>
            <w:tcW w:type="dxa" w:w="5472"/>
          </w:tcPr>
          <w:p>
            <w:pPr>
              <w:spacing w:after="20"/>
              <w:jc w:val="right"/>
            </w:pPr>
            <w:r>
              <w:rPr>
                <w:color w:val="1C3A36"/>
                <w:sz w:val="16"/>
              </w:rPr>
              <w:t>FY2024 MD&amp;A — offshore island rigs at year end</w:t>
            </w:r>
          </w:p>
        </w:tc>
      </w:tr>
      <w:tr>
        <w:tc>
          <w:tcPr>
            <w:tcW w:type="dxa" w:w="2088"/>
          </w:tcPr>
          <w:p>
            <w:pPr>
              <w:spacing w:after="20"/>
            </w:pPr>
            <w:r>
              <w:rPr>
                <w:color w:val="1C3A36"/>
                <w:sz w:val="16"/>
              </w:rPr>
              <w:t>rigs island fy25</w:t>
            </w:r>
          </w:p>
        </w:tc>
        <w:tc>
          <w:tcPr>
            <w:tcW w:type="dxa" w:w="1296"/>
          </w:tcPr>
          <w:p>
            <w:pPr>
              <w:spacing w:after="20"/>
              <w:jc w:val="right"/>
            </w:pPr>
            <w:r>
              <w:rPr>
                <w:color w:val="1C3A36"/>
                <w:sz w:val="16"/>
              </w:rPr>
              <w:t>12.000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FY2025 management discussion and analysis — offshore island rigs at year end</w:t>
            </w:r>
          </w:p>
        </w:tc>
      </w:tr>
      <w:tr>
        <w:tc>
          <w:tcPr>
            <w:tcW w:type="dxa" w:w="2088"/>
          </w:tcPr>
          <w:p>
            <w:pPr>
              <w:spacing w:after="20"/>
            </w:pPr>
            <w:r>
              <w:rPr>
                <w:color w:val="1C3A36"/>
                <w:sz w:val="16"/>
              </w:rPr>
              <w:t>rigs jackup fy22</w:t>
            </w:r>
          </w:p>
        </w:tc>
        <w:tc>
          <w:tcPr>
            <w:tcW w:type="dxa" w:w="1296"/>
          </w:tcPr>
          <w:p>
            <w:pPr>
              <w:spacing w:after="20"/>
              <w:jc w:val="right"/>
            </w:pPr>
            <w:r>
              <w:rPr>
                <w:color w:val="1C3A36"/>
                <w:sz w:val="16"/>
              </w:rPr>
              <w:t>31.000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FY2023 MD&amp;A, FY22 comparative — offshore jack-up rigs</w:t>
            </w:r>
          </w:p>
        </w:tc>
      </w:tr>
      <w:tr>
        <w:tc>
          <w:tcPr>
            <w:tcW w:type="dxa" w:w="2088"/>
          </w:tcPr>
          <w:p>
            <w:pPr>
              <w:spacing w:after="20"/>
            </w:pPr>
            <w:r>
              <w:rPr>
                <w:color w:val="1C3A36"/>
                <w:sz w:val="16"/>
              </w:rPr>
              <w:t>rigs jackup fy23</w:t>
            </w:r>
          </w:p>
        </w:tc>
        <w:tc>
          <w:tcPr>
            <w:tcW w:type="dxa" w:w="1296"/>
          </w:tcPr>
          <w:p>
            <w:pPr>
              <w:spacing w:after="20"/>
              <w:jc w:val="right"/>
            </w:pPr>
            <w:r>
              <w:rPr>
                <w:color w:val="1C3A36"/>
                <w:sz w:val="16"/>
              </w:rPr>
              <w:t>35.000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FY2023 MD&amp;A — offshore jack-up rigs at year end</w:t>
            </w:r>
          </w:p>
        </w:tc>
      </w:tr>
      <w:tr>
        <w:tc>
          <w:tcPr>
            <w:tcW w:type="dxa" w:w="2088"/>
          </w:tcPr>
          <w:p>
            <w:pPr>
              <w:spacing w:after="20"/>
            </w:pPr>
            <w:r>
              <w:rPr>
                <w:color w:val="1C3A36"/>
                <w:sz w:val="16"/>
              </w:rPr>
              <w:t>rigs jackup fy24</w:t>
            </w:r>
          </w:p>
        </w:tc>
        <w:tc>
          <w:tcPr>
            <w:tcW w:type="dxa" w:w="1296"/>
          </w:tcPr>
          <w:p>
            <w:pPr>
              <w:spacing w:after="20"/>
              <w:jc w:val="right"/>
            </w:pPr>
            <w:r>
              <w:rPr>
                <w:color w:val="1C3A36"/>
                <w:sz w:val="16"/>
              </w:rPr>
              <w:t>37.000</w:t>
            </w:r>
          </w:p>
        </w:tc>
        <w:tc>
          <w:tcPr>
            <w:tcW w:type="dxa" w:w="1224"/>
          </w:tcPr>
          <w:p>
            <w:pPr>
              <w:spacing w:after="20"/>
              <w:jc w:val="right"/>
            </w:pPr>
            <w:r>
              <w:rPr>
                <w:color w:val="1C3A36"/>
                <w:sz w:val="16"/>
              </w:rPr>
              <w:t>2025-02-11</w:t>
            </w:r>
          </w:p>
        </w:tc>
        <w:tc>
          <w:tcPr>
            <w:tcW w:type="dxa" w:w="5472"/>
          </w:tcPr>
          <w:p>
            <w:pPr>
              <w:spacing w:after="20"/>
              <w:jc w:val="right"/>
            </w:pPr>
            <w:r>
              <w:rPr>
                <w:color w:val="1C3A36"/>
                <w:sz w:val="16"/>
              </w:rPr>
              <w:t>FY2024 MD&amp;A — offshore jack-up rigs at year end</w:t>
            </w:r>
          </w:p>
        </w:tc>
      </w:tr>
      <w:tr>
        <w:tc>
          <w:tcPr>
            <w:tcW w:type="dxa" w:w="2088"/>
          </w:tcPr>
          <w:p>
            <w:pPr>
              <w:spacing w:after="20"/>
            </w:pPr>
            <w:r>
              <w:rPr>
                <w:color w:val="1C3A36"/>
                <w:sz w:val="16"/>
              </w:rPr>
              <w:t>rigs jackup fy25</w:t>
            </w:r>
          </w:p>
        </w:tc>
        <w:tc>
          <w:tcPr>
            <w:tcW w:type="dxa" w:w="1296"/>
          </w:tcPr>
          <w:p>
            <w:pPr>
              <w:spacing w:after="20"/>
              <w:jc w:val="right"/>
            </w:pPr>
            <w:r>
              <w:rPr>
                <w:color w:val="1C3A36"/>
                <w:sz w:val="16"/>
              </w:rPr>
              <w:t>36.000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FY2025 management discussion and analysis — offshore jack-up rigs at year end</w:t>
            </w:r>
          </w:p>
        </w:tc>
      </w:tr>
      <w:tr>
        <w:tc>
          <w:tcPr>
            <w:tcW w:type="dxa" w:w="2088"/>
          </w:tcPr>
          <w:p>
            <w:pPr>
              <w:spacing w:after="20"/>
            </w:pPr>
            <w:r>
              <w:rPr>
                <w:color w:val="1C3A36"/>
                <w:sz w:val="16"/>
              </w:rPr>
              <w:t>rigs onshore fy22</w:t>
            </w:r>
          </w:p>
        </w:tc>
        <w:tc>
          <w:tcPr>
            <w:tcW w:type="dxa" w:w="1296"/>
          </w:tcPr>
          <w:p>
            <w:pPr>
              <w:spacing w:after="20"/>
              <w:jc w:val="right"/>
            </w:pPr>
            <w:r>
              <w:rPr>
                <w:color w:val="1C3A36"/>
                <w:sz w:val="16"/>
              </w:rPr>
              <w:t>74.000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FY2023 MD&amp;A operational highlights, FY22 comparative column — onshore rigs at year end</w:t>
            </w:r>
          </w:p>
        </w:tc>
      </w:tr>
      <w:tr>
        <w:tc>
          <w:tcPr>
            <w:tcW w:type="dxa" w:w="2088"/>
          </w:tcPr>
          <w:p>
            <w:pPr>
              <w:spacing w:after="20"/>
            </w:pPr>
            <w:r>
              <w:rPr>
                <w:color w:val="1C3A36"/>
                <w:sz w:val="16"/>
              </w:rPr>
              <w:t>rigs onshore fy23</w:t>
            </w:r>
          </w:p>
        </w:tc>
        <w:tc>
          <w:tcPr>
            <w:tcW w:type="dxa" w:w="1296"/>
          </w:tcPr>
          <w:p>
            <w:pPr>
              <w:spacing w:after="20"/>
              <w:jc w:val="right"/>
            </w:pPr>
            <w:r>
              <w:rPr>
                <w:color w:val="1C3A36"/>
                <w:sz w:val="16"/>
              </w:rPr>
              <w:t>84.000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FY2023 MD&amp;A operational highlights — onshore rigs at year end (includes 4 lease-to-own land rigs)</w:t>
            </w:r>
          </w:p>
        </w:tc>
      </w:tr>
      <w:tr>
        <w:tc>
          <w:tcPr>
            <w:tcW w:type="dxa" w:w="2088"/>
          </w:tcPr>
          <w:p>
            <w:pPr>
              <w:spacing w:after="20"/>
            </w:pPr>
            <w:r>
              <w:rPr>
                <w:color w:val="1C3A36"/>
                <w:sz w:val="16"/>
              </w:rPr>
              <w:t>rigs onshore fy24</w:t>
            </w:r>
          </w:p>
        </w:tc>
        <w:tc>
          <w:tcPr>
            <w:tcW w:type="dxa" w:w="1296"/>
          </w:tcPr>
          <w:p>
            <w:pPr>
              <w:spacing w:after="20"/>
              <w:jc w:val="right"/>
            </w:pPr>
            <w:r>
              <w:rPr>
                <w:color w:val="1C3A36"/>
                <w:sz w:val="16"/>
              </w:rPr>
              <w:t>95.000</w:t>
            </w:r>
          </w:p>
        </w:tc>
        <w:tc>
          <w:tcPr>
            <w:tcW w:type="dxa" w:w="1224"/>
          </w:tcPr>
          <w:p>
            <w:pPr>
              <w:spacing w:after="20"/>
              <w:jc w:val="right"/>
            </w:pPr>
            <w:r>
              <w:rPr>
                <w:color w:val="1C3A36"/>
                <w:sz w:val="16"/>
              </w:rPr>
              <w:t>2025-02-11</w:t>
            </w:r>
          </w:p>
        </w:tc>
        <w:tc>
          <w:tcPr>
            <w:tcW w:type="dxa" w:w="5472"/>
          </w:tcPr>
          <w:p>
            <w:pPr>
              <w:spacing w:after="20"/>
              <w:jc w:val="right"/>
            </w:pPr>
            <w:r>
              <w:rPr>
                <w:color w:val="1C3A36"/>
                <w:sz w:val="16"/>
              </w:rPr>
              <w:t>FY2024 MD&amp;A operational highlights — onshore rigs at year end</w:t>
            </w:r>
          </w:p>
        </w:tc>
      </w:tr>
      <w:tr>
        <w:tc>
          <w:tcPr>
            <w:tcW w:type="dxa" w:w="2088"/>
          </w:tcPr>
          <w:p>
            <w:pPr>
              <w:spacing w:after="20"/>
            </w:pPr>
            <w:r>
              <w:rPr>
                <w:color w:val="1C3A36"/>
                <w:sz w:val="16"/>
              </w:rPr>
              <w:t>rigs onshore fy25</w:t>
            </w:r>
          </w:p>
        </w:tc>
        <w:tc>
          <w:tcPr>
            <w:tcW w:type="dxa" w:w="1296"/>
          </w:tcPr>
          <w:p>
            <w:pPr>
              <w:spacing w:after="20"/>
              <w:jc w:val="right"/>
            </w:pPr>
            <w:r>
              <w:rPr>
                <w:color w:val="1C3A36"/>
                <w:sz w:val="16"/>
              </w:rPr>
              <w:t>92.000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FY2025 management discussion and analysis operational highlights — Abu Dhabi onshore rigs at year end</w:t>
            </w:r>
          </w:p>
        </w:tc>
      </w:tr>
      <w:tr>
        <w:tc>
          <w:tcPr>
            <w:tcW w:type="dxa" w:w="2088"/>
          </w:tcPr>
          <w:p>
            <w:pPr>
              <w:spacing w:after="20"/>
            </w:pPr>
            <w:r>
              <w:rPr>
                <w:color w:val="1C3A36"/>
                <w:sz w:val="16"/>
              </w:rPr>
              <w:t>rigs regional 2q26</w:t>
            </w:r>
          </w:p>
        </w:tc>
        <w:tc>
          <w:tcPr>
            <w:tcW w:type="dxa" w:w="1296"/>
          </w:tcPr>
          <w:p>
            <w:pPr>
              <w:spacing w:after="20"/>
              <w:jc w:val="right"/>
            </w:pPr>
            <w:r>
              <w:rPr>
                <w:color w:val="1C3A36"/>
                <w:sz w:val="16"/>
              </w:rPr>
              <w:t>30.000</w:t>
            </w:r>
          </w:p>
        </w:tc>
        <w:tc>
          <w:tcPr>
            <w:tcW w:type="dxa" w:w="1224"/>
          </w:tcPr>
          <w:p>
            <w:pPr>
              <w:spacing w:after="20"/>
              <w:jc w:val="right"/>
            </w:pPr>
            <w:r>
              <w:rPr>
                <w:color w:val="1C3A36"/>
                <w:sz w:val="16"/>
              </w:rPr>
              <w:t>2026-06-30</w:t>
            </w:r>
          </w:p>
        </w:tc>
        <w:tc>
          <w:tcPr>
            <w:tcW w:type="dxa" w:w="5472"/>
          </w:tcPr>
          <w:p>
            <w:pPr>
              <w:spacing w:after="20"/>
              <w:jc w:val="right"/>
            </w:pPr>
            <w:r>
              <w:rPr>
                <w:color w:val="1C3A36"/>
                <w:sz w:val="16"/>
              </w:rPr>
              <w:t>1H-2026 management discussion and analysis: 30 regional rigs outside the UAE at 30 June 2026 — 8 in Oman and Kuwait from the 70%-owned SLDC joint venture with SLB (completed January 2026) and 22 from the 80% stake in MBPS</w:t>
            </w:r>
          </w:p>
        </w:tc>
      </w:tr>
      <w:tr>
        <w:tc>
          <w:tcPr>
            <w:tcW w:type="dxa" w:w="2088"/>
          </w:tcPr>
          <w:p>
            <w:pPr>
              <w:spacing w:after="20"/>
            </w:pPr>
            <w:r>
              <w:rPr>
                <w:color w:val="1C3A36"/>
                <w:sz w:val="16"/>
              </w:rPr>
              <w:t>unconv 1h26</w:t>
            </w:r>
          </w:p>
        </w:tc>
        <w:tc>
          <w:tcPr>
            <w:tcW w:type="dxa" w:w="1296"/>
          </w:tcPr>
          <w:p>
            <w:pPr>
              <w:spacing w:after="20"/>
              <w:jc w:val="right"/>
            </w:pPr>
            <w:r>
              <w:rPr>
                <w:color w:val="1C3A36"/>
                <w:sz w:val="16"/>
              </w:rPr>
              <w:t>206,000.0</w:t>
            </w:r>
          </w:p>
        </w:tc>
        <w:tc>
          <w:tcPr>
            <w:tcW w:type="dxa" w:w="1224"/>
          </w:tcPr>
          <w:p>
            <w:pPr>
              <w:spacing w:after="20"/>
              <w:jc w:val="right"/>
            </w:pPr>
            <w:r>
              <w:rPr>
                <w:color w:val="1C3A36"/>
                <w:sz w:val="16"/>
              </w:rPr>
              <w:t>2026-07-30</w:t>
            </w:r>
          </w:p>
        </w:tc>
        <w:tc>
          <w:tcPr>
            <w:tcW w:type="dxa" w:w="5472"/>
          </w:tcPr>
          <w:p>
            <w:pPr>
              <w:spacing w:after="20"/>
              <w:jc w:val="right"/>
            </w:pPr>
            <w:r>
              <w:rPr>
                <w:color w:val="1C3A36"/>
                <w:sz w:val="16"/>
              </w:rPr>
              <w:t>1Q-2026 MD&amp;A ($131 million) plus 1H-2026 management discussion and analysis ($75 million in 2Q26, split $60 million Oilfield Services and $15 million Onshore)</w:t>
            </w:r>
          </w:p>
        </w:tc>
      </w:tr>
      <w:tr>
        <w:tc>
          <w:tcPr>
            <w:tcW w:type="dxa" w:w="2088"/>
          </w:tcPr>
          <w:p>
            <w:pPr>
              <w:spacing w:after="20"/>
            </w:pPr>
            <w:r>
              <w:rPr>
                <w:color w:val="1C3A36"/>
                <w:sz w:val="16"/>
              </w:rPr>
              <w:t>unconv fy24</w:t>
            </w:r>
          </w:p>
        </w:tc>
        <w:tc>
          <w:tcPr>
            <w:tcW w:type="dxa" w:w="1296"/>
          </w:tcPr>
          <w:p>
            <w:pPr>
              <w:spacing w:after="20"/>
              <w:jc w:val="right"/>
            </w:pPr>
            <w:r>
              <w:rPr>
                <w:color w:val="1C3A36"/>
                <w:sz w:val="16"/>
              </w:rPr>
              <w:t>117,000.0</w:t>
            </w:r>
          </w:p>
        </w:tc>
        <w:tc>
          <w:tcPr>
            <w:tcW w:type="dxa" w:w="1224"/>
          </w:tcPr>
          <w:p>
            <w:pPr>
              <w:spacing w:after="20"/>
              <w:jc w:val="right"/>
            </w:pPr>
            <w:r>
              <w:rPr>
                <w:color w:val="1C3A36"/>
                <w:sz w:val="16"/>
              </w:rPr>
              <w:t>2025-02-11</w:t>
            </w:r>
          </w:p>
        </w:tc>
        <w:tc>
          <w:tcPr>
            <w:tcW w:type="dxa" w:w="5472"/>
          </w:tcPr>
          <w:p>
            <w:pPr>
              <w:spacing w:after="20"/>
              <w:jc w:val="right"/>
            </w:pPr>
            <w:r>
              <w:rPr>
                <w:color w:val="1C3A36"/>
                <w:sz w:val="16"/>
              </w:rPr>
              <w:t>FY2024 MD&amp;A — unconventional business revenue contribution</w:t>
            </w:r>
          </w:p>
        </w:tc>
      </w:tr>
      <w:tr>
        <w:tc>
          <w:tcPr>
            <w:tcW w:type="dxa" w:w="2088"/>
          </w:tcPr>
          <w:p>
            <w:pPr>
              <w:spacing w:after="20"/>
            </w:pPr>
            <w:r>
              <w:rPr>
                <w:color w:val="1C3A36"/>
                <w:sz w:val="16"/>
              </w:rPr>
              <w:t>unconv fy25</w:t>
            </w:r>
          </w:p>
        </w:tc>
        <w:tc>
          <w:tcPr>
            <w:tcW w:type="dxa" w:w="1296"/>
          </w:tcPr>
          <w:p>
            <w:pPr>
              <w:spacing w:after="20"/>
              <w:jc w:val="right"/>
            </w:pPr>
            <w:r>
              <w:rPr>
                <w:color w:val="1C3A36"/>
                <w:sz w:val="16"/>
              </w:rPr>
              <w:t>692,000.0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FY2025 management discussion and analysis: unconventional revenue of $692 million in full year 2025, split $534 million in Oilfield Services and $158 million in Onshore land drilling</w:t>
            </w:r>
          </w:p>
        </w:tc>
      </w:tr>
      <w:tr>
        <w:tc>
          <w:tcPr>
            <w:tcW w:type="dxa" w:w="2088"/>
          </w:tcPr>
          <w:p>
            <w:pPr>
              <w:spacing w:after="20"/>
            </w:pPr>
            <w:r>
              <w:rPr>
                <w:color w:val="1C3A36"/>
                <w:sz w:val="16"/>
              </w:rPr>
              <w:t>unconv ofs fy25</w:t>
            </w:r>
          </w:p>
        </w:tc>
        <w:tc>
          <w:tcPr>
            <w:tcW w:type="dxa" w:w="1296"/>
          </w:tcPr>
          <w:p>
            <w:pPr>
              <w:spacing w:after="20"/>
              <w:jc w:val="right"/>
            </w:pPr>
            <w:r>
              <w:rPr>
                <w:color w:val="1C3A36"/>
                <w:sz w:val="16"/>
              </w:rPr>
              <w:t>534,000.0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FY2025 management discussion and analysis Oilfield Services commentary — unconventional contribution rose from $95 million in 2024 to $534 million in 2025</w:t>
            </w:r>
          </w:p>
        </w:tc>
      </w:tr>
      <w:tr>
        <w:tc>
          <w:tcPr>
            <w:tcW w:type="dxa" w:w="2088"/>
          </w:tcPr>
          <w:p>
            <w:pPr>
              <w:spacing w:after="20"/>
            </w:pPr>
            <w:r>
              <w:rPr>
                <w:color w:val="1C3A36"/>
                <w:sz w:val="16"/>
              </w:rPr>
              <w:t>unconv remaining 2025</w:t>
            </w:r>
          </w:p>
        </w:tc>
        <w:tc>
          <w:tcPr>
            <w:tcW w:type="dxa" w:w="1296"/>
          </w:tcPr>
          <w:p>
            <w:pPr>
              <w:spacing w:after="20"/>
              <w:jc w:val="right"/>
            </w:pPr>
            <w:r>
              <w:rPr>
                <w:color w:val="1C3A36"/>
                <w:sz w:val="16"/>
              </w:rPr>
              <w:t>860,000.0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FY2025 management discussion and analysis: 'The remaining $0.86 billion contract value for unconventional ($1.7 billion total contract value less...)'</w:t>
            </w:r>
          </w:p>
        </w:tc>
      </w:tr>
      <w:tr>
        <w:tc>
          <w:tcPr>
            <w:tcW w:type="dxa" w:w="2088"/>
          </w:tcPr>
          <w:p>
            <w:pPr>
              <w:spacing w:after="20"/>
            </w:pPr>
            <w:r>
              <w:rPr>
                <w:color w:val="1C3A36"/>
                <w:sz w:val="16"/>
              </w:rPr>
              <w:t>wells fy23</w:t>
            </w:r>
          </w:p>
        </w:tc>
        <w:tc>
          <w:tcPr>
            <w:tcW w:type="dxa" w:w="1296"/>
          </w:tcPr>
          <w:p>
            <w:pPr>
              <w:spacing w:after="20"/>
              <w:jc w:val="right"/>
            </w:pPr>
            <w:r>
              <w:rPr>
                <w:color w:val="1C3A36"/>
                <w:sz w:val="16"/>
              </w:rPr>
              <w:t>613.000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FY2023 MD&amp;A — wells drilled</w:t>
            </w:r>
          </w:p>
        </w:tc>
      </w:tr>
      <w:tr>
        <w:tc>
          <w:tcPr>
            <w:tcW w:type="dxa" w:w="2088"/>
          </w:tcPr>
          <w:p>
            <w:pPr>
              <w:spacing w:after="20"/>
            </w:pPr>
            <w:r>
              <w:rPr>
                <w:color w:val="1C3A36"/>
                <w:sz w:val="16"/>
              </w:rPr>
              <w:t>wells fy24</w:t>
            </w:r>
          </w:p>
        </w:tc>
        <w:tc>
          <w:tcPr>
            <w:tcW w:type="dxa" w:w="1296"/>
          </w:tcPr>
          <w:p>
            <w:pPr>
              <w:spacing w:after="20"/>
              <w:jc w:val="right"/>
            </w:pPr>
            <w:r>
              <w:rPr>
                <w:color w:val="1C3A36"/>
                <w:sz w:val="16"/>
              </w:rPr>
              <w:t>676.000</w:t>
            </w:r>
          </w:p>
        </w:tc>
        <w:tc>
          <w:tcPr>
            <w:tcW w:type="dxa" w:w="1224"/>
          </w:tcPr>
          <w:p>
            <w:pPr>
              <w:spacing w:after="20"/>
              <w:jc w:val="right"/>
            </w:pPr>
            <w:r>
              <w:rPr>
                <w:color w:val="1C3A36"/>
                <w:sz w:val="16"/>
              </w:rPr>
              <w:t>2025-02-11</w:t>
            </w:r>
          </w:p>
        </w:tc>
        <w:tc>
          <w:tcPr>
            <w:tcW w:type="dxa" w:w="5472"/>
          </w:tcPr>
          <w:p>
            <w:pPr>
              <w:spacing w:after="20"/>
              <w:jc w:val="right"/>
            </w:pPr>
            <w:r>
              <w:rPr>
                <w:color w:val="1C3A36"/>
                <w:sz w:val="16"/>
              </w:rPr>
              <w:t>FY2024 MD&amp;A — wells drilled</w:t>
            </w:r>
          </w:p>
        </w:tc>
      </w:tr>
      <w:tr>
        <w:tc>
          <w:tcPr>
            <w:tcW w:type="dxa" w:w="2088"/>
          </w:tcPr>
          <w:p>
            <w:pPr>
              <w:spacing w:after="20"/>
            </w:pPr>
            <w:r>
              <w:rPr>
                <w:color w:val="1C3A36"/>
                <w:sz w:val="16"/>
              </w:rPr>
              <w:t>wells fy25</w:t>
            </w:r>
          </w:p>
        </w:tc>
        <w:tc>
          <w:tcPr>
            <w:tcW w:type="dxa" w:w="1296"/>
          </w:tcPr>
          <w:p>
            <w:pPr>
              <w:spacing w:after="20"/>
              <w:jc w:val="right"/>
            </w:pPr>
            <w:r>
              <w:rPr>
                <w:color w:val="1C3A36"/>
                <w:sz w:val="16"/>
              </w:rPr>
              <w:t>836.000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FY2025 management discussion and analysis — wells drilled</w:t>
            </w:r>
          </w:p>
        </w:tc>
      </w:tr>
    </w:tbl>
    <w:p>
      <w:pPr>
        <w:spacing w:after="40"/>
      </w:pPr>
    </w:p>
    <w:p>
      <w:pPr>
        <w:spacing w:after="80" w:before="200"/>
      </w:pPr>
      <w:r>
        <w:rPr>
          <w:b/>
          <w:i w:val="0"/>
          <w:color w:val="1C3A36"/>
          <w:sz w:val="24"/>
        </w:rPr>
        <w:t>Industry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1296"/>
        <w:gridCol w:w="1224"/>
        <w:gridCol w:w="5472"/>
      </w:tblGrid>
      <w:tr>
        <w:tc>
          <w:tcPr>
            <w:tcW w:type="dxa" w:w="2088"/>
            <w:shd w:val="clear" w:color="auto" w:fill="EAF0EE"/>
          </w:tcPr>
          <w:p>
            <w:pPr>
              <w:spacing w:after="20"/>
            </w:pPr>
            <w:r>
              <w:rPr>
                <w:b/>
                <w:color w:val="1C3A36"/>
                <w:sz w:val="16"/>
              </w:rPr>
              <w:t>Input</w:t>
            </w:r>
          </w:p>
        </w:tc>
        <w:tc>
          <w:tcPr>
            <w:tcW w:type="dxa" w:w="1296"/>
            <w:shd w:val="clear" w:color="auto" w:fill="EAF0EE"/>
          </w:tcPr>
          <w:p>
            <w:pPr>
              <w:spacing w:after="20"/>
            </w:pPr>
            <w:r>
              <w:rPr>
                <w:b/>
                <w:color w:val="1C3A36"/>
                <w:sz w:val="16"/>
              </w:rPr>
              <w:t>Value</w:t>
            </w:r>
          </w:p>
        </w:tc>
        <w:tc>
          <w:tcPr>
            <w:tcW w:type="dxa" w:w="1224"/>
            <w:shd w:val="clear" w:color="auto" w:fill="EAF0EE"/>
          </w:tcPr>
          <w:p>
            <w:pPr>
              <w:spacing w:after="20"/>
            </w:pPr>
            <w:r>
              <w:rPr>
                <w:b/>
                <w:color w:val="1C3A36"/>
                <w:sz w:val="16"/>
              </w:rPr>
              <w:t>Date</w:t>
            </w:r>
          </w:p>
        </w:tc>
        <w:tc>
          <w:tcPr>
            <w:tcW w:type="dxa" w:w="5472"/>
            <w:shd w:val="clear" w:color="auto" w:fill="EAF0EE"/>
          </w:tcPr>
          <w:p>
            <w:pPr>
              <w:spacing w:after="20"/>
            </w:pPr>
            <w:r>
              <w:rPr>
                <w:b/>
                <w:color w:val="1C3A36"/>
                <w:sz w:val="16"/>
              </w:rPr>
              <w:t>Source and construction</w:t>
            </w:r>
          </w:p>
        </w:tc>
      </w:tr>
      <w:tr>
        <w:tc>
          <w:tcPr>
            <w:tcW w:type="dxa" w:w="2088"/>
          </w:tcPr>
          <w:p>
            <w:pPr>
              <w:spacing w:after="20"/>
            </w:pPr>
            <w:r>
              <w:rPr>
                <w:color w:val="1C3A36"/>
                <w:sz w:val="16"/>
              </w:rPr>
              <w:t>esc dayrate</w:t>
            </w:r>
          </w:p>
        </w:tc>
        <w:tc>
          <w:tcPr>
            <w:tcW w:type="dxa" w:w="1296"/>
          </w:tcPr>
          <w:p>
            <w:pPr>
              <w:spacing w:after="20"/>
              <w:jc w:val="right"/>
            </w:pPr>
            <w:r>
              <w:rPr>
                <w:color w:val="1C3A36"/>
                <w:sz w:val="16"/>
              </w:rPr>
              <w:t>0.0150</w:t>
            </w:r>
          </w:p>
        </w:tc>
        <w:tc>
          <w:tcPr>
            <w:tcW w:type="dxa" w:w="1224"/>
          </w:tcPr>
          <w:p>
            <w:pPr>
              <w:spacing w:after="20"/>
              <w:jc w:val="right"/>
            </w:pPr>
            <w:r>
              <w:rPr>
                <w:color w:val="1C3A36"/>
                <w:sz w:val="16"/>
              </w:rPr>
              <w:t>2026-08-07</w:t>
            </w:r>
          </w:p>
        </w:tc>
        <w:tc>
          <w:tcPr>
            <w:tcW w:type="dxa" w:w="5472"/>
          </w:tcPr>
          <w:p>
            <w:pPr>
              <w:spacing w:after="20"/>
              <w:jc w:val="right"/>
            </w:pPr>
            <w:r>
              <w:rPr>
                <w:color w:val="1C3A36"/>
                <w:sz w:val="16"/>
              </w:rPr>
              <w:t>Contract day-rate escalator applied to the conventional revenue-per-rig price line. The customer is a single national oil company on multi-year contracts, so realised day rates track a negotiated escalation rather than a spot market. Realised Abu Dhabi onshore revenue per average deployed rig moved from $18.9 million in FY2023 to $20.9 million in FY2024 to $20.1 million in FY2025 (this model's own unit arithmetic on disclosed segment revenue and disclosed rig counts) — a three-year path that is up but not monotone. 1.5% is set at domestic inflation rather than extrapolating the FY2024 step</w:t>
            </w:r>
          </w:p>
        </w:tc>
      </w:tr>
      <w:tr>
        <w:tc>
          <w:tcPr>
            <w:tcW w:type="dxa" w:w="2088"/>
          </w:tcPr>
          <w:p>
            <w:pPr>
              <w:spacing w:after="20"/>
            </w:pPr>
            <w:r>
              <w:rPr>
                <w:color w:val="1C3A36"/>
                <w:sz w:val="16"/>
              </w:rPr>
              <w:t>esc oilfield</w:t>
            </w:r>
          </w:p>
        </w:tc>
        <w:tc>
          <w:tcPr>
            <w:tcW w:type="dxa" w:w="1296"/>
          </w:tcPr>
          <w:p>
            <w:pPr>
              <w:spacing w:after="20"/>
              <w:jc w:val="right"/>
            </w:pPr>
            <w:r>
              <w:rPr>
                <w:color w:val="1C3A36"/>
                <w:sz w:val="16"/>
              </w:rPr>
              <w:t>0.0150</w:t>
            </w:r>
          </w:p>
        </w:tc>
        <w:tc>
          <w:tcPr>
            <w:tcW w:type="dxa" w:w="1224"/>
          </w:tcPr>
          <w:p>
            <w:pPr>
              <w:spacing w:after="20"/>
              <w:jc w:val="right"/>
            </w:pPr>
            <w:r>
              <w:rPr>
                <w:color w:val="1C3A36"/>
                <w:sz w:val="16"/>
              </w:rPr>
              <w:t>2026-06-01</w:t>
            </w:r>
          </w:p>
        </w:tc>
        <w:tc>
          <w:tcPr>
            <w:tcW w:type="dxa" w:w="5472"/>
          </w:tcPr>
          <w:p>
            <w:pPr>
              <w:spacing w:after="20"/>
              <w:jc w:val="right"/>
            </w:pPr>
            <w:r>
              <w:rPr>
                <w:color w:val="1C3A36"/>
                <w:sz w:val="16"/>
              </w:rPr>
              <w:t>Oilfield-services cost escalator, applied to repairs and maintenance, major maintenance and hire of equipment. US producer price index for drilling oil and gas wells (series PCU213111213111) stood at 396.978 in June 2026, down 1.63% year on year with a three-year compound rate of +0.29%. 1.5% sits above the flat recent print and below general inflation, on the view that the recent softness reflects the US land downturn rather than the Gulf market these costs are actually incurred in — the gap is flagged rather than smoothed away</w:t>
            </w:r>
          </w:p>
        </w:tc>
      </w:tr>
    </w:tbl>
    <w:p>
      <w:pPr>
        <w:spacing w:after="40"/>
      </w:pPr>
    </w:p>
    <w:p>
      <w:pPr>
        <w:spacing w:after="80" w:before="200"/>
      </w:pPr>
      <w:r>
        <w:rPr>
          <w:b/>
          <w:i w:val="0"/>
          <w:color w:val="1C3A36"/>
          <w:sz w:val="24"/>
        </w:rPr>
        <w:t>Country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1296"/>
        <w:gridCol w:w="1224"/>
        <w:gridCol w:w="5472"/>
      </w:tblGrid>
      <w:tr>
        <w:tc>
          <w:tcPr>
            <w:tcW w:type="dxa" w:w="2088"/>
            <w:shd w:val="clear" w:color="auto" w:fill="EAF0EE"/>
          </w:tcPr>
          <w:p>
            <w:pPr>
              <w:spacing w:after="20"/>
            </w:pPr>
            <w:r>
              <w:rPr>
                <w:b/>
                <w:color w:val="1C3A36"/>
                <w:sz w:val="16"/>
              </w:rPr>
              <w:t>Input</w:t>
            </w:r>
          </w:p>
        </w:tc>
        <w:tc>
          <w:tcPr>
            <w:tcW w:type="dxa" w:w="1296"/>
            <w:shd w:val="clear" w:color="auto" w:fill="EAF0EE"/>
          </w:tcPr>
          <w:p>
            <w:pPr>
              <w:spacing w:after="20"/>
            </w:pPr>
            <w:r>
              <w:rPr>
                <w:b/>
                <w:color w:val="1C3A36"/>
                <w:sz w:val="16"/>
              </w:rPr>
              <w:t>Value</w:t>
            </w:r>
          </w:p>
        </w:tc>
        <w:tc>
          <w:tcPr>
            <w:tcW w:type="dxa" w:w="1224"/>
            <w:shd w:val="clear" w:color="auto" w:fill="EAF0EE"/>
          </w:tcPr>
          <w:p>
            <w:pPr>
              <w:spacing w:after="20"/>
            </w:pPr>
            <w:r>
              <w:rPr>
                <w:b/>
                <w:color w:val="1C3A36"/>
                <w:sz w:val="16"/>
              </w:rPr>
              <w:t>Date</w:t>
            </w:r>
          </w:p>
        </w:tc>
        <w:tc>
          <w:tcPr>
            <w:tcW w:type="dxa" w:w="5472"/>
            <w:shd w:val="clear" w:color="auto" w:fill="EAF0EE"/>
          </w:tcPr>
          <w:p>
            <w:pPr>
              <w:spacing w:after="20"/>
            </w:pPr>
            <w:r>
              <w:rPr>
                <w:b/>
                <w:color w:val="1C3A36"/>
                <w:sz w:val="16"/>
              </w:rPr>
              <w:t>Source and construction</w:t>
            </w:r>
          </w:p>
        </w:tc>
      </w:tr>
      <w:tr>
        <w:tc>
          <w:tcPr>
            <w:tcW w:type="dxa" w:w="2088"/>
          </w:tcPr>
          <w:p>
            <w:pPr>
              <w:spacing w:after="20"/>
            </w:pPr>
            <w:r>
              <w:rPr>
                <w:color w:val="1C3A36"/>
                <w:sz w:val="16"/>
              </w:rPr>
              <w:t>ad cds</w:t>
            </w:r>
          </w:p>
        </w:tc>
        <w:tc>
          <w:tcPr>
            <w:tcW w:type="dxa" w:w="1296"/>
          </w:tcPr>
          <w:p>
            <w:pPr>
              <w:spacing w:after="20"/>
              <w:jc w:val="right"/>
            </w:pPr>
            <w:r>
              <w:rPr>
                <w:color w:val="1C3A36"/>
                <w:sz w:val="16"/>
              </w:rPr>
              <w:t>0.0046</w:t>
            </w:r>
          </w:p>
        </w:tc>
        <w:tc>
          <w:tcPr>
            <w:tcW w:type="dxa" w:w="1224"/>
          </w:tcPr>
          <w:p>
            <w:pPr>
              <w:spacing w:after="20"/>
              <w:jc w:val="right"/>
            </w:pPr>
            <w:r>
              <w:rPr>
                <w:color w:val="1C3A36"/>
                <w:sz w:val="16"/>
              </w:rPr>
              <w:t>2026-01-05</w:t>
            </w:r>
          </w:p>
        </w:tc>
        <w:tc>
          <w:tcPr>
            <w:tcW w:type="dxa" w:w="5472"/>
          </w:tcPr>
          <w:p>
            <w:pPr>
              <w:spacing w:after="20"/>
              <w:jc w:val="right"/>
            </w:pPr>
            <w:r>
              <w:rPr>
                <w:color w:val="1C3A36"/>
                <w:sz w:val="16"/>
              </w:rPr>
              <w:t>Sovereign credit-default-swap spread for the Emirate of Abu Dhabi, Damodaran ctryprem file</w:t>
            </w:r>
          </w:p>
        </w:tc>
      </w:tr>
      <w:tr>
        <w:tc>
          <w:tcPr>
            <w:tcW w:type="dxa" w:w="2088"/>
          </w:tcPr>
          <w:p>
            <w:pPr>
              <w:spacing w:after="20"/>
            </w:pPr>
            <w:r>
              <w:rPr>
                <w:color w:val="1C3A36"/>
                <w:sz w:val="16"/>
              </w:rPr>
              <w:t>ad crp</w:t>
            </w:r>
          </w:p>
        </w:tc>
        <w:tc>
          <w:tcPr>
            <w:tcW w:type="dxa" w:w="1296"/>
          </w:tcPr>
          <w:p>
            <w:pPr>
              <w:spacing w:after="20"/>
              <w:jc w:val="right"/>
            </w:pPr>
            <w:r>
              <w:rPr>
                <w:color w:val="1C3A36"/>
                <w:sz w:val="16"/>
              </w:rPr>
              <w:t>0.0064</w:t>
            </w:r>
          </w:p>
        </w:tc>
        <w:tc>
          <w:tcPr>
            <w:tcW w:type="dxa" w:w="1224"/>
          </w:tcPr>
          <w:p>
            <w:pPr>
              <w:spacing w:after="20"/>
              <w:jc w:val="right"/>
            </w:pPr>
            <w:r>
              <w:rPr>
                <w:color w:val="1C3A36"/>
                <w:sz w:val="16"/>
              </w:rPr>
              <w:t>2026-01-05</w:t>
            </w:r>
          </w:p>
        </w:tc>
        <w:tc>
          <w:tcPr>
            <w:tcW w:type="dxa" w:w="5472"/>
          </w:tcPr>
          <w:p>
            <w:pPr>
              <w:spacing w:after="20"/>
              <w:jc w:val="right"/>
            </w:pPr>
            <w:r>
              <w:rPr>
                <w:color w:val="1C3A36"/>
                <w:sz w:val="16"/>
              </w:rPr>
              <w:t>Country risk premium for the Emirate of Abu Dhabi, Damodaran ctryprem file</w:t>
            </w:r>
          </w:p>
        </w:tc>
      </w:tr>
      <w:tr>
        <w:tc>
          <w:tcPr>
            <w:tcW w:type="dxa" w:w="2088"/>
          </w:tcPr>
          <w:p>
            <w:pPr>
              <w:spacing w:after="20"/>
            </w:pPr>
            <w:r>
              <w:rPr>
                <w:color w:val="1C3A36"/>
                <w:sz w:val="16"/>
              </w:rPr>
              <w:t>ad default spread</w:t>
            </w:r>
          </w:p>
        </w:tc>
        <w:tc>
          <w:tcPr>
            <w:tcW w:type="dxa" w:w="1296"/>
          </w:tcPr>
          <w:p>
            <w:pPr>
              <w:spacing w:after="20"/>
              <w:jc w:val="right"/>
            </w:pPr>
            <w:r>
              <w:rPr>
                <w:color w:val="1C3A36"/>
                <w:sz w:val="16"/>
              </w:rPr>
              <w:t>0.0042</w:t>
            </w:r>
          </w:p>
        </w:tc>
        <w:tc>
          <w:tcPr>
            <w:tcW w:type="dxa" w:w="1224"/>
          </w:tcPr>
          <w:p>
            <w:pPr>
              <w:spacing w:after="20"/>
              <w:jc w:val="right"/>
            </w:pPr>
            <w:r>
              <w:rPr>
                <w:color w:val="1C3A36"/>
                <w:sz w:val="16"/>
              </w:rPr>
              <w:t>2026-01-05</w:t>
            </w:r>
          </w:p>
        </w:tc>
        <w:tc>
          <w:tcPr>
            <w:tcW w:type="dxa" w:w="5472"/>
          </w:tcPr>
          <w:p>
            <w:pPr>
              <w:spacing w:after="20"/>
              <w:jc w:val="right"/>
            </w:pPr>
            <w:r>
              <w:rPr>
                <w:color w:val="1C3A36"/>
                <w:sz w:val="16"/>
              </w:rPr>
              <w:t>Adjusted default spread for the Emirate of Abu Dhabi (Aa2), Damodaran ctryprem file, 5 January 2026</w:t>
            </w:r>
          </w:p>
        </w:tc>
      </w:tr>
      <w:tr>
        <w:tc>
          <w:tcPr>
            <w:tcW w:type="dxa" w:w="2088"/>
          </w:tcPr>
          <w:p>
            <w:pPr>
              <w:spacing w:after="20"/>
            </w:pPr>
            <w:r>
              <w:rPr>
                <w:color w:val="1C3A36"/>
                <w:sz w:val="16"/>
              </w:rPr>
              <w:t>ad rating</w:t>
            </w:r>
          </w:p>
        </w:tc>
        <w:tc>
          <w:tcPr>
            <w:tcW w:type="dxa" w:w="1296"/>
          </w:tcPr>
          <w:p>
            <w:pPr>
              <w:spacing w:after="20"/>
              <w:jc w:val="right"/>
            </w:pPr>
            <w:r>
              <w:rPr>
                <w:color w:val="1C3A36"/>
                <w:sz w:val="16"/>
              </w:rPr>
              <w:t>Aa2</w:t>
            </w:r>
          </w:p>
        </w:tc>
        <w:tc>
          <w:tcPr>
            <w:tcW w:type="dxa" w:w="1224"/>
          </w:tcPr>
          <w:p>
            <w:pPr>
              <w:spacing w:after="20"/>
              <w:jc w:val="right"/>
            </w:pPr>
            <w:r>
              <w:rPr>
                <w:color w:val="1C3A36"/>
                <w:sz w:val="16"/>
              </w:rPr>
              <w:t>2026-01-05</w:t>
            </w:r>
          </w:p>
        </w:tc>
        <w:tc>
          <w:tcPr>
            <w:tcW w:type="dxa" w:w="5472"/>
          </w:tcPr>
          <w:p>
            <w:pPr>
              <w:spacing w:after="20"/>
              <w:jc w:val="right"/>
            </w:pPr>
            <w:r>
              <w:rPr>
                <w:color w:val="1C3A36"/>
                <w:sz w:val="16"/>
              </w:rPr>
              <w:t>Moody's rating for the Emirate of Abu Dhabi, Damodaran ctryprem file</w:t>
            </w:r>
          </w:p>
        </w:tc>
      </w:tr>
      <w:tr>
        <w:tc>
          <w:tcPr>
            <w:tcW w:type="dxa" w:w="2088"/>
          </w:tcPr>
          <w:p>
            <w:pPr>
              <w:spacing w:after="20"/>
            </w:pPr>
            <w:r>
              <w:rPr>
                <w:color w:val="1C3A36"/>
                <w:sz w:val="16"/>
              </w:rPr>
              <w:t>erp cds</w:t>
            </w:r>
          </w:p>
        </w:tc>
        <w:tc>
          <w:tcPr>
            <w:tcW w:type="dxa" w:w="1296"/>
          </w:tcPr>
          <w:p>
            <w:pPr>
              <w:spacing w:after="20"/>
              <w:jc w:val="right"/>
            </w:pPr>
            <w:r>
              <w:rPr>
                <w:color w:val="1C3A36"/>
                <w:sz w:val="16"/>
              </w:rPr>
              <w:t>0.0493</w:t>
            </w:r>
          </w:p>
        </w:tc>
        <w:tc>
          <w:tcPr>
            <w:tcW w:type="dxa" w:w="1224"/>
          </w:tcPr>
          <w:p>
            <w:pPr>
              <w:spacing w:after="20"/>
              <w:jc w:val="right"/>
            </w:pPr>
            <w:r>
              <w:rPr>
                <w:color w:val="1C3A36"/>
                <w:sz w:val="16"/>
              </w:rPr>
              <w:t>2026-01-05</w:t>
            </w:r>
          </w:p>
        </w:tc>
        <w:tc>
          <w:tcPr>
            <w:tcW w:type="dxa" w:w="5472"/>
          </w:tcPr>
          <w:p>
            <w:pPr>
              <w:spacing w:after="20"/>
              <w:jc w:val="right"/>
            </w:pPr>
            <w:r>
              <w:rPr>
                <w:color w:val="1C3A36"/>
                <w:sz w:val="16"/>
              </w:rPr>
              <w:t>Equity risk premium for the Emirate of Abu Dhabi on the credit-default-swap basis, Damodaran ctryprem file, 5 January 2026</w:t>
            </w:r>
          </w:p>
        </w:tc>
      </w:tr>
      <w:tr>
        <w:tc>
          <w:tcPr>
            <w:tcW w:type="dxa" w:w="2088"/>
          </w:tcPr>
          <w:p>
            <w:pPr>
              <w:spacing w:after="20"/>
            </w:pPr>
            <w:r>
              <w:rPr>
                <w:color w:val="1C3A36"/>
                <w:sz w:val="16"/>
              </w:rPr>
              <w:t>erp rating</w:t>
            </w:r>
          </w:p>
        </w:tc>
        <w:tc>
          <w:tcPr>
            <w:tcW w:type="dxa" w:w="1296"/>
          </w:tcPr>
          <w:p>
            <w:pPr>
              <w:spacing w:after="20"/>
              <w:jc w:val="right"/>
            </w:pPr>
            <w:r>
              <w:rPr>
                <w:color w:val="1C3A36"/>
                <w:sz w:val="16"/>
              </w:rPr>
              <w:t>0.0487</w:t>
            </w:r>
          </w:p>
        </w:tc>
        <w:tc>
          <w:tcPr>
            <w:tcW w:type="dxa" w:w="1224"/>
          </w:tcPr>
          <w:p>
            <w:pPr>
              <w:spacing w:after="20"/>
              <w:jc w:val="right"/>
            </w:pPr>
            <w:r>
              <w:rPr>
                <w:color w:val="1C3A36"/>
                <w:sz w:val="16"/>
              </w:rPr>
              <w:t>2026-01-05</w:t>
            </w:r>
          </w:p>
        </w:tc>
        <w:tc>
          <w:tcPr>
            <w:tcW w:type="dxa" w:w="5472"/>
          </w:tcPr>
          <w:p>
            <w:pPr>
              <w:spacing w:after="20"/>
              <w:jc w:val="right"/>
            </w:pPr>
            <w:r>
              <w:rPr>
                <w:color w:val="1C3A36"/>
                <w:sz w:val="16"/>
              </w:rPr>
              <w:t>Equity risk premium for the Emirate of Abu Dhabi on the rating basis (mature-market premium plus the Abu Dhabi country risk premium), Damodaran ctryprem file, 5 January 2026. The United Arab Emirates federal row carries the identical Aa2 / 0.42% / 0.64% / 4.87% set</w:t>
            </w:r>
          </w:p>
        </w:tc>
      </w:tr>
      <w:tr>
        <w:tc>
          <w:tcPr>
            <w:tcW w:type="dxa" w:w="2088"/>
          </w:tcPr>
          <w:p>
            <w:pPr>
              <w:spacing w:after="20"/>
            </w:pPr>
            <w:r>
              <w:rPr>
                <w:color w:val="1C3A36"/>
                <w:sz w:val="16"/>
              </w:rPr>
              <w:t>esc general</w:t>
            </w:r>
          </w:p>
        </w:tc>
        <w:tc>
          <w:tcPr>
            <w:tcW w:type="dxa" w:w="1296"/>
          </w:tcPr>
          <w:p>
            <w:pPr>
              <w:spacing w:after="20"/>
              <w:jc w:val="right"/>
            </w:pPr>
            <w:r>
              <w:rPr>
                <w:color w:val="1C3A36"/>
                <w:sz w:val="16"/>
              </w:rPr>
              <w:t>0.0150</w:t>
            </w:r>
          </w:p>
        </w:tc>
        <w:tc>
          <w:tcPr>
            <w:tcW w:type="dxa" w:w="1224"/>
          </w:tcPr>
          <w:p>
            <w:pPr>
              <w:spacing w:after="20"/>
              <w:jc w:val="right"/>
            </w:pPr>
            <w:r>
              <w:rPr>
                <w:color w:val="1C3A36"/>
                <w:sz w:val="16"/>
              </w:rPr>
              <w:t>2026-08-07</w:t>
            </w:r>
          </w:p>
        </w:tc>
        <w:tc>
          <w:tcPr>
            <w:tcW w:type="dxa" w:w="5472"/>
          </w:tcPr>
          <w:p>
            <w:pPr>
              <w:spacing w:after="20"/>
              <w:jc w:val="right"/>
            </w:pPr>
            <w:r>
              <w:rPr>
                <w:color w:val="1C3A36"/>
                <w:sz w:val="16"/>
              </w:rPr>
              <w:t>Escalator for other direct cost and for general and administrative expenses, anchored on United Arab Emirates consumer price inflation (1.25% in 2025, 1.66% in 2024) rounded to 1.5%</w:t>
            </w:r>
          </w:p>
        </w:tc>
      </w:tr>
      <w:tr>
        <w:tc>
          <w:tcPr>
            <w:tcW w:type="dxa" w:w="2088"/>
          </w:tcPr>
          <w:p>
            <w:pPr>
              <w:spacing w:after="20"/>
            </w:pPr>
            <w:r>
              <w:rPr>
                <w:color w:val="1C3A36"/>
                <w:sz w:val="16"/>
              </w:rPr>
              <w:t>esc wages</w:t>
            </w:r>
          </w:p>
        </w:tc>
        <w:tc>
          <w:tcPr>
            <w:tcW w:type="dxa" w:w="1296"/>
          </w:tcPr>
          <w:p>
            <w:pPr>
              <w:spacing w:after="20"/>
              <w:jc w:val="right"/>
            </w:pPr>
            <w:r>
              <w:rPr>
                <w:color w:val="1C3A36"/>
                <w:sz w:val="16"/>
              </w:rPr>
              <w:t>0.0200</w:t>
            </w:r>
          </w:p>
        </w:tc>
        <w:tc>
          <w:tcPr>
            <w:tcW w:type="dxa" w:w="1224"/>
          </w:tcPr>
          <w:p>
            <w:pPr>
              <w:spacing w:after="20"/>
              <w:jc w:val="right"/>
            </w:pPr>
            <w:r>
              <w:rPr>
                <w:color w:val="1C3A36"/>
                <w:sz w:val="16"/>
              </w:rPr>
              <w:t>2026-08-07</w:t>
            </w:r>
          </w:p>
        </w:tc>
        <w:tc>
          <w:tcPr>
            <w:tcW w:type="dxa" w:w="5472"/>
          </w:tcPr>
          <w:p>
            <w:pPr>
              <w:spacing w:after="20"/>
              <w:jc w:val="right"/>
            </w:pPr>
            <w:r>
              <w:rPr>
                <w:color w:val="1C3A36"/>
                <w:sz w:val="16"/>
              </w:rPr>
              <w:t>Staff-cost escalator. United Arab Emirates consumer price inflation ran 1.63% in 2023, 1.66% in 2024 and 1.25% in 2025 (World Bank via the St. Louis Fed, series FPCPITOTLZGARE); 2.0% carries a modest real-wage drift above that for a business competing for skilled rig crews in a tight regional labour market. Applies ONLY to the domestic labour line</w:t>
            </w:r>
          </w:p>
        </w:tc>
      </w:tr>
      <w:tr>
        <w:tc>
          <w:tcPr>
            <w:tcW w:type="dxa" w:w="2088"/>
          </w:tcPr>
          <w:p>
            <w:pPr>
              <w:spacing w:after="20"/>
            </w:pPr>
            <w:r>
              <w:rPr>
                <w:color w:val="1C3A36"/>
                <w:sz w:val="16"/>
              </w:rPr>
              <w:t>fx aed usd</w:t>
            </w:r>
          </w:p>
        </w:tc>
        <w:tc>
          <w:tcPr>
            <w:tcW w:type="dxa" w:w="1296"/>
          </w:tcPr>
          <w:p>
            <w:pPr>
              <w:spacing w:after="20"/>
              <w:jc w:val="right"/>
            </w:pPr>
            <w:r>
              <w:rPr>
                <w:color w:val="1C3A36"/>
                <w:sz w:val="16"/>
              </w:rPr>
              <w:t>3.672</w:t>
            </w:r>
          </w:p>
        </w:tc>
        <w:tc>
          <w:tcPr>
            <w:tcW w:type="dxa" w:w="1224"/>
          </w:tcPr>
          <w:p>
            <w:pPr>
              <w:spacing w:after="20"/>
              <w:jc w:val="right"/>
            </w:pPr>
            <w:r>
              <w:rPr>
                <w:color w:val="1C3A36"/>
                <w:sz w:val="16"/>
              </w:rPr>
              <w:t>2026-08-07</w:t>
            </w:r>
          </w:p>
        </w:tc>
        <w:tc>
          <w:tcPr>
            <w:tcW w:type="dxa" w:w="5472"/>
          </w:tcPr>
          <w:p>
            <w:pPr>
              <w:spacing w:after="20"/>
              <w:jc w:val="right"/>
            </w:pPr>
            <w:r>
              <w:rPr>
                <w:color w:val="1C3A36"/>
                <w:sz w:val="16"/>
              </w:rPr>
              <w:t>AED/USD central-bank peg, unchanged since 1997; the rate at which the company itself translates its AED-declared dividends into the USD amounts disclosed in Note 24 of the audited statements</w:t>
            </w:r>
          </w:p>
        </w:tc>
      </w:tr>
    </w:tbl>
    <w:p>
      <w:pPr>
        <w:spacing w:after="40"/>
      </w:pPr>
    </w:p>
    <w:p>
      <w:pPr>
        <w:spacing w:after="80" w:before="200"/>
      </w:pPr>
      <w:r>
        <w:rPr>
          <w:b/>
          <w:i w:val="0"/>
          <w:color w:val="1C3A36"/>
          <w:sz w:val="24"/>
        </w:rPr>
        <w:t>Global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1296"/>
        <w:gridCol w:w="1224"/>
        <w:gridCol w:w="5472"/>
      </w:tblGrid>
      <w:tr>
        <w:tc>
          <w:tcPr>
            <w:tcW w:type="dxa" w:w="2088"/>
            <w:shd w:val="clear" w:color="auto" w:fill="EAF0EE"/>
          </w:tcPr>
          <w:p>
            <w:pPr>
              <w:spacing w:after="20"/>
            </w:pPr>
            <w:r>
              <w:rPr>
                <w:b/>
                <w:color w:val="1C3A36"/>
                <w:sz w:val="16"/>
              </w:rPr>
              <w:t>Input</w:t>
            </w:r>
          </w:p>
        </w:tc>
        <w:tc>
          <w:tcPr>
            <w:tcW w:type="dxa" w:w="1296"/>
            <w:shd w:val="clear" w:color="auto" w:fill="EAF0EE"/>
          </w:tcPr>
          <w:p>
            <w:pPr>
              <w:spacing w:after="20"/>
            </w:pPr>
            <w:r>
              <w:rPr>
                <w:b/>
                <w:color w:val="1C3A36"/>
                <w:sz w:val="16"/>
              </w:rPr>
              <w:t>Value</w:t>
            </w:r>
          </w:p>
        </w:tc>
        <w:tc>
          <w:tcPr>
            <w:tcW w:type="dxa" w:w="1224"/>
            <w:shd w:val="clear" w:color="auto" w:fill="EAF0EE"/>
          </w:tcPr>
          <w:p>
            <w:pPr>
              <w:spacing w:after="20"/>
            </w:pPr>
            <w:r>
              <w:rPr>
                <w:b/>
                <w:color w:val="1C3A36"/>
                <w:sz w:val="16"/>
              </w:rPr>
              <w:t>Date</w:t>
            </w:r>
          </w:p>
        </w:tc>
        <w:tc>
          <w:tcPr>
            <w:tcW w:type="dxa" w:w="5472"/>
            <w:shd w:val="clear" w:color="auto" w:fill="EAF0EE"/>
          </w:tcPr>
          <w:p>
            <w:pPr>
              <w:spacing w:after="20"/>
            </w:pPr>
            <w:r>
              <w:rPr>
                <w:b/>
                <w:color w:val="1C3A36"/>
                <w:sz w:val="16"/>
              </w:rPr>
              <w:t>Source and construction</w:t>
            </w:r>
          </w:p>
        </w:tc>
      </w:tr>
      <w:tr>
        <w:tc>
          <w:tcPr>
            <w:tcW w:type="dxa" w:w="2088"/>
          </w:tcPr>
          <w:p>
            <w:pPr>
              <w:spacing w:after="20"/>
            </w:pPr>
            <w:r>
              <w:rPr>
                <w:color w:val="1C3A36"/>
                <w:sz w:val="16"/>
              </w:rPr>
              <w:t>esc fuel</w:t>
            </w:r>
          </w:p>
        </w:tc>
        <w:tc>
          <w:tcPr>
            <w:tcW w:type="dxa" w:w="1296"/>
          </w:tcPr>
          <w:p>
            <w:pPr>
              <w:spacing w:after="20"/>
              <w:jc w:val="right"/>
            </w:pPr>
            <w:r>
              <w:rPr>
                <w:color w:val="1C3A36"/>
                <w:sz w:val="16"/>
              </w:rPr>
              <w:t>0.0000</w:t>
            </w:r>
          </w:p>
        </w:tc>
        <w:tc>
          <w:tcPr>
            <w:tcW w:type="dxa" w:w="1224"/>
          </w:tcPr>
          <w:p>
            <w:pPr>
              <w:spacing w:after="20"/>
              <w:jc w:val="right"/>
            </w:pPr>
            <w:r>
              <w:rPr>
                <w:color w:val="1C3A36"/>
                <w:sz w:val="16"/>
              </w:rPr>
              <w:t>2026-08-03</w:t>
            </w:r>
          </w:p>
        </w:tc>
        <w:tc>
          <w:tcPr>
            <w:tcW w:type="dxa" w:w="5472"/>
          </w:tcPr>
          <w:p>
            <w:pPr>
              <w:spacing w:after="20"/>
              <w:jc w:val="right"/>
            </w:pPr>
            <w:r>
              <w:rPr>
                <w:color w:val="1C3A36"/>
                <w:sz w:val="16"/>
              </w:rPr>
              <w:t>Fuel and lubricants escalator. This is a globally traded input and is escalated on its own commodity path, NOT on a domestic inflation proxy: Brent closed at $88.90 on 03-Aug-2026 against a one-year average of $79.69 and a three-year average of $79.48 (US Energy Information Administration via the St. Louis Fed, series DCOILBRENTEU). Spot sits roughly 12% above the three-year mean, so a flat nominal path embeds mean reversion in real terms. The company's onshore contracts carry an explicit fuel-escalation pass-through — the 1H-2026 MD&amp;A attributes part of the onshore revenue increase to 'higher fuel escalation' — so this line is close to margin-neutral either way</w:t>
            </w:r>
          </w:p>
        </w:tc>
      </w:tr>
      <w:tr>
        <w:tc>
          <w:tcPr>
            <w:tcW w:type="dxa" w:w="2088"/>
          </w:tcPr>
          <w:p>
            <w:pPr>
              <w:spacing w:after="20"/>
            </w:pPr>
            <w:r>
              <w:rPr>
                <w:color w:val="1C3A36"/>
                <w:sz w:val="16"/>
              </w:rPr>
              <w:t>sofr spot</w:t>
            </w:r>
          </w:p>
        </w:tc>
        <w:tc>
          <w:tcPr>
            <w:tcW w:type="dxa" w:w="1296"/>
          </w:tcPr>
          <w:p>
            <w:pPr>
              <w:spacing w:after="20"/>
              <w:jc w:val="right"/>
            </w:pPr>
            <w:r>
              <w:rPr>
                <w:color w:val="1C3A36"/>
                <w:sz w:val="16"/>
              </w:rPr>
              <w:t>0.0365</w:t>
            </w:r>
          </w:p>
        </w:tc>
        <w:tc>
          <w:tcPr>
            <w:tcW w:type="dxa" w:w="1224"/>
          </w:tcPr>
          <w:p>
            <w:pPr>
              <w:spacing w:after="20"/>
              <w:jc w:val="right"/>
            </w:pPr>
            <w:r>
              <w:rPr>
                <w:color w:val="1C3A36"/>
                <w:sz w:val="16"/>
              </w:rPr>
              <w:t>2026-08-06</w:t>
            </w:r>
          </w:p>
        </w:tc>
        <w:tc>
          <w:tcPr>
            <w:tcW w:type="dxa" w:w="5472"/>
          </w:tcPr>
          <w:p>
            <w:pPr>
              <w:spacing w:after="20"/>
              <w:jc w:val="right"/>
            </w:pPr>
            <w:r>
              <w:rPr>
                <w:color w:val="1C3A36"/>
                <w:sz w:val="16"/>
              </w:rPr>
              <w:t>Secured Overnight Financing Rate, New York Fed via the St. Louis Fed (series SOFR), 06-Aug-2026</w:t>
            </w:r>
          </w:p>
        </w:tc>
      </w:tr>
      <w:tr>
        <w:tc>
          <w:tcPr>
            <w:tcW w:type="dxa" w:w="2088"/>
          </w:tcPr>
          <w:p>
            <w:pPr>
              <w:spacing w:after="20"/>
            </w:pPr>
            <w:r>
              <w:rPr>
                <w:color w:val="1C3A36"/>
                <w:sz w:val="16"/>
              </w:rPr>
              <w:t>us default spread</w:t>
            </w:r>
          </w:p>
        </w:tc>
        <w:tc>
          <w:tcPr>
            <w:tcW w:type="dxa" w:w="1296"/>
          </w:tcPr>
          <w:p>
            <w:pPr>
              <w:spacing w:after="20"/>
              <w:jc w:val="right"/>
            </w:pPr>
            <w:r>
              <w:rPr>
                <w:color w:val="1C3A36"/>
                <w:sz w:val="16"/>
              </w:rPr>
              <w:t>0.0023</w:t>
            </w:r>
          </w:p>
        </w:tc>
        <w:tc>
          <w:tcPr>
            <w:tcW w:type="dxa" w:w="1224"/>
          </w:tcPr>
          <w:p>
            <w:pPr>
              <w:spacing w:after="20"/>
              <w:jc w:val="right"/>
            </w:pPr>
            <w:r>
              <w:rPr>
                <w:color w:val="1C3A36"/>
                <w:sz w:val="16"/>
              </w:rPr>
              <w:t>2026-01-05</w:t>
            </w:r>
          </w:p>
        </w:tc>
        <w:tc>
          <w:tcPr>
            <w:tcW w:type="dxa" w:w="5472"/>
          </w:tcPr>
          <w:p>
            <w:pPr>
              <w:spacing w:after="20"/>
              <w:jc w:val="right"/>
            </w:pPr>
            <w:r>
              <w:rPr>
                <w:color w:val="1C3A36"/>
                <w:sz w:val="16"/>
              </w:rPr>
              <w:t>Adjusted default spread for the United States (Moody's Aa1), Damodaran country default spreads and risk premiums, original ctryprem file, last updated 5 January 2026</w:t>
            </w:r>
          </w:p>
        </w:tc>
      </w:tr>
      <w:tr>
        <w:tc>
          <w:tcPr>
            <w:tcW w:type="dxa" w:w="2088"/>
          </w:tcPr>
          <w:p>
            <w:pPr>
              <w:spacing w:after="20"/>
            </w:pPr>
            <w:r>
              <w:rPr>
                <w:color w:val="1C3A36"/>
                <w:sz w:val="16"/>
              </w:rPr>
              <w:t>ust10</w:t>
            </w:r>
          </w:p>
        </w:tc>
        <w:tc>
          <w:tcPr>
            <w:tcW w:type="dxa" w:w="1296"/>
          </w:tcPr>
          <w:p>
            <w:pPr>
              <w:spacing w:after="20"/>
              <w:jc w:val="right"/>
            </w:pPr>
            <w:r>
              <w:rPr>
                <w:color w:val="1C3A36"/>
                <w:sz w:val="16"/>
              </w:rPr>
              <w:t>0.0469</w:t>
            </w:r>
          </w:p>
        </w:tc>
        <w:tc>
          <w:tcPr>
            <w:tcW w:type="dxa" w:w="1224"/>
          </w:tcPr>
          <w:p>
            <w:pPr>
              <w:spacing w:after="20"/>
              <w:jc w:val="right"/>
            </w:pPr>
            <w:r>
              <w:rPr>
                <w:color w:val="1C3A36"/>
                <w:sz w:val="16"/>
              </w:rPr>
              <w:t>2026-08-06</w:t>
            </w:r>
          </w:p>
        </w:tc>
        <w:tc>
          <w:tcPr>
            <w:tcW w:type="dxa" w:w="5472"/>
          </w:tcPr>
          <w:p>
            <w:pPr>
              <w:spacing w:after="20"/>
              <w:jc w:val="right"/>
            </w:pPr>
            <w:r>
              <w:rPr>
                <w:color w:val="1C3A36"/>
                <w:sz w:val="16"/>
              </w:rPr>
              <w:t>US 10-year constant-maturity Treasury yield, Federal Reserve H.15 via the St. Louis Fed (series DGS10), 06-Aug-2026 close</w:t>
            </w:r>
          </w:p>
        </w:tc>
      </w:tr>
      <w:tr>
        <w:tc>
          <w:tcPr>
            <w:tcW w:type="dxa" w:w="2088"/>
          </w:tcPr>
          <w:p>
            <w:pPr>
              <w:spacing w:after="20"/>
            </w:pPr>
            <w:r>
              <w:rPr>
                <w:color w:val="1C3A36"/>
                <w:sz w:val="16"/>
              </w:rPr>
              <w:t>ust5</w:t>
            </w:r>
          </w:p>
        </w:tc>
        <w:tc>
          <w:tcPr>
            <w:tcW w:type="dxa" w:w="1296"/>
          </w:tcPr>
          <w:p>
            <w:pPr>
              <w:spacing w:after="20"/>
              <w:jc w:val="right"/>
            </w:pPr>
            <w:r>
              <w:rPr>
                <w:color w:val="1C3A36"/>
                <w:sz w:val="16"/>
              </w:rPr>
              <w:t>0.0440</w:t>
            </w:r>
          </w:p>
        </w:tc>
        <w:tc>
          <w:tcPr>
            <w:tcW w:type="dxa" w:w="1224"/>
          </w:tcPr>
          <w:p>
            <w:pPr>
              <w:spacing w:after="20"/>
              <w:jc w:val="right"/>
            </w:pPr>
            <w:r>
              <w:rPr>
                <w:color w:val="1C3A36"/>
                <w:sz w:val="16"/>
              </w:rPr>
              <w:t>2026-08-06</w:t>
            </w:r>
          </w:p>
        </w:tc>
        <w:tc>
          <w:tcPr>
            <w:tcW w:type="dxa" w:w="5472"/>
          </w:tcPr>
          <w:p>
            <w:pPr>
              <w:spacing w:after="20"/>
              <w:jc w:val="right"/>
            </w:pPr>
            <w:r>
              <w:rPr>
                <w:color w:val="1C3A36"/>
                <w:sz w:val="16"/>
              </w:rPr>
              <w:t>US 5-year constant-maturity Treasury yield, Federal Reserve H.15 via the St. Louis Fed (series DGS5), 06-Aug-2026 close</w:t>
            </w:r>
          </w:p>
        </w:tc>
      </w:tr>
    </w:tbl>
    <w:p>
      <w:pPr>
        <w:spacing w:after="40"/>
      </w:pPr>
    </w:p>
    <w:p>
      <w:pPr>
        <w:spacing w:after="80" w:before="200"/>
      </w:pPr>
      <w:r>
        <w:rPr>
          <w:b/>
          <w:i w:val="0"/>
          <w:color w:val="1C3A36"/>
          <w:sz w:val="24"/>
        </w:rPr>
        <w:t>Market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1296"/>
        <w:gridCol w:w="1224"/>
        <w:gridCol w:w="5472"/>
      </w:tblGrid>
      <w:tr>
        <w:tc>
          <w:tcPr>
            <w:tcW w:type="dxa" w:w="2088"/>
            <w:shd w:val="clear" w:color="auto" w:fill="EAF0EE"/>
          </w:tcPr>
          <w:p>
            <w:pPr>
              <w:spacing w:after="20"/>
            </w:pPr>
            <w:r>
              <w:rPr>
                <w:b/>
                <w:color w:val="1C3A36"/>
                <w:sz w:val="16"/>
              </w:rPr>
              <w:t>Input</w:t>
            </w:r>
          </w:p>
        </w:tc>
        <w:tc>
          <w:tcPr>
            <w:tcW w:type="dxa" w:w="1296"/>
            <w:shd w:val="clear" w:color="auto" w:fill="EAF0EE"/>
          </w:tcPr>
          <w:p>
            <w:pPr>
              <w:spacing w:after="20"/>
            </w:pPr>
            <w:r>
              <w:rPr>
                <w:b/>
                <w:color w:val="1C3A36"/>
                <w:sz w:val="16"/>
              </w:rPr>
              <w:t>Value</w:t>
            </w:r>
          </w:p>
        </w:tc>
        <w:tc>
          <w:tcPr>
            <w:tcW w:type="dxa" w:w="1224"/>
            <w:shd w:val="clear" w:color="auto" w:fill="EAF0EE"/>
          </w:tcPr>
          <w:p>
            <w:pPr>
              <w:spacing w:after="20"/>
            </w:pPr>
            <w:r>
              <w:rPr>
                <w:b/>
                <w:color w:val="1C3A36"/>
                <w:sz w:val="16"/>
              </w:rPr>
              <w:t>Date</w:t>
            </w:r>
          </w:p>
        </w:tc>
        <w:tc>
          <w:tcPr>
            <w:tcW w:type="dxa" w:w="5472"/>
            <w:shd w:val="clear" w:color="auto" w:fill="EAF0EE"/>
          </w:tcPr>
          <w:p>
            <w:pPr>
              <w:spacing w:after="20"/>
            </w:pPr>
            <w:r>
              <w:rPr>
                <w:b/>
                <w:color w:val="1C3A36"/>
                <w:sz w:val="16"/>
              </w:rPr>
              <w:t>Source and construction</w:t>
            </w:r>
          </w:p>
        </w:tc>
      </w:tr>
      <w:tr>
        <w:tc>
          <w:tcPr>
            <w:tcW w:type="dxa" w:w="2088"/>
          </w:tcPr>
          <w:p>
            <w:pPr>
              <w:spacing w:after="20"/>
            </w:pPr>
            <w:r>
              <w:rPr>
                <w:color w:val="1C3A36"/>
                <w:sz w:val="16"/>
              </w:rPr>
              <w:t>beta raw</w:t>
            </w:r>
          </w:p>
        </w:tc>
        <w:tc>
          <w:tcPr>
            <w:tcW w:type="dxa" w:w="1296"/>
          </w:tcPr>
          <w:p>
            <w:pPr>
              <w:spacing w:after="20"/>
              <w:jc w:val="right"/>
            </w:pPr>
            <w:r>
              <w:rPr>
                <w:color w:val="1C3A36"/>
                <w:sz w:val="16"/>
              </w:rPr>
              <w:t>0.6640</w:t>
            </w:r>
          </w:p>
        </w:tc>
        <w:tc>
          <w:tcPr>
            <w:tcW w:type="dxa" w:w="1224"/>
          </w:tcPr>
          <w:p>
            <w:pPr>
              <w:spacing w:after="20"/>
              <w:jc w:val="right"/>
            </w:pPr>
            <w:r>
              <w:rPr>
                <w:color w:val="1C3A36"/>
                <w:sz w:val="16"/>
              </w:rPr>
              <w:t>2026-08-07</w:t>
            </w:r>
          </w:p>
        </w:tc>
        <w:tc>
          <w:tcPr>
            <w:tcW w:type="dxa" w:w="5472"/>
          </w:tcPr>
          <w:p>
            <w:pPr>
              <w:spacing w:after="20"/>
              <w:jc w:val="right"/>
            </w:pPr>
            <w:r>
              <w:rPr>
                <w:color w:val="1C3A36"/>
                <w:sz w:val="16"/>
              </w:rPr>
              <w:t>Own-stock 5-year weekly regression against an equal-weight ADX composite built from the full committed 18-name UAE price library; n=249 weekly observations, R-squared 0.160, standard error 0.097, 90% interval 0.50 to 0.82. Clears the regression usability gate (n&gt;=24, R-squared&gt;=5%, standard error below the absolute beta), so the first tier of the beta hierarchy applies and no peer beta is needed. Source: engine/adnocdrill_study/beta_reg.py</w:t>
            </w:r>
          </w:p>
        </w:tc>
      </w:tr>
      <w:tr>
        <w:tc>
          <w:tcPr>
            <w:tcW w:type="dxa" w:w="2088"/>
          </w:tcPr>
          <w:p>
            <w:pPr>
              <w:spacing w:after="20"/>
            </w:pPr>
            <w:r>
              <w:rPr>
                <w:color w:val="1C3A36"/>
                <w:sz w:val="16"/>
              </w:rPr>
              <w:t>spot aed</w:t>
            </w:r>
          </w:p>
        </w:tc>
        <w:tc>
          <w:tcPr>
            <w:tcW w:type="dxa" w:w="1296"/>
          </w:tcPr>
          <w:p>
            <w:pPr>
              <w:spacing w:after="20"/>
              <w:jc w:val="right"/>
            </w:pPr>
            <w:r>
              <w:rPr>
                <w:color w:val="1C3A36"/>
                <w:sz w:val="16"/>
              </w:rPr>
              <w:t>5.940</w:t>
            </w:r>
          </w:p>
        </w:tc>
        <w:tc>
          <w:tcPr>
            <w:tcW w:type="dxa" w:w="1224"/>
          </w:tcPr>
          <w:p>
            <w:pPr>
              <w:spacing w:after="20"/>
              <w:jc w:val="right"/>
            </w:pPr>
            <w:r>
              <w:rPr>
                <w:color w:val="1C3A36"/>
                <w:sz w:val="16"/>
              </w:rPr>
              <w:t>2026-08-07</w:t>
            </w:r>
          </w:p>
        </w:tc>
        <w:tc>
          <w:tcPr>
            <w:tcW w:type="dxa" w:w="5472"/>
          </w:tcPr>
          <w:p>
            <w:pPr>
              <w:spacing w:after="20"/>
              <w:jc w:val="right"/>
            </w:pPr>
            <w:r>
              <w:rPr>
                <w:color w:val="1C3A36"/>
                <w:sz w:val="16"/>
              </w:rPr>
              <w:t>Uploaded ADX daily price history for ADNOCDRILL, last close 07-Aug-2026</w:t>
            </w:r>
          </w:p>
        </w:tc>
      </w:tr>
    </w:tbl>
    <w:p>
      <w:pPr>
        <w:spacing w:after="40"/>
      </w:pPr>
    </w:p>
    <w:p>
      <w:pPr>
        <w:spacing w:after="80" w:before="200"/>
      </w:pPr>
      <w:r>
        <w:rPr>
          <w:b/>
          <w:i w:val="0"/>
          <w:color w:val="1C3A36"/>
          <w:sz w:val="24"/>
        </w:rPr>
        <w:t>Analyst judgement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1296"/>
        <w:gridCol w:w="1224"/>
        <w:gridCol w:w="5472"/>
      </w:tblGrid>
      <w:tr>
        <w:tc>
          <w:tcPr>
            <w:tcW w:type="dxa" w:w="2088"/>
            <w:shd w:val="clear" w:color="auto" w:fill="EAF0EE"/>
          </w:tcPr>
          <w:p>
            <w:pPr>
              <w:spacing w:after="20"/>
            </w:pPr>
            <w:r>
              <w:rPr>
                <w:b/>
                <w:color w:val="1C3A36"/>
                <w:sz w:val="16"/>
              </w:rPr>
              <w:t>Input</w:t>
            </w:r>
          </w:p>
        </w:tc>
        <w:tc>
          <w:tcPr>
            <w:tcW w:type="dxa" w:w="1296"/>
            <w:shd w:val="clear" w:color="auto" w:fill="EAF0EE"/>
          </w:tcPr>
          <w:p>
            <w:pPr>
              <w:spacing w:after="20"/>
            </w:pPr>
            <w:r>
              <w:rPr>
                <w:b/>
                <w:color w:val="1C3A36"/>
                <w:sz w:val="16"/>
              </w:rPr>
              <w:t>Value</w:t>
            </w:r>
          </w:p>
        </w:tc>
        <w:tc>
          <w:tcPr>
            <w:tcW w:type="dxa" w:w="1224"/>
            <w:shd w:val="clear" w:color="auto" w:fill="EAF0EE"/>
          </w:tcPr>
          <w:p>
            <w:pPr>
              <w:spacing w:after="20"/>
            </w:pPr>
            <w:r>
              <w:rPr>
                <w:b/>
                <w:color w:val="1C3A36"/>
                <w:sz w:val="16"/>
              </w:rPr>
              <w:t>Date</w:t>
            </w:r>
          </w:p>
        </w:tc>
        <w:tc>
          <w:tcPr>
            <w:tcW w:type="dxa" w:w="5472"/>
            <w:shd w:val="clear" w:color="auto" w:fill="EAF0EE"/>
          </w:tcPr>
          <w:p>
            <w:pPr>
              <w:spacing w:after="20"/>
            </w:pPr>
            <w:r>
              <w:rPr>
                <w:b/>
                <w:color w:val="1C3A36"/>
                <w:sz w:val="16"/>
              </w:rPr>
              <w:t>Source and construction</w:t>
            </w:r>
          </w:p>
        </w:tc>
      </w:tr>
      <w:tr>
        <w:tc>
          <w:tcPr>
            <w:tcW w:type="dxa" w:w="2088"/>
          </w:tcPr>
          <w:p>
            <w:pPr>
              <w:spacing w:after="20"/>
            </w:pPr>
            <w:r>
              <w:rPr>
                <w:color w:val="1C3A36"/>
                <w:sz w:val="16"/>
              </w:rPr>
              <w:t>rev per rig regional</w:t>
            </w:r>
          </w:p>
        </w:tc>
        <w:tc>
          <w:tcPr>
            <w:tcW w:type="dxa" w:w="1296"/>
          </w:tcPr>
          <w:p>
            <w:pPr>
              <w:spacing w:after="20"/>
              <w:jc w:val="right"/>
            </w:pPr>
            <w:r>
              <w:rPr>
                <w:color w:val="1C3A36"/>
                <w:sz w:val="16"/>
              </w:rPr>
              <w:t>8,000.0</w:t>
            </w:r>
          </w:p>
        </w:tc>
        <w:tc>
          <w:tcPr>
            <w:tcW w:type="dxa" w:w="1224"/>
          </w:tcPr>
          <w:p>
            <w:pPr>
              <w:spacing w:after="20"/>
              <w:jc w:val="right"/>
            </w:pPr>
            <w:r>
              <w:rPr>
                <w:color w:val="1C3A36"/>
                <w:sz w:val="16"/>
              </w:rPr>
              <w:t>2026-07-30</w:t>
            </w:r>
          </w:p>
        </w:tc>
        <w:tc>
          <w:tcPr>
            <w:tcW w:type="dxa" w:w="5472"/>
          </w:tcPr>
          <w:p>
            <w:pPr>
              <w:spacing w:after="20"/>
              <w:jc w:val="right"/>
            </w:pPr>
            <w:r>
              <w:rPr>
                <w:color w:val="1C3A36"/>
                <w:sz w:val="16"/>
              </w:rPr>
              <w:t>Revenue per regional land rig-year, USD thousands. Derived, not assumed: 1H-2026 Onshore revenue of $1,031 million less roughly $35 million of unconventional land drilling leaves $996 million; the Abu Dhabi conventional fleet at its disclosed FY2025 realised rate accounts for approximately $920 million of that, leaving about $76 million earned across an average of roughly 19 regional rigs in the half (8 SLDC rigs from January, 22 MBPS rigs part-period). That is about $8.0 million per rig-year, roughly 40% of the Abu Dhabi rate, consistent with smaller land rigs on Oman and Kuwait terms</w:t>
            </w:r>
          </w:p>
        </w:tc>
      </w:tr>
      <w:tr>
        <w:tc>
          <w:tcPr>
            <w:tcW w:type="dxa" w:w="2088"/>
          </w:tcPr>
          <w:p>
            <w:pPr>
              <w:spacing w:after="20"/>
            </w:pPr>
            <w:r>
              <w:rPr>
                <w:color w:val="1C3A36"/>
                <w:sz w:val="16"/>
              </w:rPr>
              <w:t>terminal growth A</w:t>
            </w:r>
          </w:p>
        </w:tc>
        <w:tc>
          <w:tcPr>
            <w:tcW w:type="dxa" w:w="1296"/>
          </w:tcPr>
          <w:p>
            <w:pPr>
              <w:spacing w:after="20"/>
              <w:jc w:val="right"/>
            </w:pPr>
            <w:r>
              <w:rPr>
                <w:color w:val="1C3A36"/>
                <w:sz w:val="16"/>
              </w:rPr>
              <w:t>0.0250</w:t>
            </w:r>
          </w:p>
        </w:tc>
        <w:tc>
          <w:tcPr>
            <w:tcW w:type="dxa" w:w="1224"/>
          </w:tcPr>
          <w:p>
            <w:pPr>
              <w:spacing w:after="20"/>
              <w:jc w:val="right"/>
            </w:pPr>
            <w:r>
              <w:rPr>
                <w:color w:val="1C3A36"/>
                <w:sz w:val="16"/>
              </w:rPr>
              <w:t>2026-08-07</w:t>
            </w:r>
          </w:p>
        </w:tc>
        <w:tc>
          <w:tcPr>
            <w:tcW w:type="dxa" w:w="5472"/>
          </w:tcPr>
          <w:p>
            <w:pPr>
              <w:spacing w:after="20"/>
              <w:jc w:val="right"/>
            </w:pPr>
            <w:r>
              <w:rPr>
                <w:color w:val="1C3A36"/>
                <w:sz w:val="16"/>
              </w:rPr>
              <w:t>Terminal nominal growth under the continued-expansion framing. Sits below long-run United States inflation expectations of 2.25% plus real regional activity growth, and below the 3.0% ceiling a mature contract driller could justify</w:t>
            </w:r>
          </w:p>
        </w:tc>
      </w:tr>
      <w:tr>
        <w:tc>
          <w:tcPr>
            <w:tcW w:type="dxa" w:w="2088"/>
          </w:tcPr>
          <w:p>
            <w:pPr>
              <w:spacing w:after="20"/>
            </w:pPr>
            <w:r>
              <w:rPr>
                <w:color w:val="1C3A36"/>
                <w:sz w:val="16"/>
              </w:rPr>
              <w:t>terminal growth B</w:t>
            </w:r>
          </w:p>
        </w:tc>
        <w:tc>
          <w:tcPr>
            <w:tcW w:type="dxa" w:w="1296"/>
          </w:tcPr>
          <w:p>
            <w:pPr>
              <w:spacing w:after="20"/>
              <w:jc w:val="right"/>
            </w:pPr>
            <w:r>
              <w:rPr>
                <w:color w:val="1C3A36"/>
                <w:sz w:val="16"/>
              </w:rPr>
              <w:t>0.0150</w:t>
            </w:r>
          </w:p>
        </w:tc>
        <w:tc>
          <w:tcPr>
            <w:tcW w:type="dxa" w:w="1224"/>
          </w:tcPr>
          <w:p>
            <w:pPr>
              <w:spacing w:after="20"/>
              <w:jc w:val="right"/>
            </w:pPr>
            <w:r>
              <w:rPr>
                <w:color w:val="1C3A36"/>
                <w:sz w:val="16"/>
              </w:rPr>
              <w:t>2026-08-07</w:t>
            </w:r>
          </w:p>
        </w:tc>
        <w:tc>
          <w:tcPr>
            <w:tcW w:type="dxa" w:w="5472"/>
          </w:tcPr>
          <w:p>
            <w:pPr>
              <w:spacing w:after="20"/>
              <w:jc w:val="right"/>
            </w:pPr>
            <w:r>
              <w:rPr>
                <w:color w:val="1C3A36"/>
                <w:sz w:val="16"/>
              </w:rPr>
              <w:t>Terminal nominal growth under the capacity-plateau framing — the domestic fleet stops growing once the five-million-barrel-per-day capacity target is met, so nominal growth is contract escalation only</w:t>
            </w:r>
          </w:p>
        </w:tc>
      </w:tr>
      <w:tr>
        <w:tc>
          <w:tcPr>
            <w:tcW w:type="dxa" w:w="2088"/>
          </w:tcPr>
          <w:p>
            <w:pPr>
              <w:spacing w:after="20"/>
            </w:pPr>
            <w:r>
              <w:rPr>
                <w:color w:val="1C3A36"/>
                <w:sz w:val="16"/>
              </w:rPr>
              <w:t>terminal roic</w:t>
            </w:r>
          </w:p>
        </w:tc>
        <w:tc>
          <w:tcPr>
            <w:tcW w:type="dxa" w:w="1296"/>
          </w:tcPr>
          <w:p>
            <w:pPr>
              <w:spacing w:after="20"/>
              <w:jc w:val="right"/>
            </w:pPr>
            <w:r>
              <w:rPr>
                <w:color w:val="1C3A36"/>
                <w:sz w:val="16"/>
              </w:rPr>
              <w:t>0.1800</w:t>
            </w:r>
          </w:p>
        </w:tc>
        <w:tc>
          <w:tcPr>
            <w:tcW w:type="dxa" w:w="1224"/>
          </w:tcPr>
          <w:p>
            <w:pPr>
              <w:spacing w:after="20"/>
              <w:jc w:val="right"/>
            </w:pPr>
            <w:r>
              <w:rPr>
                <w:color w:val="1C3A36"/>
                <w:sz w:val="16"/>
              </w:rPr>
              <w:t>2026-08-07</w:t>
            </w:r>
          </w:p>
        </w:tc>
        <w:tc>
          <w:tcPr>
            <w:tcW w:type="dxa" w:w="5472"/>
          </w:tcPr>
          <w:p>
            <w:pPr>
              <w:spacing w:after="20"/>
              <w:jc w:val="right"/>
            </w:pPr>
            <w:r>
              <w:rPr>
                <w:color w:val="1C3A36"/>
                <w:sz w:val="16"/>
              </w:rPr>
              <w:t>Terminal after-tax return on invested capital. The company earned a 23% return on capital employed in FY2025 and again in 1H-2026 (both disclosed in the MD&amp;A financial summary). 18% fades that toward, but not to, a cost-of-capital return: the rig fleet is contracted to a single national oil company on terms that have sustained a 23% return through a full commodity cycle, so a fade to parity would contradict the observed record, while holding 23% in perpetuity would capitalise an incumbency that faces renegotiation at every contract roll</w:t>
            </w:r>
          </w:p>
        </w:tc>
      </w:tr>
      <w:tr>
        <w:tc>
          <w:tcPr>
            <w:tcW w:type="dxa" w:w="2088"/>
          </w:tcPr>
          <w:p>
            <w:pPr>
              <w:spacing w:after="20"/>
            </w:pPr>
            <w:r>
              <w:rPr>
                <w:color w:val="1C3A36"/>
                <w:sz w:val="16"/>
              </w:rPr>
              <w:t>unconv ebitda margin</w:t>
            </w:r>
          </w:p>
        </w:tc>
        <w:tc>
          <w:tcPr>
            <w:tcW w:type="dxa" w:w="1296"/>
          </w:tcPr>
          <w:p>
            <w:pPr>
              <w:spacing w:after="20"/>
              <w:jc w:val="right"/>
            </w:pPr>
            <w:r>
              <w:rPr>
                <w:color w:val="1C3A36"/>
                <w:sz w:val="16"/>
              </w:rPr>
              <w:t>0.0650</w:t>
            </w:r>
          </w:p>
        </w:tc>
        <w:tc>
          <w:tcPr>
            <w:tcW w:type="dxa" w:w="1224"/>
          </w:tcPr>
          <w:p>
            <w:pPr>
              <w:spacing w:after="20"/>
              <w:jc w:val="right"/>
            </w:pPr>
            <w:r>
              <w:rPr>
                <w:color w:val="1C3A36"/>
                <w:sz w:val="16"/>
              </w:rPr>
              <w:t>2026-08-07</w:t>
            </w:r>
          </w:p>
        </w:tc>
        <w:tc>
          <w:tcPr>
            <w:tcW w:type="dxa" w:w="5472"/>
          </w:tcPr>
          <w:p>
            <w:pPr>
              <w:spacing w:after="20"/>
              <w:jc w:val="right"/>
            </w:pPr>
            <w:r>
              <w:rPr>
                <w:color w:val="1C3A36"/>
                <w:sz w:val="16"/>
              </w:rPr>
              <w:t>EBITDA margin on unconventional revenue, triangulated three ways in the workbook rather than asserted: (i) the FY2025 disclosed conventional EBITDA margin of 51% applied to conventional revenue implies $50 million of EBITDA on $692 million of unconventional revenue, a 7.3% margin; (ii) the same arithmetic on FY2024's disclosed 52% implies a negative margin, but on a $117 million revenue base a half-point of rounding in the disclosed margin swings the answer by more than the answer itself, so it is reported and discarded; (iii) the FY2024-to-FY2025 incremental bridge — group EBITDA up $183 million on revenue up $869 million, of which $294 million of conventional revenue at 51% explains $150 million — leaves $33 million on $575 million of incremental unconventional revenue, a 5.8% margin. The average of the two usable estimates is 6.5%. This is the single most consequential fact about the unconventional programme: it is a large revenue line that carries almost no profit</w:t>
            </w:r>
          </w:p>
        </w:tc>
      </w:tr>
    </w:tbl>
    <w:p>
      <w:pPr>
        <w:spacing w:after="40"/>
      </w:pPr>
    </w:p>
    <w:p>
      <w:r>
        <w:br w:type="page"/>
      </w:r>
    </w:p>
    <w:p>
      <w:pPr>
        <w:spacing w:after="120" w:before="280"/>
      </w:pPr>
      <w:r>
        <w:rPr>
          <w:b/>
          <w:i w:val="0"/>
          <w:color w:val="1C3A36"/>
          <w:sz w:val="30"/>
        </w:rPr>
        <w:t>3. Judgements, and what would overturn each 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27"/>
        <w:gridCol w:w="2142"/>
        <w:gridCol w:w="3276"/>
        <w:gridCol w:w="2835"/>
      </w:tblGrid>
      <w:tr>
        <w:tc>
          <w:tcPr>
            <w:tcW w:type="dxa" w:w="1827"/>
            <w:shd w:val="clear" w:color="auto" w:fill="EAF0EE"/>
          </w:tcPr>
          <w:p>
            <w:pPr>
              <w:spacing w:after="20"/>
            </w:pPr>
            <w:r>
              <w:rPr>
                <w:b/>
                <w:color w:val="1C3A36"/>
                <w:sz w:val="16"/>
              </w:rPr>
              <w:t>Judgement</w:t>
            </w:r>
          </w:p>
        </w:tc>
        <w:tc>
          <w:tcPr>
            <w:tcW w:type="dxa" w:w="2142"/>
            <w:shd w:val="clear" w:color="auto" w:fill="EAF0EE"/>
          </w:tcPr>
          <w:p>
            <w:pPr>
              <w:spacing w:after="20"/>
            </w:pPr>
            <w:r>
              <w:rPr>
                <w:b/>
                <w:color w:val="1C3A36"/>
                <w:sz w:val="16"/>
              </w:rPr>
              <w:t>What was decided</w:t>
            </w:r>
          </w:p>
        </w:tc>
        <w:tc>
          <w:tcPr>
            <w:tcW w:type="dxa" w:w="3276"/>
            <w:shd w:val="clear" w:color="auto" w:fill="EAF0EE"/>
          </w:tcPr>
          <w:p>
            <w:pPr>
              <w:spacing w:after="20"/>
            </w:pPr>
            <w:r>
              <w:rPr>
                <w:b/>
                <w:color w:val="1C3A36"/>
                <w:sz w:val="16"/>
              </w:rPr>
              <w:t>Why</w:t>
            </w:r>
          </w:p>
        </w:tc>
        <w:tc>
          <w:tcPr>
            <w:tcW w:type="dxa" w:w="2835"/>
            <w:shd w:val="clear" w:color="auto" w:fill="EAF0EE"/>
          </w:tcPr>
          <w:p>
            <w:pPr>
              <w:spacing w:after="20"/>
            </w:pPr>
            <w:r>
              <w:rPr>
                <w:b/>
                <w:color w:val="1C3A36"/>
                <w:sz w:val="16"/>
              </w:rPr>
              <w:t>What would overturn it</w:t>
            </w:r>
          </w:p>
        </w:tc>
      </w:tr>
      <w:tr>
        <w:tc>
          <w:tcPr>
            <w:tcW w:type="dxa" w:w="1827"/>
          </w:tcPr>
          <w:p>
            <w:pPr>
              <w:spacing w:after="20"/>
            </w:pPr>
            <w:r>
              <w:rPr>
                <w:color w:val="1C3A36"/>
                <w:sz w:val="16"/>
              </w:rPr>
              <w:t>The company is an operating company, not a holding company</w:t>
            </w:r>
          </w:p>
        </w:tc>
        <w:tc>
          <w:tcPr>
            <w:tcW w:type="dxa" w:w="2142"/>
          </w:tcPr>
          <w:p>
            <w:pPr>
              <w:spacing w:after="20"/>
              <w:jc w:val="right"/>
            </w:pPr>
            <w:r>
              <w:rPr>
                <w:color w:val="1C3A36"/>
                <w:sz w:val="16"/>
              </w:rPr>
              <w:t>Valued on the cash its own fleet generates, primarily by discounted cash flow</w:t>
            </w:r>
          </w:p>
        </w:tc>
        <w:tc>
          <w:tcPr>
            <w:tcW w:type="dxa" w:w="3276"/>
          </w:tcPr>
          <w:p>
            <w:pPr>
              <w:spacing w:after="20"/>
              <w:jc w:val="right"/>
            </w:pPr>
            <w:r>
              <w:rPr>
                <w:color w:val="1C3A36"/>
                <w:sz w:val="16"/>
              </w:rPr>
              <w:t>Three operating segments with no inter-segment sales, property and equipment two-thirds of total assets, no lending book, no investment property, and only two small equity-accounted service joint ventures</w:t>
            </w:r>
          </w:p>
        </w:tc>
        <w:tc>
          <w:tcPr>
            <w:tcW w:type="dxa" w:w="2835"/>
          </w:tcPr>
          <w:p>
            <w:pPr>
              <w:spacing w:after="20"/>
              <w:jc w:val="right"/>
            </w:pPr>
            <w:r>
              <w:rPr>
                <w:color w:val="1C3A36"/>
                <w:sz w:val="16"/>
              </w:rPr>
              <w:t>A restructuring that turned the company into a holder of stakes rather than an operator</w:t>
            </w:r>
          </w:p>
        </w:tc>
      </w:tr>
      <w:tr>
        <w:tc>
          <w:tcPr>
            <w:tcW w:type="dxa" w:w="1827"/>
          </w:tcPr>
          <w:p>
            <w:pPr>
              <w:spacing w:after="20"/>
            </w:pPr>
            <w:r>
              <w:rPr>
                <w:color w:val="1C3A36"/>
                <w:sz w:val="16"/>
              </w:rPr>
              <w:t>The valuation runs in US dollars</w:t>
            </w:r>
          </w:p>
        </w:tc>
        <w:tc>
          <w:tcPr>
            <w:tcW w:type="dxa" w:w="2142"/>
          </w:tcPr>
          <w:p>
            <w:pPr>
              <w:spacing w:after="20"/>
              <w:jc w:val="right"/>
            </w:pPr>
            <w:r>
              <w:rPr>
                <w:color w:val="1C3A36"/>
                <w:sz w:val="16"/>
              </w:rPr>
              <w:t>The model is built in dollars and converted to dirhams at the peg</w:t>
            </w:r>
          </w:p>
        </w:tc>
        <w:tc>
          <w:tcPr>
            <w:tcW w:type="dxa" w:w="3276"/>
          </w:tcPr>
          <w:p>
            <w:pPr>
              <w:spacing w:after="20"/>
              <w:jc w:val="right"/>
            </w:pPr>
            <w:r>
              <w:rPr>
                <w:color w:val="1C3A36"/>
                <w:sz w:val="16"/>
              </w:rPr>
              <w:t>The company states in its accounts that the dollar is its functional and presentation currency; re-expressing three audited years into dirhams would add translation noise the source data does not contain</w:t>
            </w:r>
          </w:p>
        </w:tc>
        <w:tc>
          <w:tcPr>
            <w:tcW w:type="dxa" w:w="2835"/>
          </w:tcPr>
          <w:p>
            <w:pPr>
              <w:spacing w:after="20"/>
              <w:jc w:val="right"/>
            </w:pPr>
            <w:r>
              <w:rPr>
                <w:color w:val="1C3A36"/>
                <w:sz w:val="16"/>
              </w:rPr>
              <w:t>A change of functional currency, or the end of the dirham peg</w:t>
            </w:r>
          </w:p>
        </w:tc>
      </w:tr>
      <w:tr>
        <w:tc>
          <w:tcPr>
            <w:tcW w:type="dxa" w:w="1827"/>
          </w:tcPr>
          <w:p>
            <w:pPr>
              <w:spacing w:after="20"/>
            </w:pPr>
            <w:r>
              <w:rPr>
                <w:color w:val="1C3A36"/>
                <w:sz w:val="16"/>
              </w:rPr>
              <w:t>The terminal question is computed both ways rather than resolved</w:t>
            </w:r>
          </w:p>
        </w:tc>
        <w:tc>
          <w:tcPr>
            <w:tcW w:type="dxa" w:w="2142"/>
          </w:tcPr>
          <w:p>
            <w:pPr>
              <w:spacing w:after="20"/>
              <w:jc w:val="right"/>
            </w:pPr>
            <w:r>
              <w:rPr>
                <w:color w:val="1C3A36"/>
                <w:sz w:val="16"/>
              </w:rPr>
              <w:t>Two full discounted-cash-flow cases, weighted equally, published side by side</w:t>
            </w:r>
          </w:p>
        </w:tc>
        <w:tc>
          <w:tcPr>
            <w:tcW w:type="dxa" w:w="3276"/>
          </w:tcPr>
          <w:p>
            <w:pPr>
              <w:spacing w:after="20"/>
              <w:jc w:val="right"/>
            </w:pPr>
            <w:r>
              <w:rPr>
                <w:color w:val="1C3A36"/>
                <w:sz w:val="16"/>
              </w:rPr>
              <w:t>The company has explicitly declined to guide beyond 2026 until phasing is fixed, so there is no evidential basis on which to prefer one</w:t>
            </w:r>
          </w:p>
        </w:tc>
        <w:tc>
          <w:tcPr>
            <w:tcW w:type="dxa" w:w="2835"/>
          </w:tcPr>
          <w:p>
            <w:pPr>
              <w:spacing w:after="20"/>
              <w:jc w:val="right"/>
            </w:pPr>
            <w:r>
              <w:rPr>
                <w:color w:val="1C3A36"/>
                <w:sz w:val="16"/>
              </w:rPr>
              <w:t>Published 2027 and medium-term guidance</w:t>
            </w:r>
          </w:p>
        </w:tc>
      </w:tr>
      <w:tr>
        <w:tc>
          <w:tcPr>
            <w:tcW w:type="dxa" w:w="1827"/>
          </w:tcPr>
          <w:p>
            <w:pPr>
              <w:spacing w:after="20"/>
            </w:pPr>
            <w:r>
              <w:rPr>
                <w:color w:val="1C3A36"/>
                <w:sz w:val="16"/>
              </w:rPr>
              <w:t>The beta is the company's own regression</w:t>
            </w:r>
          </w:p>
        </w:tc>
        <w:tc>
          <w:tcPr>
            <w:tcW w:type="dxa" w:w="2142"/>
          </w:tcPr>
          <w:p>
            <w:pPr>
              <w:spacing w:after="20"/>
              <w:jc w:val="right"/>
            </w:pPr>
            <w:r>
              <w:rPr>
                <w:color w:val="1C3A36"/>
                <w:sz w:val="16"/>
              </w:rPr>
              <w:t>0.664, from a five-year weekly regression against a local composite</w:t>
            </w:r>
          </w:p>
        </w:tc>
        <w:tc>
          <w:tcPr>
            <w:tcW w:type="dxa" w:w="3276"/>
          </w:tcPr>
          <w:p>
            <w:pPr>
              <w:spacing w:after="20"/>
              <w:jc w:val="right"/>
            </w:pPr>
            <w:r>
              <w:rPr>
                <w:color w:val="1C3A36"/>
                <w:sz w:val="16"/>
              </w:rPr>
              <w:t>The listing dates from October 2021, so a full five-year window exists and clears the usability standard: 249 observations, R-squared 0.160, standard error 0.097</w:t>
            </w:r>
          </w:p>
        </w:tc>
        <w:tc>
          <w:tcPr>
            <w:tcW w:type="dxa" w:w="2835"/>
          </w:tcPr>
          <w:p>
            <w:pPr>
              <w:spacing w:after="20"/>
              <w:jc w:val="right"/>
            </w:pPr>
            <w:r>
              <w:rPr>
                <w:color w:val="1C3A36"/>
                <w:sz w:val="16"/>
              </w:rPr>
              <w:t>A materially different beta from a longer record, or a stress episode that breaks the historical correlation. The valuation is more sensitive to this than to any other input</w:t>
            </w:r>
          </w:p>
        </w:tc>
      </w:tr>
      <w:tr>
        <w:tc>
          <w:tcPr>
            <w:tcW w:type="dxa" w:w="1827"/>
          </w:tcPr>
          <w:p>
            <w:pPr>
              <w:spacing w:after="20"/>
            </w:pPr>
            <w:r>
              <w:rPr>
                <w:color w:val="1C3A36"/>
                <w:sz w:val="16"/>
              </w:rPr>
              <w:t>The cost of debt is term-matched, not spot</w:t>
            </w:r>
          </w:p>
        </w:tc>
        <w:tc>
          <w:tcPr>
            <w:tcW w:type="dxa" w:w="2142"/>
          </w:tcPr>
          <w:p>
            <w:pPr>
              <w:spacing w:after="20"/>
              <w:jc w:val="right"/>
            </w:pPr>
            <w:r>
              <w:rPr>
                <w:color w:val="1C3A36"/>
                <w:sz w:val="16"/>
              </w:rPr>
              <w:t>5.15%, the five-year Treasury yield plus the company's own 0.75% facility margin</w:t>
            </w:r>
          </w:p>
        </w:tc>
        <w:tc>
          <w:tcPr>
            <w:tcW w:type="dxa" w:w="3276"/>
          </w:tcPr>
          <w:p>
            <w:pPr>
              <w:spacing w:after="20"/>
              <w:jc w:val="right"/>
            </w:pPr>
            <w:r>
              <w:rPr>
                <w:color w:val="1C3A36"/>
                <w:sz w:val="16"/>
              </w:rPr>
              <w:t>A five-year facility should be priced off a five-year rate. The spot floating cost and the trailing accounting rate were both computed and both fail the test that a same-currency corporate cannot borrow below its own sovereign</w:t>
            </w:r>
          </w:p>
        </w:tc>
        <w:tc>
          <w:tcPr>
            <w:tcW w:type="dxa" w:w="2835"/>
          </w:tcPr>
          <w:p>
            <w:pPr>
              <w:spacing w:after="20"/>
              <w:jc w:val="right"/>
            </w:pPr>
            <w:r>
              <w:rPr>
                <w:color w:val="1C3A36"/>
                <w:sz w:val="16"/>
              </w:rPr>
              <w:t>A new facility priced differently, or a change in the sovereign spread</w:t>
            </w:r>
          </w:p>
        </w:tc>
      </w:tr>
      <w:tr>
        <w:tc>
          <w:tcPr>
            <w:tcW w:type="dxa" w:w="1827"/>
          </w:tcPr>
          <w:p>
            <w:pPr>
              <w:spacing w:after="20"/>
            </w:pPr>
            <w:r>
              <w:rPr>
                <w:color w:val="1C3A36"/>
                <w:sz w:val="16"/>
              </w:rPr>
              <w:t>The unconventional programme earns almost no margin</w:t>
            </w:r>
          </w:p>
        </w:tc>
        <w:tc>
          <w:tcPr>
            <w:tcW w:type="dxa" w:w="2142"/>
          </w:tcPr>
          <w:p>
            <w:pPr>
              <w:spacing w:after="20"/>
              <w:jc w:val="right"/>
            </w:pPr>
            <w:r>
              <w:rPr>
                <w:color w:val="1C3A36"/>
                <w:sz w:val="16"/>
              </w:rPr>
              <w:t>6.5% EBITDA margin, triangulated two ways in the workbook and averaged there</w:t>
            </w:r>
          </w:p>
        </w:tc>
        <w:tc>
          <w:tcPr>
            <w:tcW w:type="dxa" w:w="3276"/>
          </w:tcPr>
          <w:p>
            <w:pPr>
              <w:spacing w:after="20"/>
              <w:jc w:val="right"/>
            </w:pPr>
            <w:r>
              <w:rPr>
                <w:color w:val="1C3A36"/>
                <w:sz w:val="16"/>
              </w:rPr>
              <w:t>The company discloses a conventional EBITDA margin separately from the group margin; the difference between them, applied to the disclosed unconventional revenue, is what is left</w:t>
            </w:r>
          </w:p>
        </w:tc>
        <w:tc>
          <w:tcPr>
            <w:tcW w:type="dxa" w:w="2835"/>
          </w:tcPr>
          <w:p>
            <w:pPr>
              <w:spacing w:after="20"/>
              <w:jc w:val="right"/>
            </w:pPr>
            <w:r>
              <w:rPr>
                <w:color w:val="1C3A36"/>
                <w:sz w:val="16"/>
              </w:rPr>
              <w:t>A disclosed segment margin for the unconventional business, or a materially different group margin once the programme runs off</w:t>
            </w:r>
          </w:p>
        </w:tc>
      </w:tr>
      <w:tr>
        <w:tc>
          <w:tcPr>
            <w:tcW w:type="dxa" w:w="1827"/>
          </w:tcPr>
          <w:p>
            <w:pPr>
              <w:spacing w:after="20"/>
            </w:pPr>
            <w:r>
              <w:rPr>
                <w:color w:val="1C3A36"/>
                <w:sz w:val="16"/>
              </w:rPr>
              <w:t>Revenue per regional rig is roughly 40% of the Abu Dhabi rate</w:t>
            </w:r>
          </w:p>
        </w:tc>
        <w:tc>
          <w:tcPr>
            <w:tcW w:type="dxa" w:w="2142"/>
          </w:tcPr>
          <w:p>
            <w:pPr>
              <w:spacing w:after="20"/>
              <w:jc w:val="right"/>
            </w:pPr>
            <w:r>
              <w:rPr>
                <w:color w:val="1C3A36"/>
                <w:sz w:val="16"/>
              </w:rPr>
              <w:t>USD 8.0 million per rig-year</w:t>
            </w:r>
          </w:p>
        </w:tc>
        <w:tc>
          <w:tcPr>
            <w:tcW w:type="dxa" w:w="3276"/>
          </w:tcPr>
          <w:p>
            <w:pPr>
              <w:spacing w:after="20"/>
              <w:jc w:val="right"/>
            </w:pPr>
            <w:r>
              <w:rPr>
                <w:color w:val="1C3A36"/>
                <w:sz w:val="16"/>
              </w:rPr>
              <w:t>Derived by subtracting the Abu Dhabi fleet at its disclosed realised rate from the reported first-half onshore revenue, leaving what the regional rigs earned</w:t>
            </w:r>
          </w:p>
        </w:tc>
        <w:tc>
          <w:tcPr>
            <w:tcW w:type="dxa" w:w="2835"/>
          </w:tcPr>
          <w:p>
            <w:pPr>
              <w:spacing w:after="20"/>
              <w:jc w:val="right"/>
            </w:pPr>
            <w:r>
              <w:rPr>
                <w:color w:val="1C3A36"/>
                <w:sz w:val="16"/>
              </w:rPr>
              <w:t>A full year of reported regional data, which does not yet exist</w:t>
            </w:r>
          </w:p>
        </w:tc>
      </w:tr>
      <w:tr>
        <w:tc>
          <w:tcPr>
            <w:tcW w:type="dxa" w:w="1827"/>
          </w:tcPr>
          <w:p>
            <w:pPr>
              <w:spacing w:after="20"/>
            </w:pPr>
            <w:r>
              <w:rPr>
                <w:color w:val="1C3A36"/>
                <w:sz w:val="16"/>
              </w:rPr>
              <w:t>Terminal return on invested capital fades to 18%</w:t>
            </w:r>
          </w:p>
        </w:tc>
        <w:tc>
          <w:tcPr>
            <w:tcW w:type="dxa" w:w="2142"/>
          </w:tcPr>
          <w:p>
            <w:pPr>
              <w:spacing w:after="20"/>
              <w:jc w:val="right"/>
            </w:pPr>
            <w:r>
              <w:rPr>
                <w:color w:val="1C3A36"/>
                <w:sz w:val="16"/>
              </w:rPr>
              <w:t>From a demonstrated 23% return on capital employed</w:t>
            </w:r>
          </w:p>
        </w:tc>
        <w:tc>
          <w:tcPr>
            <w:tcW w:type="dxa" w:w="3276"/>
          </w:tcPr>
          <w:p>
            <w:pPr>
              <w:spacing w:after="20"/>
              <w:jc w:val="right"/>
            </w:pPr>
            <w:r>
              <w:rPr>
                <w:color w:val="1C3A36"/>
                <w:sz w:val="16"/>
              </w:rPr>
              <w:t>Holding 23% in perpetuity capitalises an incumbency that faces renegotiation at every contract roll; fading to the cost of capital would contradict a record sustained through a full commodity cycle</w:t>
            </w:r>
          </w:p>
        </w:tc>
        <w:tc>
          <w:tcPr>
            <w:tcW w:type="dxa" w:w="2835"/>
          </w:tcPr>
          <w:p>
            <w:pPr>
              <w:spacing w:after="20"/>
              <w:jc w:val="right"/>
            </w:pPr>
            <w:r>
              <w:rPr>
                <w:color w:val="1C3A36"/>
                <w:sz w:val="16"/>
              </w:rPr>
              <w:t>A contract renewal at materially different terms</w:t>
            </w:r>
          </w:p>
        </w:tc>
      </w:tr>
      <w:tr>
        <w:tc>
          <w:tcPr>
            <w:tcW w:type="dxa" w:w="1827"/>
          </w:tcPr>
          <w:p>
            <w:pPr>
              <w:spacing w:after="20"/>
            </w:pPr>
            <w:r>
              <w:rPr>
                <w:color w:val="1C3A36"/>
                <w:sz w:val="16"/>
              </w:rPr>
              <w:t>Costs escalate one class at a time</w:t>
            </w:r>
          </w:p>
        </w:tc>
        <w:tc>
          <w:tcPr>
            <w:tcW w:type="dxa" w:w="2142"/>
          </w:tcPr>
          <w:p>
            <w:pPr>
              <w:spacing w:after="20"/>
              <w:jc w:val="right"/>
            </w:pPr>
            <w:r>
              <w:rPr>
                <w:color w:val="1C3A36"/>
                <w:sz w:val="16"/>
              </w:rPr>
              <w:t>A wage index on labour, an oilfield-services index on maintenance and equipment hire, and the commodity's own path on fuel</w:t>
            </w:r>
          </w:p>
        </w:tc>
        <w:tc>
          <w:tcPr>
            <w:tcW w:type="dxa" w:w="3276"/>
          </w:tcPr>
          <w:p>
            <w:pPr>
              <w:spacing w:after="20"/>
              <w:jc w:val="right"/>
            </w:pPr>
            <w:r>
              <w:rPr>
                <w:color w:val="1C3A36"/>
                <w:sz w:val="16"/>
              </w:rPr>
              <w:t>A single blended index across physically different cost lines manufactures a margin trend that is an artifact of the assumption rather than of the business</w:t>
            </w:r>
          </w:p>
        </w:tc>
        <w:tc>
          <w:tcPr>
            <w:tcW w:type="dxa" w:w="2835"/>
          </w:tcPr>
          <w:p>
            <w:pPr>
              <w:spacing w:after="20"/>
              <w:jc w:val="right"/>
            </w:pPr>
            <w:r>
              <w:rPr>
                <w:color w:val="1C3A36"/>
                <w:sz w:val="16"/>
              </w:rPr>
              <w:t>Disclosure of the actual contractual escalation mechanics, which are not published</w:t>
            </w:r>
          </w:p>
        </w:tc>
      </w:tr>
      <w:tr>
        <w:tc>
          <w:tcPr>
            <w:tcW w:type="dxa" w:w="1827"/>
          </w:tcPr>
          <w:p>
            <w:pPr>
              <w:spacing w:after="20"/>
            </w:pPr>
            <w:r>
              <w:rPr>
                <w:color w:val="1C3A36"/>
                <w:sz w:val="16"/>
              </w:rPr>
              <w:t>Debt is held flat and only the guided dividend floor is paid</w:t>
            </w:r>
          </w:p>
        </w:tc>
        <w:tc>
          <w:tcPr>
            <w:tcW w:type="dxa" w:w="2142"/>
          </w:tcPr>
          <w:p>
            <w:pPr>
              <w:spacing w:after="20"/>
              <w:jc w:val="right"/>
            </w:pPr>
            <w:r>
              <w:rPr>
                <w:color w:val="1C3A36"/>
                <w:sz w:val="16"/>
              </w:rPr>
              <w:t>Cash accumulates and net debt turns negative by 2030</w:t>
            </w:r>
          </w:p>
        </w:tc>
        <w:tc>
          <w:tcPr>
            <w:tcW w:type="dxa" w:w="3276"/>
          </w:tcPr>
          <w:p>
            <w:pPr>
              <w:spacing w:after="20"/>
              <w:jc w:val="right"/>
            </w:pPr>
            <w:r>
              <w:rPr>
                <w:color w:val="1C3A36"/>
                <w:sz w:val="16"/>
              </w:rPr>
              <w:t>The company guides to leverage below 2.0 times and runs at 1.0 times, and the dividend floor is the only distribution it has committed to</w:t>
            </w:r>
          </w:p>
        </w:tc>
        <w:tc>
          <w:tcPr>
            <w:tcW w:type="dxa" w:w="2835"/>
          </w:tcPr>
          <w:p>
            <w:pPr>
              <w:spacing w:after="20"/>
              <w:jc w:val="right"/>
            </w:pPr>
            <w:r>
              <w:rPr>
                <w:color w:val="1C3A36"/>
                <w:sz w:val="16"/>
              </w:rPr>
              <w:t>Any capital-allocation announcement. This affects the forecast balance sheet, not the enterprise value</w:t>
            </w:r>
          </w:p>
        </w:tc>
      </w:tr>
    </w:tbl>
    <w:p>
      <w:pPr>
        <w:spacing w:after="40"/>
      </w:pPr>
    </w:p>
    <w:p>
      <w:r>
        <w:br w:type="page"/>
      </w:r>
    </w:p>
    <w:p>
      <w:pPr>
        <w:spacing w:after="120" w:before="280"/>
      </w:pPr>
      <w:r>
        <w:rPr>
          <w:b/>
          <w:i w:val="0"/>
          <w:color w:val="1C3A36"/>
          <w:sz w:val="30"/>
        </w:rPr>
        <w:t>4. Negative results — what was looked for and not found</w:t>
      </w:r>
    </w:p>
    <w:p>
      <w:pPr>
        <w:spacing w:after="120" w:before="0"/>
      </w:pPr>
      <w:r>
        <w:rPr>
          <w:b w:val="0"/>
          <w:i w:val="0"/>
          <w:color w:val="1C3A36"/>
          <w:sz w:val="21"/>
        </w:rPr>
        <w:t>A register of sources is only honest if it records the searches that failed. Each row below is something this study would have used and could not obtain, together with what was done instead.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53"/>
        <w:gridCol w:w="1953"/>
        <w:gridCol w:w="2961"/>
        <w:gridCol w:w="3213"/>
      </w:tblGrid>
      <w:tr>
        <w:tc>
          <w:tcPr>
            <w:tcW w:type="dxa" w:w="1953"/>
            <w:shd w:val="clear" w:color="auto" w:fill="EAF0EE"/>
          </w:tcPr>
          <w:p>
            <w:pPr>
              <w:spacing w:after="20"/>
            </w:pPr>
            <w:r>
              <w:rPr>
                <w:b/>
                <w:color w:val="1C3A36"/>
                <w:sz w:val="16"/>
              </w:rPr>
              <w:t>What was sought</w:t>
            </w:r>
          </w:p>
        </w:tc>
        <w:tc>
          <w:tcPr>
            <w:tcW w:type="dxa" w:w="1953"/>
            <w:shd w:val="clear" w:color="auto" w:fill="EAF0EE"/>
          </w:tcPr>
          <w:p>
            <w:pPr>
              <w:spacing w:after="20"/>
            </w:pPr>
            <w:r>
              <w:rPr>
                <w:b/>
                <w:color w:val="1C3A36"/>
                <w:sz w:val="16"/>
              </w:rPr>
              <w:t>Where</w:t>
            </w:r>
          </w:p>
        </w:tc>
        <w:tc>
          <w:tcPr>
            <w:tcW w:type="dxa" w:w="2961"/>
            <w:shd w:val="clear" w:color="auto" w:fill="EAF0EE"/>
          </w:tcPr>
          <w:p>
            <w:pPr>
              <w:spacing w:after="20"/>
            </w:pPr>
            <w:r>
              <w:rPr>
                <w:b/>
                <w:color w:val="1C3A36"/>
                <w:sz w:val="16"/>
              </w:rPr>
              <w:t>Outcome</w:t>
            </w:r>
          </w:p>
        </w:tc>
        <w:tc>
          <w:tcPr>
            <w:tcW w:type="dxa" w:w="3213"/>
            <w:shd w:val="clear" w:color="auto" w:fill="EAF0EE"/>
          </w:tcPr>
          <w:p>
            <w:pPr>
              <w:spacing w:after="20"/>
            </w:pPr>
            <w:r>
              <w:rPr>
                <w:b/>
                <w:color w:val="1C3A36"/>
                <w:sz w:val="16"/>
              </w:rPr>
              <w:t>What was done instead</w:t>
            </w:r>
          </w:p>
        </w:tc>
      </w:tr>
      <w:tr>
        <w:tc>
          <w:tcPr>
            <w:tcW w:type="dxa" w:w="1953"/>
          </w:tcPr>
          <w:p>
            <w:pPr>
              <w:spacing w:after="20"/>
            </w:pPr>
            <w:r>
              <w:rPr>
                <w:color w:val="1C3A36"/>
                <w:sz w:val="16"/>
              </w:rPr>
              <w:t>Contract tenor, day-rate mechanics and repricing terms</w:t>
            </w:r>
          </w:p>
        </w:tc>
        <w:tc>
          <w:tcPr>
            <w:tcW w:type="dxa" w:w="1953"/>
          </w:tcPr>
          <w:p>
            <w:pPr>
              <w:spacing w:after="20"/>
              <w:jc w:val="right"/>
            </w:pPr>
            <w:r>
              <w:rPr>
                <w:color w:val="1C3A36"/>
                <w:sz w:val="16"/>
              </w:rPr>
              <w:t>All annual and interim filings, all management commentary, the corporate presentation and the second-quarter 2026 earnings call transcript</w:t>
            </w:r>
          </w:p>
        </w:tc>
        <w:tc>
          <w:tcPr>
            <w:tcW w:type="dxa" w:w="2961"/>
          </w:tcPr>
          <w:p>
            <w:pPr>
              <w:spacing w:after="20"/>
              <w:jc w:val="right"/>
            </w:pPr>
            <w:r>
              <w:rPr>
                <w:color w:val="1C3A36"/>
                <w:sz w:val="16"/>
              </w:rPr>
              <w:t>Not disclosed anywhere. The company describes its revenue base as "highly contracted" and as supporting visibility "through at least 2030", but publishes no tenor, no rate and no escalation mechanism</w:t>
            </w:r>
          </w:p>
        </w:tc>
        <w:tc>
          <w:tcPr>
            <w:tcW w:type="dxa" w:w="3213"/>
          </w:tcPr>
          <w:p>
            <w:pPr>
              <w:spacing w:after="20"/>
              <w:jc w:val="right"/>
            </w:pPr>
            <w:r>
              <w:rPr>
                <w:color w:val="1C3A36"/>
                <w:sz w:val="16"/>
              </w:rPr>
              <w:t>Realised revenue per rig-year is derived from disclosed segment revenue and disclosed rig counts, and escalated at domestic inflation rather than at an assumed contractual rate. The gap is flagged in the study caveats</w:t>
            </w:r>
          </w:p>
        </w:tc>
      </w:tr>
      <w:tr>
        <w:tc>
          <w:tcPr>
            <w:tcW w:type="dxa" w:w="1953"/>
          </w:tcPr>
          <w:p>
            <w:pPr>
              <w:spacing w:after="20"/>
            </w:pPr>
            <w:r>
              <w:rPr>
                <w:color w:val="1C3A36"/>
                <w:sz w:val="16"/>
              </w:rPr>
              <w:t>Backlog on the basis other listed drillers report it</w:t>
            </w:r>
          </w:p>
        </w:tc>
        <w:tc>
          <w:tcPr>
            <w:tcW w:type="dxa" w:w="1953"/>
          </w:tcPr>
          <w:p>
            <w:pPr>
              <w:spacing w:after="20"/>
              <w:jc w:val="right"/>
            </w:pPr>
            <w:r>
              <w:rPr>
                <w:color w:val="1C3A36"/>
                <w:sz w:val="16"/>
              </w:rPr>
              <w:t>All filings</w:t>
            </w:r>
          </w:p>
        </w:tc>
        <w:tc>
          <w:tcPr>
            <w:tcW w:type="dxa" w:w="2961"/>
          </w:tcPr>
          <w:p>
            <w:pPr>
              <w:spacing w:after="20"/>
              <w:jc w:val="right"/>
            </w:pPr>
            <w:r>
              <w:rPr>
                <w:color w:val="1C3A36"/>
                <w:sz w:val="16"/>
              </w:rPr>
              <w:t>Not published. The accounts disclose USD 19.4 million of unsatisfied performance obligations, which is a revenue-recognition measure covering work already promised and not a contract backlog</w:t>
            </w:r>
          </w:p>
        </w:tc>
        <w:tc>
          <w:tcPr>
            <w:tcW w:type="dxa" w:w="3213"/>
          </w:tcPr>
          <w:p>
            <w:pPr>
              <w:spacing w:after="20"/>
              <w:jc w:val="right"/>
            </w:pPr>
            <w:r>
              <w:rPr>
                <w:color w:val="1C3A36"/>
                <w:sz w:val="16"/>
              </w:rPr>
              <w:t>The contracted-cash-flow expert treats the five forecast years as the contracted book rather than relying on a published backlog figure, and says so</w:t>
            </w:r>
          </w:p>
        </w:tc>
      </w:tr>
      <w:tr>
        <w:tc>
          <w:tcPr>
            <w:tcW w:type="dxa" w:w="1953"/>
          </w:tcPr>
          <w:p>
            <w:pPr>
              <w:spacing w:after="20"/>
            </w:pPr>
            <w:r>
              <w:rPr>
                <w:color w:val="1C3A36"/>
                <w:sz w:val="16"/>
              </w:rPr>
              <w:t>Guidance for 2027 and beyond</w:t>
            </w:r>
          </w:p>
        </w:tc>
        <w:tc>
          <w:tcPr>
            <w:tcW w:type="dxa" w:w="1953"/>
          </w:tcPr>
          <w:p>
            <w:pPr>
              <w:spacing w:after="20"/>
              <w:jc w:val="right"/>
            </w:pPr>
            <w:r>
              <w:rPr>
                <w:color w:val="1C3A36"/>
                <w:sz w:val="16"/>
              </w:rPr>
              <w:t>The full-year 2025 results, the first-quarter 2026 results and the first-half 2026 results</w:t>
            </w:r>
          </w:p>
        </w:tc>
        <w:tc>
          <w:tcPr>
            <w:tcW w:type="dxa" w:w="2961"/>
          </w:tcPr>
          <w:p>
            <w:pPr>
              <w:spacing w:after="20"/>
              <w:jc w:val="right"/>
            </w:pPr>
            <w:r>
              <w:rPr>
                <w:color w:val="1C3A36"/>
                <w:sz w:val="16"/>
              </w:rPr>
              <w:t>Withheld. The company states guidance will be provided "as the phasing for additional rigs and additional OFS volumes is finalized"</w:t>
            </w:r>
          </w:p>
        </w:tc>
        <w:tc>
          <w:tcPr>
            <w:tcW w:type="dxa" w:w="3213"/>
          </w:tcPr>
          <w:p>
            <w:pPr>
              <w:spacing w:after="20"/>
              <w:jc w:val="right"/>
            </w:pPr>
            <w:r>
              <w:rPr>
                <w:color w:val="1C3A36"/>
                <w:sz w:val="16"/>
              </w:rPr>
              <w:t>The study carries two full cases instead of one, weighted equally, and does not average them</w:t>
            </w:r>
          </w:p>
        </w:tc>
      </w:tr>
      <w:tr>
        <w:tc>
          <w:tcPr>
            <w:tcW w:type="dxa" w:w="1953"/>
          </w:tcPr>
          <w:p>
            <w:pPr>
              <w:spacing w:after="20"/>
            </w:pPr>
            <w:r>
              <w:rPr>
                <w:color w:val="1C3A36"/>
                <w:sz w:val="16"/>
              </w:rPr>
              <w:t>A separately disclosed margin for the unconventional business</w:t>
            </w:r>
          </w:p>
        </w:tc>
        <w:tc>
          <w:tcPr>
            <w:tcW w:type="dxa" w:w="1953"/>
          </w:tcPr>
          <w:p>
            <w:pPr>
              <w:spacing w:after="20"/>
              <w:jc w:val="right"/>
            </w:pPr>
            <w:r>
              <w:rPr>
                <w:color w:val="1C3A36"/>
                <w:sz w:val="16"/>
              </w:rPr>
              <w:t>All filings and management commentary</w:t>
            </w:r>
          </w:p>
        </w:tc>
        <w:tc>
          <w:tcPr>
            <w:tcW w:type="dxa" w:w="2961"/>
          </w:tcPr>
          <w:p>
            <w:pPr>
              <w:spacing w:after="20"/>
              <w:jc w:val="right"/>
            </w:pPr>
            <w:r>
              <w:rPr>
                <w:color w:val="1C3A36"/>
                <w:sz w:val="16"/>
              </w:rPr>
              <w:t>Not disclosed. Only a conventional margin and a group margin are published</w:t>
            </w:r>
          </w:p>
        </w:tc>
        <w:tc>
          <w:tcPr>
            <w:tcW w:type="dxa" w:w="3213"/>
          </w:tcPr>
          <w:p>
            <w:pPr>
              <w:spacing w:after="20"/>
              <w:jc w:val="right"/>
            </w:pPr>
            <w:r>
              <w:rPr>
                <w:color w:val="1C3A36"/>
                <w:sz w:val="16"/>
              </w:rPr>
              <w:t>The unconventional margin is inferred from the difference between the two, by two independent methods that are shown and averaged in the workbook</w:t>
            </w:r>
          </w:p>
        </w:tc>
      </w:tr>
      <w:tr>
        <w:tc>
          <w:tcPr>
            <w:tcW w:type="dxa" w:w="1953"/>
          </w:tcPr>
          <w:p>
            <w:pPr>
              <w:spacing w:after="20"/>
            </w:pPr>
            <w:r>
              <w:rPr>
                <w:color w:val="1C3A36"/>
                <w:sz w:val="16"/>
              </w:rPr>
              <w:t>Segment-level results for the acquired regional businesses</w:t>
            </w:r>
          </w:p>
        </w:tc>
        <w:tc>
          <w:tcPr>
            <w:tcW w:type="dxa" w:w="1953"/>
          </w:tcPr>
          <w:p>
            <w:pPr>
              <w:spacing w:after="20"/>
              <w:jc w:val="right"/>
            </w:pPr>
            <w:r>
              <w:rPr>
                <w:color w:val="1C3A36"/>
                <w:sz w:val="16"/>
              </w:rPr>
              <w:t>First-quarter and first-half 2026 filings</w:t>
            </w:r>
          </w:p>
        </w:tc>
        <w:tc>
          <w:tcPr>
            <w:tcW w:type="dxa" w:w="2961"/>
          </w:tcPr>
          <w:p>
            <w:pPr>
              <w:spacing w:after="20"/>
              <w:jc w:val="right"/>
            </w:pPr>
            <w:r>
              <w:rPr>
                <w:color w:val="1C3A36"/>
                <w:sz w:val="16"/>
              </w:rPr>
              <w:t>Not disclosed separately. The regional rigs are consolidated into the Onshore segment</w:t>
            </w:r>
          </w:p>
        </w:tc>
        <w:tc>
          <w:tcPr>
            <w:tcW w:type="dxa" w:w="3213"/>
          </w:tcPr>
          <w:p>
            <w:pPr>
              <w:spacing w:after="20"/>
              <w:jc w:val="right"/>
            </w:pPr>
            <w:r>
              <w:rPr>
                <w:color w:val="1C3A36"/>
                <w:sz w:val="16"/>
              </w:rPr>
              <w:t>Revenue per regional rig is derived by subtraction and flagged as the least well-supported unit rate in the model</w:t>
            </w:r>
          </w:p>
        </w:tc>
      </w:tr>
      <w:tr>
        <w:tc>
          <w:tcPr>
            <w:tcW w:type="dxa" w:w="1953"/>
          </w:tcPr>
          <w:p>
            <w:pPr>
              <w:spacing w:after="20"/>
            </w:pPr>
            <w:r>
              <w:rPr>
                <w:color w:val="1C3A36"/>
                <w:sz w:val="16"/>
              </w:rPr>
              <w:t>The exchange disclosure portal</w:t>
            </w:r>
          </w:p>
        </w:tc>
        <w:tc>
          <w:tcPr>
            <w:tcW w:type="dxa" w:w="1953"/>
          </w:tcPr>
          <w:p>
            <w:pPr>
              <w:spacing w:after="20"/>
              <w:jc w:val="right"/>
            </w:pPr>
            <w:r>
              <w:rPr>
                <w:color w:val="1C3A36"/>
                <w:sz w:val="16"/>
              </w:rPr>
              <w:t>adx.ae</w:t>
            </w:r>
          </w:p>
        </w:tc>
        <w:tc>
          <w:tcPr>
            <w:tcW w:type="dxa" w:w="2961"/>
          </w:tcPr>
          <w:p>
            <w:pPr>
              <w:spacing w:after="20"/>
              <w:jc w:val="right"/>
            </w:pPr>
            <w:r>
              <w:rPr>
                <w:color w:val="1C3A36"/>
                <w:sz w:val="16"/>
              </w:rPr>
              <w:t>Returned an access error from this environment on 9 August 2026</w:t>
            </w:r>
          </w:p>
        </w:tc>
        <w:tc>
          <w:tcPr>
            <w:tcW w:type="dxa" w:w="3213"/>
          </w:tcPr>
          <w:p>
            <w:pPr>
              <w:spacing w:after="20"/>
              <w:jc w:val="right"/>
            </w:pPr>
            <w:r>
              <w:rPr>
                <w:color w:val="1C3A36"/>
                <w:sz w:val="16"/>
              </w:rPr>
              <w:t>Not required. Every filing was obtained directly from the company, which is the primary source in any case</w:t>
            </w:r>
          </w:p>
        </w:tc>
      </w:tr>
      <w:tr>
        <w:tc>
          <w:tcPr>
            <w:tcW w:type="dxa" w:w="1953"/>
          </w:tcPr>
          <w:p>
            <w:pPr>
              <w:spacing w:after="20"/>
            </w:pPr>
            <w:r>
              <w:rPr>
                <w:color w:val="1C3A36"/>
                <w:sz w:val="16"/>
              </w:rPr>
              <w:t>A dirham-denominated government bond curve</w:t>
            </w:r>
          </w:p>
        </w:tc>
        <w:tc>
          <w:tcPr>
            <w:tcW w:type="dxa" w:w="1953"/>
          </w:tcPr>
          <w:p>
            <w:pPr>
              <w:spacing w:after="20"/>
              <w:jc w:val="right"/>
            </w:pPr>
            <w:r>
              <w:rPr>
                <w:color w:val="1C3A36"/>
                <w:sz w:val="16"/>
              </w:rPr>
              <w:t>The central bank of the United Arab Emirates and general market data sources</w:t>
            </w:r>
          </w:p>
        </w:tc>
        <w:tc>
          <w:tcPr>
            <w:tcW w:type="dxa" w:w="2961"/>
          </w:tcPr>
          <w:p>
            <w:pPr>
              <w:spacing w:after="20"/>
              <w:jc w:val="right"/>
            </w:pPr>
            <w:r>
              <w:rPr>
                <w:color w:val="1C3A36"/>
                <w:sz w:val="16"/>
              </w:rPr>
              <w:t>The central bank site returned an access error and the market data source refused the connection</w:t>
            </w:r>
          </w:p>
        </w:tc>
        <w:tc>
          <w:tcPr>
            <w:tcW w:type="dxa" w:w="3213"/>
          </w:tcPr>
          <w:p>
            <w:pPr>
              <w:spacing w:after="20"/>
              <w:jc w:val="right"/>
            </w:pPr>
            <w:r>
              <w:rPr>
                <w:color w:val="1C3A36"/>
                <w:sz w:val="16"/>
              </w:rPr>
              <w:t>Not required for the valuation, which is built in US dollars because the cash flows are. A dirham-basis cross-check would need this curve and is therefore not published rather than being estimated</w:t>
            </w:r>
          </w:p>
        </w:tc>
      </w:tr>
      <w:tr>
        <w:tc>
          <w:tcPr>
            <w:tcW w:type="dxa" w:w="1953"/>
          </w:tcPr>
          <w:p>
            <w:pPr>
              <w:spacing w:after="20"/>
            </w:pPr>
            <w:r>
              <w:rPr>
                <w:color w:val="1C3A36"/>
                <w:sz w:val="16"/>
              </w:rPr>
              <w:t>Peer rig counts, to compute enterprise value per rig</w:t>
            </w:r>
          </w:p>
        </w:tc>
        <w:tc>
          <w:tcPr>
            <w:tcW w:type="dxa" w:w="1953"/>
          </w:tcPr>
          <w:p>
            <w:pPr>
              <w:spacing w:after="20"/>
              <w:jc w:val="right"/>
            </w:pPr>
            <w:r>
              <w:rPr>
                <w:color w:val="1C3A36"/>
                <w:sz w:val="16"/>
              </w:rPr>
              <w:t>Peer disclosures</w:t>
            </w:r>
          </w:p>
        </w:tc>
        <w:tc>
          <w:tcPr>
            <w:tcW w:type="dxa" w:w="2961"/>
          </w:tcPr>
          <w:p>
            <w:pPr>
              <w:spacing w:after="20"/>
              <w:jc w:val="right"/>
            </w:pPr>
            <w:r>
              <w:rPr>
                <w:color w:val="1C3A36"/>
                <w:sz w:val="16"/>
              </w:rPr>
              <w:t>Not gathered. Collecting rig counts on a consistent definition across thirteen peers was beyond what the peer cross-check needed</w:t>
            </w:r>
          </w:p>
        </w:tc>
        <w:tc>
          <w:tcPr>
            <w:tcW w:type="dxa" w:w="3213"/>
          </w:tcPr>
          <w:p>
            <w:pPr>
              <w:spacing w:after="20"/>
              <w:jc w:val="right"/>
            </w:pPr>
            <w:r>
              <w:rPr>
                <w:color w:val="1C3A36"/>
                <w:sz w:val="16"/>
              </w:rPr>
              <w:t>The relative lens uses enterprise value to EBITDA, which is computable consistently from each peer's own reported figures</w:t>
            </w:r>
          </w:p>
        </w:tc>
      </w:tr>
    </w:tbl>
    <w:p>
      <w:pPr>
        <w:spacing w:after="40"/>
      </w:pPr>
    </w:p>
    <w:p>
      <w:pPr>
        <w:spacing w:after="120" w:before="280"/>
      </w:pPr>
      <w:r>
        <w:rPr>
          <w:b/>
          <w:i w:val="0"/>
          <w:color w:val="1C3A36"/>
          <w:sz w:val="30"/>
        </w:rPr>
        <w:t>5. Third-party data, and where it disagrees</w:t>
      </w:r>
    </w:p>
    <w:p>
      <w:pPr>
        <w:spacing w:after="120" w:before="0"/>
      </w:pPr>
      <w:r>
        <w:rPr>
          <w:b w:val="0"/>
          <w:i w:val="0"/>
          <w:color w:val="1C3A36"/>
          <w:sz w:val="21"/>
        </w:rPr>
        <w:t>Third-party data appears in exactly one place in this study: the peer comparison. Peer prices are market observations at the close on 7 August 2026; peer revenue, EBITDA, debt, cash and share counts are each company's own reported figures as redistributed by a market data service. That is a cross-check use — the relative lens applies a peer MULTIPLE to ADNOC Drilling's OWN audited and guided EBITDA, so no peer figure enters this company's income statement, balance sheet or cash flow.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4464"/>
        <w:gridCol w:w="2592"/>
      </w:tblGrid>
      <w:tr>
        <w:tc>
          <w:tcPr>
            <w:tcW w:type="dxa" w:w="3024"/>
            <w:shd w:val="clear" w:color="auto" w:fill="EAF0EE"/>
          </w:tcPr>
          <w:p>
            <w:pPr>
              <w:spacing w:after="20"/>
            </w:pPr>
            <w:r>
              <w:rPr>
                <w:b/>
                <w:color w:val="1C3A36"/>
                <w:sz w:val="17"/>
              </w:rPr>
              <w:t>Where third-party data is used</w:t>
            </w:r>
          </w:p>
        </w:tc>
        <w:tc>
          <w:tcPr>
            <w:tcW w:type="dxa" w:w="4464"/>
            <w:shd w:val="clear" w:color="auto" w:fill="EAF0EE"/>
          </w:tcPr>
          <w:p>
            <w:pPr>
              <w:spacing w:after="20"/>
            </w:pPr>
            <w:r>
              <w:rPr>
                <w:b/>
                <w:color w:val="1C3A36"/>
                <w:sz w:val="17"/>
              </w:rPr>
              <w:t>What it is</w:t>
            </w:r>
          </w:p>
        </w:tc>
        <w:tc>
          <w:tcPr>
            <w:tcW w:type="dxa" w:w="2592"/>
            <w:shd w:val="clear" w:color="auto" w:fill="EAF0EE"/>
          </w:tcPr>
          <w:p>
            <w:pPr>
              <w:spacing w:after="20"/>
            </w:pPr>
            <w:r>
              <w:rPr>
                <w:b/>
                <w:color w:val="1C3A36"/>
                <w:sz w:val="17"/>
              </w:rPr>
              <w:t>What it is not used for</w:t>
            </w:r>
          </w:p>
        </w:tc>
      </w:tr>
      <w:tr>
        <w:tc>
          <w:tcPr>
            <w:tcW w:type="dxa" w:w="3024"/>
          </w:tcPr>
          <w:p>
            <w:pPr>
              <w:spacing w:after="20"/>
            </w:pPr>
            <w:r>
              <w:rPr>
                <w:color w:val="1C3A36"/>
                <w:sz w:val="17"/>
              </w:rPr>
              <w:t>Peer enterprise values and EBITDA</w:t>
            </w:r>
          </w:p>
        </w:tc>
        <w:tc>
          <w:tcPr>
            <w:tcW w:type="dxa" w:w="4464"/>
          </w:tcPr>
          <w:p>
            <w:pPr>
              <w:spacing w:after="20"/>
              <w:jc w:val="right"/>
            </w:pPr>
            <w:r>
              <w:rPr>
                <w:color w:val="1C3A36"/>
                <w:sz w:val="17"/>
              </w:rPr>
              <w:t>Thirteen listed drillers and oilfield-service companies, at their own latest reported periods</w:t>
            </w:r>
          </w:p>
        </w:tc>
        <w:tc>
          <w:tcPr>
            <w:tcW w:type="dxa" w:w="2592"/>
          </w:tcPr>
          <w:p>
            <w:pPr>
              <w:spacing w:after="20"/>
              <w:jc w:val="right"/>
            </w:pPr>
            <w:r>
              <w:rPr>
                <w:color w:val="1C3A36"/>
                <w:sz w:val="17"/>
              </w:rPr>
              <w:t>Any ADNOC Drilling figure</w:t>
            </w:r>
          </w:p>
        </w:tc>
      </w:tr>
      <w:tr>
        <w:tc>
          <w:tcPr>
            <w:tcW w:type="dxa" w:w="3024"/>
          </w:tcPr>
          <w:p>
            <w:pPr>
              <w:spacing w:after="20"/>
            </w:pPr>
            <w:r>
              <w:rPr>
                <w:color w:val="1C3A36"/>
                <w:sz w:val="17"/>
              </w:rPr>
              <w:t>Market interest rates</w:t>
            </w:r>
          </w:p>
        </w:tc>
        <w:tc>
          <w:tcPr>
            <w:tcW w:type="dxa" w:w="4464"/>
          </w:tcPr>
          <w:p>
            <w:pPr>
              <w:spacing w:after="20"/>
              <w:jc w:val="right"/>
            </w:pPr>
            <w:r>
              <w:rPr>
                <w:color w:val="1C3A36"/>
                <w:sz w:val="17"/>
              </w:rPr>
              <w:t>US Treasury yields and the overnight financing rate, from the Federal Reserve H.15 release</w:t>
            </w:r>
          </w:p>
        </w:tc>
        <w:tc>
          <w:tcPr>
            <w:tcW w:type="dxa" w:w="2592"/>
          </w:tcPr>
          <w:p>
            <w:pPr>
              <w:spacing w:after="20"/>
              <w:jc w:val="right"/>
            </w:pPr>
            <w:r>
              <w:rPr>
                <w:color w:val="1C3A36"/>
                <w:sz w:val="17"/>
              </w:rPr>
              <w:t>Anything company-specific</w:t>
            </w:r>
          </w:p>
        </w:tc>
      </w:tr>
      <w:tr>
        <w:tc>
          <w:tcPr>
            <w:tcW w:type="dxa" w:w="3024"/>
          </w:tcPr>
          <w:p>
            <w:pPr>
              <w:spacing w:after="20"/>
            </w:pPr>
            <w:r>
              <w:rPr>
                <w:color w:val="1C3A36"/>
                <w:sz w:val="17"/>
              </w:rPr>
              <w:t>Equity risk premium and sovereign spreads</w:t>
            </w:r>
          </w:p>
        </w:tc>
        <w:tc>
          <w:tcPr>
            <w:tcW w:type="dxa" w:w="4464"/>
          </w:tcPr>
          <w:p>
            <w:pPr>
              <w:spacing w:after="20"/>
              <w:jc w:val="right"/>
            </w:pPr>
            <w:r>
              <w:rPr>
                <w:color w:val="1C3A36"/>
                <w:sz w:val="17"/>
              </w:rPr>
              <w:t>Damodaran country default spreads and risk premiums, file dated 5 January 2026, Abu Dhabi row</w:t>
            </w:r>
          </w:p>
        </w:tc>
        <w:tc>
          <w:tcPr>
            <w:tcW w:type="dxa" w:w="2592"/>
          </w:tcPr>
          <w:p>
            <w:pPr>
              <w:spacing w:after="20"/>
              <w:jc w:val="right"/>
            </w:pPr>
            <w:r>
              <w:rPr>
                <w:color w:val="1C3A36"/>
                <w:sz w:val="17"/>
              </w:rPr>
              <w:t>Anything company-specific</w:t>
            </w:r>
          </w:p>
        </w:tc>
      </w:tr>
      <w:tr>
        <w:tc>
          <w:tcPr>
            <w:tcW w:type="dxa" w:w="3024"/>
          </w:tcPr>
          <w:p>
            <w:pPr>
              <w:spacing w:after="20"/>
            </w:pPr>
            <w:r>
              <w:rPr>
                <w:color w:val="1C3A36"/>
                <w:sz w:val="17"/>
              </w:rPr>
              <w:t>Commodity and price indices</w:t>
            </w:r>
          </w:p>
        </w:tc>
        <w:tc>
          <w:tcPr>
            <w:tcW w:type="dxa" w:w="4464"/>
          </w:tcPr>
          <w:p>
            <w:pPr>
              <w:spacing w:after="20"/>
              <w:jc w:val="right"/>
            </w:pPr>
            <w:r>
              <w:rPr>
                <w:color w:val="1C3A36"/>
                <w:sz w:val="17"/>
              </w:rPr>
              <w:t>Brent, US producer price index for drilling oil and gas wells, and United Arab Emirates consumer price inflation, all via the Federal Reserve Bank of St. Louis</w:t>
            </w:r>
          </w:p>
        </w:tc>
        <w:tc>
          <w:tcPr>
            <w:tcW w:type="dxa" w:w="2592"/>
          </w:tcPr>
          <w:p>
            <w:pPr>
              <w:spacing w:after="20"/>
              <w:jc w:val="right"/>
            </w:pPr>
            <w:r>
              <w:rPr>
                <w:color w:val="1C3A36"/>
                <w:sz w:val="17"/>
              </w:rPr>
              <w:t>Any company revenue or cost figure directly — they set escalation rates only</w:t>
            </w:r>
          </w:p>
        </w:tc>
      </w:tr>
    </w:tbl>
    <w:p>
      <w:pPr>
        <w:spacing w:after="40"/>
      </w:pPr>
    </w:p>
    <w:p>
      <w:pPr>
        <w:spacing w:after="80" w:before="200"/>
      </w:pPr>
      <w:r>
        <w:rPr>
          <w:b/>
          <w:i w:val="0"/>
          <w:color w:val="1C3A36"/>
          <w:sz w:val="24"/>
        </w:rPr>
        <w:t>Discrepancies noted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736"/>
        <w:gridCol w:w="2352"/>
        <w:gridCol w:w="2296"/>
        <w:gridCol w:w="3696"/>
      </w:tblGrid>
      <w:tr>
        <w:tc>
          <w:tcPr>
            <w:tcW w:type="dxa" w:w="1736"/>
            <w:shd w:val="clear" w:color="auto" w:fill="EAF0EE"/>
          </w:tcPr>
          <w:p>
            <w:pPr>
              <w:spacing w:after="20"/>
            </w:pPr>
            <w:r>
              <w:rPr>
                <w:b/>
                <w:color w:val="1C3A36"/>
                <w:sz w:val="16"/>
              </w:rPr>
              <w:t>Figure</w:t>
            </w:r>
          </w:p>
        </w:tc>
        <w:tc>
          <w:tcPr>
            <w:tcW w:type="dxa" w:w="2352"/>
            <w:shd w:val="clear" w:color="auto" w:fill="EAF0EE"/>
          </w:tcPr>
          <w:p>
            <w:pPr>
              <w:spacing w:after="20"/>
            </w:pPr>
            <w:r>
              <w:rPr>
                <w:b/>
                <w:color w:val="1C3A36"/>
                <w:sz w:val="16"/>
              </w:rPr>
              <w:t>Primary source</w:t>
            </w:r>
          </w:p>
        </w:tc>
        <w:tc>
          <w:tcPr>
            <w:tcW w:type="dxa" w:w="2296"/>
            <w:shd w:val="clear" w:color="auto" w:fill="EAF0EE"/>
          </w:tcPr>
          <w:p>
            <w:pPr>
              <w:spacing w:after="20"/>
            </w:pPr>
            <w:r>
              <w:rPr>
                <w:b/>
                <w:color w:val="1C3A36"/>
                <w:sz w:val="16"/>
              </w:rPr>
              <w:t>Elsewhere</w:t>
            </w:r>
          </w:p>
        </w:tc>
        <w:tc>
          <w:tcPr>
            <w:tcW w:type="dxa" w:w="3696"/>
            <w:shd w:val="clear" w:color="auto" w:fill="EAF0EE"/>
          </w:tcPr>
          <w:p>
            <w:pPr>
              <w:spacing w:after="20"/>
            </w:pPr>
            <w:r>
              <w:rPr>
                <w:b/>
                <w:color w:val="1C3A36"/>
                <w:sz w:val="16"/>
              </w:rPr>
              <w:t>Resolution</w:t>
            </w:r>
          </w:p>
        </w:tc>
      </w:tr>
      <w:tr>
        <w:tc>
          <w:tcPr>
            <w:tcW w:type="dxa" w:w="1736"/>
          </w:tcPr>
          <w:p>
            <w:pPr>
              <w:spacing w:after="20"/>
            </w:pPr>
            <w:r>
              <w:rPr>
                <w:color w:val="1C3A36"/>
                <w:sz w:val="16"/>
              </w:rPr>
              <w:t>Current trade and other payables at 31 December 2025</w:t>
            </w:r>
          </w:p>
        </w:tc>
        <w:tc>
          <w:tcPr>
            <w:tcW w:type="dxa" w:w="2352"/>
          </w:tcPr>
          <w:p>
            <w:pPr>
              <w:spacing w:after="20"/>
              <w:jc w:val="right"/>
            </w:pPr>
            <w:r>
              <w:rPr>
                <w:color w:val="1C3A36"/>
                <w:sz w:val="16"/>
              </w:rPr>
              <w:t>USD 1,039.4 million on the face of the balance sheet</w:t>
            </w:r>
          </w:p>
        </w:tc>
        <w:tc>
          <w:tcPr>
            <w:tcW w:type="dxa" w:w="2296"/>
          </w:tcPr>
          <w:p>
            <w:pPr>
              <w:spacing w:after="20"/>
              <w:jc w:val="right"/>
            </w:pPr>
            <w:r>
              <w:rPr>
                <w:color w:val="1C3A36"/>
                <w:sz w:val="16"/>
              </w:rPr>
              <w:t>USD 1,030.8 million in the financial-instruments maturity table</w:t>
            </w:r>
          </w:p>
        </w:tc>
        <w:tc>
          <w:tcPr>
            <w:tcW w:type="dxa" w:w="3696"/>
          </w:tcPr>
          <w:p>
            <w:pPr>
              <w:spacing w:after="20"/>
              <w:jc w:val="right"/>
            </w:pPr>
            <w:r>
              <w:rPr>
                <w:color w:val="1C3A36"/>
                <w:sz w:val="16"/>
              </w:rPr>
              <w:t>Both are correct and neither is an error: the maturity table covers financial liabilities only and excludes non-financial items such as contract liabilities. The balance-sheet figure is used</w:t>
            </w:r>
          </w:p>
        </w:tc>
      </w:tr>
      <w:tr>
        <w:tc>
          <w:tcPr>
            <w:tcW w:type="dxa" w:w="1736"/>
          </w:tcPr>
          <w:p>
            <w:pPr>
              <w:spacing w:after="20"/>
            </w:pPr>
            <w:r>
              <w:rPr>
                <w:color w:val="1C3A36"/>
                <w:sz w:val="16"/>
              </w:rPr>
              <w:t>Total rig count at the end of 2025</w:t>
            </w:r>
          </w:p>
        </w:tc>
        <w:tc>
          <w:tcPr>
            <w:tcW w:type="dxa" w:w="2352"/>
          </w:tcPr>
          <w:p>
            <w:pPr>
              <w:spacing w:after="20"/>
              <w:jc w:val="right"/>
            </w:pPr>
            <w:r>
              <w:rPr>
                <w:color w:val="1C3A36"/>
                <w:sz w:val="16"/>
              </w:rPr>
              <w:t>140 rigs on the reported basis</w:t>
            </w:r>
          </w:p>
        </w:tc>
        <w:tc>
          <w:tcPr>
            <w:tcW w:type="dxa" w:w="2296"/>
          </w:tcPr>
          <w:p>
            <w:pPr>
              <w:spacing w:after="20"/>
              <w:jc w:val="right"/>
            </w:pPr>
            <w:r>
              <w:rPr>
                <w:color w:val="1C3A36"/>
                <w:sz w:val="16"/>
              </w:rPr>
              <w:t>169 rigs on the pro-forma basis in the same document</w:t>
            </w:r>
          </w:p>
        </w:tc>
        <w:tc>
          <w:tcPr>
            <w:tcW w:type="dxa" w:w="3696"/>
          </w:tcPr>
          <w:p>
            <w:pPr>
              <w:spacing w:after="20"/>
              <w:jc w:val="right"/>
            </w:pPr>
            <w:r>
              <w:rPr>
                <w:color w:val="1C3A36"/>
                <w:sz w:val="16"/>
              </w:rPr>
              <w:t>The pro-forma count includes 29 regional rigs from two transactions that had not closed. The reported 140 is used for 2025 and the regional rigs enter from 2026, when they were actually consolidated</w:t>
            </w:r>
          </w:p>
        </w:tc>
      </w:tr>
      <w:tr>
        <w:tc>
          <w:tcPr>
            <w:tcW w:type="dxa" w:w="1736"/>
          </w:tcPr>
          <w:p>
            <w:pPr>
              <w:spacing w:after="20"/>
            </w:pPr>
            <w:r>
              <w:rPr>
                <w:color w:val="1C3A36"/>
                <w:sz w:val="16"/>
              </w:rPr>
              <w:t>Capital expenditure for 2025</w:t>
            </w:r>
          </w:p>
        </w:tc>
        <w:tc>
          <w:tcPr>
            <w:tcW w:type="dxa" w:w="2352"/>
          </w:tcPr>
          <w:p>
            <w:pPr>
              <w:spacing w:after="20"/>
              <w:jc w:val="right"/>
            </w:pPr>
            <w:r>
              <w:rPr>
                <w:color w:val="1C3A36"/>
                <w:sz w:val="16"/>
              </w:rPr>
              <w:t>USD 805.2 million of cash purchases of property and equipment in the cash-flow statement</w:t>
            </w:r>
          </w:p>
        </w:tc>
        <w:tc>
          <w:tcPr>
            <w:tcW w:type="dxa" w:w="2296"/>
          </w:tcPr>
          <w:p>
            <w:pPr>
              <w:spacing w:after="20"/>
              <w:jc w:val="right"/>
            </w:pPr>
            <w:r>
              <w:rPr>
                <w:color w:val="1C3A36"/>
                <w:sz w:val="16"/>
              </w:rPr>
              <w:t>USD 772 million described as capital expenditure in the management commentary</w:t>
            </w:r>
          </w:p>
        </w:tc>
        <w:tc>
          <w:tcPr>
            <w:tcW w:type="dxa" w:w="3696"/>
          </w:tcPr>
          <w:p>
            <w:pPr>
              <w:spacing w:after="20"/>
              <w:jc w:val="right"/>
            </w:pPr>
            <w:r>
              <w:rPr>
                <w:color w:val="1C3A36"/>
                <w:sz w:val="16"/>
              </w:rPr>
              <w:t>The two are defined differently — the commentary figure includes prepaid delivery payments and excludes accruals. The cash-flow statement figure is used, plus intangibles, because it is the audited one</w:t>
            </w:r>
          </w:p>
        </w:tc>
      </w:tr>
    </w:tbl>
    <w:p>
      <w:pPr>
        <w:spacing w:after="40"/>
      </w:pPr>
    </w:p>
    <w:p>
      <w:pPr>
        <w:spacing w:after="120" w:before="280"/>
      </w:pPr>
      <w:r>
        <w:rPr>
          <w:b/>
          <w:i w:val="0"/>
          <w:color w:val="1C3A36"/>
          <w:sz w:val="30"/>
        </w:rPr>
        <w:t>6. Software and method</w:t>
      </w:r>
    </w:p>
    <w:p>
      <w:pPr>
        <w:spacing w:after="120" w:before="0"/>
      </w:pPr>
      <w:r>
        <w:rPr>
          <w:b w:val="0"/>
          <w:i w:val="0"/>
          <w:color w:val="1C3A36"/>
          <w:sz w:val="21"/>
        </w:rPr>
        <w:t>The model, the figures and both delivered documents are generated from one committed numbers file, so no figure can differ between the study, the workbook and this bibliography. The delivered workbook is verified by an independent recalculation that evaluates every formula and requires each one to reproduce the model, and by a driver test that perturbs every input in place and requires the headline to move in the direction asserted before the test was run. The results of both are reported in the study's quality-control table.</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