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9 September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2023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2024</w:t>
            </w:r>
          </w:p>
        </w:tc>
        <w:tc>
          <w:tcPr>
            <w:tcW w:type="dxa" w:w="4680"/>
          </w:tcPr>
          <w:p>
            <w:pPr>
              <w:spacing w:after="20"/>
            </w:pPr>
            <w:r>
              <w:rPr>
                <w:color w:val="1C3A36"/>
                <w:sz w:val="16"/>
              </w:rPr>
              <w:t>Full consolidated income statement, balance sheet and cash flow statement for FY2023 with FY2022 comparatives; three-segment revenue and profit note; loans and borrowings note with average rates by currency; shareholder structure; exchange-rate disclosure note and the March-2024 devaluation subsequent event</w:t>
            </w:r>
          </w:p>
        </w:tc>
      </w:tr>
      <w:tr>
        <w:tc>
          <w:tcPr>
            <w:tcW w:type="dxa" w:w="2232"/>
          </w:tcPr>
          <w:p>
            <w:pPr>
              <w:spacing w:after="20"/>
            </w:pPr>
            <w:r>
              <w:rPr>
                <w:color w:val="1C3A36"/>
                <w:sz w:val="16"/>
              </w:rPr>
              <w:t>Consolidated financial statements for the year ended 31 December 2024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Full consolidated income statement, balance sheet and cash flow statement for FY2024 with FY2023 comparatives; three-segment revenue and profit note; loans and borrowings note including the financing-liability reconciliation; interest-rate risk note with average rates by currency; currency risk note; shareholder structure</w:t>
            </w:r>
          </w:p>
        </w:tc>
      </w:tr>
      <w:tr>
        <w:tc>
          <w:tcPr>
            <w:tcW w:type="dxa" w:w="2232"/>
          </w:tcPr>
          <w:p>
            <w:pPr>
              <w:spacing w:after="20"/>
            </w:pPr>
            <w:r>
              <w:rPr>
                <w:color w:val="1C3A36"/>
                <w:sz w:val="16"/>
              </w:rPr>
              <w:t>Consolidated financial statements for the year ended 31 December 2025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15 March 2026</w:t>
            </w:r>
          </w:p>
        </w:tc>
        <w:tc>
          <w:tcPr>
            <w:tcW w:type="dxa" w:w="4680"/>
          </w:tcPr>
          <w:p>
            <w:pPr>
              <w:spacing w:after="20"/>
            </w:pPr>
            <w:r>
              <w:rPr>
                <w:color w:val="1C3A36"/>
                <w:sz w:val="16"/>
              </w:rPr>
              <w:t>Full consolidated income statement, balance sheet and cash flow statement for FY2025 with FY2024 comparatives; three-segment revenue (Note 5-3) and profit (Note 16) note, each reconciling exactly to consolidated revenue and to operating profit through the corporate cost load; capital-management note (Note 29-1) with the company's own "net debt" definition; loans and borrowings note including the financing-liability reconciliation and average rates by currency; equity-accounted investees note; shareholder structure</w:t>
            </w:r>
          </w:p>
        </w:tc>
      </w:tr>
      <w:tr>
        <w:tc>
          <w:tcPr>
            <w:tcW w:type="dxa" w:w="2232"/>
          </w:tcPr>
          <w:p>
            <w:pPr>
              <w:spacing w:after="20"/>
            </w:pPr>
            <w:r>
              <w:rPr>
                <w:color w:val="1C3A36"/>
                <w:sz w:val="16"/>
              </w:rPr>
              <w:t>Condensed interim consolidated financial statements for the three months ended 31 March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May 2026</w:t>
            </w:r>
          </w:p>
        </w:tc>
        <w:tc>
          <w:tcPr>
            <w:tcW w:type="dxa" w:w="4680"/>
          </w:tcPr>
          <w:p>
            <w:pPr>
              <w:spacing w:after="20"/>
            </w:pPr>
            <w:r>
              <w:rPr>
                <w:color w:val="1C3A36"/>
                <w:sz w:val="16"/>
              </w:rPr>
              <w:t>Q1-2026 income statement with Q1-2025 comparatives; balance sheet at 31 March 2026; three-segment revenue note reconciling exactly to Q1-2026 revenue; loans and borrowings note with average rates by currency; cash-flow statement; confirmation that no FY2025 dividend had been declared, proposed or approved as at the report date</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Supplied price series</w:t>
            </w:r>
          </w:p>
        </w:tc>
        <w:tc>
          <w:tcPr>
            <w:tcW w:type="dxa" w:w="1368"/>
          </w:tcPr>
          <w:p>
            <w:pPr>
              <w:spacing w:after="20"/>
            </w:pPr>
            <w:r>
              <w:rPr>
                <w:color w:val="1C3A36"/>
                <w:sz w:val="16"/>
              </w:rPr>
              <w:t>to 5 August 2026</w:t>
            </w:r>
          </w:p>
        </w:tc>
        <w:tc>
          <w:tcPr>
            <w:tcW w:type="dxa" w:w="4680"/>
          </w:tcPr>
          <w:p>
            <w:pPr>
              <w:spacing w:after="20"/>
            </w:pPr>
            <w:r>
              <w:rPr>
                <w:color w:val="1C3A36"/>
                <w:sz w:val="16"/>
              </w:rPr>
              <w:t>The anchor price, the volatility estimate, the moving-average structure, the beta regression and the price distributions</w:t>
            </w:r>
          </w:p>
        </w:tc>
      </w:tr>
      <w:tr>
        <w:tc>
          <w:tcPr>
            <w:tcW w:type="dxa" w:w="2232"/>
          </w:tcPr>
          <w:p>
            <w:pPr>
              <w:spacing w:after="20"/>
            </w:pPr>
            <w:r>
              <w:rPr>
                <w:color w:val="1C3A36"/>
                <w:sz w:val="16"/>
              </w:rPr>
              <w:t>EGX30, the published index of the exchange this share is listed on</w:t>
            </w:r>
          </w:p>
        </w:tc>
        <w:tc>
          <w:tcPr>
            <w:tcW w:type="dxa" w:w="1800"/>
          </w:tcPr>
          <w:p>
            <w:pPr>
              <w:spacing w:after="20"/>
            </w:pPr>
            <w:r>
              <w:rPr>
                <w:color w:val="1C3A36"/>
                <w:sz w:val="16"/>
              </w:rPr>
              <w:t>Published index series</w:t>
            </w:r>
          </w:p>
        </w:tc>
        <w:tc>
          <w:tcPr>
            <w:tcW w:type="dxa" w:w="1368"/>
          </w:tcPr>
          <w:p>
            <w:pPr>
              <w:spacing w:after="20"/>
            </w:pPr>
            <w:r>
              <w:rPr>
                <w:color w:val="1C3A36"/>
                <w:sz w:val="16"/>
              </w:rPr>
              <w:t>to 2026-09-08</w:t>
            </w:r>
          </w:p>
        </w:tc>
        <w:tc>
          <w:tcPr>
            <w:tcW w:type="dxa" w:w="4680"/>
          </w:tcPr>
          <w:p>
            <w:pPr>
              <w:spacing w:after="20"/>
            </w:pPr>
            <w:r>
              <w:rPr>
                <w:color w:val="1C3A36"/>
                <w:sz w:val="16"/>
              </w:rPr>
              <w:t>The regressor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130.0</w:t>
            </w:r>
          </w:p>
        </w:tc>
        <w:tc>
          <w:tcPr>
            <w:tcW w:type="dxa" w:w="1123"/>
          </w:tcPr>
          <w:p>
            <w:pPr>
              <w:spacing w:after="20"/>
            </w:pPr>
            <w:r>
              <w:rPr>
                <w:color w:val="1C3A36"/>
                <w:sz w:val="15"/>
              </w:rPr>
              <w:t>2026-09-03</w:t>
            </w:r>
          </w:p>
        </w:tc>
        <w:tc>
          <w:tcPr>
            <w:tcW w:type="dxa" w:w="5933"/>
          </w:tcPr>
          <w:p>
            <w:pPr>
              <w:spacing w:after="20"/>
            </w:pPr>
            <w:r>
              <w:rPr>
                <w:color w:val="1C3A36"/>
                <w:sz w:val="15"/>
              </w:rPr>
              <w:t>Closing price supplied by the principal for 3 September 2026. RE-STRUCK: the study was struck at EGP 105.20 of 5 August 2026 and a fair value delivered against a month-old quote is a comparison a reader cannot use. The supplied file records that the figure first arrived as 90.50 and was CORRECTED to 130.00 on 6 September 2026 after it disagreed with this name's own price library on all 35 overlapping sessions after 14 June 2026, including the 5 August close of 105.20 this study was originally struck at. A fair value delivered against a month-old quote is a comparison a reader cannot use</w:t>
            </w:r>
          </w:p>
        </w:tc>
      </w:tr>
    </w:tbl>
    <w:p>
      <w:pPr>
        <w:spacing w:after="40"/>
      </w:pPr>
    </w:p>
    <w:p>
      <w:pPr>
        <w:spacing w:after="60" w:before="160"/>
      </w:pPr>
      <w:r>
        <w:rPr>
          <w:b/>
          <w:i w:val="0"/>
          <w:color w:val="1C3A36"/>
          <w:sz w:val="22"/>
        </w:rPr>
        <w:t>Company layer — 154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123"/>
          </w:tcPr>
          <w:p>
            <w:pPr>
              <w:spacing w:after="20"/>
            </w:pPr>
            <w:r>
              <w:rPr>
                <w:color w:val="1C3A36"/>
                <w:sz w:val="15"/>
              </w:rPr>
              <w:t>2026-05-13</w:t>
            </w:r>
          </w:p>
        </w:tc>
        <w:tc>
          <w:tcPr>
            <w:tcW w:type="dxa" w:w="5933"/>
          </w:tcPr>
          <w:p>
            <w:pPr>
              <w:spacing w:after="20"/>
            </w:pPr>
            <w:r>
              <w:rPr>
                <w:color w:val="1C3A36"/>
                <w:sz w:val="15"/>
              </w:rPr>
              <w:t>Issued and paid-up capital note (29), audited FY2025 consolidated financial statements and the Q1-2026 condensed interim statements: 2,140,777,876 shares of EGP 1 par value, unchanged across both filings</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 (confirmed by the FY2024 filing's comparative column)</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 (confirmed by the FY2025 filing's comparative column)</w:t>
            </w:r>
          </w:p>
        </w:tc>
      </w:tr>
      <w:tr>
        <w:tc>
          <w:tcPr>
            <w:tcW w:type="dxa" w:w="1656"/>
          </w:tcPr>
          <w:p>
            <w:pPr>
              <w:spacing w:after="20"/>
            </w:pPr>
            <w:r>
              <w:rPr>
                <w:color w:val="1C3A36"/>
                <w:sz w:val="15"/>
              </w:rPr>
              <w:t>rev fy25</w:t>
            </w:r>
          </w:p>
        </w:tc>
        <w:tc>
          <w:tcPr>
            <w:tcW w:type="dxa" w:w="1368"/>
          </w:tcPr>
          <w:p>
            <w:pPr>
              <w:spacing w:after="20"/>
            </w:pPr>
            <w:r>
              <w:rPr>
                <w:color w:val="1C3A36"/>
                <w:sz w:val="15"/>
              </w:rPr>
              <w:t>281,049.1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w:t>
            </w:r>
          </w:p>
        </w:tc>
      </w:tr>
      <w:tr>
        <w:tc>
          <w:tcPr>
            <w:tcW w:type="dxa" w:w="1656"/>
          </w:tcPr>
          <w:p>
            <w:pPr>
              <w:spacing w:after="20"/>
            </w:pPr>
            <w:r>
              <w:rPr>
                <w:color w:val="1C3A36"/>
                <w:sz w:val="15"/>
              </w:rPr>
              <w:t>gp fy25</w:t>
            </w:r>
          </w:p>
        </w:tc>
        <w:tc>
          <w:tcPr>
            <w:tcW w:type="dxa" w:w="1368"/>
          </w:tcPr>
          <w:p>
            <w:pPr>
              <w:spacing w:after="20"/>
            </w:pPr>
            <w:r>
              <w:rPr>
                <w:color w:val="1C3A36"/>
                <w:sz w:val="15"/>
              </w:rPr>
              <w:t>40,762.1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123"/>
          </w:tcPr>
          <w:p>
            <w:pPr>
              <w:spacing w:after="20"/>
            </w:pPr>
            <w:r>
              <w:rPr>
                <w:color w:val="1C3A36"/>
                <w:sz w:val="15"/>
              </w:rPr>
              <w:t>2024-03-13</w:t>
            </w:r>
          </w:p>
        </w:tc>
        <w:tc>
          <w:tcPr>
            <w:tcW w:type="dxa" w:w="5933"/>
          </w:tcPr>
          <w:p>
            <w:pPr>
              <w:spacing w:after="20"/>
            </w:pPr>
            <w:r>
              <w:rPr>
                <w:color w:val="1C3A36"/>
                <w:sz w:val="15"/>
              </w:rPr>
              <w:t>Operating profit, FY2023 audited financial statements</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123"/>
          </w:tcPr>
          <w:p>
            <w:pPr>
              <w:spacing w:after="20"/>
            </w:pPr>
            <w:r>
              <w:rPr>
                <w:color w:val="1C3A36"/>
                <w:sz w:val="15"/>
              </w:rPr>
              <w:t>2025-03-13</w:t>
            </w:r>
          </w:p>
        </w:tc>
        <w:tc>
          <w:tcPr>
            <w:tcW w:type="dxa" w:w="5933"/>
          </w:tcPr>
          <w:p>
            <w:pPr>
              <w:spacing w:after="20"/>
            </w:pPr>
            <w:r>
              <w:rPr>
                <w:color w:val="1C3A36"/>
                <w:sz w:val="15"/>
              </w:rPr>
              <w:t>Operating profit, FY2024 audited financial statements</w:t>
            </w:r>
          </w:p>
        </w:tc>
      </w:tr>
      <w:tr>
        <w:tc>
          <w:tcPr>
            <w:tcW w:type="dxa" w:w="1656"/>
          </w:tcPr>
          <w:p>
            <w:pPr>
              <w:spacing w:after="20"/>
            </w:pPr>
            <w:r>
              <w:rPr>
                <w:color w:val="1C3A36"/>
                <w:sz w:val="15"/>
              </w:rPr>
              <w:t>op fy25</w:t>
            </w:r>
          </w:p>
        </w:tc>
        <w:tc>
          <w:tcPr>
            <w:tcW w:type="dxa" w:w="1368"/>
          </w:tcPr>
          <w:p>
            <w:pPr>
              <w:spacing w:after="20"/>
            </w:pPr>
            <w:r>
              <w:rPr>
                <w:color w:val="1C3A36"/>
                <w:sz w:val="15"/>
              </w:rPr>
              <w:t>25,354.2</w:t>
            </w:r>
          </w:p>
        </w:tc>
        <w:tc>
          <w:tcPr>
            <w:tcW w:type="dxa" w:w="1123"/>
          </w:tcPr>
          <w:p>
            <w:pPr>
              <w:spacing w:after="20"/>
            </w:pPr>
            <w:r>
              <w:rPr>
                <w:color w:val="1C3A36"/>
                <w:sz w:val="15"/>
              </w:rPr>
              <w:t>2026-03-15</w:t>
            </w:r>
          </w:p>
        </w:tc>
        <w:tc>
          <w:tcPr>
            <w:tcW w:type="dxa" w:w="5933"/>
          </w:tcPr>
          <w:p>
            <w:pPr>
              <w:spacing w:after="20"/>
            </w:pPr>
            <w:r>
              <w:rPr>
                <w:color w:val="1C3A36"/>
                <w:sz w:val="15"/>
              </w:rPr>
              <w:t>Operating profit, FY2025 audited financial statements</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statement of cash flows: PP&amp;E depreciation 2,120.789808 + investment property 6.388342 + intangibles amortisation 53.947575 + right-of-use assets 114.861231</w:t>
            </w:r>
          </w:p>
        </w:tc>
      </w:tr>
      <w:tr>
        <w:tc>
          <w:tcPr>
            <w:tcW w:type="dxa" w:w="1656"/>
          </w:tcPr>
          <w:p>
            <w:pPr>
              <w:spacing w:after="20"/>
            </w:pPr>
            <w:r>
              <w:rPr>
                <w:color w:val="1C3A36"/>
                <w:sz w:val="15"/>
              </w:rPr>
              <w:t>dna fy24</w:t>
            </w:r>
          </w:p>
        </w:tc>
        <w:tc>
          <w:tcPr>
            <w:tcW w:type="dxa" w:w="1368"/>
          </w:tcPr>
          <w:p>
            <w:pPr>
              <w:spacing w:after="20"/>
            </w:pPr>
            <w:r>
              <w:rPr>
                <w:color w:val="1C3A36"/>
                <w:sz w:val="15"/>
              </w:rPr>
              <w:t>2,259.7</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statement of cash flows: PP&amp;E depreciation 2,019.646871 + investment property 1.472753 + intangibles amortisation 80.726323 + right-of-use assets 157.899859</w:t>
            </w:r>
          </w:p>
        </w:tc>
      </w:tr>
      <w:tr>
        <w:tc>
          <w:tcPr>
            <w:tcW w:type="dxa" w:w="1656"/>
          </w:tcPr>
          <w:p>
            <w:pPr>
              <w:spacing w:after="20"/>
            </w:pPr>
            <w:r>
              <w:rPr>
                <w:color w:val="1C3A36"/>
                <w:sz w:val="15"/>
              </w:rPr>
              <w:t>dna fy25</w:t>
            </w:r>
          </w:p>
        </w:tc>
        <w:tc>
          <w:tcPr>
            <w:tcW w:type="dxa" w:w="1368"/>
          </w:tcPr>
          <w:p>
            <w:pPr>
              <w:spacing w:after="20"/>
            </w:pPr>
            <w:r>
              <w:rPr>
                <w:color w:val="1C3A36"/>
                <w:sz w:val="15"/>
              </w:rPr>
              <w:t>3,009.0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statement of cash flows: PP&amp;E depreciation 2,733.671862 + investment property 1.687166 + intangibles amortisation 78.072847 + right-of-use assets 195.545752 — the depreciable base stepped up with the FY2025 capex ramp</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123"/>
          </w:tcPr>
          <w:p>
            <w:pPr>
              <w:spacing w:after="20"/>
            </w:pPr>
            <w:r>
              <w:rPr>
                <w:color w:val="1C3A36"/>
                <w:sz w:val="15"/>
              </w:rPr>
              <w:t>2024-03-13</w:t>
            </w:r>
          </w:p>
        </w:tc>
        <w:tc>
          <w:tcPr>
            <w:tcW w:type="dxa" w:w="5933"/>
          </w:tcPr>
          <w:p>
            <w:pPr>
              <w:spacing w:after="20"/>
            </w:pPr>
            <w:r>
              <w:rPr>
                <w:color w:val="1C3A36"/>
                <w:sz w:val="15"/>
              </w:rPr>
              <w:t>Net finance costs, FY2023 audited financial statements: finance income 2,818.868796 less finance costs 4,943.231073</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123"/>
          </w:tcPr>
          <w:p>
            <w:pPr>
              <w:spacing w:after="20"/>
            </w:pPr>
            <w:r>
              <w:rPr>
                <w:color w:val="1C3A36"/>
                <w:sz w:val="15"/>
              </w:rPr>
              <w:t>2025-03-13</w:t>
            </w:r>
          </w:p>
        </w:tc>
        <w:tc>
          <w:tcPr>
            <w:tcW w:type="dxa" w:w="5933"/>
          </w:tcPr>
          <w:p>
            <w:pPr>
              <w:spacing w:after="20"/>
            </w:pPr>
            <w:r>
              <w:rPr>
                <w:color w:val="1C3A36"/>
                <w:sz w:val="15"/>
              </w:rPr>
              <w:t>Net finance costs, FY2024 audited financial statements: finance income 4,247.625658 less finance costs 7,762.991604</w:t>
            </w:r>
          </w:p>
        </w:tc>
      </w:tr>
      <w:tr>
        <w:tc>
          <w:tcPr>
            <w:tcW w:type="dxa" w:w="1656"/>
          </w:tcPr>
          <w:p>
            <w:pPr>
              <w:spacing w:after="20"/>
            </w:pPr>
            <w:r>
              <w:rPr>
                <w:color w:val="1C3A36"/>
                <w:sz w:val="15"/>
              </w:rPr>
              <w:t>netfin fy25</w:t>
            </w:r>
          </w:p>
        </w:tc>
        <w:tc>
          <w:tcPr>
            <w:tcW w:type="dxa" w:w="1368"/>
          </w:tcPr>
          <w:p>
            <w:pPr>
              <w:spacing w:after="20"/>
            </w:pPr>
            <w:r>
              <w:rPr>
                <w:color w:val="1C3A36"/>
                <w:sz w:val="15"/>
              </w:rPr>
              <w:t>-2,145.4</w:t>
            </w:r>
          </w:p>
        </w:tc>
        <w:tc>
          <w:tcPr>
            <w:tcW w:type="dxa" w:w="1123"/>
          </w:tcPr>
          <w:p>
            <w:pPr>
              <w:spacing w:after="20"/>
            </w:pPr>
            <w:r>
              <w:rPr>
                <w:color w:val="1C3A36"/>
                <w:sz w:val="15"/>
              </w:rPr>
              <w:t>2026-03-15</w:t>
            </w:r>
          </w:p>
        </w:tc>
        <w:tc>
          <w:tcPr>
            <w:tcW w:type="dxa" w:w="5933"/>
          </w:tcPr>
          <w:p>
            <w:pPr>
              <w:spacing w:after="20"/>
            </w:pPr>
            <w:r>
              <w:rPr>
                <w:color w:val="1C3A36"/>
                <w:sz w:val="15"/>
              </w:rPr>
              <w:t>Net finance costs, FY2025 audited financial statements: finance income 3,713.003271 less finance costs 5,858.442026. REPLACES a previous estimate of -3,400 struck when the filing was not reachable — this is the exact audited figure and it is materially smaller (net finance improved even as gross debt grew, because the CBE's easing cycle and a larger cash pile both cut the net charge)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123"/>
          </w:tcPr>
          <w:p>
            <w:pPr>
              <w:spacing w:after="20"/>
            </w:pPr>
            <w:r>
              <w:rPr>
                <w:color w:val="1C3A36"/>
                <w:sz w:val="15"/>
              </w:rPr>
              <w:t>2024-03-13</w:t>
            </w:r>
          </w:p>
        </w:tc>
        <w:tc>
          <w:tcPr>
            <w:tcW w:type="dxa" w:w="5933"/>
          </w:tcPr>
          <w:p>
            <w:pPr>
              <w:spacing w:after="20"/>
            </w:pPr>
            <w:r>
              <w:rPr>
                <w:color w:val="1C3A36"/>
                <w:sz w:val="15"/>
              </w:rPr>
              <w:t>Group's share of profit of equity-accounted investees, FY2023 audited financial statements</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123"/>
          </w:tcPr>
          <w:p>
            <w:pPr>
              <w:spacing w:after="20"/>
            </w:pPr>
            <w:r>
              <w:rPr>
                <w:color w:val="1C3A36"/>
                <w:sz w:val="15"/>
              </w:rPr>
              <w:t>2025-03-13</w:t>
            </w:r>
          </w:p>
        </w:tc>
        <w:tc>
          <w:tcPr>
            <w:tcW w:type="dxa" w:w="5933"/>
          </w:tcPr>
          <w:p>
            <w:pPr>
              <w:spacing w:after="20"/>
            </w:pPr>
            <w:r>
              <w:rPr>
                <w:color w:val="1C3A36"/>
                <w:sz w:val="15"/>
              </w:rPr>
              <w:t>Group's share of profit of equity-accounted investees, FY2024 audited financial statements</w:t>
            </w:r>
          </w:p>
        </w:tc>
      </w:tr>
      <w:tr>
        <w:tc>
          <w:tcPr>
            <w:tcW w:type="dxa" w:w="1656"/>
          </w:tcPr>
          <w:p>
            <w:pPr>
              <w:spacing w:after="20"/>
            </w:pPr>
            <w:r>
              <w:rPr>
                <w:color w:val="1C3A36"/>
                <w:sz w:val="15"/>
              </w:rPr>
              <w:t>assoc fy25</w:t>
            </w:r>
          </w:p>
        </w:tc>
        <w:tc>
          <w:tcPr>
            <w:tcW w:type="dxa" w:w="1368"/>
          </w:tcPr>
          <w:p>
            <w:pPr>
              <w:spacing w:after="20"/>
            </w:pPr>
            <w:r>
              <w:rPr>
                <w:color w:val="1C3A36"/>
                <w:sz w:val="15"/>
              </w:rPr>
              <w:t>1,568.9</w:t>
            </w:r>
          </w:p>
        </w:tc>
        <w:tc>
          <w:tcPr>
            <w:tcW w:type="dxa" w:w="1123"/>
          </w:tcPr>
          <w:p>
            <w:pPr>
              <w:spacing w:after="20"/>
            </w:pPr>
            <w:r>
              <w:rPr>
                <w:color w:val="1C3A36"/>
                <w:sz w:val="15"/>
              </w:rPr>
              <w:t>2026-03-15</w:t>
            </w:r>
          </w:p>
        </w:tc>
        <w:tc>
          <w:tcPr>
            <w:tcW w:type="dxa" w:w="5933"/>
          </w:tcPr>
          <w:p>
            <w:pPr>
              <w:spacing w:after="20"/>
            </w:pPr>
            <w:r>
              <w:rPr>
                <w:color w:val="1C3A36"/>
                <w:sz w:val="15"/>
              </w:rPr>
              <w:t>Group's share of profit of equity-accounted investees, FY2025 audited financial statements — reconciles exactly to the sum of the per-investee shares in Note 20 (Doha Cables 940.3, Elsewedy Cables-Qatar 259.2, SC Zone Utilities 255.5, SWIEP 73.4, Aloula 96.9, Raneen 15.5, Senyar -71.9). REPLACES a previous 1.15x uplift on the FY2024 figure, no longer needed now the actual number is disclosed</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123"/>
          </w:tcPr>
          <w:p>
            <w:pPr>
              <w:spacing w:after="20"/>
            </w:pPr>
            <w:r>
              <w:rPr>
                <w:color w:val="1C3A36"/>
                <w:sz w:val="15"/>
              </w:rPr>
              <w:t>2024-03-13</w:t>
            </w:r>
          </w:p>
        </w:tc>
        <w:tc>
          <w:tcPr>
            <w:tcW w:type="dxa" w:w="5933"/>
          </w:tcPr>
          <w:p>
            <w:pPr>
              <w:spacing w:after="20"/>
            </w:pPr>
            <w:r>
              <w:rPr>
                <w:color w:val="1C3A36"/>
                <w:sz w:val="15"/>
              </w:rPr>
              <w:t>Income tax expense, FY2023 audited financial statements</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123"/>
          </w:tcPr>
          <w:p>
            <w:pPr>
              <w:spacing w:after="20"/>
            </w:pPr>
            <w:r>
              <w:rPr>
                <w:color w:val="1C3A36"/>
                <w:sz w:val="15"/>
              </w:rPr>
              <w:t>2025-03-13</w:t>
            </w:r>
          </w:p>
        </w:tc>
        <w:tc>
          <w:tcPr>
            <w:tcW w:type="dxa" w:w="5933"/>
          </w:tcPr>
          <w:p>
            <w:pPr>
              <w:spacing w:after="20"/>
            </w:pPr>
            <w:r>
              <w:rPr>
                <w:color w:val="1C3A36"/>
                <w:sz w:val="15"/>
              </w:rPr>
              <w:t>Income tax expense, FY2024 audited financial statements</w:t>
            </w:r>
          </w:p>
        </w:tc>
      </w:tr>
      <w:tr>
        <w:tc>
          <w:tcPr>
            <w:tcW w:type="dxa" w:w="1656"/>
          </w:tcPr>
          <w:p>
            <w:pPr>
              <w:spacing w:after="20"/>
            </w:pPr>
            <w:r>
              <w:rPr>
                <w:color w:val="1C3A36"/>
                <w:sz w:val="15"/>
              </w:rPr>
              <w:t>tax fy25</w:t>
            </w:r>
          </w:p>
        </w:tc>
        <w:tc>
          <w:tcPr>
            <w:tcW w:type="dxa" w:w="1368"/>
          </w:tcPr>
          <w:p>
            <w:pPr>
              <w:spacing w:after="20"/>
            </w:pPr>
            <w:r>
              <w:rPr>
                <w:color w:val="1C3A36"/>
                <w:sz w:val="15"/>
              </w:rPr>
              <w:t>-5,591.1</w:t>
            </w:r>
          </w:p>
        </w:tc>
        <w:tc>
          <w:tcPr>
            <w:tcW w:type="dxa" w:w="1123"/>
          </w:tcPr>
          <w:p>
            <w:pPr>
              <w:spacing w:after="20"/>
            </w:pPr>
            <w:r>
              <w:rPr>
                <w:color w:val="1C3A36"/>
                <w:sz w:val="15"/>
              </w:rPr>
              <w:t>2026-03-15</w:t>
            </w:r>
          </w:p>
        </w:tc>
        <w:tc>
          <w:tcPr>
            <w:tcW w:type="dxa" w:w="5933"/>
          </w:tcPr>
          <w:p>
            <w:pPr>
              <w:spacing w:after="20"/>
            </w:pPr>
            <w:r>
              <w:rPr>
                <w:color w:val="1C3A36"/>
                <w:sz w:val="15"/>
              </w:rPr>
              <w:t>Income tax expense, FY2025 audited financial statements: current tax 6,312.161650 less deferred tax credit 721.021868. Effective rate 22.57% against 24,777.689839 pre-tax profit — REPLACES a previous house assumption of 25.9%</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123"/>
          </w:tcPr>
          <w:p>
            <w:pPr>
              <w:spacing w:after="20"/>
            </w:pPr>
            <w:r>
              <w:rPr>
                <w:color w:val="1C3A36"/>
                <w:sz w:val="15"/>
              </w:rPr>
              <w:t>2024-03-13</w:t>
            </w:r>
          </w:p>
        </w:tc>
        <w:tc>
          <w:tcPr>
            <w:tcW w:type="dxa" w:w="5933"/>
          </w:tcPr>
          <w:p>
            <w:pPr>
              <w:spacing w:after="20"/>
            </w:pPr>
            <w:r>
              <w:rPr>
                <w:color w:val="1C3A36"/>
                <w:sz w:val="15"/>
              </w:rPr>
              <w:t>Profit for the year, FY2023 audited financial statements</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123"/>
          </w:tcPr>
          <w:p>
            <w:pPr>
              <w:spacing w:after="20"/>
            </w:pPr>
            <w:r>
              <w:rPr>
                <w:color w:val="1C3A36"/>
                <w:sz w:val="15"/>
              </w:rPr>
              <w:t>2025-03-13</w:t>
            </w:r>
          </w:p>
        </w:tc>
        <w:tc>
          <w:tcPr>
            <w:tcW w:type="dxa" w:w="5933"/>
          </w:tcPr>
          <w:p>
            <w:pPr>
              <w:spacing w:after="20"/>
            </w:pPr>
            <w:r>
              <w:rPr>
                <w:color w:val="1C3A36"/>
                <w:sz w:val="15"/>
              </w:rPr>
              <w:t>Profit for the year, FY2024 audited financial statements</w:t>
            </w:r>
          </w:p>
        </w:tc>
      </w:tr>
      <w:tr>
        <w:tc>
          <w:tcPr>
            <w:tcW w:type="dxa" w:w="1656"/>
          </w:tcPr>
          <w:p>
            <w:pPr>
              <w:spacing w:after="20"/>
            </w:pPr>
            <w:r>
              <w:rPr>
                <w:color w:val="1C3A36"/>
                <w:sz w:val="15"/>
              </w:rPr>
              <w:t>pat fy25</w:t>
            </w:r>
          </w:p>
        </w:tc>
        <w:tc>
          <w:tcPr>
            <w:tcW w:type="dxa" w:w="1368"/>
          </w:tcPr>
          <w:p>
            <w:pPr>
              <w:spacing w:after="20"/>
            </w:pPr>
            <w:r>
              <w:rPr>
                <w:color w:val="1C3A36"/>
                <w:sz w:val="15"/>
              </w:rPr>
              <w:t>19,186.6</w:t>
            </w:r>
          </w:p>
        </w:tc>
        <w:tc>
          <w:tcPr>
            <w:tcW w:type="dxa" w:w="1123"/>
          </w:tcPr>
          <w:p>
            <w:pPr>
              <w:spacing w:after="20"/>
            </w:pPr>
            <w:r>
              <w:rPr>
                <w:color w:val="1C3A36"/>
                <w:sz w:val="15"/>
              </w:rPr>
              <w:t>2026-03-15</w:t>
            </w:r>
          </w:p>
        </w:tc>
        <w:tc>
          <w:tcPr>
            <w:tcW w:type="dxa" w:w="5933"/>
          </w:tcPr>
          <w:p>
            <w:pPr>
              <w:spacing w:after="20"/>
            </w:pPr>
            <w:r>
              <w:rPr>
                <w:color w:val="1C3A36"/>
                <w:sz w:val="15"/>
              </w:rPr>
              <w:t>Profit for the year, FY2025 audited financial statements</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123"/>
          </w:tcPr>
          <w:p>
            <w:pPr>
              <w:spacing w:after="20"/>
            </w:pPr>
            <w:r>
              <w:rPr>
                <w:color w:val="1C3A36"/>
                <w:sz w:val="15"/>
              </w:rPr>
              <w:t>2024-03-13</w:t>
            </w:r>
          </w:p>
        </w:tc>
        <w:tc>
          <w:tcPr>
            <w:tcW w:type="dxa" w:w="5933"/>
          </w:tcPr>
          <w:p>
            <w:pPr>
              <w:spacing w:after="20"/>
            </w:pPr>
            <w:r>
              <w:rPr>
                <w:color w:val="1C3A36"/>
                <w:sz w:val="15"/>
              </w:rPr>
              <w:t>Profit attributable to owners of the parent, FY2023 audited financial statements. Basic EPS 4.26, diluted 4.25</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123"/>
          </w:tcPr>
          <w:p>
            <w:pPr>
              <w:spacing w:after="20"/>
            </w:pPr>
            <w:r>
              <w:rPr>
                <w:color w:val="1C3A36"/>
                <w:sz w:val="15"/>
              </w:rPr>
              <w:t>2025-03-13</w:t>
            </w:r>
          </w:p>
        </w:tc>
        <w:tc>
          <w:tcPr>
            <w:tcW w:type="dxa" w:w="5933"/>
          </w:tcPr>
          <w:p>
            <w:pPr>
              <w:spacing w:after="20"/>
            </w:pPr>
            <w:r>
              <w:rPr>
                <w:color w:val="1C3A36"/>
                <w:sz w:val="15"/>
              </w:rPr>
              <w:t>Profit attributable to owners of the parent, FY2024 audited financial statements. Basic EPS 7.22, diluted 7.21</w:t>
            </w:r>
          </w:p>
        </w:tc>
      </w:tr>
      <w:tr>
        <w:tc>
          <w:tcPr>
            <w:tcW w:type="dxa" w:w="1656"/>
          </w:tcPr>
          <w:p>
            <w:pPr>
              <w:spacing w:after="20"/>
            </w:pPr>
            <w:r>
              <w:rPr>
                <w:color w:val="1C3A36"/>
                <w:sz w:val="15"/>
              </w:rPr>
              <w:t>npa fy25</w:t>
            </w:r>
          </w:p>
        </w:tc>
        <w:tc>
          <w:tcPr>
            <w:tcW w:type="dxa" w:w="1368"/>
          </w:tcPr>
          <w:p>
            <w:pPr>
              <w:spacing w:after="20"/>
            </w:pPr>
            <w:r>
              <w:rPr>
                <w:color w:val="1C3A36"/>
                <w:sz w:val="15"/>
              </w:rPr>
              <w:t>17,330.2</w:t>
            </w:r>
          </w:p>
        </w:tc>
        <w:tc>
          <w:tcPr>
            <w:tcW w:type="dxa" w:w="1123"/>
          </w:tcPr>
          <w:p>
            <w:pPr>
              <w:spacing w:after="20"/>
            </w:pPr>
            <w:r>
              <w:rPr>
                <w:color w:val="1C3A36"/>
                <w:sz w:val="15"/>
              </w:rPr>
              <w:t>2026-03-15</w:t>
            </w:r>
          </w:p>
        </w:tc>
        <w:tc>
          <w:tcPr>
            <w:tcW w:type="dxa" w:w="5933"/>
          </w:tcPr>
          <w:p>
            <w:pPr>
              <w:spacing w:after="20"/>
            </w:pPr>
            <w:r>
              <w:rPr>
                <w:color w:val="1C3A36"/>
                <w:sz w:val="15"/>
              </w:rPr>
              <w:t>Profit attributable to owners of the parent, FY2025 audited financial statements. Basic and diluted EPS both 7.13 (no dilutive instruments beyond the already-deducted ESOP shares)</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financial position, 31 Dec 2023</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financial position, 31 Dec 2024</w:t>
            </w:r>
          </w:p>
        </w:tc>
      </w:tr>
      <w:tr>
        <w:tc>
          <w:tcPr>
            <w:tcW w:type="dxa" w:w="1656"/>
          </w:tcPr>
          <w:p>
            <w:pPr>
              <w:spacing w:after="20"/>
            </w:pPr>
            <w:r>
              <w:rPr>
                <w:color w:val="1C3A36"/>
                <w:sz w:val="15"/>
              </w:rPr>
              <w:t>ppe fy25</w:t>
            </w:r>
          </w:p>
        </w:tc>
        <w:tc>
          <w:tcPr>
            <w:tcW w:type="dxa" w:w="1368"/>
          </w:tcPr>
          <w:p>
            <w:pPr>
              <w:spacing w:after="20"/>
            </w:pPr>
            <w:r>
              <w:rPr>
                <w:color w:val="1C3A36"/>
                <w:sz w:val="15"/>
              </w:rPr>
              <w:t>35,961.1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financial position, 31 Dec 2025</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123"/>
          </w:tcPr>
          <w:p>
            <w:pPr>
              <w:spacing w:after="20"/>
            </w:pPr>
            <w:r>
              <w:rPr>
                <w:color w:val="1C3A36"/>
                <w:sz w:val="15"/>
              </w:rPr>
              <w:t>2024-03-13</w:t>
            </w:r>
          </w:p>
        </w:tc>
        <w:tc>
          <w:tcPr>
            <w:tcW w:type="dxa" w:w="5933"/>
          </w:tcPr>
          <w:p>
            <w:pPr>
              <w:spacing w:after="20"/>
            </w:pPr>
            <w:r>
              <w:rPr>
                <w:color w:val="1C3A36"/>
                <w:sz w:val="15"/>
              </w:rPr>
              <w:t>Inventories, 31 Dec 2023 (net of write-down)</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123"/>
          </w:tcPr>
          <w:p>
            <w:pPr>
              <w:spacing w:after="20"/>
            </w:pPr>
            <w:r>
              <w:rPr>
                <w:color w:val="1C3A36"/>
                <w:sz w:val="15"/>
              </w:rPr>
              <w:t>2025-03-13</w:t>
            </w:r>
          </w:p>
        </w:tc>
        <w:tc>
          <w:tcPr>
            <w:tcW w:type="dxa" w:w="5933"/>
          </w:tcPr>
          <w:p>
            <w:pPr>
              <w:spacing w:after="20"/>
            </w:pPr>
            <w:r>
              <w:rPr>
                <w:color w:val="1C3A36"/>
                <w:sz w:val="15"/>
              </w:rPr>
              <w:t>Inventories, 31 Dec 2024 (net of write-down)</w:t>
            </w:r>
          </w:p>
        </w:tc>
      </w:tr>
      <w:tr>
        <w:tc>
          <w:tcPr>
            <w:tcW w:type="dxa" w:w="1656"/>
          </w:tcPr>
          <w:p>
            <w:pPr>
              <w:spacing w:after="20"/>
            </w:pPr>
            <w:r>
              <w:rPr>
                <w:color w:val="1C3A36"/>
                <w:sz w:val="15"/>
              </w:rPr>
              <w:t>inv fy25</w:t>
            </w:r>
          </w:p>
        </w:tc>
        <w:tc>
          <w:tcPr>
            <w:tcW w:type="dxa" w:w="1368"/>
          </w:tcPr>
          <w:p>
            <w:pPr>
              <w:spacing w:after="20"/>
            </w:pPr>
            <w:r>
              <w:rPr>
                <w:color w:val="1C3A36"/>
                <w:sz w:val="15"/>
              </w:rPr>
              <w:t>59,860.0</w:t>
            </w:r>
          </w:p>
        </w:tc>
        <w:tc>
          <w:tcPr>
            <w:tcW w:type="dxa" w:w="1123"/>
          </w:tcPr>
          <w:p>
            <w:pPr>
              <w:spacing w:after="20"/>
            </w:pPr>
            <w:r>
              <w:rPr>
                <w:color w:val="1C3A36"/>
                <w:sz w:val="15"/>
              </w:rPr>
              <w:t>2026-03-15</w:t>
            </w:r>
          </w:p>
        </w:tc>
        <w:tc>
          <w:tcPr>
            <w:tcW w:type="dxa" w:w="5933"/>
          </w:tcPr>
          <w:p>
            <w:pPr>
              <w:spacing w:after="20"/>
            </w:pPr>
            <w:r>
              <w:rPr>
                <w:color w:val="1C3A36"/>
                <w:sz w:val="15"/>
              </w:rPr>
              <w:t>Inventories, 31 Dec 2025 (net of write-down)</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123"/>
          </w:tcPr>
          <w:p>
            <w:pPr>
              <w:spacing w:after="20"/>
            </w:pPr>
            <w:r>
              <w:rPr>
                <w:color w:val="1C3A36"/>
                <w:sz w:val="15"/>
              </w:rPr>
              <w:t>2024-03-13</w:t>
            </w:r>
          </w:p>
        </w:tc>
        <w:tc>
          <w:tcPr>
            <w:tcW w:type="dxa" w:w="5933"/>
          </w:tcPr>
          <w:p>
            <w:pPr>
              <w:spacing w:after="20"/>
            </w:pPr>
            <w:r>
              <w:rPr>
                <w:color w:val="1C3A36"/>
                <w:sz w:val="15"/>
              </w:rPr>
              <w:t>Contract assets, 31 Dec 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123"/>
          </w:tcPr>
          <w:p>
            <w:pPr>
              <w:spacing w:after="20"/>
            </w:pPr>
            <w:r>
              <w:rPr>
                <w:color w:val="1C3A36"/>
                <w:sz w:val="15"/>
              </w:rPr>
              <w:t>2025-03-13</w:t>
            </w:r>
          </w:p>
        </w:tc>
        <w:tc>
          <w:tcPr>
            <w:tcW w:type="dxa" w:w="5933"/>
          </w:tcPr>
          <w:p>
            <w:pPr>
              <w:spacing w:after="20"/>
            </w:pPr>
            <w:r>
              <w:rPr>
                <w:color w:val="1C3A36"/>
                <w:sz w:val="15"/>
              </w:rPr>
              <w:t>Contract assets, 31 Dec 2024</w:t>
            </w:r>
          </w:p>
        </w:tc>
      </w:tr>
      <w:tr>
        <w:tc>
          <w:tcPr>
            <w:tcW w:type="dxa" w:w="1656"/>
          </w:tcPr>
          <w:p>
            <w:pPr>
              <w:spacing w:after="20"/>
            </w:pPr>
            <w:r>
              <w:rPr>
                <w:color w:val="1C3A36"/>
                <w:sz w:val="15"/>
              </w:rPr>
              <w:t>ca fy25</w:t>
            </w:r>
          </w:p>
        </w:tc>
        <w:tc>
          <w:tcPr>
            <w:tcW w:type="dxa" w:w="1368"/>
          </w:tcPr>
          <w:p>
            <w:pPr>
              <w:spacing w:after="20"/>
            </w:pPr>
            <w:r>
              <w:rPr>
                <w:color w:val="1C3A36"/>
                <w:sz w:val="15"/>
              </w:rPr>
              <w:t>29,894.6</w:t>
            </w:r>
          </w:p>
        </w:tc>
        <w:tc>
          <w:tcPr>
            <w:tcW w:type="dxa" w:w="1123"/>
          </w:tcPr>
          <w:p>
            <w:pPr>
              <w:spacing w:after="20"/>
            </w:pPr>
            <w:r>
              <w:rPr>
                <w:color w:val="1C3A36"/>
                <w:sz w:val="15"/>
              </w:rPr>
              <w:t>2026-03-15</w:t>
            </w:r>
          </w:p>
        </w:tc>
        <w:tc>
          <w:tcPr>
            <w:tcW w:type="dxa" w:w="5933"/>
          </w:tcPr>
          <w:p>
            <w:pPr>
              <w:spacing w:after="20"/>
            </w:pPr>
            <w:r>
              <w:rPr>
                <w:color w:val="1C3A36"/>
                <w:sz w:val="15"/>
              </w:rPr>
              <w:t>Contract assets, 31 Dec 2025</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123"/>
          </w:tcPr>
          <w:p>
            <w:pPr>
              <w:spacing w:after="20"/>
            </w:pPr>
            <w:r>
              <w:rPr>
                <w:color w:val="1C3A36"/>
                <w:sz w:val="15"/>
              </w:rPr>
              <w:t>2024-03-13</w:t>
            </w:r>
          </w:p>
        </w:tc>
        <w:tc>
          <w:tcPr>
            <w:tcW w:type="dxa" w:w="5933"/>
          </w:tcPr>
          <w:p>
            <w:pPr>
              <w:spacing w:after="20"/>
            </w:pPr>
            <w:r>
              <w:rPr>
                <w:color w:val="1C3A36"/>
                <w:sz w:val="15"/>
              </w:rPr>
              <w:t>Trade and other receivables (current), 31 Dec 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123"/>
          </w:tcPr>
          <w:p>
            <w:pPr>
              <w:spacing w:after="20"/>
            </w:pPr>
            <w:r>
              <w:rPr>
                <w:color w:val="1C3A36"/>
                <w:sz w:val="15"/>
              </w:rPr>
              <w:t>2025-03-13</w:t>
            </w:r>
          </w:p>
        </w:tc>
        <w:tc>
          <w:tcPr>
            <w:tcW w:type="dxa" w:w="5933"/>
          </w:tcPr>
          <w:p>
            <w:pPr>
              <w:spacing w:after="20"/>
            </w:pPr>
            <w:r>
              <w:rPr>
                <w:color w:val="1C3A36"/>
                <w:sz w:val="15"/>
              </w:rPr>
              <w:t>Trade and other receivables (current), 31 Dec 2024</w:t>
            </w:r>
          </w:p>
        </w:tc>
      </w:tr>
      <w:tr>
        <w:tc>
          <w:tcPr>
            <w:tcW w:type="dxa" w:w="1656"/>
          </w:tcPr>
          <w:p>
            <w:pPr>
              <w:spacing w:after="20"/>
            </w:pPr>
            <w:r>
              <w:rPr>
                <w:color w:val="1C3A36"/>
                <w:sz w:val="15"/>
              </w:rPr>
              <w:t>recv fy25</w:t>
            </w:r>
          </w:p>
        </w:tc>
        <w:tc>
          <w:tcPr>
            <w:tcW w:type="dxa" w:w="1368"/>
          </w:tcPr>
          <w:p>
            <w:pPr>
              <w:spacing w:after="20"/>
            </w:pPr>
            <w:r>
              <w:rPr>
                <w:color w:val="1C3A36"/>
                <w:sz w:val="15"/>
              </w:rPr>
              <w:t>116,259.8</w:t>
            </w:r>
          </w:p>
        </w:tc>
        <w:tc>
          <w:tcPr>
            <w:tcW w:type="dxa" w:w="1123"/>
          </w:tcPr>
          <w:p>
            <w:pPr>
              <w:spacing w:after="20"/>
            </w:pPr>
            <w:r>
              <w:rPr>
                <w:color w:val="1C3A36"/>
                <w:sz w:val="15"/>
              </w:rPr>
              <w:t>2026-03-15</w:t>
            </w:r>
          </w:p>
        </w:tc>
        <w:tc>
          <w:tcPr>
            <w:tcW w:type="dxa" w:w="5933"/>
          </w:tcPr>
          <w:p>
            <w:pPr>
              <w:spacing w:after="20"/>
            </w:pPr>
            <w:r>
              <w:rPr>
                <w:color w:val="1C3A36"/>
                <w:sz w:val="15"/>
              </w:rPr>
              <w:t>Trade and other receivables (current), 31 Dec 2025</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123"/>
          </w:tcPr>
          <w:p>
            <w:pPr>
              <w:spacing w:after="20"/>
            </w:pPr>
            <w:r>
              <w:rPr>
                <w:color w:val="1C3A36"/>
                <w:sz w:val="15"/>
              </w:rPr>
              <w:t>2024-03-13</w:t>
            </w:r>
          </w:p>
        </w:tc>
        <w:tc>
          <w:tcPr>
            <w:tcW w:type="dxa" w:w="5933"/>
          </w:tcPr>
          <w:p>
            <w:pPr>
              <w:spacing w:after="20"/>
            </w:pPr>
            <w:r>
              <w:rPr>
                <w:color w:val="1C3A36"/>
                <w:sz w:val="15"/>
              </w:rPr>
              <w:t>Trade and other payables, 31 Dec 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123"/>
          </w:tcPr>
          <w:p>
            <w:pPr>
              <w:spacing w:after="20"/>
            </w:pPr>
            <w:r>
              <w:rPr>
                <w:color w:val="1C3A36"/>
                <w:sz w:val="15"/>
              </w:rPr>
              <w:t>2025-03-13</w:t>
            </w:r>
          </w:p>
        </w:tc>
        <w:tc>
          <w:tcPr>
            <w:tcW w:type="dxa" w:w="5933"/>
          </w:tcPr>
          <w:p>
            <w:pPr>
              <w:spacing w:after="20"/>
            </w:pPr>
            <w:r>
              <w:rPr>
                <w:color w:val="1C3A36"/>
                <w:sz w:val="15"/>
              </w:rPr>
              <w:t>Trade and other payables, 31 Dec 2024</w:t>
            </w:r>
          </w:p>
        </w:tc>
      </w:tr>
      <w:tr>
        <w:tc>
          <w:tcPr>
            <w:tcW w:type="dxa" w:w="1656"/>
          </w:tcPr>
          <w:p>
            <w:pPr>
              <w:spacing w:after="20"/>
            </w:pPr>
            <w:r>
              <w:rPr>
                <w:color w:val="1C3A36"/>
                <w:sz w:val="15"/>
              </w:rPr>
              <w:t>pay fy25</w:t>
            </w:r>
          </w:p>
        </w:tc>
        <w:tc>
          <w:tcPr>
            <w:tcW w:type="dxa" w:w="1368"/>
          </w:tcPr>
          <w:p>
            <w:pPr>
              <w:spacing w:after="20"/>
            </w:pPr>
            <w:r>
              <w:rPr>
                <w:color w:val="1C3A36"/>
                <w:sz w:val="15"/>
              </w:rPr>
              <w:t>68,895.7</w:t>
            </w:r>
          </w:p>
        </w:tc>
        <w:tc>
          <w:tcPr>
            <w:tcW w:type="dxa" w:w="1123"/>
          </w:tcPr>
          <w:p>
            <w:pPr>
              <w:spacing w:after="20"/>
            </w:pPr>
            <w:r>
              <w:rPr>
                <w:color w:val="1C3A36"/>
                <w:sz w:val="15"/>
              </w:rPr>
              <w:t>2026-03-15</w:t>
            </w:r>
          </w:p>
        </w:tc>
        <w:tc>
          <w:tcPr>
            <w:tcW w:type="dxa" w:w="5933"/>
          </w:tcPr>
          <w:p>
            <w:pPr>
              <w:spacing w:after="20"/>
            </w:pPr>
            <w:r>
              <w:rPr>
                <w:color w:val="1C3A36"/>
                <w:sz w:val="15"/>
              </w:rPr>
              <w:t>Trade and other payables, 31 Dec 2025</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123"/>
          </w:tcPr>
          <w:p>
            <w:pPr>
              <w:spacing w:after="20"/>
            </w:pPr>
            <w:r>
              <w:rPr>
                <w:color w:val="1C3A36"/>
                <w:sz w:val="15"/>
              </w:rPr>
              <w:t>2024-03-13</w:t>
            </w:r>
          </w:p>
        </w:tc>
        <w:tc>
          <w:tcPr>
            <w:tcW w:type="dxa" w:w="5933"/>
          </w:tcPr>
          <w:p>
            <w:pPr>
              <w:spacing w:after="20"/>
            </w:pPr>
            <w:r>
              <w:rPr>
                <w:color w:val="1C3A36"/>
                <w:sz w:val="15"/>
              </w:rPr>
              <w:t>Contract liabilities, 31 Dec 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123"/>
          </w:tcPr>
          <w:p>
            <w:pPr>
              <w:spacing w:after="20"/>
            </w:pPr>
            <w:r>
              <w:rPr>
                <w:color w:val="1C3A36"/>
                <w:sz w:val="15"/>
              </w:rPr>
              <w:t>2025-03-13</w:t>
            </w:r>
          </w:p>
        </w:tc>
        <w:tc>
          <w:tcPr>
            <w:tcW w:type="dxa" w:w="5933"/>
          </w:tcPr>
          <w:p>
            <w:pPr>
              <w:spacing w:after="20"/>
            </w:pPr>
            <w:r>
              <w:rPr>
                <w:color w:val="1C3A36"/>
                <w:sz w:val="15"/>
              </w:rPr>
              <w:t>Contract liabilities, 31 Dec 2024</w:t>
            </w:r>
          </w:p>
        </w:tc>
      </w:tr>
      <w:tr>
        <w:tc>
          <w:tcPr>
            <w:tcW w:type="dxa" w:w="1656"/>
          </w:tcPr>
          <w:p>
            <w:pPr>
              <w:spacing w:after="20"/>
            </w:pPr>
            <w:r>
              <w:rPr>
                <w:color w:val="1C3A36"/>
                <w:sz w:val="15"/>
              </w:rPr>
              <w:t>cl fy25</w:t>
            </w:r>
          </w:p>
        </w:tc>
        <w:tc>
          <w:tcPr>
            <w:tcW w:type="dxa" w:w="1368"/>
          </w:tcPr>
          <w:p>
            <w:pPr>
              <w:spacing w:after="20"/>
            </w:pPr>
            <w:r>
              <w:rPr>
                <w:color w:val="1C3A36"/>
                <w:sz w:val="15"/>
              </w:rPr>
              <w:t>81,266.2</w:t>
            </w:r>
          </w:p>
        </w:tc>
        <w:tc>
          <w:tcPr>
            <w:tcW w:type="dxa" w:w="1123"/>
          </w:tcPr>
          <w:p>
            <w:pPr>
              <w:spacing w:after="20"/>
            </w:pPr>
            <w:r>
              <w:rPr>
                <w:color w:val="1C3A36"/>
                <w:sz w:val="15"/>
              </w:rPr>
              <w:t>2026-03-15</w:t>
            </w:r>
          </w:p>
        </w:tc>
        <w:tc>
          <w:tcPr>
            <w:tcW w:type="dxa" w:w="5933"/>
          </w:tcPr>
          <w:p>
            <w:pPr>
              <w:spacing w:after="20"/>
            </w:pPr>
            <w:r>
              <w:rPr>
                <w:color w:val="1C3A36"/>
                <w:sz w:val="15"/>
              </w:rPr>
              <w:t>Contract liabilities, 31 Dec 2025</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123"/>
          </w:tcPr>
          <w:p>
            <w:pPr>
              <w:spacing w:after="20"/>
            </w:pPr>
            <w:r>
              <w:rPr>
                <w:color w:val="1C3A36"/>
                <w:sz w:val="15"/>
              </w:rPr>
              <w:t>2024-03-13</w:t>
            </w:r>
          </w:p>
        </w:tc>
        <w:tc>
          <w:tcPr>
            <w:tcW w:type="dxa" w:w="5933"/>
          </w:tcPr>
          <w:p>
            <w:pPr>
              <w:spacing w:after="20"/>
            </w:pPr>
            <w:r>
              <w:rPr>
                <w:color w:val="1C3A36"/>
                <w:sz w:val="15"/>
              </w:rPr>
              <w:t>Cash and cash equivalents, 31 Dec 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123"/>
          </w:tcPr>
          <w:p>
            <w:pPr>
              <w:spacing w:after="20"/>
            </w:pPr>
            <w:r>
              <w:rPr>
                <w:color w:val="1C3A36"/>
                <w:sz w:val="15"/>
              </w:rPr>
              <w:t>2025-03-13</w:t>
            </w:r>
          </w:p>
        </w:tc>
        <w:tc>
          <w:tcPr>
            <w:tcW w:type="dxa" w:w="5933"/>
          </w:tcPr>
          <w:p>
            <w:pPr>
              <w:spacing w:after="20"/>
            </w:pPr>
            <w:r>
              <w:rPr>
                <w:color w:val="1C3A36"/>
                <w:sz w:val="15"/>
              </w:rPr>
              <w:t>Cash and cash equivalents, 31 Dec 2024</w:t>
            </w:r>
          </w:p>
        </w:tc>
      </w:tr>
      <w:tr>
        <w:tc>
          <w:tcPr>
            <w:tcW w:type="dxa" w:w="1656"/>
          </w:tcPr>
          <w:p>
            <w:pPr>
              <w:spacing w:after="20"/>
            </w:pPr>
            <w:r>
              <w:rPr>
                <w:color w:val="1C3A36"/>
                <w:sz w:val="15"/>
              </w:rPr>
              <w:t>cash fy25</w:t>
            </w:r>
          </w:p>
        </w:tc>
        <w:tc>
          <w:tcPr>
            <w:tcW w:type="dxa" w:w="1368"/>
          </w:tcPr>
          <w:p>
            <w:pPr>
              <w:spacing w:after="20"/>
            </w:pPr>
            <w:r>
              <w:rPr>
                <w:color w:val="1C3A36"/>
                <w:sz w:val="15"/>
              </w:rPr>
              <w:t>41,949.2</w:t>
            </w:r>
          </w:p>
        </w:tc>
        <w:tc>
          <w:tcPr>
            <w:tcW w:type="dxa" w:w="1123"/>
          </w:tcPr>
          <w:p>
            <w:pPr>
              <w:spacing w:after="20"/>
            </w:pPr>
            <w:r>
              <w:rPr>
                <w:color w:val="1C3A36"/>
                <w:sz w:val="15"/>
              </w:rPr>
              <w:t>2026-03-15</w:t>
            </w:r>
          </w:p>
        </w:tc>
        <w:tc>
          <w:tcPr>
            <w:tcW w:type="dxa" w:w="5933"/>
          </w:tcPr>
          <w:p>
            <w:pPr>
              <w:spacing w:after="20"/>
            </w:pPr>
            <w:r>
              <w:rPr>
                <w:color w:val="1C3A36"/>
                <w:sz w:val="15"/>
              </w:rPr>
              <w:t>Cash and cash equivalents, 31 Dec 2025: bank time deposits 9,689.1, bank current accounts 32,157.7, cash on hand 102.4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123"/>
          </w:tcPr>
          <w:p>
            <w:pPr>
              <w:spacing w:after="20"/>
            </w:pPr>
            <w:r>
              <w:rPr>
                <w:color w:val="1C3A36"/>
                <w:sz w:val="15"/>
              </w:rPr>
              <w:t>2024-03-13</w:t>
            </w:r>
          </w:p>
        </w:tc>
        <w:tc>
          <w:tcPr>
            <w:tcW w:type="dxa" w:w="5933"/>
          </w:tcPr>
          <w:p>
            <w:pPr>
              <w:spacing w:after="20"/>
            </w:pPr>
            <w:r>
              <w:rPr>
                <w:color w:val="1C3A36"/>
                <w:sz w:val="15"/>
              </w:rPr>
              <w:t>Total assets, 31 Dec 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123"/>
          </w:tcPr>
          <w:p>
            <w:pPr>
              <w:spacing w:after="20"/>
            </w:pPr>
            <w:r>
              <w:rPr>
                <w:color w:val="1C3A36"/>
                <w:sz w:val="15"/>
              </w:rPr>
              <w:t>2025-03-13</w:t>
            </w:r>
          </w:p>
        </w:tc>
        <w:tc>
          <w:tcPr>
            <w:tcW w:type="dxa" w:w="5933"/>
          </w:tcPr>
          <w:p>
            <w:pPr>
              <w:spacing w:after="20"/>
            </w:pPr>
            <w:r>
              <w:rPr>
                <w:color w:val="1C3A36"/>
                <w:sz w:val="15"/>
              </w:rPr>
              <w:t>Total assets, 31 Dec 2024</w:t>
            </w:r>
          </w:p>
        </w:tc>
      </w:tr>
      <w:tr>
        <w:tc>
          <w:tcPr>
            <w:tcW w:type="dxa" w:w="1656"/>
          </w:tcPr>
          <w:p>
            <w:pPr>
              <w:spacing w:after="20"/>
            </w:pPr>
            <w:r>
              <w:rPr>
                <w:color w:val="1C3A36"/>
                <w:sz w:val="15"/>
              </w:rPr>
              <w:t>assets fy25</w:t>
            </w:r>
          </w:p>
        </w:tc>
        <w:tc>
          <w:tcPr>
            <w:tcW w:type="dxa" w:w="1368"/>
          </w:tcPr>
          <w:p>
            <w:pPr>
              <w:spacing w:after="20"/>
            </w:pPr>
            <w:r>
              <w:rPr>
                <w:color w:val="1C3A36"/>
                <w:sz w:val="15"/>
              </w:rPr>
              <w:t>311,099.1</w:t>
            </w:r>
          </w:p>
        </w:tc>
        <w:tc>
          <w:tcPr>
            <w:tcW w:type="dxa" w:w="1123"/>
          </w:tcPr>
          <w:p>
            <w:pPr>
              <w:spacing w:after="20"/>
            </w:pPr>
            <w:r>
              <w:rPr>
                <w:color w:val="1C3A36"/>
                <w:sz w:val="15"/>
              </w:rPr>
              <w:t>2026-03-15</w:t>
            </w:r>
          </w:p>
        </w:tc>
        <w:tc>
          <w:tcPr>
            <w:tcW w:type="dxa" w:w="5933"/>
          </w:tcPr>
          <w:p>
            <w:pPr>
              <w:spacing w:after="20"/>
            </w:pPr>
            <w:r>
              <w:rPr>
                <w:color w:val="1C3A36"/>
                <w:sz w:val="15"/>
              </w:rPr>
              <w:t>Total assets, 31 Dec 2025</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123"/>
          </w:tcPr>
          <w:p>
            <w:pPr>
              <w:spacing w:after="20"/>
            </w:pPr>
            <w:r>
              <w:rPr>
                <w:color w:val="1C3A36"/>
                <w:sz w:val="15"/>
              </w:rPr>
              <w:t>2024-03-13</w:t>
            </w:r>
          </w:p>
        </w:tc>
        <w:tc>
          <w:tcPr>
            <w:tcW w:type="dxa" w:w="5933"/>
          </w:tcPr>
          <w:p>
            <w:pPr>
              <w:spacing w:after="20"/>
            </w:pPr>
            <w:r>
              <w:rPr>
                <w:color w:val="1C3A36"/>
                <w:sz w:val="15"/>
              </w:rPr>
              <w:t>Loans and borrowings including lease liabilities, 31 Dec 2023: current 34,950.810105 (loans 7,401.079843 + bank facilities 27,530.523733 + leases 19.206529) + non-current 6,815.681966 (loans 6,235.939701 + leases 579.742265)</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123"/>
          </w:tcPr>
          <w:p>
            <w:pPr>
              <w:spacing w:after="20"/>
            </w:pPr>
            <w:r>
              <w:rPr>
                <w:color w:val="1C3A36"/>
                <w:sz w:val="15"/>
              </w:rPr>
              <w:t>2025-03-13</w:t>
            </w:r>
          </w:p>
        </w:tc>
        <w:tc>
          <w:tcPr>
            <w:tcW w:type="dxa" w:w="5933"/>
          </w:tcPr>
          <w:p>
            <w:pPr>
              <w:spacing w:after="20"/>
            </w:pPr>
            <w:r>
              <w:rPr>
                <w:color w:val="1C3A36"/>
                <w:sz w:val="15"/>
              </w:rPr>
              <w:t>Loans and borrowings including lease liabilities, 31 Dec 2024: current 52,733.931099 (loans 12,580.708167 + bank facilities 40,049.471127 + leases 103.751805) + non-current 6,349.010708 (loans 6,166.616210 + leases 182.394498)</w:t>
            </w:r>
          </w:p>
        </w:tc>
      </w:tr>
      <w:tr>
        <w:tc>
          <w:tcPr>
            <w:tcW w:type="dxa" w:w="1656"/>
          </w:tcPr>
          <w:p>
            <w:pPr>
              <w:spacing w:after="20"/>
            </w:pPr>
            <w:r>
              <w:rPr>
                <w:color w:val="1C3A36"/>
                <w:sz w:val="15"/>
              </w:rPr>
              <w:t>debt fy25</w:t>
            </w:r>
          </w:p>
        </w:tc>
        <w:tc>
          <w:tcPr>
            <w:tcW w:type="dxa" w:w="1368"/>
          </w:tcPr>
          <w:p>
            <w:pPr>
              <w:spacing w:after="20"/>
            </w:pPr>
            <w:r>
              <w:rPr>
                <w:color w:val="1C3A36"/>
                <w:sz w:val="15"/>
              </w:rPr>
              <w:t>62,509.2</w:t>
            </w:r>
          </w:p>
        </w:tc>
        <w:tc>
          <w:tcPr>
            <w:tcW w:type="dxa" w:w="1123"/>
          </w:tcPr>
          <w:p>
            <w:pPr>
              <w:spacing w:after="20"/>
            </w:pPr>
            <w:r>
              <w:rPr>
                <w:color w:val="1C3A36"/>
                <w:sz w:val="15"/>
              </w:rPr>
              <w:t>2026-03-15</w:t>
            </w:r>
          </w:p>
        </w:tc>
        <w:tc>
          <w:tcPr>
            <w:tcW w:type="dxa" w:w="5933"/>
          </w:tcPr>
          <w:p>
            <w:pPr>
              <w:spacing w:after="20"/>
            </w:pPr>
            <w:r>
              <w:rPr>
                <w:color w:val="1C3A36"/>
                <w:sz w:val="15"/>
              </w:rPr>
              <w:t>Loans and borrowings including lease liabilities, 31 Dec 2025: current 53,888.496799 (loans 26,673.246745 + bank facilities 27,183.559774 + leases 31.690280) + non-current 8,620.714998 (loans 8,605.301580 + leases 15.413418)</w:t>
            </w:r>
          </w:p>
        </w:tc>
      </w:tr>
      <w:tr>
        <w:tc>
          <w:tcPr>
            <w:tcW w:type="dxa" w:w="1656"/>
          </w:tcPr>
          <w:p>
            <w:pPr>
              <w:spacing w:after="20"/>
            </w:pPr>
            <w:r>
              <w:rPr>
                <w:color w:val="1C3A36"/>
                <w:sz w:val="15"/>
              </w:rPr>
              <w:t>nd fy23</w:t>
            </w:r>
          </w:p>
        </w:tc>
        <w:tc>
          <w:tcPr>
            <w:tcW w:type="dxa" w:w="1368"/>
          </w:tcPr>
          <w:p>
            <w:pPr>
              <w:spacing w:after="20"/>
            </w:pPr>
            <w:r>
              <w:rPr>
                <w:color w:val="1C3A36"/>
                <w:sz w:val="15"/>
              </w:rPr>
              <w:t>16,214.4</w:t>
            </w:r>
          </w:p>
        </w:tc>
        <w:tc>
          <w:tcPr>
            <w:tcW w:type="dxa" w:w="1123"/>
          </w:tcPr>
          <w:p>
            <w:pPr>
              <w:spacing w:after="20"/>
            </w:pPr>
            <w:r>
              <w:rPr>
                <w:color w:val="1C3A36"/>
                <w:sz w:val="15"/>
              </w:rPr>
              <w:t>2024-03-13</w:t>
            </w:r>
          </w:p>
        </w:tc>
        <w:tc>
          <w:tcPr>
            <w:tcW w:type="dxa" w:w="5933"/>
          </w:tcPr>
          <w:p>
            <w:pPr>
              <w:spacing w:after="20"/>
            </w:pPr>
            <w:r>
              <w:rPr>
                <w:color w:val="1C3A36"/>
                <w:sz w:val="15"/>
              </w:rPr>
              <w:t>Net financial debt, 31 Dec 2023: total loans and borrowings including leases 41,766.492071 less cash and cash equivalents 25,552.044800. NOTE: this is the interest-bearing-debt definition used for the equity bridge, not the company's own 'net debt' capital-management ratio (Note 29-1), which nets a much broader liability base (total liabilities less deferred tax and provisions) against cash and is a leverage-monitoring metric, not a valuation-bridge quantity</w:t>
            </w:r>
          </w:p>
        </w:tc>
      </w:tr>
      <w:tr>
        <w:tc>
          <w:tcPr>
            <w:tcW w:type="dxa" w:w="1656"/>
          </w:tcPr>
          <w:p>
            <w:pPr>
              <w:spacing w:after="20"/>
            </w:pPr>
            <w:r>
              <w:rPr>
                <w:color w:val="1C3A36"/>
                <w:sz w:val="15"/>
              </w:rPr>
              <w:t>nd fy24</w:t>
            </w:r>
          </w:p>
        </w:tc>
        <w:tc>
          <w:tcPr>
            <w:tcW w:type="dxa" w:w="1368"/>
          </w:tcPr>
          <w:p>
            <w:pPr>
              <w:spacing w:after="20"/>
            </w:pPr>
            <w:r>
              <w:rPr>
                <w:color w:val="1C3A36"/>
                <w:sz w:val="15"/>
              </w:rPr>
              <w:t>20,902.9</w:t>
            </w:r>
          </w:p>
        </w:tc>
        <w:tc>
          <w:tcPr>
            <w:tcW w:type="dxa" w:w="1123"/>
          </w:tcPr>
          <w:p>
            <w:pPr>
              <w:spacing w:after="20"/>
            </w:pPr>
            <w:r>
              <w:rPr>
                <w:color w:val="1C3A36"/>
                <w:sz w:val="15"/>
              </w:rPr>
              <w:t>2025-03-13</w:t>
            </w:r>
          </w:p>
        </w:tc>
        <w:tc>
          <w:tcPr>
            <w:tcW w:type="dxa" w:w="5933"/>
          </w:tcPr>
          <w:p>
            <w:pPr>
              <w:spacing w:after="20"/>
            </w:pPr>
            <w:r>
              <w:rPr>
                <w:color w:val="1C3A36"/>
                <w:sz w:val="15"/>
              </w:rPr>
              <w:t>Net financial debt, 31 Dec 2024: total loans and borrowings including leases 59,082.941807 less cash 38,180.002322</w:t>
            </w:r>
          </w:p>
        </w:tc>
      </w:tr>
      <w:tr>
        <w:tc>
          <w:tcPr>
            <w:tcW w:type="dxa" w:w="1656"/>
          </w:tcPr>
          <w:p>
            <w:pPr>
              <w:spacing w:after="20"/>
            </w:pPr>
            <w:r>
              <w:rPr>
                <w:color w:val="1C3A36"/>
                <w:sz w:val="15"/>
              </w:rPr>
              <w:t>nd fy25</w:t>
            </w:r>
          </w:p>
        </w:tc>
        <w:tc>
          <w:tcPr>
            <w:tcW w:type="dxa" w:w="1368"/>
          </w:tcPr>
          <w:p>
            <w:pPr>
              <w:spacing w:after="20"/>
            </w:pPr>
            <w:r>
              <w:rPr>
                <w:color w:val="1C3A36"/>
                <w:sz w:val="15"/>
              </w:rPr>
              <w:t>20,560.0</w:t>
            </w:r>
          </w:p>
        </w:tc>
        <w:tc>
          <w:tcPr>
            <w:tcW w:type="dxa" w:w="1123"/>
          </w:tcPr>
          <w:p>
            <w:pPr>
              <w:spacing w:after="20"/>
            </w:pPr>
            <w:r>
              <w:rPr>
                <w:color w:val="1C3A36"/>
                <w:sz w:val="15"/>
              </w:rPr>
              <w:t>2026-03-15</w:t>
            </w:r>
          </w:p>
        </w:tc>
        <w:tc>
          <w:tcPr>
            <w:tcW w:type="dxa" w:w="5933"/>
          </w:tcPr>
          <w:p>
            <w:pPr>
              <w:spacing w:after="20"/>
            </w:pPr>
            <w:r>
              <w:rPr>
                <w:color w:val="1C3A36"/>
                <w:sz w:val="15"/>
              </w:rPr>
              <w:t>Net financial debt, 31 Dec 2025: total loans and borrowings including leases 62,509.211797 less cash 41,949.208624. The company's OWN 'net debt' figure (Note 29-1) is EGP 180,102.969196 — total liabilities LESS deferred tax and provisions, less cash — a capital-structure leverage ratio (net debt/equity 2.50x) that nets trade payables and contract liabilities against cash. Using it in an EV-to-equity bridge would double-count operating liabilities already reflected in working capital; the interest-bearing figure above is the correct bridge quantity and is used throughout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123"/>
          </w:tcPr>
          <w:p>
            <w:pPr>
              <w:spacing w:after="20"/>
            </w:pPr>
            <w:r>
              <w:rPr>
                <w:color w:val="1C3A36"/>
                <w:sz w:val="15"/>
              </w:rPr>
              <w:t>2024-03-13</w:t>
            </w:r>
          </w:p>
        </w:tc>
        <w:tc>
          <w:tcPr>
            <w:tcW w:type="dxa" w:w="5933"/>
          </w:tcPr>
          <w:p>
            <w:pPr>
              <w:spacing w:after="20"/>
            </w:pPr>
            <w:r>
              <w:rPr>
                <w:color w:val="1C3A36"/>
                <w:sz w:val="15"/>
              </w:rPr>
              <w:t>Equity attributable to owners of the parent, 31 Dec 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123"/>
          </w:tcPr>
          <w:p>
            <w:pPr>
              <w:spacing w:after="20"/>
            </w:pPr>
            <w:r>
              <w:rPr>
                <w:color w:val="1C3A36"/>
                <w:sz w:val="15"/>
              </w:rPr>
              <w:t>2025-03-13</w:t>
            </w:r>
          </w:p>
        </w:tc>
        <w:tc>
          <w:tcPr>
            <w:tcW w:type="dxa" w:w="5933"/>
          </w:tcPr>
          <w:p>
            <w:pPr>
              <w:spacing w:after="20"/>
            </w:pPr>
            <w:r>
              <w:rPr>
                <w:color w:val="1C3A36"/>
                <w:sz w:val="15"/>
              </w:rPr>
              <w:t>Equity attributable to owners of the parent, 31 Dec 2024</w:t>
            </w:r>
          </w:p>
        </w:tc>
      </w:tr>
      <w:tr>
        <w:tc>
          <w:tcPr>
            <w:tcW w:type="dxa" w:w="1656"/>
          </w:tcPr>
          <w:p>
            <w:pPr>
              <w:spacing w:after="20"/>
            </w:pPr>
            <w:r>
              <w:rPr>
                <w:color w:val="1C3A36"/>
                <w:sz w:val="15"/>
              </w:rPr>
              <w:t>eqp fy25</w:t>
            </w:r>
          </w:p>
        </w:tc>
        <w:tc>
          <w:tcPr>
            <w:tcW w:type="dxa" w:w="1368"/>
          </w:tcPr>
          <w:p>
            <w:pPr>
              <w:spacing w:after="20"/>
            </w:pPr>
            <w:r>
              <w:rPr>
                <w:color w:val="1C3A36"/>
                <w:sz w:val="15"/>
              </w:rPr>
              <w:t>66,870.9</w:t>
            </w:r>
          </w:p>
        </w:tc>
        <w:tc>
          <w:tcPr>
            <w:tcW w:type="dxa" w:w="1123"/>
          </w:tcPr>
          <w:p>
            <w:pPr>
              <w:spacing w:after="20"/>
            </w:pPr>
            <w:r>
              <w:rPr>
                <w:color w:val="1C3A36"/>
                <w:sz w:val="15"/>
              </w:rPr>
              <w:t>2026-03-15</w:t>
            </w:r>
          </w:p>
        </w:tc>
        <w:tc>
          <w:tcPr>
            <w:tcW w:type="dxa" w:w="5933"/>
          </w:tcPr>
          <w:p>
            <w:pPr>
              <w:spacing w:after="20"/>
            </w:pPr>
            <w:r>
              <w:rPr>
                <w:color w:val="1C3A36"/>
                <w:sz w:val="15"/>
              </w:rPr>
              <w:t>Equity attributable to owners of the parent, 31 Dec 2025 — now the audited closing figure, not derived from the prior year plus profit less an assumed dividend</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123"/>
          </w:tcPr>
          <w:p>
            <w:pPr>
              <w:spacing w:after="20"/>
            </w:pPr>
            <w:r>
              <w:rPr>
                <w:color w:val="1C3A36"/>
                <w:sz w:val="15"/>
              </w:rPr>
              <w:t>2024-03-13</w:t>
            </w:r>
          </w:p>
        </w:tc>
        <w:tc>
          <w:tcPr>
            <w:tcW w:type="dxa" w:w="5933"/>
          </w:tcPr>
          <w:p>
            <w:pPr>
              <w:spacing w:after="20"/>
            </w:pPr>
            <w:r>
              <w:rPr>
                <w:color w:val="1C3A36"/>
                <w:sz w:val="15"/>
              </w:rPr>
              <w:t>Non-controlling interests, 31 Dec 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123"/>
          </w:tcPr>
          <w:p>
            <w:pPr>
              <w:spacing w:after="20"/>
            </w:pPr>
            <w:r>
              <w:rPr>
                <w:color w:val="1C3A36"/>
                <w:sz w:val="15"/>
              </w:rPr>
              <w:t>2025-03-13</w:t>
            </w:r>
          </w:p>
        </w:tc>
        <w:tc>
          <w:tcPr>
            <w:tcW w:type="dxa" w:w="5933"/>
          </w:tcPr>
          <w:p>
            <w:pPr>
              <w:spacing w:after="20"/>
            </w:pPr>
            <w:r>
              <w:rPr>
                <w:color w:val="1C3A36"/>
                <w:sz w:val="15"/>
              </w:rPr>
              <w:t>Non-controlling interests, 31 Dec 2024</w:t>
            </w:r>
          </w:p>
        </w:tc>
      </w:tr>
      <w:tr>
        <w:tc>
          <w:tcPr>
            <w:tcW w:type="dxa" w:w="1656"/>
          </w:tcPr>
          <w:p>
            <w:pPr>
              <w:spacing w:after="20"/>
            </w:pPr>
            <w:r>
              <w:rPr>
                <w:color w:val="1C3A36"/>
                <w:sz w:val="15"/>
              </w:rPr>
              <w:t>nci fy25</w:t>
            </w:r>
          </w:p>
        </w:tc>
        <w:tc>
          <w:tcPr>
            <w:tcW w:type="dxa" w:w="1368"/>
          </w:tcPr>
          <w:p>
            <w:pPr>
              <w:spacing w:after="20"/>
            </w:pPr>
            <w:r>
              <w:rPr>
                <w:color w:val="1C3A36"/>
                <w:sz w:val="15"/>
              </w:rPr>
              <w:t>5,119.0</w:t>
            </w:r>
          </w:p>
        </w:tc>
        <w:tc>
          <w:tcPr>
            <w:tcW w:type="dxa" w:w="1123"/>
          </w:tcPr>
          <w:p>
            <w:pPr>
              <w:spacing w:after="20"/>
            </w:pPr>
            <w:r>
              <w:rPr>
                <w:color w:val="1C3A36"/>
                <w:sz w:val="15"/>
              </w:rPr>
              <w:t>2026-03-15</w:t>
            </w:r>
          </w:p>
        </w:tc>
        <w:tc>
          <w:tcPr>
            <w:tcW w:type="dxa" w:w="5933"/>
          </w:tcPr>
          <w:p>
            <w:pPr>
              <w:spacing w:after="20"/>
            </w:pPr>
            <w:r>
              <w:rPr>
                <w:color w:val="1C3A36"/>
                <w:sz w:val="15"/>
              </w:rPr>
              <w:t>Non-controlling interests, 31 Dec 2025: Rowad for Modern Engineering (49%) 1,429.7, Elsewedy Cables-KSA (40%) 2,546.8, Egyptian Co. for Solar Energy (49%) 297.5, Elsewedy Electric Zambia (40%) 453.2, Egyptian Co. for Electrical Insulators (25.17%) 76.1, Pyramids Zona Franca (5%) 17.9, others 297.7</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123"/>
          </w:tcPr>
          <w:p>
            <w:pPr>
              <w:spacing w:after="20"/>
            </w:pPr>
            <w:r>
              <w:rPr>
                <w:color w:val="1C3A36"/>
                <w:sz w:val="15"/>
              </w:rPr>
              <w:t>2025-03-13</w:t>
            </w:r>
          </w:p>
        </w:tc>
        <w:tc>
          <w:tcPr>
            <w:tcW w:type="dxa" w:w="5933"/>
          </w:tcPr>
          <w:p>
            <w:pPr>
              <w:spacing w:after="20"/>
            </w:pPr>
            <w:r>
              <w:rPr>
                <w:color w:val="1C3A36"/>
                <w:sz w:val="15"/>
              </w:rPr>
              <w:t>Equity-accounted investees, carrying value, 31 Dec 2024</w:t>
            </w:r>
          </w:p>
        </w:tc>
      </w:tr>
      <w:tr>
        <w:tc>
          <w:tcPr>
            <w:tcW w:type="dxa" w:w="1656"/>
          </w:tcPr>
          <w:p>
            <w:pPr>
              <w:spacing w:after="20"/>
            </w:pPr>
            <w:r>
              <w:rPr>
                <w:color w:val="1C3A36"/>
                <w:sz w:val="15"/>
              </w:rPr>
              <w:t>assoc bv fy25</w:t>
            </w:r>
          </w:p>
        </w:tc>
        <w:tc>
          <w:tcPr>
            <w:tcW w:type="dxa" w:w="1368"/>
          </w:tcPr>
          <w:p>
            <w:pPr>
              <w:spacing w:after="20"/>
            </w:pPr>
            <w:r>
              <w:rPr>
                <w:color w:val="1C3A36"/>
                <w:sz w:val="15"/>
              </w:rPr>
              <w:t>6,757.7</w:t>
            </w:r>
          </w:p>
        </w:tc>
        <w:tc>
          <w:tcPr>
            <w:tcW w:type="dxa" w:w="1123"/>
          </w:tcPr>
          <w:p>
            <w:pPr>
              <w:spacing w:after="20"/>
            </w:pPr>
            <w:r>
              <w:rPr>
                <w:color w:val="1C3A36"/>
                <w:sz w:val="15"/>
              </w:rPr>
              <w:t>2026-03-15</w:t>
            </w:r>
          </w:p>
        </w:tc>
        <w:tc>
          <w:tcPr>
            <w:tcW w:type="dxa" w:w="5933"/>
          </w:tcPr>
          <w:p>
            <w:pPr>
              <w:spacing w:after="20"/>
            </w:pPr>
            <w:r>
              <w:rPr>
                <w:color w:val="1C3A36"/>
                <w:sz w:val="15"/>
              </w:rPr>
              <w:t>Equity-accounted investees, carrying value, 31 Dec 2025 — the closing balance used in the valuation bridge (the anchor date is Aug-2026, so the FY2025 close is the most recent audited figure, not FY2024's). Note 20 names every investee and none is listed, so [R-BRIDGE-01] leaves book as the only route; the balance reconciles to the prior year through the disclosed 1,174.475 Senyar dividend and 135.317 of translation</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123"/>
          </w:tcPr>
          <w:p>
            <w:pPr>
              <w:spacing w:after="20"/>
            </w:pPr>
            <w:r>
              <w:rPr>
                <w:color w:val="1C3A36"/>
                <w:sz w:val="15"/>
              </w:rPr>
              <w:t>2025-03-13</w:t>
            </w:r>
          </w:p>
        </w:tc>
        <w:tc>
          <w:tcPr>
            <w:tcW w:type="dxa" w:w="5933"/>
          </w:tcPr>
          <w:p>
            <w:pPr>
              <w:spacing w:after="20"/>
            </w:pPr>
            <w:r>
              <w:rPr>
                <w:color w:val="1C3A36"/>
                <w:sz w:val="15"/>
              </w:rPr>
              <w:t>Intangible assets and goodwill, 31 Dec 2024</w:t>
            </w:r>
          </w:p>
        </w:tc>
      </w:tr>
      <w:tr>
        <w:tc>
          <w:tcPr>
            <w:tcW w:type="dxa" w:w="1656"/>
          </w:tcPr>
          <w:p>
            <w:pPr>
              <w:spacing w:after="20"/>
            </w:pPr>
            <w:r>
              <w:rPr>
                <w:color w:val="1C3A36"/>
                <w:sz w:val="15"/>
              </w:rPr>
              <w:t>intang fy25</w:t>
            </w:r>
          </w:p>
        </w:tc>
        <w:tc>
          <w:tcPr>
            <w:tcW w:type="dxa" w:w="1368"/>
          </w:tcPr>
          <w:p>
            <w:pPr>
              <w:spacing w:after="20"/>
            </w:pPr>
            <w:r>
              <w:rPr>
                <w:color w:val="1C3A36"/>
                <w:sz w:val="15"/>
              </w:rPr>
              <w:t>1,748.8</w:t>
            </w:r>
          </w:p>
        </w:tc>
        <w:tc>
          <w:tcPr>
            <w:tcW w:type="dxa" w:w="1123"/>
          </w:tcPr>
          <w:p>
            <w:pPr>
              <w:spacing w:after="20"/>
            </w:pPr>
            <w:r>
              <w:rPr>
                <w:color w:val="1C3A36"/>
                <w:sz w:val="15"/>
              </w:rPr>
              <w:t>2026-03-15</w:t>
            </w:r>
          </w:p>
        </w:tc>
        <w:tc>
          <w:tcPr>
            <w:tcW w:type="dxa" w:w="5933"/>
          </w:tcPr>
          <w:p>
            <w:pPr>
              <w:spacing w:after="20"/>
            </w:pPr>
            <w:r>
              <w:rPr>
                <w:color w:val="1C3A36"/>
                <w:sz w:val="15"/>
              </w:rPr>
              <w:t>Intangible assets and goodwill, 31 Dec 2025</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123"/>
          </w:tcPr>
          <w:p>
            <w:pPr>
              <w:spacing w:after="20"/>
            </w:pPr>
            <w:r>
              <w:rPr>
                <w:color w:val="1C3A36"/>
                <w:sz w:val="15"/>
              </w:rPr>
              <w:t>2026-03-15</w:t>
            </w:r>
          </w:p>
        </w:tc>
        <w:tc>
          <w:tcPr>
            <w:tcW w:type="dxa" w:w="5933"/>
          </w:tcPr>
          <w:p>
            <w:pPr>
              <w:spacing w:after="20"/>
            </w:pPr>
            <w:r>
              <w:rPr>
                <w:color w:val="1C3A36"/>
                <w:sz w:val="15"/>
              </w:rPr>
              <w:t>FY2024 dividend, paid during FY2025: cash flow statement 'dividends paid to shareholders' of 3,111.384454 splits into 2,139.355716 to owners of the parent and 972.028738 to non-controlling interests; 2,139.355716 / 2,139,355,716 weighted shares = EXACTLY EGP 1.00 per share</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123"/>
          </w:tcPr>
          <w:p>
            <w:pPr>
              <w:spacing w:after="20"/>
            </w:pPr>
            <w:r>
              <w:rPr>
                <w:color w:val="1C3A36"/>
                <w:sz w:val="15"/>
              </w:rPr>
              <w:t>2026-05-06</w:t>
            </w:r>
          </w:p>
        </w:tc>
        <w:tc>
          <w:tcPr>
            <w:tcW w:type="dxa" w:w="5933"/>
          </w:tcPr>
          <w:p>
            <w:pPr>
              <w:spacing w:after="20"/>
            </w:pPr>
            <w:r>
              <w:rPr>
                <w:color w:val="1C3A36"/>
                <w:sz w:val="15"/>
              </w:rPr>
              <w:t>FY2025 cash dividend of EGP 1.85/share: recommended with the FY2025 results, ratified by the ordinary general assembly on 6 May 2026, rights with the share through 1 June, paid from 4 June 2026 (EGX disclosure, corroborated by Arab Finance coverage and the quoted ~2.0% trailing yield). RESTORED after external critique: an earlier revision removed this figure because neither the FY2025 annual filing (board-approved 12 Mar 2026) nor the Q1-2026 interim disclosed it — an absence-of-evidence error, since the interim covers a period ending 31 March and carries no subsequent-events note, so its silence was never evidence. Payout = 1.85 / 8.10 attributable EPS = 22.8%</w:t>
            </w:r>
          </w:p>
        </w:tc>
      </w:tr>
      <w:tr>
        <w:tc>
          <w:tcPr>
            <w:tcW w:type="dxa" w:w="1656"/>
          </w:tcPr>
          <w:p>
            <w:pPr>
              <w:spacing w:after="20"/>
            </w:pPr>
            <w:r>
              <w:rPr>
                <w:color w:val="1C3A36"/>
                <w:sz w:val="15"/>
              </w:rPr>
              <w:t>capex fy23</w:t>
            </w:r>
          </w:p>
        </w:tc>
        <w:tc>
          <w:tcPr>
            <w:tcW w:type="dxa" w:w="1368"/>
          </w:tcPr>
          <w:p>
            <w:pPr>
              <w:spacing w:after="20"/>
            </w:pPr>
            <w:r>
              <w:rPr>
                <w:color w:val="1C3A36"/>
                <w:sz w:val="15"/>
              </w:rPr>
              <w:t>4,748.6</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cash flow statement: 'acquisition of property, plant and equipment'</w:t>
            </w:r>
          </w:p>
        </w:tc>
      </w:tr>
      <w:tr>
        <w:tc>
          <w:tcPr>
            <w:tcW w:type="dxa" w:w="1656"/>
          </w:tcPr>
          <w:p>
            <w:pPr>
              <w:spacing w:after="20"/>
            </w:pPr>
            <w:r>
              <w:rPr>
                <w:color w:val="1C3A36"/>
                <w:sz w:val="15"/>
              </w:rPr>
              <w:t>capex fy24</w:t>
            </w:r>
          </w:p>
        </w:tc>
        <w:tc>
          <w:tcPr>
            <w:tcW w:type="dxa" w:w="1368"/>
          </w:tcPr>
          <w:p>
            <w:pPr>
              <w:spacing w:after="20"/>
            </w:pPr>
            <w:r>
              <w:rPr>
                <w:color w:val="1C3A36"/>
                <w:sz w:val="15"/>
              </w:rPr>
              <w:t>8,489.8</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cash flow statement: 'paid for acquisition of property, plant and equipment and projects under construction'</w:t>
            </w:r>
          </w:p>
        </w:tc>
      </w:tr>
      <w:tr>
        <w:tc>
          <w:tcPr>
            <w:tcW w:type="dxa" w:w="1656"/>
          </w:tcPr>
          <w:p>
            <w:pPr>
              <w:spacing w:after="20"/>
            </w:pPr>
            <w:r>
              <w:rPr>
                <w:color w:val="1C3A36"/>
                <w:sz w:val="15"/>
              </w:rPr>
              <w:t>capex fy25</w:t>
            </w:r>
          </w:p>
        </w:tc>
        <w:tc>
          <w:tcPr>
            <w:tcW w:type="dxa" w:w="1368"/>
          </w:tcPr>
          <w:p>
            <w:pPr>
              <w:spacing w:after="20"/>
            </w:pPr>
            <w:r>
              <w:rPr>
                <w:color w:val="1C3A36"/>
                <w:sz w:val="15"/>
              </w:rPr>
              <w:t>13,112.0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cash flow statement: 'paid for acquisition of property, plant and equipment and projects under construction' — a 55% step-up on FY2024, the capacity-expansion cycle referenced throughout this study</w:t>
            </w:r>
          </w:p>
        </w:tc>
      </w:tr>
      <w:tr>
        <w:tc>
          <w:tcPr>
            <w:tcW w:type="dxa" w:w="1656"/>
          </w:tcPr>
          <w:p>
            <w:pPr>
              <w:spacing w:after="20"/>
            </w:pPr>
            <w:r>
              <w:rPr>
                <w:color w:val="1C3A36"/>
                <w:sz w:val="15"/>
              </w:rPr>
              <w:t>int paid fy25</w:t>
            </w:r>
          </w:p>
        </w:tc>
        <w:tc>
          <w:tcPr>
            <w:tcW w:type="dxa" w:w="1368"/>
          </w:tcPr>
          <w:p>
            <w:pPr>
              <w:spacing w:after="20"/>
            </w:pPr>
            <w:r>
              <w:rPr>
                <w:color w:val="1C3A36"/>
                <w:sz w:val="15"/>
              </w:rPr>
              <w:t>5,740.3</w:t>
            </w:r>
          </w:p>
        </w:tc>
        <w:tc>
          <w:tcPr>
            <w:tcW w:type="dxa" w:w="1123"/>
          </w:tcPr>
          <w:p>
            <w:pPr>
              <w:spacing w:after="20"/>
            </w:pPr>
            <w:r>
              <w:rPr>
                <w:color w:val="1C3A36"/>
                <w:sz w:val="15"/>
              </w:rPr>
              <w:t>2026-03-15</w:t>
            </w:r>
          </w:p>
        </w:tc>
        <w:tc>
          <w:tcPr>
            <w:tcW w:type="dxa" w:w="5933"/>
          </w:tcPr>
          <w:p>
            <w:pPr>
              <w:spacing w:after="20"/>
            </w:pPr>
            <w:r>
              <w:rPr>
                <w:color w:val="1C3A36"/>
                <w:sz w:val="15"/>
              </w:rPr>
              <w:t>Interest paid, audited FY2025 consolidated statement of cash flows</w:t>
            </w:r>
          </w:p>
        </w:tc>
      </w:tr>
      <w:tr>
        <w:tc>
          <w:tcPr>
            <w:tcW w:type="dxa" w:w="1656"/>
          </w:tcPr>
          <w:p>
            <w:pPr>
              <w:spacing w:after="20"/>
            </w:pPr>
            <w:r>
              <w:rPr>
                <w:color w:val="1C3A36"/>
                <w:sz w:val="15"/>
              </w:rPr>
              <w:t>tax paid fy25</w:t>
            </w:r>
          </w:p>
        </w:tc>
        <w:tc>
          <w:tcPr>
            <w:tcW w:type="dxa" w:w="1368"/>
          </w:tcPr>
          <w:p>
            <w:pPr>
              <w:spacing w:after="20"/>
            </w:pPr>
            <w:r>
              <w:rPr>
                <w:color w:val="1C3A36"/>
                <w:sz w:val="15"/>
              </w:rPr>
              <w:t>8,298.8</w:t>
            </w:r>
          </w:p>
        </w:tc>
        <w:tc>
          <w:tcPr>
            <w:tcW w:type="dxa" w:w="1123"/>
          </w:tcPr>
          <w:p>
            <w:pPr>
              <w:spacing w:after="20"/>
            </w:pPr>
            <w:r>
              <w:rPr>
                <w:color w:val="1C3A36"/>
                <w:sz w:val="15"/>
              </w:rPr>
              <w:t>2026-03-15</w:t>
            </w:r>
          </w:p>
        </w:tc>
        <w:tc>
          <w:tcPr>
            <w:tcW w:type="dxa" w:w="5933"/>
          </w:tcPr>
          <w:p>
            <w:pPr>
              <w:spacing w:after="20"/>
            </w:pPr>
            <w:r>
              <w:rPr>
                <w:color w:val="1C3A36"/>
                <w:sz w:val="15"/>
              </w:rPr>
              <w:t>Income tax paid, audited FY2025 consolidated statement of cash flows</w:t>
            </w:r>
          </w:p>
        </w:tc>
      </w:tr>
      <w:tr>
        <w:tc>
          <w:tcPr>
            <w:tcW w:type="dxa" w:w="1656"/>
          </w:tcPr>
          <w:p>
            <w:pPr>
              <w:spacing w:after="20"/>
            </w:pPr>
            <w:r>
              <w:rPr>
                <w:color w:val="1C3A36"/>
                <w:sz w:val="15"/>
              </w:rPr>
              <w:t>ocf fy25</w:t>
            </w:r>
          </w:p>
        </w:tc>
        <w:tc>
          <w:tcPr>
            <w:tcW w:type="dxa" w:w="1368"/>
          </w:tcPr>
          <w:p>
            <w:pPr>
              <w:spacing w:after="20"/>
            </w:pPr>
            <w:r>
              <w:rPr>
                <w:color w:val="1C3A36"/>
                <w:sz w:val="15"/>
              </w:rPr>
              <w:t>12,765.9</w:t>
            </w:r>
          </w:p>
        </w:tc>
        <w:tc>
          <w:tcPr>
            <w:tcW w:type="dxa" w:w="1123"/>
          </w:tcPr>
          <w:p>
            <w:pPr>
              <w:spacing w:after="20"/>
            </w:pPr>
            <w:r>
              <w:rPr>
                <w:color w:val="1C3A36"/>
                <w:sz w:val="15"/>
              </w:rPr>
              <w:t>2026-03-15</w:t>
            </w:r>
          </w:p>
        </w:tc>
        <w:tc>
          <w:tcPr>
            <w:tcW w:type="dxa" w:w="5933"/>
          </w:tcPr>
          <w:p>
            <w:pPr>
              <w:spacing w:after="20"/>
            </w:pPr>
            <w:r>
              <w:rPr>
                <w:color w:val="1C3A36"/>
                <w:sz w:val="15"/>
              </w:rPr>
              <w:t>Net cash flows from operating activities, FY2025 (after interest and tax) — 12,765.9 against house EBITDA of 28,363.2, still well below full conversion but a sharp recovery from FY2024's 3,979.4, as the pace of working-capital absorption slowed</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31-Mar-2025 (comparative column of the Q1-2026 filing)</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Q1-2025</w:t>
            </w:r>
          </w:p>
        </w:tc>
      </w:tr>
      <w:tr>
        <w:tc>
          <w:tcPr>
            <w:tcW w:type="dxa" w:w="1656"/>
          </w:tcPr>
          <w:p>
            <w:pPr>
              <w:spacing w:after="20"/>
            </w:pPr>
            <w:r>
              <w:rPr>
                <w:color w:val="1C3A36"/>
                <w:sz w:val="15"/>
              </w:rPr>
              <w:t>q1 26 rev</w:t>
            </w:r>
          </w:p>
        </w:tc>
        <w:tc>
          <w:tcPr>
            <w:tcW w:type="dxa" w:w="1368"/>
          </w:tcPr>
          <w:p>
            <w:pPr>
              <w:spacing w:after="20"/>
            </w:pPr>
            <w:r>
              <w:rPr>
                <w:color w:val="1C3A36"/>
                <w:sz w:val="15"/>
              </w:rPr>
              <w:t>75,298.4</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31-Mar-2026</w:t>
            </w:r>
          </w:p>
        </w:tc>
      </w:tr>
      <w:tr>
        <w:tc>
          <w:tcPr>
            <w:tcW w:type="dxa" w:w="1656"/>
          </w:tcPr>
          <w:p>
            <w:pPr>
              <w:spacing w:after="20"/>
            </w:pPr>
            <w:r>
              <w:rPr>
                <w:color w:val="1C3A36"/>
                <w:sz w:val="15"/>
              </w:rPr>
              <w:t>q1 26 gp</w:t>
            </w:r>
          </w:p>
        </w:tc>
        <w:tc>
          <w:tcPr>
            <w:tcW w:type="dxa" w:w="1368"/>
          </w:tcPr>
          <w:p>
            <w:pPr>
              <w:spacing w:after="20"/>
            </w:pPr>
            <w:r>
              <w:rPr>
                <w:color w:val="1C3A36"/>
                <w:sz w:val="15"/>
              </w:rPr>
              <w:t>13,128.2</w:t>
            </w:r>
          </w:p>
        </w:tc>
        <w:tc>
          <w:tcPr>
            <w:tcW w:type="dxa" w:w="1123"/>
          </w:tcPr>
          <w:p>
            <w:pPr>
              <w:spacing w:after="20"/>
            </w:pPr>
            <w:r>
              <w:rPr>
                <w:color w:val="1C3A36"/>
                <w:sz w:val="15"/>
              </w:rPr>
              <w:t>2026-05-13</w:t>
            </w:r>
          </w:p>
        </w:tc>
        <w:tc>
          <w:tcPr>
            <w:tcW w:type="dxa" w:w="5933"/>
          </w:tcPr>
          <w:p>
            <w:pPr>
              <w:spacing w:after="20"/>
            </w:pPr>
            <w:r>
              <w:rPr>
                <w:color w:val="1C3A36"/>
                <w:sz w:val="15"/>
              </w:rPr>
              <w:t>Gross profit, Q1-2026 interim statements</w:t>
            </w:r>
          </w:p>
        </w:tc>
      </w:tr>
      <w:tr>
        <w:tc>
          <w:tcPr>
            <w:tcW w:type="dxa" w:w="1656"/>
          </w:tcPr>
          <w:p>
            <w:pPr>
              <w:spacing w:after="20"/>
            </w:pPr>
            <w:r>
              <w:rPr>
                <w:color w:val="1C3A36"/>
                <w:sz w:val="15"/>
              </w:rPr>
              <w:t>q1 26 op</w:t>
            </w:r>
          </w:p>
        </w:tc>
        <w:tc>
          <w:tcPr>
            <w:tcW w:type="dxa" w:w="1368"/>
          </w:tcPr>
          <w:p>
            <w:pPr>
              <w:spacing w:after="20"/>
            </w:pPr>
            <w:r>
              <w:rPr>
                <w:color w:val="1C3A36"/>
                <w:sz w:val="15"/>
              </w:rPr>
              <w:t>8,247.2</w:t>
            </w:r>
          </w:p>
        </w:tc>
        <w:tc>
          <w:tcPr>
            <w:tcW w:type="dxa" w:w="1123"/>
          </w:tcPr>
          <w:p>
            <w:pPr>
              <w:spacing w:after="20"/>
            </w:pPr>
            <w:r>
              <w:rPr>
                <w:color w:val="1C3A36"/>
                <w:sz w:val="15"/>
              </w:rPr>
              <w:t>2026-05-13</w:t>
            </w:r>
          </w:p>
        </w:tc>
        <w:tc>
          <w:tcPr>
            <w:tcW w:type="dxa" w:w="5933"/>
          </w:tcPr>
          <w:p>
            <w:pPr>
              <w:spacing w:after="20"/>
            </w:pPr>
            <w:r>
              <w:rPr>
                <w:color w:val="1C3A36"/>
                <w:sz w:val="15"/>
              </w:rPr>
              <w:t>Operating profit, Q1-2026 interim statements</w:t>
            </w:r>
          </w:p>
        </w:tc>
      </w:tr>
      <w:tr>
        <w:tc>
          <w:tcPr>
            <w:tcW w:type="dxa" w:w="1656"/>
          </w:tcPr>
          <w:p>
            <w:pPr>
              <w:spacing w:after="20"/>
            </w:pPr>
            <w:r>
              <w:rPr>
                <w:color w:val="1C3A36"/>
                <w:sz w:val="15"/>
              </w:rPr>
              <w:t>q1 26 netfin</w:t>
            </w:r>
          </w:p>
        </w:tc>
        <w:tc>
          <w:tcPr>
            <w:tcW w:type="dxa" w:w="1368"/>
          </w:tcPr>
          <w:p>
            <w:pPr>
              <w:spacing w:after="20"/>
            </w:pPr>
            <w:r>
              <w:rPr>
                <w:color w:val="1C3A36"/>
                <w:sz w:val="15"/>
              </w:rPr>
              <w:t>-1,458.5</w:t>
            </w:r>
          </w:p>
        </w:tc>
        <w:tc>
          <w:tcPr>
            <w:tcW w:type="dxa" w:w="1123"/>
          </w:tcPr>
          <w:p>
            <w:pPr>
              <w:spacing w:after="20"/>
            </w:pPr>
            <w:r>
              <w:rPr>
                <w:color w:val="1C3A36"/>
                <w:sz w:val="15"/>
              </w:rPr>
              <w:t>2026-05-13</w:t>
            </w:r>
          </w:p>
        </w:tc>
        <w:tc>
          <w:tcPr>
            <w:tcW w:type="dxa" w:w="5933"/>
          </w:tcPr>
          <w:p>
            <w:pPr>
              <w:spacing w:after="20"/>
            </w:pPr>
            <w:r>
              <w:rPr>
                <w:color w:val="1C3A36"/>
                <w:sz w:val="15"/>
              </w:rPr>
              <w:t>Net finance costs, Q1-2026 interim statements: finance income 683.569177 less finance costs 2,142.046788</w:t>
            </w:r>
          </w:p>
        </w:tc>
      </w:tr>
      <w:tr>
        <w:tc>
          <w:tcPr>
            <w:tcW w:type="dxa" w:w="1656"/>
          </w:tcPr>
          <w:p>
            <w:pPr>
              <w:spacing w:after="20"/>
            </w:pPr>
            <w:r>
              <w:rPr>
                <w:color w:val="1C3A36"/>
                <w:sz w:val="15"/>
              </w:rPr>
              <w:t>q1 26 assoc</w:t>
            </w:r>
          </w:p>
        </w:tc>
        <w:tc>
          <w:tcPr>
            <w:tcW w:type="dxa" w:w="1368"/>
          </w:tcPr>
          <w:p>
            <w:pPr>
              <w:spacing w:after="20"/>
            </w:pPr>
            <w:r>
              <w:rPr>
                <w:color w:val="1C3A36"/>
                <w:sz w:val="15"/>
              </w:rPr>
              <w:t>253.2</w:t>
            </w:r>
          </w:p>
        </w:tc>
        <w:tc>
          <w:tcPr>
            <w:tcW w:type="dxa" w:w="1123"/>
          </w:tcPr>
          <w:p>
            <w:pPr>
              <w:spacing w:after="20"/>
            </w:pPr>
            <w:r>
              <w:rPr>
                <w:color w:val="1C3A36"/>
                <w:sz w:val="15"/>
              </w:rPr>
              <w:t>2026-05-13</w:t>
            </w:r>
          </w:p>
        </w:tc>
        <w:tc>
          <w:tcPr>
            <w:tcW w:type="dxa" w:w="5933"/>
          </w:tcPr>
          <w:p>
            <w:pPr>
              <w:spacing w:after="20"/>
            </w:pPr>
            <w:r>
              <w:rPr>
                <w:color w:val="1C3A36"/>
                <w:sz w:val="15"/>
              </w:rPr>
              <w:t>Share of profit of equity-accounted investees, Q1-2026 interim statements</w:t>
            </w:r>
          </w:p>
        </w:tc>
      </w:tr>
      <w:tr>
        <w:tc>
          <w:tcPr>
            <w:tcW w:type="dxa" w:w="1656"/>
          </w:tcPr>
          <w:p>
            <w:pPr>
              <w:spacing w:after="20"/>
            </w:pPr>
            <w:r>
              <w:rPr>
                <w:color w:val="1C3A36"/>
                <w:sz w:val="15"/>
              </w:rPr>
              <w:t>q1 26 tax</w:t>
            </w:r>
          </w:p>
        </w:tc>
        <w:tc>
          <w:tcPr>
            <w:tcW w:type="dxa" w:w="1368"/>
          </w:tcPr>
          <w:p>
            <w:pPr>
              <w:spacing w:after="20"/>
            </w:pPr>
            <w:r>
              <w:rPr>
                <w:color w:val="1C3A36"/>
                <w:sz w:val="15"/>
              </w:rPr>
              <w:t>-1,813.2</w:t>
            </w:r>
          </w:p>
        </w:tc>
        <w:tc>
          <w:tcPr>
            <w:tcW w:type="dxa" w:w="1123"/>
          </w:tcPr>
          <w:p>
            <w:pPr>
              <w:spacing w:after="20"/>
            </w:pPr>
            <w:r>
              <w:rPr>
                <w:color w:val="1C3A36"/>
                <w:sz w:val="15"/>
              </w:rPr>
              <w:t>2026-05-13</w:t>
            </w:r>
          </w:p>
        </w:tc>
        <w:tc>
          <w:tcPr>
            <w:tcW w:type="dxa" w:w="5933"/>
          </w:tcPr>
          <w:p>
            <w:pPr>
              <w:spacing w:after="20"/>
            </w:pPr>
            <w:r>
              <w:rPr>
                <w:color w:val="1C3A36"/>
                <w:sz w:val="15"/>
              </w:rPr>
              <w:t>Income tax expense, Q1-2026 interim statements (effective rate 25.75% on pre-tax profit of 7,041.966803, up from 21.96% in Q1-2025)</w:t>
            </w:r>
          </w:p>
        </w:tc>
      </w:tr>
      <w:tr>
        <w:tc>
          <w:tcPr>
            <w:tcW w:type="dxa" w:w="1656"/>
          </w:tcPr>
          <w:p>
            <w:pPr>
              <w:spacing w:after="20"/>
            </w:pPr>
            <w:r>
              <w:rPr>
                <w:color w:val="1C3A36"/>
                <w:sz w:val="15"/>
              </w:rPr>
              <w:t>q1 26 npa</w:t>
            </w:r>
          </w:p>
        </w:tc>
        <w:tc>
          <w:tcPr>
            <w:tcW w:type="dxa" w:w="1368"/>
          </w:tcPr>
          <w:p>
            <w:pPr>
              <w:spacing w:after="20"/>
            </w:pPr>
            <w:r>
              <w:rPr>
                <w:color w:val="1C3A36"/>
                <w:sz w:val="15"/>
              </w:rPr>
              <w:t>4,845.3</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Q1-2026, +16.9% y/y</w:t>
            </w:r>
          </w:p>
        </w:tc>
      </w:tr>
      <w:tr>
        <w:tc>
          <w:tcPr>
            <w:tcW w:type="dxa" w:w="1656"/>
          </w:tcPr>
          <w:p>
            <w:pPr>
              <w:spacing w:after="20"/>
            </w:pPr>
            <w:r>
              <w:rPr>
                <w:color w:val="1C3A36"/>
                <w:sz w:val="15"/>
              </w:rPr>
              <w:t>q1 26 nd</w:t>
            </w:r>
          </w:p>
        </w:tc>
        <w:tc>
          <w:tcPr>
            <w:tcW w:type="dxa" w:w="1368"/>
          </w:tcPr>
          <w:p>
            <w:pPr>
              <w:spacing w:after="20"/>
            </w:pPr>
            <w:r>
              <w:rPr>
                <w:color w:val="1C3A36"/>
                <w:sz w:val="15"/>
              </w:rPr>
              <w:t>28,768.8</w:t>
            </w:r>
          </w:p>
        </w:tc>
        <w:tc>
          <w:tcPr>
            <w:tcW w:type="dxa" w:w="1123"/>
          </w:tcPr>
          <w:p>
            <w:pPr>
              <w:spacing w:after="20"/>
            </w:pPr>
            <w:r>
              <w:rPr>
                <w:color w:val="1C3A36"/>
                <w:sz w:val="15"/>
              </w:rPr>
              <w:t>2026-05-13</w:t>
            </w:r>
          </w:p>
        </w:tc>
        <w:tc>
          <w:tcPr>
            <w:tcW w:type="dxa" w:w="5933"/>
          </w:tcPr>
          <w:p>
            <w:pPr>
              <w:spacing w:after="20"/>
            </w:pPr>
            <w:r>
              <w:rPr>
                <w:color w:val="1C3A36"/>
                <w:sz w:val="15"/>
              </w:rPr>
              <w:t>Net financial debt, 31 Mar 2026: total loans and borrowings including leases 89,533.539777 less cash 60,764.752555 — up sharply from FY2025-close as working capital absorbed cash (net operating cash flow was NEGATIVE 1,665.1 in the quarter) funded by 30,364.3 of new loan drawdowns</w:t>
            </w:r>
          </w:p>
        </w:tc>
      </w:tr>
      <w:tr>
        <w:tc>
          <w:tcPr>
            <w:tcW w:type="dxa" w:w="1656"/>
          </w:tcPr>
          <w:p>
            <w:pPr>
              <w:spacing w:after="20"/>
            </w:pPr>
            <w:r>
              <w:rPr>
                <w:color w:val="1C3A36"/>
                <w:sz w:val="15"/>
              </w:rPr>
              <w:t>h1 26 rev</w:t>
            </w:r>
          </w:p>
        </w:tc>
        <w:tc>
          <w:tcPr>
            <w:tcW w:type="dxa" w:w="1368"/>
          </w:tcPr>
          <w:p>
            <w:pPr>
              <w:spacing w:after="20"/>
            </w:pPr>
            <w:r>
              <w:rPr>
                <w:color w:val="1C3A36"/>
                <w:sz w:val="15"/>
              </w:rPr>
              <w:t>163,315.7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profit or loss, six months to 30-Jun-2026 (H1-2025 comparative 123,800.551073, +31.9%)</w:t>
            </w:r>
          </w:p>
        </w:tc>
      </w:tr>
      <w:tr>
        <w:tc>
          <w:tcPr>
            <w:tcW w:type="dxa" w:w="1656"/>
          </w:tcPr>
          <w:p>
            <w:pPr>
              <w:spacing w:after="20"/>
            </w:pPr>
            <w:r>
              <w:rPr>
                <w:color w:val="1C3A36"/>
                <w:sz w:val="15"/>
              </w:rPr>
              <w:t>h1 26 gp</w:t>
            </w:r>
          </w:p>
        </w:tc>
        <w:tc>
          <w:tcPr>
            <w:tcW w:type="dxa" w:w="1368"/>
          </w:tcPr>
          <w:p>
            <w:pPr>
              <w:spacing w:after="20"/>
            </w:pPr>
            <w:r>
              <w:rPr>
                <w:color w:val="1C3A36"/>
                <w:sz w:val="15"/>
              </w:rPr>
              <w:t>26,333.3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gross profit on the face (H1-2025 20,245.400138)</w:t>
            </w:r>
          </w:p>
        </w:tc>
      </w:tr>
      <w:tr>
        <w:tc>
          <w:tcPr>
            <w:tcW w:type="dxa" w:w="1656"/>
          </w:tcPr>
          <w:p>
            <w:pPr>
              <w:spacing w:after="20"/>
            </w:pPr>
            <w:r>
              <w:rPr>
                <w:color w:val="1C3A36"/>
                <w:sz w:val="15"/>
              </w:rPr>
              <w:t>h1 26 op</w:t>
            </w:r>
          </w:p>
        </w:tc>
        <w:tc>
          <w:tcPr>
            <w:tcW w:type="dxa" w:w="1368"/>
          </w:tcPr>
          <w:p>
            <w:pPr>
              <w:spacing w:after="20"/>
            </w:pPr>
            <w:r>
              <w:rPr>
                <w:color w:val="1C3A36"/>
                <w:sz w:val="15"/>
              </w:rPr>
              <w:t>16,421.2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operating profit on the face (H1-2025 12,605.157783)</w:t>
            </w:r>
          </w:p>
        </w:tc>
      </w:tr>
      <w:tr>
        <w:tc>
          <w:tcPr>
            <w:tcW w:type="dxa" w:w="1656"/>
          </w:tcPr>
          <w:p>
            <w:pPr>
              <w:spacing w:after="20"/>
            </w:pPr>
            <w:r>
              <w:rPr>
                <w:color w:val="1C3A36"/>
                <w:sz w:val="15"/>
              </w:rPr>
              <w:t>h1 26 netfin</w:t>
            </w:r>
          </w:p>
        </w:tc>
        <w:tc>
          <w:tcPr>
            <w:tcW w:type="dxa" w:w="1368"/>
          </w:tcPr>
          <w:p>
            <w:pPr>
              <w:spacing w:after="20"/>
            </w:pPr>
            <w:r>
              <w:rPr>
                <w:color w:val="1C3A36"/>
                <w:sz w:val="15"/>
              </w:rPr>
              <w:t>-2,141.5</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net finance costs: finance income 1,579.219385 less finance costs 3,720.742200</w:t>
            </w:r>
          </w:p>
        </w:tc>
      </w:tr>
      <w:tr>
        <w:tc>
          <w:tcPr>
            <w:tcW w:type="dxa" w:w="1656"/>
          </w:tcPr>
          <w:p>
            <w:pPr>
              <w:spacing w:after="20"/>
            </w:pPr>
            <w:r>
              <w:rPr>
                <w:color w:val="1C3A36"/>
                <w:sz w:val="15"/>
              </w:rPr>
              <w:t>h1 26 assoc</w:t>
            </w:r>
          </w:p>
        </w:tc>
        <w:tc>
          <w:tcPr>
            <w:tcW w:type="dxa" w:w="1368"/>
          </w:tcPr>
          <w:p>
            <w:pPr>
              <w:spacing w:after="20"/>
            </w:pPr>
            <w:r>
              <w:rPr>
                <w:color w:val="1C3A36"/>
                <w:sz w:val="15"/>
              </w:rPr>
              <w:t>572.6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group share of profit of equity-accounted investees net of tax. A further 542.976117 of gains on sale and revaluation of investments in equity-accounted investees is disclosed SEPARATELY (note 20-3) and is treated as a one-off, not as recurring associate income</w:t>
            </w:r>
          </w:p>
        </w:tc>
      </w:tr>
      <w:tr>
        <w:tc>
          <w:tcPr>
            <w:tcW w:type="dxa" w:w="1656"/>
          </w:tcPr>
          <w:p>
            <w:pPr>
              <w:spacing w:after="20"/>
            </w:pPr>
            <w:r>
              <w:rPr>
                <w:color w:val="1C3A36"/>
                <w:sz w:val="15"/>
              </w:rPr>
              <w:t>h1 26 assoc oneoff</w:t>
            </w:r>
          </w:p>
        </w:tc>
        <w:tc>
          <w:tcPr>
            <w:tcW w:type="dxa" w:w="1368"/>
          </w:tcPr>
          <w:p>
            <w:pPr>
              <w:spacing w:after="20"/>
            </w:pPr>
            <w:r>
              <w:rPr>
                <w:color w:val="1C3A36"/>
                <w:sz w:val="15"/>
              </w:rPr>
              <w:t>543.0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20-3: gains on sale and revaluation of investments in equity-accounted investees. Disclosed on its own line with no comparative, i.e. nothing in H1-2025 — a one-off</w:t>
            </w:r>
          </w:p>
        </w:tc>
      </w:tr>
      <w:tr>
        <w:tc>
          <w:tcPr>
            <w:tcW w:type="dxa" w:w="1656"/>
          </w:tcPr>
          <w:p>
            <w:pPr>
              <w:spacing w:after="20"/>
            </w:pPr>
            <w:r>
              <w:rPr>
                <w:color w:val="1C3A36"/>
                <w:sz w:val="15"/>
              </w:rPr>
              <w:t>h1 26 tax</w:t>
            </w:r>
          </w:p>
        </w:tc>
        <w:tc>
          <w:tcPr>
            <w:tcW w:type="dxa" w:w="1368"/>
          </w:tcPr>
          <w:p>
            <w:pPr>
              <w:spacing w:after="20"/>
            </w:pPr>
            <w:r>
              <w:rPr>
                <w:color w:val="1C3A36"/>
                <w:sz w:val="15"/>
              </w:rPr>
              <w:t>-4,748.6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income tax expense. Effective rate 30.85% on pre-tax profit of 15,395.270255, against 19.39% in H1-2025 and the 24.5% the forecast carries — a material step this re-issue must price rather than average away</w:t>
            </w:r>
          </w:p>
        </w:tc>
      </w:tr>
      <w:tr>
        <w:tc>
          <w:tcPr>
            <w:tcW w:type="dxa" w:w="1656"/>
          </w:tcPr>
          <w:p>
            <w:pPr>
              <w:spacing w:after="20"/>
            </w:pPr>
            <w:r>
              <w:rPr>
                <w:color w:val="1C3A36"/>
                <w:sz w:val="15"/>
              </w:rPr>
              <w:t>h1 26 npa</w:t>
            </w:r>
          </w:p>
        </w:tc>
        <w:tc>
          <w:tcPr>
            <w:tcW w:type="dxa" w:w="1368"/>
          </w:tcPr>
          <w:p>
            <w:pPr>
              <w:spacing w:after="20"/>
            </w:pPr>
            <w:r>
              <w:rPr>
                <w:color w:val="1C3A36"/>
                <w:sz w:val="15"/>
              </w:rPr>
              <w:t>9,921.7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owners of the parent company (H1-2025 8,694.611825, +14.1%)</w:t>
            </w:r>
          </w:p>
        </w:tc>
      </w:tr>
      <w:tr>
        <w:tc>
          <w:tcPr>
            <w:tcW w:type="dxa" w:w="1656"/>
          </w:tcPr>
          <w:p>
            <w:pPr>
              <w:spacing w:after="20"/>
            </w:pPr>
            <w:r>
              <w:rPr>
                <w:color w:val="1C3A36"/>
                <w:sz w:val="15"/>
              </w:rPr>
              <w:t>h1 26 nci</w:t>
            </w:r>
          </w:p>
        </w:tc>
        <w:tc>
          <w:tcPr>
            <w:tcW w:type="dxa" w:w="1368"/>
          </w:tcPr>
          <w:p>
            <w:pPr>
              <w:spacing w:after="20"/>
            </w:pPr>
            <w:r>
              <w:rPr>
                <w:color w:val="1C3A36"/>
                <w:sz w:val="15"/>
              </w:rPr>
              <w:t>725.0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 6.81% of the period's total profit after tax of 10,646.715151</w:t>
            </w:r>
          </w:p>
        </w:tc>
      </w:tr>
      <w:tr>
        <w:tc>
          <w:tcPr>
            <w:tcW w:type="dxa" w:w="1656"/>
          </w:tcPr>
          <w:p>
            <w:pPr>
              <w:spacing w:after="20"/>
            </w:pPr>
            <w:r>
              <w:rPr>
                <w:color w:val="1C3A36"/>
                <w:sz w:val="15"/>
              </w:rPr>
              <w:t>h1 26 eps</w:t>
            </w:r>
          </w:p>
        </w:tc>
        <w:tc>
          <w:tcPr>
            <w:tcW w:type="dxa" w:w="1368"/>
          </w:tcPr>
          <w:p>
            <w:pPr>
              <w:spacing w:after="20"/>
            </w:pPr>
            <w:r>
              <w:rPr>
                <w:color w:val="1C3A36"/>
                <w:sz w:val="15"/>
              </w:rPr>
              <w:t>4.03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basic and diluted earnings per share (H1-2025 3.55)</w:t>
            </w:r>
          </w:p>
        </w:tc>
      </w:tr>
      <w:tr>
        <w:tc>
          <w:tcPr>
            <w:tcW w:type="dxa" w:w="1656"/>
          </w:tcPr>
          <w:p>
            <w:pPr>
              <w:spacing w:after="20"/>
            </w:pPr>
            <w:r>
              <w:rPr>
                <w:color w:val="1C3A36"/>
                <w:sz w:val="15"/>
              </w:rPr>
              <w:t>emp share fy24</w:t>
            </w:r>
          </w:p>
        </w:tc>
        <w:tc>
          <w:tcPr>
            <w:tcW w:type="dxa" w:w="1368"/>
          </w:tcPr>
          <w:p>
            <w:pPr>
              <w:spacing w:after="20"/>
            </w:pPr>
            <w:r>
              <w:rPr>
                <w:color w:val="1C3A36"/>
                <w:sz w:val="15"/>
              </w:rPr>
              <w:t>2,025.8</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(FY2024 comparative): employees' share in profit (estimated), deducted from profit attributable to owners to reach profit attributable to ordinary shareholders — 11.60% of the 17,461.358714 attributable</w:t>
            </w:r>
          </w:p>
        </w:tc>
      </w:tr>
      <w:tr>
        <w:tc>
          <w:tcPr>
            <w:tcW w:type="dxa" w:w="1656"/>
          </w:tcPr>
          <w:p>
            <w:pPr>
              <w:spacing w:after="20"/>
            </w:pPr>
            <w:r>
              <w:rPr>
                <w:color w:val="1C3A36"/>
                <w:sz w:val="15"/>
              </w:rPr>
              <w:t>emp share fy25</w:t>
            </w:r>
          </w:p>
        </w:tc>
        <w:tc>
          <w:tcPr>
            <w:tcW w:type="dxa" w:w="1368"/>
          </w:tcPr>
          <w:p>
            <w:pPr>
              <w:spacing w:after="20"/>
            </w:pPr>
            <w:r>
              <w:rPr>
                <w:color w:val="1C3A36"/>
                <w:sz w:val="15"/>
              </w:rPr>
              <w:t>2,073.1</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employees' share in profit (estimated) — 11.96% of the 17,330.244990 attributable to owners. The reported EPS of 7.13 is struck on the 15,257.140146 that remains, over a weighted-average 2,139,355,716 shares (issued 2,140,777,876 less 1,422,160 ESOP shares issued not granted)</w:t>
            </w:r>
          </w:p>
        </w:tc>
      </w:tr>
      <w:tr>
        <w:tc>
          <w:tcPr>
            <w:tcW w:type="dxa" w:w="1656"/>
          </w:tcPr>
          <w:p>
            <w:pPr>
              <w:spacing w:after="20"/>
            </w:pPr>
            <w:r>
              <w:rPr>
                <w:color w:val="1C3A36"/>
                <w:sz w:val="15"/>
              </w:rPr>
              <w:t>salaries cogs fy25</w:t>
            </w:r>
          </w:p>
        </w:tc>
        <w:tc>
          <w:tcPr>
            <w:tcW w:type="dxa" w:w="1368"/>
          </w:tcPr>
          <w:p>
            <w:pPr>
              <w:spacing w:after="20"/>
            </w:pPr>
            <w:r>
              <w:rPr>
                <w:color w:val="1C3A36"/>
                <w:sz w:val="15"/>
              </w:rPr>
              <w:t>12,646.9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'Salaries and its equivalents'</w:t>
            </w:r>
          </w:p>
        </w:tc>
      </w:tr>
      <w:tr>
        <w:tc>
          <w:tcPr>
            <w:tcW w:type="dxa" w:w="1656"/>
          </w:tcPr>
          <w:p>
            <w:pPr>
              <w:spacing w:after="20"/>
            </w:pPr>
            <w:r>
              <w:rPr>
                <w:color w:val="1C3A36"/>
                <w:sz w:val="15"/>
              </w:rPr>
              <w:t>salaries selling fy25</w:t>
            </w:r>
          </w:p>
        </w:tc>
        <w:tc>
          <w:tcPr>
            <w:tcW w:type="dxa" w:w="1368"/>
          </w:tcPr>
          <w:p>
            <w:pPr>
              <w:spacing w:after="20"/>
            </w:pPr>
            <w:r>
              <w:rPr>
                <w:color w:val="1C3A36"/>
                <w:sz w:val="15"/>
              </w:rPr>
              <w:t>1,588.1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'Salaries and its equivalents'</w:t>
            </w:r>
          </w:p>
        </w:tc>
      </w:tr>
      <w:tr>
        <w:tc>
          <w:tcPr>
            <w:tcW w:type="dxa" w:w="1656"/>
          </w:tcPr>
          <w:p>
            <w:pPr>
              <w:spacing w:after="20"/>
            </w:pPr>
            <w:r>
              <w:rPr>
                <w:color w:val="1C3A36"/>
                <w:sz w:val="15"/>
              </w:rPr>
              <w:t>salaries admin fy25</w:t>
            </w:r>
          </w:p>
        </w:tc>
        <w:tc>
          <w:tcPr>
            <w:tcW w:type="dxa" w:w="1368"/>
          </w:tcPr>
          <w:p>
            <w:pPr>
              <w:spacing w:after="20"/>
            </w:pPr>
            <w:r>
              <w:rPr>
                <w:color w:val="1C3A36"/>
                <w:sz w:val="15"/>
              </w:rPr>
              <w:t>4,670.8</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'Salaries and its equivalents'</w:t>
            </w:r>
          </w:p>
        </w:tc>
      </w:tr>
      <w:tr>
        <w:tc>
          <w:tcPr>
            <w:tcW w:type="dxa" w:w="1656"/>
          </w:tcPr>
          <w:p>
            <w:pPr>
              <w:spacing w:after="20"/>
            </w:pPr>
            <w:r>
              <w:rPr>
                <w:color w:val="1C3A36"/>
                <w:sz w:val="15"/>
              </w:rPr>
              <w:t>salaries cogs fy24</w:t>
            </w:r>
          </w:p>
        </w:tc>
        <w:tc>
          <w:tcPr>
            <w:tcW w:type="dxa" w:w="1368"/>
          </w:tcPr>
          <w:p>
            <w:pPr>
              <w:spacing w:after="20"/>
            </w:pPr>
            <w:r>
              <w:rPr>
                <w:color w:val="1C3A36"/>
                <w:sz w:val="15"/>
              </w:rPr>
              <w:t>7,898.9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FY2024 comparative</w:t>
            </w:r>
          </w:p>
        </w:tc>
      </w:tr>
      <w:tr>
        <w:tc>
          <w:tcPr>
            <w:tcW w:type="dxa" w:w="1656"/>
          </w:tcPr>
          <w:p>
            <w:pPr>
              <w:spacing w:after="20"/>
            </w:pPr>
            <w:r>
              <w:rPr>
                <w:color w:val="1C3A36"/>
                <w:sz w:val="15"/>
              </w:rPr>
              <w:t>salaries selling fy24</w:t>
            </w:r>
          </w:p>
        </w:tc>
        <w:tc>
          <w:tcPr>
            <w:tcW w:type="dxa" w:w="1368"/>
          </w:tcPr>
          <w:p>
            <w:pPr>
              <w:spacing w:after="20"/>
            </w:pPr>
            <w:r>
              <w:rPr>
                <w:color w:val="1C3A36"/>
                <w:sz w:val="15"/>
              </w:rPr>
              <w:t>1,216.0</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FY2024 comparative</w:t>
            </w:r>
          </w:p>
        </w:tc>
      </w:tr>
      <w:tr>
        <w:tc>
          <w:tcPr>
            <w:tcW w:type="dxa" w:w="1656"/>
          </w:tcPr>
          <w:p>
            <w:pPr>
              <w:spacing w:after="20"/>
            </w:pPr>
            <w:r>
              <w:rPr>
                <w:color w:val="1C3A36"/>
                <w:sz w:val="15"/>
              </w:rPr>
              <w:t>salaries admin fy24</w:t>
            </w:r>
          </w:p>
        </w:tc>
        <w:tc>
          <w:tcPr>
            <w:tcW w:type="dxa" w:w="1368"/>
          </w:tcPr>
          <w:p>
            <w:pPr>
              <w:spacing w:after="20"/>
            </w:pPr>
            <w:r>
              <w:rPr>
                <w:color w:val="1C3A36"/>
                <w:sz w:val="15"/>
              </w:rPr>
              <w:t>3,639.1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FY2024 comparative</w:t>
            </w:r>
          </w:p>
        </w:tc>
      </w:tr>
      <w:tr>
        <w:tc>
          <w:tcPr>
            <w:tcW w:type="dxa" w:w="1656"/>
          </w:tcPr>
          <w:p>
            <w:pPr>
              <w:spacing w:after="20"/>
            </w:pPr>
            <w:r>
              <w:rPr>
                <w:color w:val="1C3A36"/>
                <w:sz w:val="15"/>
              </w:rPr>
              <w:t>emp share h1 26</w:t>
            </w:r>
          </w:p>
        </w:tc>
        <w:tc>
          <w:tcPr>
            <w:tcW w:type="dxa" w:w="1368"/>
          </w:tcPr>
          <w:p>
            <w:pPr>
              <w:spacing w:after="20"/>
            </w:pPr>
            <w:r>
              <w:rPr>
                <w:color w:val="1C3A36"/>
                <w:sz w:val="15"/>
              </w:rPr>
              <w:t>1,291.2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employees' share in profit (expected) — 13.01% of the 9,921.669274 attributable to owners (H1-2025 1,104.834367 on 8,694.611825, 12.71%)</w:t>
            </w:r>
          </w:p>
        </w:tc>
      </w:tr>
      <w:tr>
        <w:tc>
          <w:tcPr>
            <w:tcW w:type="dxa" w:w="1656"/>
          </w:tcPr>
          <w:p>
            <w:pPr>
              <w:spacing w:after="20"/>
            </w:pPr>
            <w:r>
              <w:rPr>
                <w:color w:val="1C3A36"/>
                <w:sz w:val="15"/>
              </w:rPr>
              <w:t>eps fy25</w:t>
            </w:r>
          </w:p>
        </w:tc>
        <w:tc>
          <w:tcPr>
            <w:tcW w:type="dxa" w:w="1368"/>
          </w:tcPr>
          <w:p>
            <w:pPr>
              <w:spacing w:after="20"/>
            </w:pPr>
            <w:r>
              <w:rPr>
                <w:color w:val="1C3A36"/>
                <w:sz w:val="15"/>
              </w:rPr>
              <w:t>7.13</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basic and diluted earnings per share. REGISTERED SO THAT IT CAN BE RECONCILED — 17,330.244990 attributable over 2,140.777876 shares gives 8.095, and the difference from 7.13 is the employees' share above plus the ESOP adjustment to the weighted-average count. Neither figure was wrong in the first edition; nothing compared them</w:t>
            </w:r>
          </w:p>
        </w:tc>
      </w:tr>
      <w:tr>
        <w:tc>
          <w:tcPr>
            <w:tcW w:type="dxa" w:w="1656"/>
          </w:tcPr>
          <w:p>
            <w:pPr>
              <w:spacing w:after="20"/>
            </w:pPr>
            <w:r>
              <w:rPr>
                <w:color w:val="1C3A36"/>
                <w:sz w:val="15"/>
              </w:rPr>
              <w:t>seg rev h1 26</w:t>
            </w:r>
          </w:p>
        </w:tc>
        <w:tc>
          <w:tcPr>
            <w:tcW w:type="dxa" w:w="1368"/>
          </w:tcPr>
          <w:p>
            <w:pPr>
              <w:spacing w:after="20"/>
            </w:pPr>
            <w:r>
              <w:rPr>
                <w:color w:val="1C3A36"/>
                <w:sz w:val="15"/>
              </w:rPr>
              <w:t>cables: 96,495.2; construct: 43,831.3; elecprod: 22,989.3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revenue without inter-segment sales, aggregating the inside-Egypt and outside-Egypt columns for each segment. Sums EXACTLY to the consolidated 163,315.717414</w:t>
            </w:r>
          </w:p>
        </w:tc>
      </w:tr>
      <w:tr>
        <w:tc>
          <w:tcPr>
            <w:tcW w:type="dxa" w:w="1656"/>
          </w:tcPr>
          <w:p>
            <w:pPr>
              <w:spacing w:after="20"/>
            </w:pPr>
            <w:r>
              <w:rPr>
                <w:color w:val="1C3A36"/>
                <w:sz w:val="15"/>
              </w:rPr>
              <w:t>seg profit h1 26</w:t>
            </w:r>
          </w:p>
        </w:tc>
        <w:tc>
          <w:tcPr>
            <w:tcW w:type="dxa" w:w="1368"/>
          </w:tcPr>
          <w:p>
            <w:pPr>
              <w:spacing w:after="20"/>
            </w:pPr>
            <w:r>
              <w:rPr>
                <w:color w:val="1C3A36"/>
                <w:sz w:val="15"/>
              </w:rPr>
              <w:t>cables: 12,051.3; construct: 5,081.5; elecprod: 5,725.9</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SEGMENT PROFIT (gross profit less selling and distribution expenses), aggregating both geography columns per segment</w:t>
            </w:r>
          </w:p>
        </w:tc>
      </w:tr>
      <w:tr>
        <w:tc>
          <w:tcPr>
            <w:tcW w:type="dxa" w:w="1656"/>
          </w:tcPr>
          <w:p>
            <w:pPr>
              <w:spacing w:after="20"/>
            </w:pPr>
            <w:r>
              <w:rPr>
                <w:color w:val="1C3A36"/>
                <w:sz w:val="15"/>
              </w:rPr>
              <w:t>seg unalloc h1 26</w:t>
            </w:r>
          </w:p>
        </w:tc>
        <w:tc>
          <w:tcPr>
            <w:tcW w:type="dxa" w:w="1368"/>
          </w:tcPr>
          <w:p>
            <w:pPr>
              <w:spacing w:after="20"/>
            </w:pPr>
            <w:r>
              <w:rPr>
                <w:color w:val="1C3A36"/>
                <w:sz w:val="15"/>
              </w:rPr>
              <w:t>-121.8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the unallocated segment-profit columns</w:t>
            </w:r>
          </w:p>
        </w:tc>
      </w:tr>
      <w:tr>
        <w:tc>
          <w:tcPr>
            <w:tcW w:type="dxa" w:w="1656"/>
          </w:tcPr>
          <w:p>
            <w:pPr>
              <w:spacing w:after="20"/>
            </w:pPr>
            <w:r>
              <w:rPr>
                <w:color w:val="1C3A36"/>
                <w:sz w:val="15"/>
              </w:rPr>
              <w:t>seg rev h1 25</w:t>
            </w:r>
          </w:p>
        </w:tc>
        <w:tc>
          <w:tcPr>
            <w:tcW w:type="dxa" w:w="1368"/>
          </w:tcPr>
          <w:p>
            <w:pPr>
              <w:spacing w:after="20"/>
            </w:pPr>
            <w:r>
              <w:rPr>
                <w:color w:val="1C3A36"/>
                <w:sz w:val="15"/>
              </w:rPr>
              <w:t>cables: 73,904.0; construct: 34,392.8; elecprod: 15,503.8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Sums EXACTLY to 123,800.551073</w:t>
            </w:r>
          </w:p>
        </w:tc>
      </w:tr>
      <w:tr>
        <w:tc>
          <w:tcPr>
            <w:tcW w:type="dxa" w:w="1656"/>
          </w:tcPr>
          <w:p>
            <w:pPr>
              <w:spacing w:after="20"/>
            </w:pPr>
            <w:r>
              <w:rPr>
                <w:color w:val="1C3A36"/>
                <w:sz w:val="15"/>
              </w:rPr>
              <w:t>seg profit h1 25</w:t>
            </w:r>
          </w:p>
        </w:tc>
        <w:tc>
          <w:tcPr>
            <w:tcW w:type="dxa" w:w="1368"/>
          </w:tcPr>
          <w:p>
            <w:pPr>
              <w:spacing w:after="20"/>
            </w:pPr>
            <w:r>
              <w:rPr>
                <w:color w:val="1C3A36"/>
                <w:sz w:val="15"/>
              </w:rPr>
              <w:t>cables: 10,749.2; construct: 3,115.5; elecprod: 3,636.8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segment profit — THE HALF THIS STUDY MUST COMPARE AGAINST, because FY2025's group margin of 12.18% sits well below H1-2025's 14.06%: this company's halves are not alike and a half-against-full-year comparison is a basis error</w:t>
            </w:r>
          </w:p>
        </w:tc>
      </w:tr>
      <w:tr>
        <w:tc>
          <w:tcPr>
            <w:tcW w:type="dxa" w:w="1656"/>
          </w:tcPr>
          <w:p>
            <w:pPr>
              <w:spacing w:after="20"/>
            </w:pPr>
            <w:r>
              <w:rPr>
                <w:color w:val="1C3A36"/>
                <w:sz w:val="15"/>
              </w:rPr>
              <w:t>h1 26 debt</w:t>
            </w:r>
          </w:p>
        </w:tc>
        <w:tc>
          <w:tcPr>
            <w:tcW w:type="dxa" w:w="1368"/>
          </w:tcPr>
          <w:p>
            <w:pPr>
              <w:spacing w:after="20"/>
            </w:pPr>
            <w:r>
              <w:rPr>
                <w:color w:val="1C3A36"/>
                <w:sz w:val="15"/>
              </w:rPr>
              <w:t>84,005.2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statement of financial position, note 31: loans and borrowings, non-current 8,072.452169 plus current 75,932.760330</w:t>
            </w:r>
          </w:p>
        </w:tc>
      </w:tr>
      <w:tr>
        <w:tc>
          <w:tcPr>
            <w:tcW w:type="dxa" w:w="1656"/>
          </w:tcPr>
          <w:p>
            <w:pPr>
              <w:spacing w:after="20"/>
            </w:pPr>
            <w:r>
              <w:rPr>
                <w:color w:val="1C3A36"/>
                <w:sz w:val="15"/>
              </w:rPr>
              <w:t>h1 26 cash</w:t>
            </w:r>
          </w:p>
        </w:tc>
        <w:tc>
          <w:tcPr>
            <w:tcW w:type="dxa" w:w="1368"/>
          </w:tcPr>
          <w:p>
            <w:pPr>
              <w:spacing w:after="20"/>
            </w:pPr>
            <w:r>
              <w:rPr>
                <w:color w:val="1C3A36"/>
                <w:sz w:val="15"/>
              </w:rPr>
              <w:t>55,376.2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28 cash and cash equivalents 52,775.664158 plus note 27 investments in debt securities at amortised cost 2,600.578354</w:t>
            </w:r>
          </w:p>
        </w:tc>
      </w:tr>
      <w:tr>
        <w:tc>
          <w:tcPr>
            <w:tcW w:type="dxa" w:w="1656"/>
          </w:tcPr>
          <w:p>
            <w:pPr>
              <w:spacing w:after="20"/>
            </w:pPr>
            <w:r>
              <w:rPr>
                <w:color w:val="1C3A36"/>
                <w:sz w:val="15"/>
              </w:rPr>
              <w:t>h1 26 investees</w:t>
            </w:r>
          </w:p>
        </w:tc>
        <w:tc>
          <w:tcPr>
            <w:tcW w:type="dxa" w:w="1368"/>
          </w:tcPr>
          <w:p>
            <w:pPr>
              <w:spacing w:after="20"/>
            </w:pPr>
            <w:r>
              <w:rPr>
                <w:color w:val="1C3A36"/>
                <w:sz w:val="15"/>
              </w:rPr>
              <w:t>7,119.6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 equity-accounted investees at carrying value (31-Dec-2025: 6,757.650507)</w:t>
            </w:r>
          </w:p>
        </w:tc>
      </w:tr>
      <w:tr>
        <w:tc>
          <w:tcPr>
            <w:tcW w:type="dxa" w:w="1656"/>
          </w:tcPr>
          <w:p>
            <w:pPr>
              <w:spacing w:after="20"/>
            </w:pPr>
            <w:r>
              <w:rPr>
                <w:color w:val="1C3A36"/>
                <w:sz w:val="15"/>
              </w:rPr>
              <w:t>h1 26 eq parent</w:t>
            </w:r>
          </w:p>
        </w:tc>
        <w:tc>
          <w:tcPr>
            <w:tcW w:type="dxa" w:w="1368"/>
          </w:tcPr>
          <w:p>
            <w:pPr>
              <w:spacing w:after="20"/>
            </w:pPr>
            <w:r>
              <w:rPr>
                <w:color w:val="1C3A36"/>
                <w:sz w:val="15"/>
              </w:rPr>
              <w:t>70,347.3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equity attributable to owners of the parent company (31-Dec-2025: 66,870.866550)</w:t>
            </w:r>
          </w:p>
        </w:tc>
      </w:tr>
      <w:tr>
        <w:tc>
          <w:tcPr>
            <w:tcW w:type="dxa" w:w="1656"/>
          </w:tcPr>
          <w:p>
            <w:pPr>
              <w:spacing w:after="20"/>
            </w:pPr>
            <w:r>
              <w:rPr>
                <w:color w:val="1C3A36"/>
                <w:sz w:val="15"/>
              </w:rPr>
              <w:t>h1 26 nci eq</w:t>
            </w:r>
          </w:p>
        </w:tc>
        <w:tc>
          <w:tcPr>
            <w:tcW w:type="dxa" w:w="1368"/>
          </w:tcPr>
          <w:p>
            <w:pPr>
              <w:spacing w:after="20"/>
            </w:pPr>
            <w:r>
              <w:rPr>
                <w:color w:val="1C3A36"/>
                <w:sz w:val="15"/>
              </w:rPr>
              <w:t>5,677.3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 7.47% of total equity of 76,024.598402, against the 9.7% value share this study's bridge deducts and 6.81% of the half's profit. The study's figure is conservative on all three readings</w:t>
            </w:r>
          </w:p>
        </w:tc>
      </w:tr>
      <w:tr>
        <w:tc>
          <w:tcPr>
            <w:tcW w:type="dxa" w:w="1656"/>
          </w:tcPr>
          <w:p>
            <w:pPr>
              <w:spacing w:after="20"/>
            </w:pPr>
            <w:r>
              <w:rPr>
                <w:color w:val="1C3A36"/>
                <w:sz w:val="15"/>
              </w:rPr>
              <w:t>seg rev hist</w:t>
            </w:r>
          </w:p>
        </w:tc>
        <w:tc>
          <w:tcPr>
            <w:tcW w:type="dxa" w:w="1368"/>
          </w:tcPr>
          <w:p>
            <w:pPr>
              <w:spacing w:after="20"/>
            </w:pPr>
            <w:r>
              <w:rPr>
                <w:color w:val="1C3A36"/>
                <w:sz w:val="15"/>
              </w:rPr>
              <w:t>FY23: cables: 82,421.3; construct: 53,482.8; elecprod: 16,282.2; FY24: cables: 137,189.8; construct: 70,921.4; elecprod: 23,870.6; FY25: cables: 155,792.9; construct: 90,958.6; elecprod: 34,297.6</w:t>
            </w:r>
          </w:p>
        </w:tc>
        <w:tc>
          <w:tcPr>
            <w:tcW w:type="dxa" w:w="1123"/>
          </w:tcPr>
          <w:p>
            <w:pPr>
              <w:spacing w:after="20"/>
            </w:pPr>
            <w:r>
              <w:rPr>
                <w:color w:val="1C3A36"/>
                <w:sz w:val="15"/>
              </w:rPr>
              <w:t>2026-03-15</w:t>
            </w:r>
          </w:p>
        </w:tc>
        <w:tc>
          <w:tcPr>
            <w:tcW w:type="dxa" w:w="5933"/>
          </w:tcPr>
          <w:p>
            <w:pPr>
              <w:spacing w:after="20"/>
            </w:pPr>
            <w:r>
              <w:rPr>
                <w:color w:val="1C3A36"/>
                <w:sz w:val="15"/>
              </w:rPr>
              <w:t>Revenue by product/service line, Note 5-3, all three audited financial statements. Sums EXACTLY to consolidated revenue in every year (152,186.247545 / 231,981.835577 / 281,049.081719). This REPLACES a seven-way sub-segment split (cables, raw material, engineering &amp; construction, transformers, meters, other electrical products, infrastructure investment) that does not appear in any of three years of audited filings</w:t>
            </w:r>
          </w:p>
        </w:tc>
      </w:tr>
      <w:tr>
        <w:tc>
          <w:tcPr>
            <w:tcW w:type="dxa" w:w="1656"/>
          </w:tcPr>
          <w:p>
            <w:pPr>
              <w:spacing w:after="20"/>
            </w:pPr>
            <w:r>
              <w:rPr>
                <w:color w:val="1C3A36"/>
                <w:sz w:val="15"/>
              </w:rPr>
              <w:t>seg profit hist</w:t>
            </w:r>
          </w:p>
        </w:tc>
        <w:tc>
          <w:tcPr>
            <w:tcW w:type="dxa" w:w="1368"/>
          </w:tcPr>
          <w:p>
            <w:pPr>
              <w:spacing w:after="20"/>
            </w:pPr>
            <w:r>
              <w:rPr>
                <w:color w:val="1C3A36"/>
                <w:sz w:val="15"/>
              </w:rPr>
              <w:t>FY23: cables: 16,057.6; construct: 6,215.5; elecprod: 4,142.8; FY24: cables: 24,851.9; construct: 8,115.9; elecprod: 6,345.3; FY25: cables: 21,016.4; construct: 5,868.9; elecprod: 7,604.8</w:t>
            </w:r>
          </w:p>
        </w:tc>
        <w:tc>
          <w:tcPr>
            <w:tcW w:type="dxa" w:w="1123"/>
          </w:tcPr>
          <w:p>
            <w:pPr>
              <w:spacing w:after="20"/>
            </w:pPr>
            <w:r>
              <w:rPr>
                <w:color w:val="1C3A36"/>
                <w:sz w:val="15"/>
              </w:rPr>
              <w:t>2026-03-15</w:t>
            </w:r>
          </w:p>
        </w:tc>
        <w:tc>
          <w:tcPr>
            <w:tcW w:type="dxa" w:w="5933"/>
          </w:tcPr>
          <w:p>
            <w:pPr>
              <w:spacing w:after="20"/>
            </w:pPr>
            <w:r>
              <w:rPr>
                <w:color w:val="1C3A36"/>
                <w:sz w:val="15"/>
              </w:rPr>
              <w:t>Segment profit by the same three segments, Note 16 (operating segments), all three audited financial statements — the inside-Egypt and outside-Egypt columns summed. This is computed on the segment note's OWN (pre-elimination) revenue base, which is larger than the Note 5-3 external-revenue view because it includes inter-segment sales (chiefly cable output consumed by the Constructions segment on turnkey projects); FY2025 also carries a disclosed unallocated/corporate item of -246.710877 not attributed to any segment. FY2023's three segments sum to 26,415.925233 against a disclosed total of 26,406.917233 (a 9.0 EGP thousand rounding residual in the filing's own inside/outside table, immaterial); FY2024 and FY2025 tie exactly</w:t>
            </w:r>
          </w:p>
        </w:tc>
      </w:tr>
      <w:tr>
        <w:tc>
          <w:tcPr>
            <w:tcW w:type="dxa" w:w="1656"/>
          </w:tcPr>
          <w:p>
            <w:pPr>
              <w:spacing w:after="20"/>
            </w:pPr>
            <w:r>
              <w:rPr>
                <w:color w:val="1C3A36"/>
                <w:sz w:val="15"/>
              </w:rPr>
              <w:t>corp load hist</w:t>
            </w:r>
          </w:p>
        </w:tc>
        <w:tc>
          <w:tcPr>
            <w:tcW w:type="dxa" w:w="1368"/>
          </w:tcPr>
          <w:p>
            <w:pPr>
              <w:spacing w:after="20"/>
            </w:pPr>
            <w:r>
              <w:rPr>
                <w:color w:val="1C3A36"/>
                <w:sz w:val="15"/>
              </w:rPr>
              <w:t>FY23: 0.057; FY24: 0.043; FY25: 0.0316</w:t>
            </w:r>
          </w:p>
        </w:tc>
        <w:tc>
          <w:tcPr>
            <w:tcW w:type="dxa" w:w="1123"/>
          </w:tcPr>
          <w:p>
            <w:pPr>
              <w:spacing w:after="20"/>
            </w:pPr>
            <w:r>
              <w:rPr>
                <w:color w:val="1C3A36"/>
                <w:sz w:val="15"/>
              </w:rPr>
              <w:t>2026-03-15</w:t>
            </w:r>
          </w:p>
        </w:tc>
        <w:tc>
          <w:tcPr>
            <w:tcW w:type="dxa" w:w="5933"/>
          </w:tcPr>
          <w:p>
            <w:pPr>
              <w:spacing w:after="20"/>
            </w:pPr>
            <w:r>
              <w:rPr>
                <w:color w:val="1C3A36"/>
                <w:sz w:val="15"/>
              </w:rPr>
              <w:t>Net corporate cost load = (G&amp;A + net impairment on receivables + other expenses - other income) / revenue, computed from the audited income statements. This is the bridge from segment profit (Note 16) to consolidated operating profit and it reconciles EXACTLY in all three years: e.g. FY2025 segment profit 34,490.095562 less the -246.710877 unallocated/corporate item = 34,243.384685, less 3.163% x revenue 281,049.081719 = 25,354.225619 = the audited operating profit to the EGP. The load has been FALLING — operating leverage improving at the corporate level even as segment margins compressed</w:t>
            </w:r>
          </w:p>
        </w:tc>
      </w:tr>
      <w:tr>
        <w:tc>
          <w:tcPr>
            <w:tcW w:type="dxa" w:w="1656"/>
          </w:tcPr>
          <w:p>
            <w:pPr>
              <w:spacing w:after="20"/>
            </w:pPr>
            <w:r>
              <w:rPr>
                <w:color w:val="1C3A36"/>
                <w:sz w:val="15"/>
              </w:rPr>
              <w:t>seg unalloc fy25</w:t>
            </w:r>
          </w:p>
        </w:tc>
        <w:tc>
          <w:tcPr>
            <w:tcW w:type="dxa" w:w="1368"/>
          </w:tcPr>
          <w:p>
            <w:pPr>
              <w:spacing w:after="20"/>
            </w:pPr>
            <w:r>
              <w:rPr>
                <w:color w:val="1C3A36"/>
                <w:sz w:val="15"/>
              </w:rPr>
              <w:t>-246.7</w:t>
            </w:r>
          </w:p>
        </w:tc>
        <w:tc>
          <w:tcPr>
            <w:tcW w:type="dxa" w:w="1123"/>
          </w:tcPr>
          <w:p>
            <w:pPr>
              <w:spacing w:after="20"/>
            </w:pPr>
            <w:r>
              <w:rPr>
                <w:color w:val="1C3A36"/>
                <w:sz w:val="15"/>
              </w:rPr>
              <w:t>2026-03-15</w:t>
            </w:r>
          </w:p>
        </w:tc>
        <w:tc>
          <w:tcPr>
            <w:tcW w:type="dxa" w:w="5933"/>
          </w:tcPr>
          <w:p>
            <w:pPr>
              <w:spacing w:after="20"/>
            </w:pPr>
            <w:r>
              <w:rPr>
                <w:color w:val="1C3A36"/>
                <w:sz w:val="15"/>
              </w:rPr>
              <w:t>Unallocated/corporate segment item, Note 16, FY2025 audited financial statements — not attributed to any of the three segments; netted against the three segments' summed profit before the corporate-load bridge is applied. No equivalent unallocated item is disclosed for FY2023 or FY2024</w:t>
            </w:r>
          </w:p>
        </w:tc>
      </w:tr>
      <w:tr>
        <w:tc>
          <w:tcPr>
            <w:tcW w:type="dxa" w:w="1656"/>
          </w:tcPr>
          <w:p>
            <w:pPr>
              <w:spacing w:after="20"/>
            </w:pPr>
            <w:r>
              <w:rPr>
                <w:color w:val="1C3A36"/>
                <w:sz w:val="15"/>
              </w:rPr>
              <w:t>dna pct hist</w:t>
            </w:r>
          </w:p>
        </w:tc>
        <w:tc>
          <w:tcPr>
            <w:tcW w:type="dxa" w:w="1368"/>
          </w:tcPr>
          <w:p>
            <w:pPr>
              <w:spacing w:after="20"/>
            </w:pPr>
            <w:r>
              <w:rPr>
                <w:color w:val="1C3A36"/>
                <w:sz w:val="15"/>
              </w:rPr>
              <w:t>FY23: 0.0151; FY24: 0.0097; FY25: 0.0107</w:t>
            </w:r>
          </w:p>
        </w:tc>
        <w:tc>
          <w:tcPr>
            <w:tcW w:type="dxa" w:w="1123"/>
          </w:tcPr>
          <w:p>
            <w:pPr>
              <w:spacing w:after="20"/>
            </w:pPr>
            <w:r>
              <w:rPr>
                <w:color w:val="1C3A36"/>
                <w:sz w:val="15"/>
              </w:rPr>
              <w:t>2026-03-15</w:t>
            </w:r>
          </w:p>
        </w:tc>
        <w:tc>
          <w:tcPr>
            <w:tcW w:type="dxa" w:w="5933"/>
          </w:tcPr>
          <w:p>
            <w:pPr>
              <w:spacing w:after="20"/>
            </w:pPr>
            <w:r>
              <w:rPr>
                <w:color w:val="1C3A36"/>
                <w:sz w:val="15"/>
              </w:rPr>
              <w:t>Depreciation and amortisation as a share of revenue, computed from the audited cash flow statements</w:t>
            </w:r>
          </w:p>
        </w:tc>
      </w:tr>
      <w:tr>
        <w:tc>
          <w:tcPr>
            <w:tcW w:type="dxa" w:w="1656"/>
          </w:tcPr>
          <w:p>
            <w:pPr>
              <w:spacing w:after="20"/>
            </w:pPr>
            <w:r>
              <w:rPr>
                <w:color w:val="1C3A36"/>
                <w:sz w:val="15"/>
              </w:rPr>
              <w:t>capex pct hist</w:t>
            </w:r>
          </w:p>
        </w:tc>
        <w:tc>
          <w:tcPr>
            <w:tcW w:type="dxa" w:w="1368"/>
          </w:tcPr>
          <w:p>
            <w:pPr>
              <w:spacing w:after="20"/>
            </w:pPr>
            <w:r>
              <w:rPr>
                <w:color w:val="1C3A36"/>
                <w:sz w:val="15"/>
              </w:rPr>
              <w:t>FY23: 0.0312; FY24: 0.0366; FY25: 0.0466</w:t>
            </w:r>
          </w:p>
        </w:tc>
        <w:tc>
          <w:tcPr>
            <w:tcW w:type="dxa" w:w="1123"/>
          </w:tcPr>
          <w:p>
            <w:pPr>
              <w:spacing w:after="20"/>
            </w:pPr>
            <w:r>
              <w:rPr>
                <w:color w:val="1C3A36"/>
                <w:sz w:val="15"/>
              </w:rPr>
              <w:t>2026-03-15</w:t>
            </w:r>
          </w:p>
        </w:tc>
        <w:tc>
          <w:tcPr>
            <w:tcW w:type="dxa" w:w="5933"/>
          </w:tcPr>
          <w:p>
            <w:pPr>
              <w:spacing w:after="20"/>
            </w:pPr>
            <w:r>
              <w:rPr>
                <w:color w:val="1C3A36"/>
                <w:sz w:val="15"/>
              </w:rPr>
              <w:t>Capital expenditure (cash paid for PP&amp;E and projects under construction, audited cash flow statements) as a share of revenue — a clear, rising capacity-investment cycle</w:t>
            </w:r>
          </w:p>
        </w:tc>
      </w:tr>
      <w:tr>
        <w:tc>
          <w:tcPr>
            <w:tcW w:type="dxa" w:w="1656"/>
          </w:tcPr>
          <w:p>
            <w:pPr>
              <w:spacing w:after="20"/>
            </w:pPr>
            <w:r>
              <w:rPr>
                <w:color w:val="1C3A36"/>
                <w:sz w:val="15"/>
              </w:rPr>
              <w:t>nwc pct hist</w:t>
            </w:r>
          </w:p>
        </w:tc>
        <w:tc>
          <w:tcPr>
            <w:tcW w:type="dxa" w:w="1368"/>
          </w:tcPr>
          <w:p>
            <w:pPr>
              <w:spacing w:after="20"/>
            </w:pPr>
            <w:r>
              <w:rPr>
                <w:color w:val="1C3A36"/>
                <w:sz w:val="15"/>
              </w:rPr>
              <w:t>FY23: 0.2409; FY24: 0.2306; FY25: 0.1987</w:t>
            </w:r>
          </w:p>
        </w:tc>
        <w:tc>
          <w:tcPr>
            <w:tcW w:type="dxa" w:w="1123"/>
          </w:tcPr>
          <w:p>
            <w:pPr>
              <w:spacing w:after="20"/>
            </w:pPr>
            <w:r>
              <w:rPr>
                <w:color w:val="1C3A36"/>
                <w:sz w:val="15"/>
              </w:rPr>
              <w:t>2026-03-15</w:t>
            </w:r>
          </w:p>
        </w:tc>
        <w:tc>
          <w:tcPr>
            <w:tcW w:type="dxa" w:w="5933"/>
          </w:tcPr>
          <w:p>
            <w:pPr>
              <w:spacing w:after="20"/>
            </w:pPr>
            <w:r>
              <w:rPr>
                <w:color w:val="1C3A36"/>
                <w:sz w:val="15"/>
              </w:rPr>
              <w:t>Net working capital (inventories + contract assets + trade and other receivables, current, LESS trade and other payables LESS contract liabilities; industrial real-estate-development land holdings excluded as a separate quasi-investment item) as a share of revenue, computed from the audited balance sheets. FY2025 shows a genuine, disclosed IMPROVEMENT in working-capital intensity, not an assumption</w:t>
            </w:r>
          </w:p>
        </w:tc>
      </w:tr>
      <w:tr>
        <w:tc>
          <w:tcPr>
            <w:tcW w:type="dxa" w:w="1656"/>
          </w:tcPr>
          <w:p>
            <w:pPr>
              <w:spacing w:after="20"/>
            </w:pPr>
            <w:r>
              <w:rPr>
                <w:color w:val="1C3A36"/>
                <w:sz w:val="15"/>
              </w:rPr>
              <w:t>fx hist</w:t>
            </w:r>
          </w:p>
        </w:tc>
        <w:tc>
          <w:tcPr>
            <w:tcW w:type="dxa" w:w="1368"/>
          </w:tcPr>
          <w:p>
            <w:pPr>
              <w:spacing w:after="20"/>
            </w:pPr>
            <w:r>
              <w:rPr>
                <w:color w:val="1C3A36"/>
                <w:sz w:val="15"/>
              </w:rPr>
              <w:t>FY23: 30.59; FY24: 43.96; FY25: 47.69</w:t>
            </w:r>
          </w:p>
        </w:tc>
        <w:tc>
          <w:tcPr>
            <w:tcW w:type="dxa" w:w="1123"/>
          </w:tcPr>
          <w:p>
            <w:pPr>
              <w:spacing w:after="20"/>
            </w:pPr>
            <w:r>
              <w:rPr>
                <w:color w:val="1C3A36"/>
                <w:sz w:val="15"/>
              </w:rPr>
              <w:t>2026-03-15</w:t>
            </w:r>
          </w:p>
        </w:tc>
        <w:tc>
          <w:tcPr>
            <w:tcW w:type="dxa" w:w="5933"/>
          </w:tcPr>
          <w:p>
            <w:pPr>
              <w:spacing w:after="20"/>
            </w:pPr>
            <w:r>
              <w:rPr>
                <w:color w:val="1C3A36"/>
                <w:sz w:val="15"/>
              </w:rPr>
              <w:t>Annual average USD/EGP, all three DISCLOSED by the issuer rather than estimated. FY2025 47.69 and FY2024 43.96 are note 44-3 of the FY2025 audited statements, 'significant foreign currency exchange rates during the year', average-rate columns; FY2023 30.59 is the FY2023 filing's own note 44-3-1. Revisions to 08-09-2026 typed 49.5 and 45.3 as house averages while the note sat in a filing this study already reads</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123"/>
          </w:tcPr>
          <w:p>
            <w:pPr>
              <w:spacing w:after="20"/>
            </w:pPr>
            <w:r>
              <w:rPr>
                <w:color w:val="1C3A36"/>
                <w:sz w:val="15"/>
              </w:rPr>
              <w:t>2026-03-15</w:t>
            </w:r>
          </w:p>
        </w:tc>
        <w:tc>
          <w:tcPr>
            <w:tcW w:type="dxa" w:w="5933"/>
          </w:tcPr>
          <w:p>
            <w:pPr>
              <w:spacing w:after="20"/>
            </w:pPr>
            <w:r>
              <w:rPr>
                <w:color w:val="1C3A36"/>
                <w:sz w:val="15"/>
              </w:rPr>
              <w:t>'Over 70% of revenues generated abroad' (company commentary); the audited Note 5-2 geographic split gives Outside Egypt 40.7% of FY2025 revenue (114,461.030 / 281,049.082) — geography and hard-currency pricing are different questions, addressed explicitly below</w:t>
            </w:r>
          </w:p>
        </w:tc>
      </w:tr>
      <w:tr>
        <w:tc>
          <w:tcPr>
            <w:tcW w:type="dxa" w:w="1656"/>
          </w:tcPr>
          <w:p>
            <w:pPr>
              <w:spacing w:after="20"/>
            </w:pPr>
            <w:r>
              <w:rPr>
                <w:color w:val="1C3A36"/>
                <w:sz w:val="15"/>
              </w:rPr>
              <w:t>fgn egp share fy25</w:t>
            </w:r>
          </w:p>
        </w:tc>
        <w:tc>
          <w:tcPr>
            <w:tcW w:type="dxa" w:w="1368"/>
          </w:tcPr>
          <w:p>
            <w:pPr>
              <w:spacing w:after="20"/>
            </w:pPr>
            <w:r>
              <w:rPr>
                <w:color w:val="1C3A36"/>
                <w:sz w:val="15"/>
              </w:rPr>
              <w:t>0.407</w:t>
            </w:r>
          </w:p>
        </w:tc>
        <w:tc>
          <w:tcPr>
            <w:tcW w:type="dxa" w:w="1123"/>
          </w:tcPr>
          <w:p>
            <w:pPr>
              <w:spacing w:after="20"/>
            </w:pPr>
            <w:r>
              <w:rPr>
                <w:color w:val="1C3A36"/>
                <w:sz w:val="15"/>
              </w:rPr>
              <w:t>2026-03-15</w:t>
            </w:r>
          </w:p>
        </w:tc>
        <w:tc>
          <w:tcPr>
            <w:tcW w:type="dxa" w:w="5933"/>
          </w:tcPr>
          <w:p>
            <w:pPr>
              <w:spacing w:after="20"/>
            </w:pPr>
            <w:r>
              <w:rPr>
                <w:color w:val="1C3A36"/>
                <w:sz w:val="15"/>
              </w:rPr>
              <w:t>Revenue earned OUTSIDE Egypt, FY2025, Note 5-2 (geographic disaggregation): 114,461.030219 / 281,049.081719 = 40.72%. This is the audited geographic split; the HARD-CURRENCY-LINKED share used in the currency-of-discounting alternative is derived separately below from the Cables segment's copper linkage, since a project executed abroad for a local utility is foreign revenue but not necessarily dollar-priced</w:t>
            </w:r>
          </w:p>
        </w:tc>
      </w:tr>
      <w:tr>
        <w:tc>
          <w:tcPr>
            <w:tcW w:type="dxa" w:w="1656"/>
          </w:tcPr>
          <w:p>
            <w:pPr>
              <w:spacing w:after="20"/>
            </w:pPr>
            <w:r>
              <w:rPr>
                <w:color w:val="1C3A36"/>
                <w:sz w:val="15"/>
              </w:rPr>
              <w:t>capex h1 26</w:t>
            </w:r>
          </w:p>
        </w:tc>
        <w:tc>
          <w:tcPr>
            <w:tcW w:type="dxa" w:w="1368"/>
          </w:tcPr>
          <w:p>
            <w:pPr>
              <w:spacing w:after="20"/>
            </w:pPr>
            <w:r>
              <w:rPr>
                <w:color w:val="1C3A36"/>
                <w:sz w:val="15"/>
              </w:rPr>
              <w:t>5,435.9</w:t>
            </w:r>
          </w:p>
        </w:tc>
        <w:tc>
          <w:tcPr>
            <w:tcW w:type="dxa" w:w="1123"/>
          </w:tcPr>
          <w:p>
            <w:pPr>
              <w:spacing w:after="20"/>
            </w:pPr>
            <w:r>
              <w:rPr>
                <w:color w:val="1C3A36"/>
                <w:sz w:val="15"/>
              </w:rPr>
              <w:t>2026-06-30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cash flows: 'Paid for acquisition of property, plant and equipment and projects under construction'</w:t>
            </w:r>
          </w:p>
        </w:tc>
      </w:tr>
      <w:tr>
        <w:tc>
          <w:tcPr>
            <w:tcW w:type="dxa" w:w="1656"/>
          </w:tcPr>
          <w:p>
            <w:pPr>
              <w:spacing w:after="20"/>
            </w:pPr>
            <w:r>
              <w:rPr>
                <w:color w:val="1C3A36"/>
                <w:sz w:val="15"/>
              </w:rPr>
              <w:t>capex h1 25</w:t>
            </w:r>
          </w:p>
        </w:tc>
        <w:tc>
          <w:tcPr>
            <w:tcW w:type="dxa" w:w="1368"/>
          </w:tcPr>
          <w:p>
            <w:pPr>
              <w:spacing w:after="20"/>
            </w:pPr>
            <w:r>
              <w:rPr>
                <w:color w:val="1C3A36"/>
                <w:sz w:val="15"/>
              </w:rPr>
              <w:t>5,386.8</w:t>
            </w:r>
          </w:p>
        </w:tc>
        <w:tc>
          <w:tcPr>
            <w:tcW w:type="dxa" w:w="1123"/>
          </w:tcPr>
          <w:p>
            <w:pPr>
              <w:spacing w:after="20"/>
            </w:pPr>
            <w:r>
              <w:rPr>
                <w:color w:val="1C3A36"/>
                <w:sz w:val="15"/>
              </w:rPr>
              <w:t>2025-06-30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same line, comparative column — and independently in the reviewed interim statements for the six months ended 30 June 2025, where it is the current-period figure. Two readings of one fact agreeing [R-ENF-03]</w:t>
            </w:r>
          </w:p>
        </w:tc>
      </w:tr>
      <w:tr>
        <w:tc>
          <w:tcPr>
            <w:tcW w:type="dxa" w:w="1656"/>
          </w:tcPr>
          <w:p>
            <w:pPr>
              <w:spacing w:after="20"/>
            </w:pPr>
            <w:r>
              <w:rPr>
                <w:color w:val="1C3A36"/>
                <w:sz w:val="15"/>
              </w:rPr>
              <w:t>capex h1 24</w:t>
            </w:r>
          </w:p>
        </w:tc>
        <w:tc>
          <w:tcPr>
            <w:tcW w:type="dxa" w:w="1368"/>
          </w:tcPr>
          <w:p>
            <w:pPr>
              <w:spacing w:after="20"/>
            </w:pPr>
            <w:r>
              <w:rPr>
                <w:color w:val="1C3A36"/>
                <w:sz w:val="15"/>
              </w:rPr>
              <w:t>4,595.5</w:t>
            </w:r>
          </w:p>
        </w:tc>
        <w:tc>
          <w:tcPr>
            <w:tcW w:type="dxa" w:w="1123"/>
          </w:tcPr>
          <w:p>
            <w:pPr>
              <w:spacing w:after="20"/>
            </w:pPr>
            <w:r>
              <w:rPr>
                <w:color w:val="1C3A36"/>
                <w:sz w:val="15"/>
              </w:rPr>
              <w:t>2024-06-30</w:t>
            </w:r>
          </w:p>
        </w:tc>
        <w:tc>
          <w:tcPr>
            <w:tcW w:type="dxa" w:w="5933"/>
          </w:tcPr>
          <w:p>
            <w:pPr>
              <w:spacing w:after="20"/>
            </w:pPr>
            <w:r>
              <w:rPr>
                <w:color w:val="1C3A36"/>
                <w:sz w:val="15"/>
              </w:rPr>
              <w:t>Reviewed condensed interim consolidated financial statements for the six months ended 30 June 2024, statement of cash flows, same line</w:t>
            </w:r>
          </w:p>
        </w:tc>
      </w:tr>
      <w:tr>
        <w:tc>
          <w:tcPr>
            <w:tcW w:type="dxa" w:w="1656"/>
          </w:tcPr>
          <w:p>
            <w:pPr>
              <w:spacing w:after="20"/>
            </w:pPr>
            <w:r>
              <w:rPr>
                <w:color w:val="1C3A36"/>
                <w:sz w:val="15"/>
              </w:rPr>
              <w:t>capex h1 23</w:t>
            </w:r>
          </w:p>
        </w:tc>
        <w:tc>
          <w:tcPr>
            <w:tcW w:type="dxa" w:w="1368"/>
          </w:tcPr>
          <w:p>
            <w:pPr>
              <w:spacing w:after="20"/>
            </w:pPr>
            <w:r>
              <w:rPr>
                <w:color w:val="1C3A36"/>
                <w:sz w:val="15"/>
              </w:rPr>
              <w:t>1,858.4</w:t>
            </w:r>
          </w:p>
        </w:tc>
        <w:tc>
          <w:tcPr>
            <w:tcW w:type="dxa" w:w="1123"/>
          </w:tcPr>
          <w:p>
            <w:pPr>
              <w:spacing w:after="20"/>
            </w:pPr>
            <w:r>
              <w:rPr>
                <w:color w:val="1C3A36"/>
                <w:sz w:val="15"/>
              </w:rPr>
              <w:t>2023-06-30</w:t>
            </w:r>
          </w:p>
        </w:tc>
        <w:tc>
          <w:tcPr>
            <w:tcW w:type="dxa" w:w="5933"/>
          </w:tcPr>
          <w:p>
            <w:pPr>
              <w:spacing w:after="20"/>
            </w:pPr>
            <w:r>
              <w:rPr>
                <w:color w:val="1C3A36"/>
                <w:sz w:val="15"/>
              </w:rPr>
              <w:t>Reviewed condensed interim consolidated financial statements for the six months ended 30 June 2024, same line, comparative column</w:t>
            </w:r>
          </w:p>
        </w:tc>
      </w:tr>
      <w:tr>
        <w:tc>
          <w:tcPr>
            <w:tcW w:type="dxa" w:w="1656"/>
          </w:tcPr>
          <w:p>
            <w:pPr>
              <w:spacing w:after="20"/>
            </w:pPr>
            <w:r>
              <w:rPr>
                <w:color w:val="1C3A36"/>
                <w:sz w:val="15"/>
              </w:rPr>
              <w:t>kd egp note</w:t>
            </w:r>
          </w:p>
        </w:tc>
        <w:tc>
          <w:tcPr>
            <w:tcW w:type="dxa" w:w="1368"/>
          </w:tcPr>
          <w:p>
            <w:pPr>
              <w:spacing w:after="20"/>
            </w:pPr>
            <w:r>
              <w:rPr>
                <w:color w:val="1C3A36"/>
                <w:sz w:val="15"/>
              </w:rPr>
              <w:t>0.213</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Egyptian-pound financial liabilities, audited FY2025 Note 32 (loans and borrowings) and Note 43-3-2 (interest-rate risk) — both give 21.30%/21.3%. DOWN from 28.68% at FY2024-end and further to 20.32% at Q1-2026</w:t>
            </w:r>
          </w:p>
        </w:tc>
      </w:tr>
      <w:tr>
        <w:tc>
          <w:tcPr>
            <w:tcW w:type="dxa" w:w="1656"/>
          </w:tcPr>
          <w:p>
            <w:pPr>
              <w:spacing w:after="20"/>
            </w:pPr>
            <w:r>
              <w:rPr>
                <w:color w:val="1C3A36"/>
                <w:sz w:val="15"/>
              </w:rPr>
              <w:t>kd hard note</w:t>
            </w:r>
          </w:p>
        </w:tc>
        <w:tc>
          <w:tcPr>
            <w:tcW w:type="dxa" w:w="1368"/>
          </w:tcPr>
          <w:p>
            <w:pPr>
              <w:spacing w:after="20"/>
            </w:pPr>
            <w:r>
              <w:rPr>
                <w:color w:val="1C3A36"/>
                <w:sz w:val="15"/>
              </w:rPr>
              <w:t>0.0529</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US-dollar and other foreign-currency financial liabilities, blended, audited FY2025 Note 32 and Note 43-3-2. The company simplified its disclosure from a three-way EGP/USD/EUR split (FY2024: 28.68% / 6.49% / 3.92%) to this two-way EGP/blended-foreign split from FY2025 onward; the model follows the company's own current convention rather than preserving a split it no longer publishes</w:t>
            </w:r>
          </w:p>
        </w:tc>
      </w:tr>
      <w:tr>
        <w:tc>
          <w:tcPr>
            <w:tcW w:type="dxa" w:w="1656"/>
          </w:tcPr>
          <w:p>
            <w:pPr>
              <w:spacing w:after="20"/>
            </w:pPr>
            <w:r>
              <w:rPr>
                <w:color w:val="1C3A36"/>
                <w:sz w:val="15"/>
              </w:rPr>
              <w:t>debt open fy25</w:t>
            </w:r>
          </w:p>
        </w:tc>
        <w:tc>
          <w:tcPr>
            <w:tcW w:type="dxa" w:w="1368"/>
          </w:tcPr>
          <w:p>
            <w:pPr>
              <w:spacing w:after="20"/>
            </w:pPr>
            <w:r>
              <w:rPr>
                <w:color w:val="1C3A36"/>
                <w:sz w:val="15"/>
              </w:rPr>
              <w:t>58,796.8</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1 January 2025, financing-liability movement reconciliation, audited FY2025 Note 32</w:t>
            </w:r>
          </w:p>
        </w:tc>
      </w:tr>
      <w:tr>
        <w:tc>
          <w:tcPr>
            <w:tcW w:type="dxa" w:w="1656"/>
          </w:tcPr>
          <w:p>
            <w:pPr>
              <w:spacing w:after="20"/>
            </w:pPr>
            <w:r>
              <w:rPr>
                <w:color w:val="1C3A36"/>
                <w:sz w:val="15"/>
              </w:rPr>
              <w:t>debt close fy25</w:t>
            </w:r>
          </w:p>
        </w:tc>
        <w:tc>
          <w:tcPr>
            <w:tcW w:type="dxa" w:w="1368"/>
          </w:tcPr>
          <w:p>
            <w:pPr>
              <w:spacing w:after="20"/>
            </w:pPr>
            <w:r>
              <w:rPr>
                <w:color w:val="1C3A36"/>
                <w:sz w:val="15"/>
              </w:rPr>
              <w:t>62,462.1</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31 December 2025, financing-liability movement reconciliation, audited FY2025 Note 32</w:t>
            </w:r>
          </w:p>
        </w:tc>
      </w:tr>
      <w:tr>
        <w:tc>
          <w:tcPr>
            <w:tcW w:type="dxa" w:w="1656"/>
          </w:tcPr>
          <w:p>
            <w:pPr>
              <w:spacing w:after="20"/>
            </w:pPr>
            <w:r>
              <w:rPr>
                <w:color w:val="1C3A36"/>
                <w:sz w:val="15"/>
              </w:rPr>
              <w:t>int exp fy25</w:t>
            </w:r>
          </w:p>
        </w:tc>
        <w:tc>
          <w:tcPr>
            <w:tcW w:type="dxa" w:w="1368"/>
          </w:tcPr>
          <w:p>
            <w:pPr>
              <w:spacing w:after="20"/>
            </w:pPr>
            <w:r>
              <w:rPr>
                <w:color w:val="1C3A36"/>
                <w:sz w:val="15"/>
              </w:rPr>
              <w:t>5,966.7</w:t>
            </w:r>
          </w:p>
        </w:tc>
        <w:tc>
          <w:tcPr>
            <w:tcW w:type="dxa" w:w="1123"/>
          </w:tcPr>
          <w:p>
            <w:pPr>
              <w:spacing w:after="20"/>
            </w:pPr>
            <w:r>
              <w:rPr>
                <w:color w:val="1C3A36"/>
                <w:sz w:val="15"/>
              </w:rPr>
              <w:t>2026-03-15</w:t>
            </w:r>
          </w:p>
        </w:tc>
        <w:tc>
          <w:tcPr>
            <w:tcW w:type="dxa" w:w="5933"/>
          </w:tcPr>
          <w:p>
            <w:pPr>
              <w:spacing w:after="20"/>
            </w:pPr>
            <w:r>
              <w:rPr>
                <w:color w:val="1C3A36"/>
                <w:sz w:val="15"/>
              </w:rPr>
              <w:t>Interest expense on loans and credit facilities, audited FY2025 Note 32 financing-liability movement reconciliation (excludes 118.129606 of lease interest, carried separately)</w:t>
            </w:r>
          </w:p>
        </w:tc>
      </w:tr>
      <w:tr>
        <w:tc>
          <w:tcPr>
            <w:tcW w:type="dxa" w:w="1656"/>
          </w:tcPr>
          <w:p>
            <w:pPr>
              <w:spacing w:after="20"/>
            </w:pPr>
            <w:r>
              <w:rPr>
                <w:color w:val="1C3A36"/>
                <w:sz w:val="15"/>
              </w:rPr>
              <w:t>debt q1 26</w:t>
            </w:r>
          </w:p>
        </w:tc>
        <w:tc>
          <w:tcPr>
            <w:tcW w:type="dxa" w:w="1368"/>
          </w:tcPr>
          <w:p>
            <w:pPr>
              <w:spacing w:after="20"/>
            </w:pPr>
            <w:r>
              <w:rPr>
                <w:color w:val="1C3A36"/>
                <w:sz w:val="15"/>
              </w:rPr>
              <w:t>89,039.3</w:t>
            </w:r>
          </w:p>
        </w:tc>
        <w:tc>
          <w:tcPr>
            <w:tcW w:type="dxa" w:w="1123"/>
          </w:tcPr>
          <w:p>
            <w:pPr>
              <w:spacing w:after="20"/>
            </w:pPr>
            <w:r>
              <w:rPr>
                <w:color w:val="1C3A36"/>
                <w:sz w:val="15"/>
              </w:rPr>
              <w:t>2026-05-13</w:t>
            </w:r>
          </w:p>
        </w:tc>
        <w:tc>
          <w:tcPr>
            <w:tcW w:type="dxa" w:w="5933"/>
          </w:tcPr>
          <w:p>
            <w:pPr>
              <w:spacing w:after="20"/>
            </w:pPr>
            <w:r>
              <w:rPr>
                <w:color w:val="1C3A36"/>
                <w:sz w:val="15"/>
              </w:rPr>
              <w:t>Loans and credit facilities (excluding lease liabilities) at 31 March 2026: current 79,171.258437 (loans 39,231.844718 + bank facilities 39,939.413719) + non-current 9,825.097463 (loans only, excluding the 507.330701 of lease liabilities), per the Q1-2026 interim Note 31</w:t>
            </w:r>
          </w:p>
        </w:tc>
      </w:tr>
      <w:tr>
        <w:tc>
          <w:tcPr>
            <w:tcW w:type="dxa" w:w="1656"/>
          </w:tcPr>
          <w:p>
            <w:pPr>
              <w:spacing w:after="20"/>
            </w:pPr>
            <w:r>
              <w:rPr>
                <w:color w:val="1C3A36"/>
                <w:sz w:val="15"/>
              </w:rPr>
              <w:t>ppe gross depreciable fy25</w:t>
            </w:r>
          </w:p>
        </w:tc>
        <w:tc>
          <w:tcPr>
            <w:tcW w:type="dxa" w:w="1368"/>
          </w:tcPr>
          <w:p>
            <w:pPr>
              <w:spacing w:after="20"/>
            </w:pPr>
            <w:r>
              <w:rPr>
                <w:color w:val="1C3A36"/>
                <w:sz w:val="15"/>
              </w:rPr>
              <w:t>50,776.0</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17: gross cost at 31-Dec-2025 of the DEPRECIABLE property, plant and equipment — buildings and constructions 13,357.135195 + machinery and equipment 32,960.824267 + furniture and fixtures 2,464.375061 + vehicles 1,630.540975 + leasehold improvements 363.075076. EXCLUDES land (2,312.648624), which the note states is not depreciated, and projects under construction (8,915.910071), which are not yet in use. The note foots three ways: components to the 53,088.599198 subtotal, subtotal plus projects to the 62,004.509269 total, and the component charges to the 2,733.671862 total charge</w:t>
            </w:r>
          </w:p>
        </w:tc>
      </w:tr>
      <w:tr>
        <w:tc>
          <w:tcPr>
            <w:tcW w:type="dxa" w:w="1656"/>
          </w:tcPr>
          <w:p>
            <w:pPr>
              <w:spacing w:after="20"/>
            </w:pPr>
            <w:r>
              <w:rPr>
                <w:color w:val="1C3A36"/>
                <w:sz w:val="15"/>
              </w:rPr>
              <w:t>asset life source</w:t>
            </w:r>
          </w:p>
        </w:tc>
        <w:tc>
          <w:tcPr>
            <w:tcW w:type="dxa" w:w="1368"/>
          </w:tcPr>
          <w:p>
            <w:pPr>
              <w:spacing w:after="20"/>
            </w:pPr>
            <w:r>
              <w:rPr>
                <w:color w:val="1C3A36"/>
                <w:sz w:val="15"/>
              </w:rPr>
              <w:t>Audited FY2025 consolidated financial statements of El Sewedy Electric Company, note 17 (property, plant and equipment) read with the accounting-policies note on depreciation: average depreciable gross cost over the year's own charge, excluding land, which the policy note states is not depreciated, and projects under construction, which are not in use.</w:t>
            </w:r>
          </w:p>
        </w:tc>
        <w:tc>
          <w:tcPr>
            <w:tcW w:type="dxa" w:w="1123"/>
          </w:tcPr>
          <w:p>
            <w:pPr>
              <w:spacing w:after="20"/>
            </w:pPr>
            <w:r>
              <w:rPr>
                <w:color w:val="1C3A36"/>
                <w:sz w:val="15"/>
              </w:rPr>
              <w:t>2026-03-01</w:t>
            </w:r>
          </w:p>
        </w:tc>
        <w:tc>
          <w:tcPr>
            <w:tcW w:type="dxa" w:w="5933"/>
          </w:tcPr>
          <w:p>
            <w:pPr>
              <w:spacing w:after="20"/>
            </w:pPr>
            <w:r>
              <w:rPr>
                <w:color w:val="1C3A36"/>
                <w:sz w:val="15"/>
              </w:rPr>
              <w:t>The source string the terminal module requires. It refuses a life with no disclosure behind it</w:t>
            </w:r>
          </w:p>
        </w:tc>
      </w:tr>
      <w:tr>
        <w:tc>
          <w:tcPr>
            <w:tcW w:type="dxa" w:w="1656"/>
          </w:tcPr>
          <w:p>
            <w:pPr>
              <w:spacing w:after="20"/>
            </w:pPr>
            <w:r>
              <w:rPr>
                <w:color w:val="1C3A36"/>
                <w:sz w:val="15"/>
              </w:rPr>
              <w:t>ownership</w:t>
            </w:r>
          </w:p>
        </w:tc>
        <w:tc>
          <w:tcPr>
            <w:tcW w:type="dxa" w:w="1368"/>
          </w:tcPr>
          <w:p>
            <w:pPr>
              <w:spacing w:after="20"/>
            </w:pPr>
            <w:r>
              <w:rPr>
                <w:color w:val="1C3A36"/>
                <w:sz w:val="15"/>
              </w:rPr>
              <w:t>family: 0.6799; electra: 0.1887; other: 0.1307; esop: 0.0007</w:t>
            </w:r>
          </w:p>
        </w:tc>
        <w:tc>
          <w:tcPr>
            <w:tcW w:type="dxa" w:w="1123"/>
          </w:tcPr>
          <w:p>
            <w:pPr>
              <w:spacing w:after="20"/>
            </w:pPr>
            <w:r>
              <w:rPr>
                <w:color w:val="1C3A36"/>
                <w:sz w:val="15"/>
              </w:rPr>
              <w:t>2026-03-15</w:t>
            </w:r>
          </w:p>
        </w:tc>
        <w:tc>
          <w:tcPr>
            <w:tcW w:type="dxa" w:w="5933"/>
          </w:tcPr>
          <w:p>
            <w:pPr>
              <w:spacing w:after="20"/>
            </w:pPr>
            <w:r>
              <w:rPr>
                <w:color w:val="1C3A36"/>
                <w:sz w:val="15"/>
              </w:rPr>
              <w:t>EXACT capital restructuring table, Note 29, audited FY2025 financial statements, as at 31 December 2025: Sadek Ahmed Sadek Elsewedy 24.99% (534,980,391 shares), Ahmed Ahmed Sadek Elsewedy 24.99% (534,980,391), Mohamed Ahmed Sadek Elsewedy 18.01% (385,602,690) — family combined 67.99%; Electra Investment Holding Restricted Limited 18.87% (403,997,835); other shareholders 13.07% (279,794,409); ESOP shares issued not granted 0.07% (1,422,160). REPLACES a previous house estimate (family ~68.0%, Electra ~20.4%, float ~11.6%) with the company's own disclosed table. Electra's stake FELL over 2025 — the FY2024 table (same note, prior year) shows Electra at 20.37% (436,109,503 shares) and other shareholders at 11.57% (247,682,741): Electra placed exactly 32,111,668 shares into the free float during the year</w:t>
            </w:r>
          </w:p>
        </w:tc>
      </w:tr>
      <w:tr>
        <w:tc>
          <w:tcPr>
            <w:tcW w:type="dxa" w:w="1656"/>
          </w:tcPr>
          <w:p>
            <w:pPr>
              <w:spacing w:after="20"/>
            </w:pPr>
            <w:r>
              <w:rPr>
                <w:color w:val="1C3A36"/>
                <w:sz w:val="15"/>
              </w:rPr>
              <w:t>sh sadek</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(shareholders' structure) as at 31 December 2025: Sadek Ahmed Sadek Elsewedy, 534,980,391 shares</w:t>
            </w:r>
          </w:p>
        </w:tc>
      </w:tr>
      <w:tr>
        <w:tc>
          <w:tcPr>
            <w:tcW w:type="dxa" w:w="1656"/>
          </w:tcPr>
          <w:p>
            <w:pPr>
              <w:spacing w:after="20"/>
            </w:pPr>
            <w:r>
              <w:rPr>
                <w:color w:val="1C3A36"/>
                <w:sz w:val="15"/>
              </w:rPr>
              <w:t>sh ahmed</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Ahmed Ahmed Sadek Elsewedy, 534,980,391 shares</w:t>
            </w:r>
          </w:p>
        </w:tc>
      </w:tr>
      <w:tr>
        <w:tc>
          <w:tcPr>
            <w:tcW w:type="dxa" w:w="1656"/>
          </w:tcPr>
          <w:p>
            <w:pPr>
              <w:spacing w:after="20"/>
            </w:pPr>
            <w:r>
              <w:rPr>
                <w:color w:val="1C3A36"/>
                <w:sz w:val="15"/>
              </w:rPr>
              <w:t>sh mohamed</w:t>
            </w:r>
          </w:p>
        </w:tc>
        <w:tc>
          <w:tcPr>
            <w:tcW w:type="dxa" w:w="1368"/>
          </w:tcPr>
          <w:p>
            <w:pPr>
              <w:spacing w:after="20"/>
            </w:pPr>
            <w:r>
              <w:rPr>
                <w:color w:val="1C3A36"/>
                <w:sz w:val="15"/>
              </w:rPr>
              <w:t>0.1801</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Mohamed Ahmed Sadek Elsewedy, 385,602,690 shares</w:t>
            </w:r>
          </w:p>
        </w:tc>
      </w:tr>
      <w:tr>
        <w:tc>
          <w:tcPr>
            <w:tcW w:type="dxa" w:w="1656"/>
          </w:tcPr>
          <w:p>
            <w:pPr>
              <w:spacing w:after="20"/>
            </w:pPr>
            <w:r>
              <w:rPr>
                <w:color w:val="1C3A36"/>
                <w:sz w:val="15"/>
              </w:rPr>
              <w:t>sh electra fy24</w:t>
            </w:r>
          </w:p>
        </w:tc>
        <w:tc>
          <w:tcPr>
            <w:tcW w:type="dxa" w:w="1368"/>
          </w:tcPr>
          <w:p>
            <w:pPr>
              <w:spacing w:after="20"/>
            </w:pPr>
            <w:r>
              <w:rPr>
                <w:color w:val="1C3A36"/>
                <w:sz w:val="15"/>
              </w:rPr>
              <w:t>0.2037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Electra Investment Holding, 436,109,503 shares at 31 December 2024</w:t>
            </w:r>
          </w:p>
        </w:tc>
      </w:tr>
      <w:tr>
        <w:tc>
          <w:tcPr>
            <w:tcW w:type="dxa" w:w="1656"/>
          </w:tcPr>
          <w:p>
            <w:pPr>
              <w:spacing w:after="20"/>
            </w:pPr>
            <w:r>
              <w:rPr>
                <w:color w:val="1C3A36"/>
                <w:sz w:val="15"/>
              </w:rPr>
              <w:t>sh other fy24</w:t>
            </w:r>
          </w:p>
        </w:tc>
        <w:tc>
          <w:tcPr>
            <w:tcW w:type="dxa" w:w="1368"/>
          </w:tcPr>
          <w:p>
            <w:pPr>
              <w:spacing w:after="20"/>
            </w:pPr>
            <w:r>
              <w:rPr>
                <w:color w:val="1C3A36"/>
                <w:sz w:val="15"/>
              </w:rPr>
              <w:t>0.1157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other shareholders, 247,682,741 shares at 31 December 2024</w:t>
            </w:r>
          </w:p>
        </w:tc>
      </w:tr>
      <w:tr>
        <w:tc>
          <w:tcPr>
            <w:tcW w:type="dxa" w:w="1656"/>
          </w:tcPr>
          <w:p>
            <w:pPr>
              <w:spacing w:after="20"/>
            </w:pPr>
            <w:r>
              <w:rPr>
                <w:color w:val="1C3A36"/>
                <w:sz w:val="15"/>
              </w:rPr>
              <w:t>stake insulators</w:t>
            </w:r>
          </w:p>
        </w:tc>
        <w:tc>
          <w:tcPr>
            <w:tcW w:type="dxa" w:w="1368"/>
          </w:tcPr>
          <w:p>
            <w:pPr>
              <w:spacing w:after="20"/>
            </w:pPr>
            <w:r>
              <w:rPr>
                <w:color w:val="1C3A36"/>
                <w:sz w:val="15"/>
              </w:rPr>
              <w:t>0.2517</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20 (equity-accounted investees): Egyptian Company for Electrical Insulators, carrying value EGP 76.1mn</w:t>
            </w:r>
          </w:p>
        </w:tc>
      </w:tr>
      <w:tr>
        <w:tc>
          <w:tcPr>
            <w:tcW w:type="dxa" w:w="1656"/>
          </w:tcPr>
          <w:p>
            <w:pPr>
              <w:spacing w:after="20"/>
            </w:pPr>
            <w:r>
              <w:rPr>
                <w:color w:val="1C3A36"/>
                <w:sz w:val="15"/>
              </w:rPr>
              <w:t>etr q1 26</w:t>
            </w:r>
          </w:p>
        </w:tc>
        <w:tc>
          <w:tcPr>
            <w:tcW w:type="dxa" w:w="1368"/>
          </w:tcPr>
          <w:p>
            <w:pPr>
              <w:spacing w:after="20"/>
            </w:pPr>
            <w:r>
              <w:rPr>
                <w:color w:val="1C3A36"/>
                <w:sz w:val="15"/>
              </w:rPr>
              <w:t>0.2575</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at ir.elsewedyelectric.com, income tax expense over profit before tax of 7,041.966803</w:t>
            </w:r>
          </w:p>
        </w:tc>
      </w:tr>
      <w:tr>
        <w:tc>
          <w:tcPr>
            <w:tcW w:type="dxa" w:w="1656"/>
          </w:tcPr>
          <w:p>
            <w:pPr>
              <w:spacing w:after="20"/>
            </w:pPr>
            <w:r>
              <w:rPr>
                <w:color w:val="1C3A36"/>
                <w:sz w:val="15"/>
              </w:rPr>
              <w:t>etr q1 25</w:t>
            </w:r>
          </w:p>
        </w:tc>
        <w:tc>
          <w:tcPr>
            <w:tcW w:type="dxa" w:w="1368"/>
          </w:tcPr>
          <w:p>
            <w:pPr>
              <w:spacing w:after="20"/>
            </w:pPr>
            <w:r>
              <w:rPr>
                <w:color w:val="1C3A36"/>
                <w:sz w:val="15"/>
              </w:rPr>
              <w:t>0.2196</w:t>
            </w:r>
          </w:p>
        </w:tc>
        <w:tc>
          <w:tcPr>
            <w:tcW w:type="dxa" w:w="1123"/>
          </w:tcPr>
          <w:p>
            <w:pPr>
              <w:spacing w:after="20"/>
            </w:pPr>
            <w:r>
              <w:rPr>
                <w:color w:val="1C3A36"/>
                <w:sz w:val="15"/>
              </w:rPr>
              <w:t>2026-05-01</w:t>
            </w:r>
          </w:p>
        </w:tc>
        <w:tc>
          <w:tcPr>
            <w:tcW w:type="dxa" w:w="5933"/>
          </w:tcPr>
          <w:p>
            <w:pPr>
              <w:spacing w:after="20"/>
            </w:pPr>
            <w:r>
              <w:rPr>
                <w:color w:val="1C3A36"/>
                <w:sz w:val="15"/>
              </w:rPr>
              <w:t>Q1-2025 reviewed interim consolidated statements, the comparative column of the Q1-2026 filing: income tax expense over profit before tax</w:t>
            </w:r>
          </w:p>
        </w:tc>
      </w:tr>
      <w:tr>
        <w:tc>
          <w:tcPr>
            <w:tcW w:type="dxa" w:w="1656"/>
          </w:tcPr>
          <w:p>
            <w:pPr>
              <w:spacing w:after="20"/>
            </w:pPr>
            <w:r>
              <w:rPr>
                <w:color w:val="1C3A36"/>
                <w:sz w:val="15"/>
              </w:rPr>
              <w:t>etr h1 25</w:t>
            </w:r>
          </w:p>
        </w:tc>
        <w:tc>
          <w:tcPr>
            <w:tcW w:type="dxa" w:w="1368"/>
          </w:tcPr>
          <w:p>
            <w:pPr>
              <w:spacing w:after="20"/>
            </w:pPr>
            <w:r>
              <w:rPr>
                <w:color w:val="1C3A36"/>
                <w:sz w:val="15"/>
              </w:rPr>
              <w:t>0.3085</w:t>
            </w:r>
          </w:p>
        </w:tc>
        <w:tc>
          <w:tcPr>
            <w:tcW w:type="dxa" w:w="1123"/>
          </w:tcPr>
          <w:p>
            <w:pPr>
              <w:spacing w:after="20"/>
            </w:pPr>
            <w:r>
              <w:rPr>
                <w:color w:val="1C3A36"/>
                <w:sz w:val="15"/>
              </w:rPr>
              <w:t>2026-08-01</w:t>
            </w:r>
          </w:p>
        </w:tc>
        <w:tc>
          <w:tcPr>
            <w:tcW w:type="dxa" w:w="5933"/>
          </w:tcPr>
          <w:p>
            <w:pPr>
              <w:spacing w:after="20"/>
            </w:pPr>
            <w:r>
              <w:rPr>
                <w:color w:val="1C3A36"/>
                <w:sz w:val="15"/>
              </w:rPr>
              <w:t>H1-2025 reviewed interim consolidated statements, the comparative column of the H1-2026 filing: income tax expense over profit before tax of 15,395.270255</w:t>
            </w:r>
          </w:p>
        </w:tc>
      </w:tr>
      <w:tr>
        <w:tc>
          <w:tcPr>
            <w:tcW w:type="dxa" w:w="1656"/>
          </w:tcPr>
          <w:p>
            <w:pPr>
              <w:spacing w:after="20"/>
            </w:pPr>
            <w:r>
              <w:rPr>
                <w:color w:val="1C3A36"/>
                <w:sz w:val="15"/>
              </w:rPr>
              <w:t>nci share h1 26 profit</w:t>
            </w:r>
          </w:p>
        </w:tc>
        <w:tc>
          <w:tcPr>
            <w:tcW w:type="dxa" w:w="1368"/>
          </w:tcPr>
          <w:p>
            <w:pPr>
              <w:spacing w:after="20"/>
            </w:pPr>
            <w:r>
              <w:rPr>
                <w:color w:val="1C3A36"/>
                <w:sz w:val="15"/>
              </w:rPr>
              <w:t>0.0681</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over total profit after tax for the half</w:t>
            </w:r>
          </w:p>
        </w:tc>
      </w:tr>
      <w:tr>
        <w:tc>
          <w:tcPr>
            <w:tcW w:type="dxa" w:w="1656"/>
          </w:tcPr>
          <w:p>
            <w:pPr>
              <w:spacing w:after="20"/>
            </w:pPr>
            <w:r>
              <w:rPr>
                <w:color w:val="1C3A36"/>
                <w:sz w:val="15"/>
              </w:rPr>
              <w:t>nci share h1 26 equity</w:t>
            </w:r>
          </w:p>
        </w:tc>
        <w:tc>
          <w:tcPr>
            <w:tcW w:type="dxa" w:w="1368"/>
          </w:tcPr>
          <w:p>
            <w:pPr>
              <w:spacing w:after="20"/>
            </w:pPr>
            <w:r>
              <w:rPr>
                <w:color w:val="1C3A36"/>
                <w:sz w:val="15"/>
              </w:rPr>
              <w:t>0.0747</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over total equity of 76,024.598402</w:t>
            </w:r>
          </w:p>
        </w:tc>
      </w:tr>
      <w:tr>
        <w:tc>
          <w:tcPr>
            <w:tcW w:type="dxa" w:w="1656"/>
          </w:tcPr>
          <w:p>
            <w:pPr>
              <w:spacing w:after="20"/>
            </w:pPr>
            <w:r>
              <w:rPr>
                <w:color w:val="1C3A36"/>
                <w:sz w:val="15"/>
              </w:rPr>
              <w:t>emp share h1 25</w:t>
            </w:r>
          </w:p>
        </w:tc>
        <w:tc>
          <w:tcPr>
            <w:tcW w:type="dxa" w:w="1368"/>
          </w:tcPr>
          <w:p>
            <w:pPr>
              <w:spacing w:after="20"/>
            </w:pPr>
            <w:r>
              <w:rPr>
                <w:color w:val="1C3A36"/>
                <w:sz w:val="15"/>
              </w:rPr>
              <w:t>0.1271</w:t>
            </w:r>
          </w:p>
        </w:tc>
        <w:tc>
          <w:tcPr>
            <w:tcW w:type="dxa" w:w="1123"/>
          </w:tcPr>
          <w:p>
            <w:pPr>
              <w:spacing w:after="20"/>
            </w:pPr>
            <w:r>
              <w:rPr>
                <w:color w:val="1C3A36"/>
                <w:sz w:val="15"/>
              </w:rPr>
              <w:t>2026-08-01</w:t>
            </w:r>
          </w:p>
        </w:tc>
        <w:tc>
          <w:tcPr>
            <w:tcW w:type="dxa" w:w="5933"/>
          </w:tcPr>
          <w:p>
            <w:pPr>
              <w:spacing w:after="20"/>
            </w:pPr>
            <w:r>
              <w:rPr>
                <w:color w:val="1C3A36"/>
                <w:sz w:val="15"/>
              </w:rPr>
              <w:t>H1-2025 comparative column of the H1-2026 reviewed statements, note 38: employees' share in profit 1,104.834367 over profit attributable to owners of 8,694.611825</w:t>
            </w:r>
          </w:p>
        </w:tc>
      </w:tr>
      <w:tr>
        <w:tc>
          <w:tcPr>
            <w:tcW w:type="dxa" w:w="1656"/>
          </w:tcPr>
          <w:p>
            <w:pPr>
              <w:spacing w:after="20"/>
            </w:pPr>
            <w:r>
              <w:rPr>
                <w:color w:val="1C3A36"/>
                <w:sz w:val="15"/>
              </w:rPr>
              <w:t>export share fy25</w:t>
            </w:r>
          </w:p>
        </w:tc>
        <w:tc>
          <w:tcPr>
            <w:tcW w:type="dxa" w:w="1368"/>
          </w:tcPr>
          <w:p>
            <w:pPr>
              <w:spacing w:after="20"/>
            </w:pPr>
            <w:r>
              <w:rPr>
                <w:color w:val="1C3A36"/>
                <w:sz w:val="15"/>
              </w:rPr>
              <w:t>0.4072</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5 (geographic disaggregation): revenue outside Egypt 114,461.030219 over total revenue 281,049.081719</w:t>
            </w:r>
          </w:p>
        </w:tc>
      </w:tr>
      <w:tr>
        <w:tc>
          <w:tcPr>
            <w:tcW w:type="dxa" w:w="1656"/>
          </w:tcPr>
          <w:p>
            <w:pPr>
              <w:spacing w:after="20"/>
            </w:pPr>
            <w:r>
              <w:rPr>
                <w:color w:val="1C3A36"/>
                <w:sz w:val="15"/>
              </w:rPr>
              <w:t>kd egp fy24</w:t>
            </w:r>
          </w:p>
        </w:tc>
        <w:tc>
          <w:tcPr>
            <w:tcW w:type="dxa" w:w="1368"/>
          </w:tcPr>
          <w:p>
            <w:pPr>
              <w:spacing w:after="20"/>
            </w:pPr>
            <w:r>
              <w:rPr>
                <w:color w:val="1C3A36"/>
                <w:sz w:val="15"/>
              </w:rPr>
              <w:t>0.2868</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32 read with note 44-2: the disclosed weighted average interest rate on Egyptian-pound borrowings at 31 December 2024</w:t>
            </w:r>
          </w:p>
        </w:tc>
      </w:tr>
      <w:tr>
        <w:tc>
          <w:tcPr>
            <w:tcW w:type="dxa" w:w="1656"/>
          </w:tcPr>
          <w:p>
            <w:pPr>
              <w:spacing w:after="20"/>
            </w:pPr>
            <w:r>
              <w:rPr>
                <w:color w:val="1C3A36"/>
                <w:sz w:val="15"/>
              </w:rPr>
              <w:t>kd egp q1 26</w:t>
            </w:r>
          </w:p>
        </w:tc>
        <w:tc>
          <w:tcPr>
            <w:tcW w:type="dxa" w:w="1368"/>
          </w:tcPr>
          <w:p>
            <w:pPr>
              <w:spacing w:after="20"/>
            </w:pPr>
            <w:r>
              <w:rPr>
                <w:color w:val="1C3A36"/>
                <w:sz w:val="15"/>
              </w:rPr>
              <w:t>0.2032</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the disclosed weighted average interest rate on Egyptian-pound borrowings</w:t>
            </w:r>
          </w:p>
        </w:tc>
      </w:tr>
    </w:tbl>
    <w:p>
      <w:pPr>
        <w:spacing w:after="40"/>
      </w:pPr>
    </w:p>
    <w:p>
      <w:pPr>
        <w:spacing w:after="60" w:before="160"/>
      </w:pPr>
      <w:r>
        <w:rPr>
          <w:b/>
          <w:i w:val="0"/>
          <w:color w:val="1C3A36"/>
          <w:sz w:val="22"/>
        </w:rPr>
        <w:t>Country layer — 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123"/>
          </w:tcPr>
          <w:p>
            <w:pPr>
              <w:spacing w:after="20"/>
            </w:pPr>
            <w:r>
              <w:rPr>
                <w:color w:val="1C3A36"/>
                <w:sz w:val="15"/>
              </w:rPr>
              <w:t>2026</w:t>
            </w:r>
          </w:p>
        </w:tc>
        <w:tc>
          <w:tcPr>
            <w:tcW w:type="dxa" w:w="5933"/>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123"/>
          </w:tcPr>
          <w:p>
            <w:pPr>
              <w:spacing w:after="20"/>
            </w:pPr>
            <w:r>
              <w:rPr>
                <w:color w:val="1C3A36"/>
                <w:sz w:val="15"/>
              </w:rPr>
              <w:t>2026-08-05</w:t>
            </w:r>
          </w:p>
        </w:tc>
        <w:tc>
          <w:tcPr>
            <w:tcW w:type="dxa" w:w="5933"/>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123"/>
          </w:tcPr>
          <w:p>
            <w:pPr>
              <w:spacing w:after="20"/>
            </w:pPr>
            <w:r>
              <w:rPr>
                <w:color w:val="1C3A36"/>
                <w:sz w:val="15"/>
              </w:rPr>
              <w:t>2026-07-21</w:t>
            </w:r>
          </w:p>
        </w:tc>
        <w:tc>
          <w:tcPr>
            <w:tcW w:type="dxa" w:w="5933"/>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123"/>
          </w:tcPr>
          <w:p>
            <w:pPr>
              <w:spacing w:after="20"/>
            </w:pPr>
            <w:r>
              <w:rPr>
                <w:color w:val="1C3A36"/>
                <w:sz w:val="15"/>
              </w:rPr>
              <w:t>2026-01-05</w:t>
            </w:r>
          </w:p>
        </w:tc>
        <w:tc>
          <w:tcPr>
            <w:tcW w:type="dxa" w:w="5933"/>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123"/>
          </w:tcPr>
          <w:p>
            <w:pPr>
              <w:spacing w:after="20"/>
            </w:pPr>
            <w:r>
              <w:rPr>
                <w:color w:val="1C3A36"/>
                <w:sz w:val="15"/>
              </w:rPr>
              <w:t>2026-01-05</w:t>
            </w:r>
          </w:p>
        </w:tc>
        <w:tc>
          <w:tcPr>
            <w:tcW w:type="dxa" w:w="5933"/>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rating basis, January-2026 — the alternative</w:t>
            </w:r>
          </w:p>
        </w:tc>
      </w:tr>
      <w:tr>
        <w:tc>
          <w:tcPr>
            <w:tcW w:type="dxa" w:w="1656"/>
          </w:tcPr>
          <w:p>
            <w:pPr>
              <w:spacing w:after="20"/>
            </w:pPr>
            <w:r>
              <w:rPr>
                <w:color w:val="1C3A36"/>
                <w:sz w:val="15"/>
              </w:rPr>
              <w:t>pi term</w:t>
            </w:r>
          </w:p>
        </w:tc>
        <w:tc>
          <w:tcPr>
            <w:tcW w:type="dxa" w:w="1368"/>
          </w:tcPr>
          <w:p>
            <w:pPr>
              <w:spacing w:after="20"/>
            </w:pPr>
            <w:r>
              <w:rPr>
                <w:color w:val="1C3A36"/>
                <w:sz w:val="15"/>
              </w:rPr>
              <w:t>0.07</w:t>
            </w:r>
          </w:p>
        </w:tc>
        <w:tc>
          <w:tcPr>
            <w:tcW w:type="dxa" w:w="1123"/>
          </w:tcPr>
          <w:p>
            <w:pPr>
              <w:spacing w:after="20"/>
            </w:pPr>
            <w:r>
              <w:rPr>
                <w:color w:val="1C3A36"/>
                <w:sz w:val="15"/>
              </w:rPr>
              <w:t>2026-09-04</w:t>
            </w:r>
          </w:p>
        </w:tc>
        <w:tc>
          <w:tcPr>
            <w:tcW w:type="dxa" w:w="5933"/>
          </w:tcPr>
          <w:p>
            <w:pPr>
              <w:spacing w:after="20"/>
            </w:pPr>
            <w:r>
              <w:rPr>
                <w:color w:val="1C3A36"/>
                <w:sz w:val="15"/>
              </w:rPr>
              <w:t>Long-run Egyptian inflation, taken from this house's single dated macroeconomic path for Egypt rather than set inside this study — one path is used by every Egyptian company we cover, so two studies cannot value companies in economies that disagree with each other. It is registered here so that the terminal growth rate below is DERIVED from it rather than typed beside it</w:t>
            </w:r>
          </w:p>
        </w:tc>
      </w:tr>
      <w:tr>
        <w:tc>
          <w:tcPr>
            <w:tcW w:type="dxa" w:w="1656"/>
          </w:tcPr>
          <w:p>
            <w:pPr>
              <w:spacing w:after="20"/>
            </w:pPr>
            <w:r>
              <w:rPr>
                <w:color w:val="1C3A36"/>
                <w:sz w:val="15"/>
              </w:rPr>
              <w:t>usd rf</w:t>
            </w:r>
          </w:p>
        </w:tc>
        <w:tc>
          <w:tcPr>
            <w:tcW w:type="dxa" w:w="1368"/>
          </w:tcPr>
          <w:p>
            <w:pPr>
              <w:spacing w:after="20"/>
            </w:pPr>
            <w:r>
              <w:rPr>
                <w:color w:val="1C3A36"/>
                <w:sz w:val="15"/>
              </w:rPr>
              <w:t>0.043</w:t>
            </w:r>
          </w:p>
        </w:tc>
        <w:tc>
          <w:tcPr>
            <w:tcW w:type="dxa" w:w="1123"/>
          </w:tcPr>
          <w:p>
            <w:pPr>
              <w:spacing w:after="20"/>
            </w:pPr>
            <w:r>
              <w:rPr>
                <w:color w:val="1C3A36"/>
                <w:sz w:val="15"/>
              </w:rPr>
              <w:t>2026-08-05</w:t>
            </w:r>
          </w:p>
        </w:tc>
        <w:tc>
          <w:tcPr>
            <w:tcW w:type="dxa" w:w="5933"/>
          </w:tcPr>
          <w:p>
            <w:pPr>
              <w:spacing w:after="20"/>
            </w:pPr>
            <w:r>
              <w:rPr>
                <w:color w:val="1C3A36"/>
                <w:sz w:val="15"/>
              </w:rPr>
              <w:t>US dollar risk-free rate for the currency-of-discounting alternative, 10-year US Treasury area (house macro reference)</w:t>
            </w:r>
          </w:p>
        </w:tc>
      </w:tr>
    </w:tbl>
    <w:p>
      <w:pPr>
        <w:spacing w:after="40"/>
      </w:pPr>
    </w:p>
    <w:p>
      <w:pPr>
        <w:spacing w:after="60" w:before="160"/>
      </w:pPr>
      <w:r>
        <w:rPr>
          <w:b/>
          <w:i w:val="0"/>
          <w:color w:val="1C3A36"/>
          <w:sz w:val="22"/>
        </w:rPr>
        <w:t>House layer — 28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q1 25 ebitda house</w:t>
            </w:r>
          </w:p>
        </w:tc>
        <w:tc>
          <w:tcPr>
            <w:tcW w:type="dxa" w:w="1368"/>
          </w:tcPr>
          <w:p>
            <w:pPr>
              <w:spacing w:after="20"/>
            </w:pPr>
            <w:r>
              <w:rPr>
                <w:color w:val="1C3A36"/>
                <w:sz w:val="15"/>
              </w:rPr>
              <w:t>7,488.8</w:t>
            </w:r>
          </w:p>
        </w:tc>
        <w:tc>
          <w:tcPr>
            <w:tcW w:type="dxa" w:w="1123"/>
          </w:tcPr>
          <w:p>
            <w:pPr>
              <w:spacing w:after="20"/>
            </w:pPr>
            <w:r>
              <w:rPr>
                <w:color w:val="1C3A36"/>
                <w:sz w:val="15"/>
              </w:rPr>
              <w:t>2026-05-13</w:t>
            </w:r>
          </w:p>
        </w:tc>
        <w:tc>
          <w:tcPr>
            <w:tcW w:type="dxa" w:w="5933"/>
          </w:tcPr>
          <w:p>
            <w:pPr>
              <w:spacing w:after="20"/>
            </w:pPr>
            <w:r>
              <w:rPr>
                <w:color w:val="1C3A36"/>
                <w:sz w:val="15"/>
              </w:rPr>
              <w:t>Q1-2025 house EBITDA: operating profit 6,503.867706 + depreciation/amortisation estimated at the FY2025 D&amp;A ratio applied to Q1-2025 revenue (the interim filing does not itemise D&amp;A separately from operating profit)</w:t>
            </w:r>
          </w:p>
        </w:tc>
      </w:tr>
      <w:tr>
        <w:tc>
          <w:tcPr>
            <w:tcW w:type="dxa" w:w="1656"/>
          </w:tcPr>
          <w:p>
            <w:pPr>
              <w:spacing w:after="20"/>
            </w:pPr>
            <w:r>
              <w:rPr>
                <w:color w:val="1C3A36"/>
                <w:sz w:val="15"/>
              </w:rPr>
              <w:t>fx path</w:t>
            </w:r>
          </w:p>
        </w:tc>
        <w:tc>
          <w:tcPr>
            <w:tcW w:type="dxa" w:w="1368"/>
          </w:tcPr>
          <w:p>
            <w:pPr>
              <w:spacing w:after="20"/>
            </w:pPr>
            <w:r>
              <w:rPr>
                <w:color w:val="1C3A36"/>
                <w:sz w:val="15"/>
              </w:rPr>
              <w:t>51, 54, 57.5, 61, 64.5</w:t>
            </w:r>
          </w:p>
        </w:tc>
        <w:tc>
          <w:tcPr>
            <w:tcW w:type="dxa" w:w="1123"/>
          </w:tcPr>
          <w:p>
            <w:pPr>
              <w:spacing w:after="20"/>
            </w:pPr>
            <w:r>
              <w:rPr>
                <w:color w:val="1C3A36"/>
                <w:sz w:val="15"/>
              </w:rPr>
              <w:t>2026-08-05</w:t>
            </w:r>
          </w:p>
        </w:tc>
        <w:tc>
          <w:tcPr>
            <w:tcW w:type="dxa" w:w="5933"/>
          </w:tcPr>
          <w:p>
            <w:pPr>
              <w:spacing w:after="20"/>
            </w:pPr>
            <w:r>
              <w:rPr>
                <w:color w:val="1C3A36"/>
                <w:sz w:val="15"/>
              </w:rPr>
              <w:t>USD/EGP average-rate path, about 6%/yr of depreciation from the FY2025 average of 49.5. Used as a genuine driver of the Cables segment's copper-linked growth and of the currency-of-discounting alternative — not a translation convenience. DELIBERATELY BELOW covered-interest parity, which on the roughly 22% pound rate against a ~4-5% dollar rate implies materially faster depreciation; the base case assumes disinflation closes most of that gap. The parity case is carried as an explicit sensitivity</w:t>
            </w:r>
          </w:p>
        </w:tc>
      </w:tr>
      <w:tr>
        <w:tc>
          <w:tcPr>
            <w:tcW w:type="dxa" w:w="1656"/>
          </w:tcPr>
          <w:p>
            <w:pPr>
              <w:spacing w:after="20"/>
            </w:pPr>
            <w:r>
              <w:rPr>
                <w:color w:val="1C3A36"/>
                <w:sz w:val="15"/>
              </w:rPr>
              <w:t>cables real growth</w:t>
            </w:r>
          </w:p>
        </w:tc>
        <w:tc>
          <w:tcPr>
            <w:tcW w:type="dxa" w:w="1368"/>
          </w:tcPr>
          <w:p>
            <w:pPr>
              <w:spacing w:after="20"/>
            </w:pPr>
            <w:r>
              <w:rPr>
                <w:color w:val="1C3A36"/>
                <w:sz w:val="15"/>
              </w:rPr>
              <w:t>0.03, 0.03, 0.03, 0.03, 0.03</w:t>
            </w:r>
          </w:p>
        </w:tc>
        <w:tc>
          <w:tcPr>
            <w:tcW w:type="dxa" w:w="1123"/>
          </w:tcPr>
          <w:p>
            <w:pPr>
              <w:spacing w:after="20"/>
            </w:pPr>
            <w:r>
              <w:rPr>
                <w:color w:val="1C3A36"/>
                <w:sz w:val="15"/>
              </w:rPr>
              <w:t>2026-08-05</w:t>
            </w:r>
          </w:p>
        </w:tc>
        <w:tc>
          <w:tcPr>
            <w:tcW w:type="dxa" w:w="5933"/>
          </w:tcPr>
          <w:p>
            <w:pPr>
              <w:spacing w:after="20"/>
            </w:pPr>
            <w:r>
              <w:rPr>
                <w:color w:val="1C3A36"/>
                <w:sz w:val="15"/>
              </w:rPr>
              <w:t>Real (ex-copper, ex-FX) volume/market-share growth for the Cables segment — modest and flat, since the company does not disclose tonnage and the model should not manufacture a volume story it cannot evidence. Cables segment revenue growth = (1+copper growth)(1+FX growth)(1+this) - 1</w:t>
            </w:r>
          </w:p>
        </w:tc>
      </w:tr>
      <w:tr>
        <w:tc>
          <w:tcPr>
            <w:tcW w:type="dxa" w:w="1656"/>
          </w:tcPr>
          <w:p>
            <w:pPr>
              <w:spacing w:after="20"/>
            </w:pPr>
            <w:r>
              <w:rPr>
                <w:color w:val="1C3A36"/>
                <w:sz w:val="15"/>
              </w:rPr>
              <w:t>construct growth</w:t>
            </w:r>
          </w:p>
        </w:tc>
        <w:tc>
          <w:tcPr>
            <w:tcW w:type="dxa" w:w="1368"/>
          </w:tcPr>
          <w:p>
            <w:pPr>
              <w:spacing w:after="20"/>
            </w:pPr>
            <w:r>
              <w:rPr>
                <w:color w:val="1C3A36"/>
                <w:sz w:val="15"/>
              </w:rPr>
              <w:t>0.18, 0.14, 0.11, 0.09, 0.08</w:t>
            </w:r>
          </w:p>
        </w:tc>
        <w:tc>
          <w:tcPr>
            <w:tcW w:type="dxa" w:w="1123"/>
          </w:tcPr>
          <w:p>
            <w:pPr>
              <w:spacing w:after="20"/>
            </w:pPr>
            <w:r>
              <w:rPr>
                <w:color w:val="1C3A36"/>
                <w:sz w:val="15"/>
              </w:rPr>
              <w:t>2026-08-05</w:t>
            </w:r>
          </w:p>
        </w:tc>
        <w:tc>
          <w:tcPr>
            <w:tcW w:type="dxa" w:w="5933"/>
          </w:tcPr>
          <w:p>
            <w:pPr>
              <w:spacing w:after="20"/>
            </w:pPr>
            <w:r>
              <w:rPr>
                <w:color w:val="1C3A36"/>
                <w:sz w:val="15"/>
              </w:rPr>
              <w:t>Constructions segment revenue growth, tapering from the FY2025 disclosed rate of +28.3% (FY2024: +32.6%) toward a more sustainable long-run pace. No order book or backlog figure is disclosed in any of the AUDITED filings or the Q1-2026 interim -- but the ISSUER discloses one, in its own quarterly earnings releases, and this driver said for two editions that no such figure existed anywhere. The engineering and construction backlog runs EGP 196bn (Dec-24), 261, 276, 293 (Dec-25), 307 and 346bn at 30 June 2026, read off the Q2-2026 release; wires and cables 43.5bn and meters 8.8bn are disclosed beside it. The taper below is NOT built as a burn rate on that backlog and is not changed by it -- priced across its whole defensible range the taper is worth 0.17% of this study's gap to the market, because at a 9% segment margin against 20% working capital incremental Constructions revenue is very nearly free cash flow neutral. It is corrected because the sentence was false, not because the number moves [R-GAP-04]. So — unlike the previous build — this is NOT a burn-rate-on-a-backlog construction; it is a direct taper on the segment's own revenue history</w:t>
            </w:r>
          </w:p>
        </w:tc>
      </w:tr>
      <w:tr>
        <w:tc>
          <w:tcPr>
            <w:tcW w:type="dxa" w:w="1656"/>
          </w:tcPr>
          <w:p>
            <w:pPr>
              <w:spacing w:after="20"/>
            </w:pPr>
            <w:r>
              <w:rPr>
                <w:color w:val="1C3A36"/>
                <w:sz w:val="15"/>
              </w:rPr>
              <w:t>elecprod growth</w:t>
            </w:r>
          </w:p>
        </w:tc>
        <w:tc>
          <w:tcPr>
            <w:tcW w:type="dxa" w:w="1368"/>
          </w:tcPr>
          <w:p>
            <w:pPr>
              <w:spacing w:after="20"/>
            </w:pPr>
            <w:r>
              <w:rPr>
                <w:color w:val="1C3A36"/>
                <w:sz w:val="15"/>
              </w:rPr>
              <w:t>0.2, 0.16, 0.13, 0.11, 0.1</w:t>
            </w:r>
          </w:p>
        </w:tc>
        <w:tc>
          <w:tcPr>
            <w:tcW w:type="dxa" w:w="1123"/>
          </w:tcPr>
          <w:p>
            <w:pPr>
              <w:spacing w:after="20"/>
            </w:pPr>
            <w:r>
              <w:rPr>
                <w:color w:val="1C3A36"/>
                <w:sz w:val="15"/>
              </w:rPr>
              <w:t>2026-08-05</w:t>
            </w:r>
          </w:p>
        </w:tc>
        <w:tc>
          <w:tcPr>
            <w:tcW w:type="dxa" w:w="5933"/>
          </w:tcPr>
          <w:p>
            <w:pPr>
              <w:spacing w:after="20"/>
            </w:pPr>
            <w:r>
              <w:rPr>
                <w:color w:val="1C3A36"/>
                <w:sz w:val="15"/>
              </w:rPr>
              <w:t>Electrical products and digital solutions segment revenue growth, tapering from the FY2025 disclosed rate of +43.7% (FY2024: +46.6%) off a smaller revenue base</w:t>
            </w:r>
          </w:p>
        </w:tc>
      </w:tr>
      <w:tr>
        <w:tc>
          <w:tcPr>
            <w:tcW w:type="dxa" w:w="1656"/>
          </w:tcPr>
          <w:p>
            <w:pPr>
              <w:spacing w:after="20"/>
            </w:pPr>
            <w:r>
              <w:rPr>
                <w:color w:val="1C3A36"/>
                <w:sz w:val="15"/>
              </w:rPr>
              <w:t>corp load reversion</w:t>
            </w:r>
          </w:p>
        </w:tc>
        <w:tc>
          <w:tcPr>
            <w:tcW w:type="dxa" w:w="1368"/>
          </w:tcPr>
          <w:p>
            <w:pPr>
              <w:spacing w:after="20"/>
            </w:pPr>
            <w:r>
              <w:rPr>
                <w:color w:val="1C3A36"/>
                <w:sz w:val="15"/>
              </w:rPr>
              <w:t>0.0455, 0.0465, 0.0475, 0.0475, 0.0485</w:t>
            </w:r>
          </w:p>
        </w:tc>
        <w:tc>
          <w:tcPr>
            <w:tcW w:type="dxa" w:w="1123"/>
          </w:tcPr>
          <w:p>
            <w:pPr>
              <w:spacing w:after="20"/>
            </w:pPr>
            <w:r>
              <w:rPr>
                <w:color w:val="1C3A36"/>
                <w:sz w:val="15"/>
              </w:rPr>
              <w:t>2026-08-07</w:t>
            </w:r>
          </w:p>
        </w:tc>
        <w:tc>
          <w:tcPr>
            <w:tcW w:type="dxa" w:w="5933"/>
          </w:tcPr>
          <w:p>
            <w:pPr>
              <w:spacing w:after="20"/>
            </w:pPr>
            <w:r>
              <w:rPr>
                <w:color w:val="1C3A36"/>
                <w:sz w:val="15"/>
              </w:rPr>
              <w:t>THE RETIRED PATH, kept because it is this study's most consequential contested judgement and the depth bar requires such a judgement to be computed BOTH WAYS and published side by side rather than averaged. It glides the load from FY2025's level toward the FY2023-24 average of about 5.0%</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123"/>
          </w:tcPr>
          <w:p>
            <w:pPr>
              <w:spacing w:after="20"/>
            </w:pPr>
            <w:r>
              <w:rPr>
                <w:color w:val="1C3A36"/>
                <w:sz w:val="15"/>
              </w:rPr>
              <w:t>2026-08-05</w:t>
            </w:r>
          </w:p>
        </w:tc>
        <w:tc>
          <w:tcPr>
            <w:tcW w:type="dxa" w:w="5933"/>
          </w:tcPr>
          <w:p>
            <w:pPr>
              <w:spacing w:after="20"/>
            </w:pPr>
            <w:r>
              <w:rPr>
                <w:color w:val="1C3A36"/>
                <w:sz w:val="15"/>
              </w:rPr>
              <w:t>Retained input, no longer consumed by the segment build (kept for downstream compatibility)</w:t>
            </w:r>
          </w:p>
        </w:tc>
      </w:tr>
      <w:tr>
        <w:tc>
          <w:tcPr>
            <w:tcW w:type="dxa" w:w="1656"/>
          </w:tcPr>
          <w:p>
            <w:pPr>
              <w:spacing w:after="20"/>
            </w:pPr>
            <w:r>
              <w:rPr>
                <w:color w:val="1C3A36"/>
                <w:sz w:val="15"/>
              </w:rPr>
              <w:t>nwc pct</w:t>
            </w:r>
          </w:p>
        </w:tc>
        <w:tc>
          <w:tcPr>
            <w:tcW w:type="dxa" w:w="1368"/>
          </w:tcPr>
          <w:p>
            <w:pPr>
              <w:spacing w:after="20"/>
            </w:pPr>
            <w:r>
              <w:rPr>
                <w:color w:val="1C3A36"/>
                <w:sz w:val="15"/>
              </w:rPr>
              <w:t>0.199</w:t>
            </w:r>
          </w:p>
        </w:tc>
        <w:tc>
          <w:tcPr>
            <w:tcW w:type="dxa" w:w="1123"/>
          </w:tcPr>
          <w:p>
            <w:pPr>
              <w:spacing w:after="20"/>
            </w:pPr>
            <w:r>
              <w:rPr>
                <w:color w:val="1C3A36"/>
                <w:sz w:val="15"/>
              </w:rPr>
              <w:t>2026-08-05</w:t>
            </w:r>
          </w:p>
        </w:tc>
        <w:tc>
          <w:tcPr>
            <w:tcW w:type="dxa" w:w="5933"/>
          </w:tcPr>
          <w:p>
            <w:pPr>
              <w:spacing w:after="20"/>
            </w:pPr>
            <w:r>
              <w:rPr>
                <w:color w:val="1C3A36"/>
                <w:sz w:val="15"/>
              </w:rPr>
              <w:t>Net working capital as a share of revenue, held at the FY2025 disclosed level (19.87%) — a genuine improvement on FY2023 (24.1%) and FY2024 (23.1%), carried forward without assuming further improvement or reversion</w:t>
            </w:r>
          </w:p>
        </w:tc>
      </w:tr>
      <w:tr>
        <w:tc>
          <w:tcPr>
            <w:tcW w:type="dxa" w:w="1656"/>
          </w:tcPr>
          <w:p>
            <w:pPr>
              <w:spacing w:after="20"/>
            </w:pPr>
            <w:r>
              <w:rPr>
                <w:color w:val="1C3A36"/>
                <w:sz w:val="15"/>
              </w:rPr>
              <w:t>capex pct</w:t>
            </w:r>
          </w:p>
        </w:tc>
        <w:tc>
          <w:tcPr>
            <w:tcW w:type="dxa" w:w="1368"/>
          </w:tcPr>
          <w:p>
            <w:pPr>
              <w:spacing w:after="20"/>
            </w:pPr>
            <w:r>
              <w:rPr>
                <w:color w:val="1C3A36"/>
                <w:sz w:val="15"/>
              </w:rPr>
              <w:t>0.044, 0.04, 0.036, 0.033, 0.031</w:t>
            </w:r>
          </w:p>
        </w:tc>
        <w:tc>
          <w:tcPr>
            <w:tcW w:type="dxa" w:w="1123"/>
          </w:tcPr>
          <w:p>
            <w:pPr>
              <w:spacing w:after="20"/>
            </w:pPr>
            <w:r>
              <w:rPr>
                <w:color w:val="1C3A36"/>
                <w:sz w:val="15"/>
              </w:rPr>
              <w:t>2026-08-05</w:t>
            </w:r>
          </w:p>
        </w:tc>
        <w:tc>
          <w:tcPr>
            <w:tcW w:type="dxa" w:w="5933"/>
          </w:tcPr>
          <w:p>
            <w:pPr>
              <w:spacing w:after="20"/>
            </w:pPr>
            <w:r>
              <w:rPr>
                <w:color w:val="1C3A36"/>
                <w:sz w:val="15"/>
              </w:rPr>
              <w:t>THE RETIRED PATH, superseded 09-09-2026 and kept because the depth bar requires a displaced construction to be published beside the one that replaced it. It tapered from the FY2025 disclosed level of 4.7% (up from 3.1% FY2023 and 3.7% FY2024) toward a lower maintenance-plus-modest-capacity level as the expansion cycle completes — a House glide, on a story about the cycle, set before the reviewed half was read. The half measures the cycle directly: see capex_pct_measured below</w:t>
            </w:r>
          </w:p>
        </w:tc>
      </w:tr>
      <w:tr>
        <w:tc>
          <w:tcPr>
            <w:tcW w:type="dxa" w:w="1656"/>
          </w:tcPr>
          <w:p>
            <w:pPr>
              <w:spacing w:after="20"/>
            </w:pPr>
            <w:r>
              <w:rPr>
                <w:color w:val="1C3A36"/>
                <w:sz w:val="15"/>
              </w:rPr>
              <w:t>dna pct</w:t>
            </w:r>
          </w:p>
        </w:tc>
        <w:tc>
          <w:tcPr>
            <w:tcW w:type="dxa" w:w="1368"/>
          </w:tcPr>
          <w:p>
            <w:pPr>
              <w:spacing w:after="20"/>
            </w:pPr>
            <w:r>
              <w:rPr>
                <w:color w:val="1C3A36"/>
                <w:sz w:val="15"/>
              </w:rPr>
              <w:t>0.0125</w:t>
            </w:r>
          </w:p>
        </w:tc>
        <w:tc>
          <w:tcPr>
            <w:tcW w:type="dxa" w:w="1123"/>
          </w:tcPr>
          <w:p>
            <w:pPr>
              <w:spacing w:after="20"/>
            </w:pPr>
            <w:r>
              <w:rPr>
                <w:color w:val="1C3A36"/>
                <w:sz w:val="15"/>
              </w:rPr>
              <w:t>2026-08-05</w:t>
            </w:r>
          </w:p>
        </w:tc>
        <w:tc>
          <w:tcPr>
            <w:tcW w:type="dxa" w:w="5933"/>
          </w:tcPr>
          <w:p>
            <w:pPr>
              <w:spacing w:after="20"/>
            </w:pPr>
            <w:r>
              <w:rPr>
                <w:color w:val="1C3A36"/>
                <w:sz w:val="15"/>
              </w:rPr>
              <w:t>Depreciation and amortisation as a share of revenue, held near the FY2025 disclosed level (1.07%) with a modest rise reflecting the larger capitalised asset base from the FY2025-26 capex ramp</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123"/>
          </w:tcPr>
          <w:p>
            <w:pPr>
              <w:spacing w:after="20"/>
            </w:pPr>
            <w:r>
              <w:rPr>
                <w:color w:val="1C3A36"/>
                <w:sz w:val="15"/>
              </w:rPr>
              <w:t>2026-08-05</w:t>
            </w:r>
          </w:p>
        </w:tc>
        <w:tc>
          <w:tcPr>
            <w:tcW w:type="dxa" w:w="5933"/>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1.2249</w:t>
            </w:r>
          </w:p>
        </w:tc>
        <w:tc>
          <w:tcPr>
            <w:tcW w:type="dxa" w:w="1123"/>
          </w:tcPr>
          <w:p>
            <w:pPr>
              <w:spacing w:after="20"/>
            </w:pPr>
            <w:r>
              <w:rPr>
                <w:color w:val="1C3A36"/>
                <w:sz w:val="15"/>
              </w:rPr>
              <w:t>2026-09-08</w:t>
            </w:r>
          </w:p>
        </w:tc>
        <w:tc>
          <w:tcPr>
            <w:tcW w:type="dxa" w:w="5933"/>
          </w:tcPr>
          <w:p>
            <w:pPr>
              <w:spacing w:after="20"/>
            </w:pPr>
            <w:r>
              <w:rPr>
                <w:color w:val="1C3A36"/>
                <w:sz w:val="15"/>
              </w:rPr>
              <w:t>Own-stock tier-1 weekly regression against raw_indices/EG/EGX30.csv as at 2026-09-08 — THE PUBLISHED INDEX OF THE EXCHANGE THIS STOCK IS LISTED ON, resolved by beta_regression.own_stock_beta() rather than hand-rolled. R-squared 0.368, n = 256, standard error 0.1699, 90% confidence interval [0.945, 1.504]; Dimson-corrected for thin trading, matched to the exchange's own trading week (W-THU). Clears the usability gate and is not weak-instrument flagged. WITHDRAWN AND KEPT FOR COMPARISON: the previous edition regressed against a 31-name equal-weight composite of the covered library and got 1.0087 at an R-squared of 0.291 — +21.4% against the conforming figure, explaining less of the stock. A constituent composite is a coverage artefact rather than a market and SIGCM calls it a hard fail, not a tier.</w:t>
            </w:r>
          </w:p>
        </w:tc>
      </w:tr>
      <w:tr>
        <w:tc>
          <w:tcPr>
            <w:tcW w:type="dxa" w:w="1656"/>
          </w:tcPr>
          <w:p>
            <w:pPr>
              <w:spacing w:after="20"/>
            </w:pPr>
            <w:r>
              <w:rPr>
                <w:color w:val="1C3A36"/>
                <w:sz w:val="15"/>
              </w:rPr>
              <w:t>kd path</w:t>
            </w:r>
          </w:p>
        </w:tc>
        <w:tc>
          <w:tcPr>
            <w:tcW w:type="dxa" w:w="1368"/>
          </w:tcPr>
          <w:p>
            <w:pPr>
              <w:spacing w:after="20"/>
            </w:pPr>
            <w:r>
              <w:rPr>
                <w:color w:val="1C3A36"/>
                <w:sz w:val="15"/>
              </w:rPr>
              <w:t>0.095, 0.089, 0.084, 0.08, 0.077</w:t>
            </w:r>
          </w:p>
        </w:tc>
        <w:tc>
          <w:tcPr>
            <w:tcW w:type="dxa" w:w="1123"/>
          </w:tcPr>
          <w:p>
            <w:pPr>
              <w:spacing w:after="20"/>
            </w:pPr>
            <w:r>
              <w:rPr>
                <w:color w:val="1C3A36"/>
                <w:sz w:val="15"/>
              </w:rPr>
              <w:t>2026-08-05</w:t>
            </w:r>
          </w:p>
        </w:tc>
        <w:tc>
          <w:tcPr>
            <w:tcW w:type="dxa" w:w="5933"/>
          </w:tcPr>
          <w:p>
            <w:pPr>
              <w:spacing w:after="20"/>
            </w:pPr>
            <w:r>
              <w:rPr>
                <w:color w:val="1C3A36"/>
                <w:sz w:val="15"/>
              </w:rPr>
              <w:t>Forward cost-of-debt path FY26E-FY30E on the blended book, continuing the CBE easing cycle that has already taken the disclosed Egyptian-pound rate from 28.68% (FY2024) to 21.30% (FY2025) to 20.32% (Q1-2026), blended against a broadly flat hard-currency rate.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0.0888</w:t>
            </w:r>
          </w:p>
        </w:tc>
        <w:tc>
          <w:tcPr>
            <w:tcW w:type="dxa" w:w="1123"/>
          </w:tcPr>
          <w:p>
            <w:pPr>
              <w:spacing w:after="20"/>
            </w:pPr>
            <w:r>
              <w:rPr>
                <w:color w:val="1C3A36"/>
                <w:sz w:val="15"/>
              </w:rPr>
              <w:t>2026-08-05</w:t>
            </w:r>
          </w:p>
        </w:tc>
        <w:tc>
          <w:tcPr>
            <w:tcW w:type="dxa" w:w="5933"/>
          </w:tcPr>
          <w:p>
            <w:pPr>
              <w:spacing w:after="20"/>
            </w:pPr>
            <w:r>
              <w:rPr>
                <w:color w:val="1C3A36"/>
                <w:sz w:val="15"/>
              </w:rPr>
              <w:t>Terminal blended cost of debt: 28% Egyptian pound at the 15% long-run Egyptian corporate-borrowing norm and 72% hard currency at 6.5% — the currency WEIGHTS updated to the actual FY2025 composition (formerly modelled 45%/55%, now measured at roughly 28%/72% from the Kd-integrity back-solve); the long-run rate norms themselves are unchanged policy assumptions</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123"/>
          </w:tcPr>
          <w:p>
            <w:pPr>
              <w:spacing w:after="20"/>
            </w:pPr>
            <w:r>
              <w:rPr>
                <w:color w:val="1C3A36"/>
                <w:sz w:val="15"/>
              </w:rPr>
              <w:t>2026-08-05</w:t>
            </w:r>
          </w:p>
        </w:tc>
        <w:tc>
          <w:tcPr>
            <w:tcW w:type="dxa" w:w="5933"/>
          </w:tcPr>
          <w:p>
            <w:pPr>
              <w:spacing w:after="20"/>
            </w:pPr>
            <w:r>
              <w:rPr>
                <w:color w:val="1C3A36"/>
                <w:sz w:val="15"/>
              </w:rPr>
              <w:t>Terminal risk-free rate, norm-built: the CBE's own stated medium-term inflation target of 5% plus the standard ~5.5pp emerging-market real-rate convention.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123"/>
          </w:tcPr>
          <w:p>
            <w:pPr>
              <w:spacing w:after="20"/>
            </w:pPr>
            <w:r>
              <w:rPr>
                <w:color w:val="1C3A36"/>
                <w:sz w:val="15"/>
              </w:rPr>
              <w:t>2026-08-05</w:t>
            </w:r>
          </w:p>
        </w:tc>
        <w:tc>
          <w:tcPr>
            <w:tcW w:type="dxa" w:w="5933"/>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0.15</w:t>
            </w:r>
          </w:p>
        </w:tc>
        <w:tc>
          <w:tcPr>
            <w:tcW w:type="dxa" w:w="1123"/>
          </w:tcPr>
          <w:p>
            <w:pPr>
              <w:spacing w:after="20"/>
            </w:pPr>
            <w:r>
              <w:rPr>
                <w:color w:val="1C3A36"/>
                <w:sz w:val="15"/>
              </w:rPr>
              <w:t>2026-08-07</w:t>
            </w:r>
          </w:p>
        </w:tc>
        <w:tc>
          <w:tcPr>
            <w:tcW w:type="dxa" w:w="5933"/>
          </w:tcPr>
          <w:p>
            <w:pPr>
              <w:spacing w:after="20"/>
            </w:pPr>
            <w:r>
              <w:rPr>
                <w:color w:val="1C3A36"/>
                <w:sz w:val="15"/>
              </w:rPr>
              <w:t>Terminal debt weight D/(D+E) on a net basis, NORMALISED — but reconciled to the model's OWN forecast balance sheet rather than asserted. REVISED from 25% after external critique (and the same finding in this study's own re-audit): at a 25% payout the forecast still deleverages toward a mid-single-digit net-debt weight by FY2030E, so a 25% terminal weight contradicted the model's own trajectory in the direction that flattered the valuation. 15% sits between today's 8.4% net weight and the old 25%, acknowledging that a working-capital-heavy industrial retains structural gross leverage. Worth about -5.3/share on the DCF lens versus the old 25%</w:t>
            </w:r>
          </w:p>
        </w:tc>
      </w:tr>
      <w:tr>
        <w:tc>
          <w:tcPr>
            <w:tcW w:type="dxa" w:w="1656"/>
          </w:tcPr>
          <w:p>
            <w:pPr>
              <w:spacing w:after="20"/>
            </w:pPr>
            <w:r>
              <w:rPr>
                <w:color w:val="1C3A36"/>
                <w:sz w:val="15"/>
              </w:rPr>
              <w:t>g term real</w:t>
            </w:r>
          </w:p>
        </w:tc>
        <w:tc>
          <w:tcPr>
            <w:tcW w:type="dxa" w:w="1368"/>
          </w:tcPr>
          <w:p>
            <w:pPr>
              <w:spacing w:after="20"/>
            </w:pPr>
            <w:r>
              <w:rPr>
                <w:color w:val="1C3A36"/>
                <w:sz w:val="15"/>
              </w:rPr>
              <w:t>0</w:t>
            </w:r>
          </w:p>
        </w:tc>
        <w:tc>
          <w:tcPr>
            <w:tcW w:type="dxa" w:w="1123"/>
          </w:tcPr>
          <w:p>
            <w:pPr>
              <w:spacing w:after="20"/>
            </w:pPr>
            <w:r>
              <w:rPr>
                <w:color w:val="1C3A36"/>
                <w:sz w:val="15"/>
              </w:rPr>
              <w:t>2026-09-04</w:t>
            </w:r>
          </w:p>
        </w:tc>
        <w:tc>
          <w:tcPr>
            <w:tcW w:type="dxa" w:w="5933"/>
          </w:tcPr>
          <w:p>
            <w:pPr>
              <w:spacing w:after="20"/>
            </w:pPr>
            <w:r>
              <w:rPr>
                <w:color w:val="1C3A36"/>
                <w:sz w:val="15"/>
              </w:rPr>
              <w:t>STATED real terminal growth: zero. A mature diversified industrial holding its real scale in perpetuity; real growth costs incremental capital and none is assumed. The nominal rate is DERIVED from this and the house path's terminal inflation, never quoted beside it</w:t>
            </w:r>
          </w:p>
        </w:tc>
      </w:tr>
      <w:tr>
        <w:tc>
          <w:tcPr>
            <w:tcW w:type="dxa" w:w="1656"/>
          </w:tcPr>
          <w:p>
            <w:pPr>
              <w:spacing w:after="20"/>
            </w:pPr>
            <w:r>
              <w:rPr>
                <w:color w:val="1C3A36"/>
                <w:sz w:val="15"/>
              </w:rPr>
              <w:t>g term</w:t>
            </w:r>
          </w:p>
        </w:tc>
        <w:tc>
          <w:tcPr>
            <w:tcW w:type="dxa" w:w="1368"/>
          </w:tcPr>
          <w:p>
            <w:pPr>
              <w:spacing w:after="20"/>
            </w:pPr>
            <w:r>
              <w:rPr>
                <w:color w:val="1C3A36"/>
                <w:sz w:val="15"/>
              </w:rPr>
              <w:t>0.07</w:t>
            </w:r>
          </w:p>
        </w:tc>
        <w:tc>
          <w:tcPr>
            <w:tcW w:type="dxa" w:w="1123"/>
          </w:tcPr>
          <w:p>
            <w:pPr>
              <w:spacing w:after="20"/>
            </w:pPr>
            <w:r>
              <w:rPr>
                <w:color w:val="1C3A36"/>
                <w:sz w:val="15"/>
              </w:rPr>
              <w:t>2026-09-04</w:t>
            </w:r>
          </w:p>
        </w:tc>
        <w:tc>
          <w:tcPr>
            <w:tcW w:type="dxa" w:w="5933"/>
          </w:tcPr>
          <w:p>
            <w:pPr>
              <w:spacing w:after="20"/>
            </w:pPr>
            <w:r>
              <w:rPr>
                <w:color w:val="1C3A36"/>
                <w:sz w:val="15"/>
              </w:rPr>
              <w:t>Terminal NOMINAL growth, DERIVED rather than chosen: (1 + 0.0 real growth) x (1 + 7.0% long-run Egyptian inflation) - 1 = 7.0%. The house macroeconomic path is the only source of an inflation rate in this study. The first edition's 5.0% was struck against an assumed 5% inflation and was therefore a real decline of 1.87% a year in perpetuity</w:t>
            </w:r>
          </w:p>
        </w:tc>
      </w:tr>
      <w:tr>
        <w:tc>
          <w:tcPr>
            <w:tcW w:type="dxa" w:w="1656"/>
          </w:tcPr>
          <w:p>
            <w:pPr>
              <w:spacing w:after="20"/>
            </w:pPr>
            <w:r>
              <w:rPr>
                <w:color w:val="1C3A36"/>
                <w:sz w:val="15"/>
              </w:rPr>
              <w:t>usd erp</w:t>
            </w:r>
          </w:p>
        </w:tc>
        <w:tc>
          <w:tcPr>
            <w:tcW w:type="dxa" w:w="1368"/>
          </w:tcPr>
          <w:p>
            <w:pPr>
              <w:spacing w:after="20"/>
            </w:pPr>
            <w:r>
              <w:rPr>
                <w:color w:val="1C3A36"/>
                <w:sz w:val="15"/>
              </w:rPr>
              <w:t>0.075</w:t>
            </w:r>
          </w:p>
        </w:tc>
        <w:tc>
          <w:tcPr>
            <w:tcW w:type="dxa" w:w="1123"/>
          </w:tcPr>
          <w:p>
            <w:pPr>
              <w:spacing w:after="20"/>
            </w:pPr>
            <w:r>
              <w:rPr>
                <w:color w:val="1C3A36"/>
                <w:sz w:val="15"/>
              </w:rPr>
              <w:t>2026-08-05</w:t>
            </w:r>
          </w:p>
        </w:tc>
        <w:tc>
          <w:tcPr>
            <w:tcW w:type="dxa" w:w="5933"/>
          </w:tcPr>
          <w:p>
            <w:pPr>
              <w:spacing w:after="20"/>
            </w:pPr>
            <w:r>
              <w:rPr>
                <w:color w:val="1C3A36"/>
                <w:sz w:val="15"/>
              </w:rPr>
              <w:t>Equity risk premium for the hard-currency leg: mature-market premium plus a reduced operating-exposure country premium — deliberately NOT the full Egypt premium, since this alternative's whole point is to price the hard-currency cash flows as hard-currency cash flows</w:t>
            </w:r>
          </w:p>
        </w:tc>
      </w:tr>
      <w:tr>
        <w:tc>
          <w:tcPr>
            <w:tcW w:type="dxa" w:w="1656"/>
          </w:tcPr>
          <w:p>
            <w:pPr>
              <w:spacing w:after="20"/>
            </w:pPr>
            <w:r>
              <w:rPr>
                <w:color w:val="1C3A36"/>
                <w:sz w:val="15"/>
              </w:rPr>
              <w:t>usd kd</w:t>
            </w:r>
          </w:p>
        </w:tc>
        <w:tc>
          <w:tcPr>
            <w:tcW w:type="dxa" w:w="1368"/>
          </w:tcPr>
          <w:p>
            <w:pPr>
              <w:spacing w:after="20"/>
            </w:pPr>
            <w:r>
              <w:rPr>
                <w:color w:val="1C3A36"/>
                <w:sz w:val="15"/>
              </w:rPr>
              <w:t>0.065</w:t>
            </w:r>
          </w:p>
        </w:tc>
        <w:tc>
          <w:tcPr>
            <w:tcW w:type="dxa" w:w="1123"/>
          </w:tcPr>
          <w:p>
            <w:pPr>
              <w:spacing w:after="20"/>
            </w:pPr>
            <w:r>
              <w:rPr>
                <w:color w:val="1C3A36"/>
                <w:sz w:val="15"/>
              </w:rPr>
              <w:t>2026-08-05</w:t>
            </w:r>
          </w:p>
        </w:tc>
        <w:tc>
          <w:tcPr>
            <w:tcW w:type="dxa" w:w="5933"/>
          </w:tcPr>
          <w:p>
            <w:pPr>
              <w:spacing w:after="20"/>
            </w:pPr>
            <w:r>
              <w:rPr>
                <w:color w:val="1C3A36"/>
                <w:sz w:val="15"/>
              </w:rPr>
              <w:t>US dollar cost of debt for the alternative: the disclosed 5.3% hard-currency book rate plus a term/credit allowance</w:t>
            </w:r>
          </w:p>
        </w:tc>
      </w:tr>
      <w:tr>
        <w:tc>
          <w:tcPr>
            <w:tcW w:type="dxa" w:w="1656"/>
          </w:tcPr>
          <w:p>
            <w:pPr>
              <w:spacing w:after="20"/>
            </w:pPr>
            <w:r>
              <w:rPr>
                <w:color w:val="1C3A36"/>
                <w:sz w:val="15"/>
              </w:rPr>
              <w:t>usd wd</w:t>
            </w:r>
          </w:p>
        </w:tc>
        <w:tc>
          <w:tcPr>
            <w:tcW w:type="dxa" w:w="1368"/>
          </w:tcPr>
          <w:p>
            <w:pPr>
              <w:spacing w:after="20"/>
            </w:pPr>
            <w:r>
              <w:rPr>
                <w:color w:val="1C3A36"/>
                <w:sz w:val="15"/>
              </w:rPr>
              <w:t>0.25</w:t>
            </w:r>
          </w:p>
        </w:tc>
        <w:tc>
          <w:tcPr>
            <w:tcW w:type="dxa" w:w="1123"/>
          </w:tcPr>
          <w:p>
            <w:pPr>
              <w:spacing w:after="20"/>
            </w:pPr>
            <w:r>
              <w:rPr>
                <w:color w:val="1C3A36"/>
                <w:sz w:val="15"/>
              </w:rPr>
              <w:t>2026-08-05</w:t>
            </w:r>
          </w:p>
        </w:tc>
        <w:tc>
          <w:tcPr>
            <w:tcW w:type="dxa" w:w="5933"/>
          </w:tcPr>
          <w:p>
            <w:pPr>
              <w:spacing w:after="20"/>
            </w:pPr>
            <w:r>
              <w:rPr>
                <w:color w:val="1C3A36"/>
                <w:sz w:val="15"/>
              </w:rPr>
              <w:t>Debt weight for the USD-leg cost of capital</w:t>
            </w:r>
          </w:p>
        </w:tc>
      </w:tr>
      <w:tr>
        <w:tc>
          <w:tcPr>
            <w:tcW w:type="dxa" w:w="1656"/>
          </w:tcPr>
          <w:p>
            <w:pPr>
              <w:spacing w:after="20"/>
            </w:pPr>
            <w:r>
              <w:rPr>
                <w:color w:val="1C3A36"/>
                <w:sz w:val="15"/>
              </w:rPr>
              <w:t>usd g term</w:t>
            </w:r>
          </w:p>
        </w:tc>
        <w:tc>
          <w:tcPr>
            <w:tcW w:type="dxa" w:w="1368"/>
          </w:tcPr>
          <w:p>
            <w:pPr>
              <w:spacing w:after="20"/>
            </w:pPr>
            <w:r>
              <w:rPr>
                <w:color w:val="1C3A36"/>
                <w:sz w:val="15"/>
              </w:rPr>
              <w:t>0.035</w:t>
            </w:r>
          </w:p>
        </w:tc>
        <w:tc>
          <w:tcPr>
            <w:tcW w:type="dxa" w:w="1123"/>
          </w:tcPr>
          <w:p>
            <w:pPr>
              <w:spacing w:after="20"/>
            </w:pPr>
            <w:r>
              <w:rPr>
                <w:color w:val="1C3A36"/>
                <w:sz w:val="15"/>
              </w:rPr>
              <w:t>2026-08-05</w:t>
            </w:r>
          </w:p>
        </w:tc>
        <w:tc>
          <w:tcPr>
            <w:tcW w:type="dxa" w:w="5933"/>
          </w:tcPr>
          <w:p>
            <w:pPr>
              <w:spacing w:after="20"/>
            </w:pPr>
            <w:r>
              <w:rPr>
                <w:color w:val="1C3A36"/>
                <w:sz w:val="15"/>
              </w:rPr>
              <w:t>Terminal growth of the USD-denominated leg — real growth plus dollar inflation, below the EGP terminal growth by the inflation differential</w:t>
            </w:r>
          </w:p>
        </w:tc>
      </w:tr>
      <w:tr>
        <w:tc>
          <w:tcPr>
            <w:tcW w:type="dxa" w:w="1656"/>
          </w:tcPr>
          <w:p>
            <w:pPr>
              <w:spacing w:after="20"/>
            </w:pPr>
            <w:r>
              <w:rPr>
                <w:color w:val="1C3A36"/>
                <w:sz w:val="15"/>
              </w:rPr>
              <w:t>anchor days</w:t>
            </w:r>
          </w:p>
        </w:tc>
        <w:tc>
          <w:tcPr>
            <w:tcW w:type="dxa" w:w="1368"/>
          </w:tcPr>
          <w:p>
            <w:pPr>
              <w:spacing w:after="20"/>
            </w:pPr>
            <w:r>
              <w:rPr>
                <w:color w:val="1C3A36"/>
                <w:sz w:val="15"/>
              </w:rPr>
              <w:t>246</w:t>
            </w:r>
          </w:p>
        </w:tc>
        <w:tc>
          <w:tcPr>
            <w:tcW w:type="dxa" w:w="1123"/>
          </w:tcPr>
          <w:p>
            <w:pPr>
              <w:spacing w:after="20"/>
            </w:pPr>
            <w:r>
              <w:rPr>
                <w:color w:val="1C3A36"/>
                <w:sz w:val="15"/>
              </w:rPr>
              <w:t>2026-08-07</w:t>
            </w:r>
          </w:p>
        </w:tc>
        <w:tc>
          <w:tcPr>
            <w:tcW w:type="dxa" w:w="5933"/>
          </w:tcPr>
          <w:p>
            <w:pPr>
              <w:spacing w:after="20"/>
            </w:pPr>
            <w:r>
              <w:rPr>
                <w:color w:val="1C3A36"/>
                <w:sz w:val="15"/>
              </w:rPr>
              <w:t>Days from the DCF's construction date (31 Dec 2025, the audited balance-sheet date the bridge is built on) to the anchor date 5 Aug 2026. All lens values are rolled to the anchor at the cost of equity, net of the EGP 1.85 FY2025 dividend paid inside the window — added after external critique correctly noted the model was dated 31-Dec-2025 while the comparison price was dated 5-Aug-2026, breaching the study's own one-date rule by ~7 months of accretion</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123"/>
          </w:tcPr>
          <w:p>
            <w:pPr>
              <w:spacing w:after="20"/>
            </w:pPr>
            <w:r>
              <w:rPr>
                <w:color w:val="1C3A36"/>
                <w:sz w:val="15"/>
              </w:rPr>
              <w:t>2026-08-05</w:t>
            </w:r>
          </w:p>
        </w:tc>
        <w:tc>
          <w:tcPr>
            <w:tcW w:type="dxa" w:w="5933"/>
          </w:tcPr>
          <w:p>
            <w:pPr>
              <w:spacing w:after="20"/>
            </w:pPr>
            <w:r>
              <w:rPr>
                <w:color w:val="1C3A36"/>
                <w:sz w:val="15"/>
              </w:rPr>
              <w:t>Justified EV/EBITDA on mid-cycle FY27E EBITDA. The company's own trailing multiple is elevated; listed cable and electrical-equipment peers trade 8-11x and Riyadh Cables ~14x on earnings. 6.5x applies an Egyptian-market discount for sovereign, currency-convertibility and disclosure risk. Bear 5.5x / bull 8.0x</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123"/>
          </w:tcPr>
          <w:p>
            <w:pPr>
              <w:spacing w:after="20"/>
            </w:pPr>
            <w:r>
              <w:rPr>
                <w:color w:val="1C3A36"/>
                <w:sz w:val="15"/>
              </w:rPr>
              <w:t>2026-08-05</w:t>
            </w:r>
          </w:p>
        </w:tc>
        <w:tc>
          <w:tcPr>
            <w:tcW w:type="dxa" w:w="5933"/>
          </w:tcPr>
          <w:p>
            <w:pPr>
              <w:spacing w:after="20"/>
            </w:pPr>
            <w:r>
              <w:rPr>
                <w:color w:val="1C3A36"/>
                <w:sz w:val="15"/>
              </w:rPr>
              <w:t>Justified through-cycle P/E on normalised earnings.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123"/>
          </w:tcPr>
          <w:p>
            <w:pPr>
              <w:spacing w:after="20"/>
            </w:pPr>
            <w:r>
              <w:rPr>
                <w:color w:val="1C3A36"/>
                <w:sz w:val="15"/>
              </w:rPr>
              <w:t>2026-08-05</w:t>
            </w:r>
          </w:p>
        </w:tc>
        <w:tc>
          <w:tcPr>
            <w:tcW w:type="dxa" w:w="5933"/>
          </w:tcPr>
          <w:p>
            <w:pPr>
              <w:spacing w:after="20"/>
            </w:pPr>
            <w:r>
              <w:rPr>
                <w:color w:val="1C3A36"/>
                <w:sz w:val="15"/>
              </w:rPr>
              <w:t>Sustainable return on equity for the book lens. Trailing ROE on average parent equity is well above this;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123"/>
          </w:tcPr>
          <w:p>
            <w:pPr>
              <w:spacing w:after="20"/>
            </w:pPr>
            <w:r>
              <w:rPr>
                <w:color w:val="1C3A36"/>
                <w:sz w:val="15"/>
              </w:rPr>
              <w:t>2026-08-05</w:t>
            </w:r>
          </w:p>
        </w:tc>
        <w:tc>
          <w:tcPr>
            <w:tcW w:type="dxa" w:w="5933"/>
          </w:tcPr>
          <w:p>
            <w:pPr>
              <w:spacing w:after="20"/>
            </w:pPr>
            <w:r>
              <w:rPr>
                <w:color w:val="1C3A36"/>
                <w:sz w:val="15"/>
              </w:rPr>
              <w:t>DCF primary for an operating manufacturer with a genuine, if undisclosed, contracted order book; the relative and normalised-earnings lenses carry equal secondary weight and the book lens least, because reported book value is distorted by three years of currency translation</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near the FY2025 share of revenue</w:t>
            </w:r>
          </w:p>
        </w:tc>
        <w:tc>
          <w:tcPr>
            <w:tcW w:type="dxa" w:w="2520"/>
          </w:tcPr>
          <w:p>
            <w:pPr>
              <w:spacing w:after="20"/>
            </w:pPr>
            <w:r>
              <w:rPr>
                <w:color w:val="1C3A36"/>
                <w:sz w:val="15"/>
              </w:rPr>
              <w:t>Net working capital stays near 19.9% of revenue, the FY2025 audited level</w:t>
            </w:r>
          </w:p>
        </w:tc>
        <w:tc>
          <w:tcPr>
            <w:tcW w:type="dxa" w:w="2952"/>
          </w:tcPr>
          <w:p>
            <w:pPr>
              <w:spacing w:after="20"/>
            </w:pPr>
            <w:r>
              <w:rPr>
                <w:color w:val="1C3A36"/>
                <w:sz w:val="15"/>
              </w:rPr>
              <w:t>All three audited years show working capital absorbing cash rather than converting, though FY2025 improved (24.1% -&gt; 23.1% -&gt; 19.9% of revenue)</w:t>
            </w:r>
          </w:p>
        </w:tc>
        <w:tc>
          <w:tcPr>
            <w:tcW w:type="dxa" w:w="2664"/>
          </w:tcPr>
          <w:p>
            <w:pPr>
              <w:spacing w:after="20"/>
            </w:pPr>
            <w:r>
              <w:rPr>
                <w:color w:val="1C3A36"/>
                <w:sz w:val="15"/>
              </w:rPr>
              <w:t>Two consecutive years of operating cash flow above 60% of EBITDA</w:t>
            </w:r>
          </w:p>
        </w:tc>
      </w:tr>
      <w:tr>
        <w:tc>
          <w:tcPr>
            <w:tcW w:type="dxa" w:w="1944"/>
          </w:tcPr>
          <w:p>
            <w:pPr>
              <w:spacing w:after="20"/>
            </w:pPr>
            <w:r>
              <w:rPr>
                <w:color w:val="1C3A36"/>
                <w:sz w:val="15"/>
              </w:rPr>
              <w:t>Valuation date rolled to the anchor</w:t>
            </w:r>
          </w:p>
        </w:tc>
        <w:tc>
          <w:tcPr>
            <w:tcW w:type="dxa" w:w="2520"/>
          </w:tcPr>
          <w:p>
            <w:pPr>
              <w:spacing w:after="20"/>
            </w:pPr>
            <w:r>
              <w:rPr>
                <w:color w:val="1C3A36"/>
                <w:sz w:val="15"/>
              </w:rPr>
              <w:t>Every lens value, dated 31 December 2025 by construction, is rolled 246/365 of a year to the 2026-09-03 anchor at the cost of equity, less the EGP 1.85 dividend paid in the window</w:t>
            </w:r>
          </w:p>
        </w:tc>
        <w:tc>
          <w:tcPr>
            <w:tcW w:type="dxa" w:w="2952"/>
          </w:tcPr>
          <w:p>
            <w:pPr>
              <w:spacing w:after="20"/>
            </w:pPr>
            <w:r>
              <w:rPr>
                <w:color w:val="1C3A36"/>
                <w:sz w:val="15"/>
              </w:rPr>
              <w:t>The comparison price is dated 5 August 2026; comparing an end-2025 value to it would leave seven months of accretion out of the comparison — an external review flagged the omission and it was accepted</w:t>
            </w:r>
          </w:p>
        </w:tc>
        <w:tc>
          <w:tcPr>
            <w:tcW w:type="dxa" w:w="2664"/>
          </w:tcPr>
          <w:p>
            <w:pPr>
              <w:spacing w:after="20"/>
            </w:pPr>
            <w:r>
              <w:rPr>
                <w:color w:val="1C3A36"/>
                <w:sz w:val="15"/>
              </w:rPr>
              <w:t>A different roll rate (the risk-free rate instead of the cost of equity) would cut the accretion roughly in half; the cost-of-equity roll is the discount identity's own rate</w:t>
            </w:r>
          </w:p>
        </w:tc>
      </w:tr>
      <w:tr>
        <w:tc>
          <w:tcPr>
            <w:tcW w:type="dxa" w:w="1944"/>
          </w:tcPr>
          <w:p>
            <w:pPr>
              <w:spacing w:after="20"/>
            </w:pPr>
            <w:r>
              <w:rPr>
                <w:color w:val="1C3A36"/>
                <w:sz w:val="15"/>
              </w:rPr>
              <w:t>Terminal net-debt weight of 15%</w:t>
            </w:r>
          </w:p>
        </w:tc>
        <w:tc>
          <w:tcPr>
            <w:tcW w:type="dxa" w:w="2520"/>
          </w:tcPr>
          <w:p>
            <w:pPr>
              <w:spacing w:after="20"/>
            </w:pPr>
            <w:r>
              <w:rPr>
                <w:color w:val="1C3A36"/>
                <w:sz w:val="15"/>
              </w:rPr>
              <w:t>Revised from 25% after review: the old weight contradicted the model's own forecast deleveraging in the direction that flattered the valuation</w:t>
            </w:r>
          </w:p>
        </w:tc>
        <w:tc>
          <w:tcPr>
            <w:tcW w:type="dxa" w:w="2952"/>
          </w:tcPr>
          <w:p>
            <w:pPr>
              <w:spacing w:after="20"/>
            </w:pPr>
            <w:r>
              <w:rPr>
                <w:color w:val="1C3A36"/>
                <w:sz w:val="15"/>
              </w:rPr>
              <w:t>At a 25% payout the forecast net-debt weight still falls toward mid-single digits by FY2030E; 15% splits the difference between today's 8.4% and a structurally levered steady state, and costs about 2.4/share on the weighted central versus 25%</w:t>
            </w:r>
          </w:p>
        </w:tc>
        <w:tc>
          <w:tcPr>
            <w:tcW w:type="dxa" w:w="2664"/>
          </w:tcPr>
          <w:p>
            <w:pPr>
              <w:spacing w:after="20"/>
            </w:pPr>
            <w:r>
              <w:rPr>
                <w:color w:val="1C3A36"/>
                <w:sz w:val="15"/>
              </w:rPr>
              <w:t>Evidence the group intends to run materially higher structural net leverage</w:t>
            </w:r>
          </w:p>
        </w:tc>
      </w:tr>
      <w:tr>
        <w:tc>
          <w:tcPr>
            <w:tcW w:type="dxa" w:w="1944"/>
          </w:tcPr>
          <w:p>
            <w:pPr>
              <w:spacing w:after="20"/>
            </w:pPr>
            <w:r>
              <w:rPr>
                <w:color w:val="1C3A36"/>
                <w:sz w:val="15"/>
              </w:rPr>
              <w:t>Forecast payout ratio of 25%</w:t>
            </w:r>
          </w:p>
        </w:tc>
        <w:tc>
          <w:tcPr>
            <w:tcW w:type="dxa" w:w="2520"/>
          </w:tcPr>
          <w:p>
            <w:pPr>
              <w:spacing w:after="20"/>
            </w:pPr>
            <w:r>
              <w:rPr>
                <w:color w:val="1C3A36"/>
                <w:sz w:val="15"/>
              </w:rPr>
              <w:t>Struck at the actual FY2025 payout (EGP 1.85/share = 22.8% of attributable EPS), rounded up for the rising trajectory the +85% step-up implies</w:t>
            </w:r>
          </w:p>
        </w:tc>
        <w:tc>
          <w:tcPr>
            <w:tcW w:type="dxa" w:w="2952"/>
          </w:tcPr>
          <w:p>
            <w:pPr>
              <w:spacing w:after="20"/>
            </w:pPr>
            <w:r>
              <w:rPr>
                <w:color w:val="1C3A36"/>
                <w:sz w:val="15"/>
              </w:rPr>
              <w:t>The FY2025 dividend was ratified 6 May 2026 and paid from 4 June 2026 (EGX disclosure); an earlier revision wrongly removed it on absence-of-evidence grounds</w:t>
            </w:r>
          </w:p>
        </w:tc>
        <w:tc>
          <w:tcPr>
            <w:tcW w:type="dxa" w:w="2664"/>
          </w:tcPr>
          <w:p>
            <w:pPr>
              <w:spacing w:after="20"/>
            </w:pPr>
            <w:r>
              <w:rPr>
                <w:color w:val="1C3A36"/>
                <w:sz w:val="15"/>
              </w:rPr>
              <w:t>The distribution proposed on the FY2026 result</w:t>
            </w:r>
          </w:p>
        </w:tc>
      </w:tr>
      <w:tr>
        <w:tc>
          <w:tcPr>
            <w:tcW w:type="dxa" w:w="1944"/>
          </w:tcPr>
          <w:p>
            <w:pPr>
              <w:spacing w:after="20"/>
            </w:pPr>
            <w:r>
              <w:rPr>
                <w:color w:val="1C3A36"/>
                <w:sz w:val="15"/>
              </w:rPr>
              <w:t>Terminal growth of 5%</w:t>
            </w:r>
          </w:p>
        </w:tc>
        <w:tc>
          <w:tcPr>
            <w:tcW w:type="dxa" w:w="2520"/>
          </w:tcPr>
          <w:p>
            <w:pPr>
              <w:spacing w:after="20"/>
            </w:pPr>
            <w:r>
              <w:rPr>
                <w:color w:val="1C3A36"/>
                <w:sz w:val="15"/>
              </w:rPr>
              <w:t>The standing centre for established names in this market, sensitised 3–7%</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24.5% for NOPAT</w:t>
            </w:r>
          </w:p>
        </w:tc>
        <w:tc>
          <w:tcPr>
            <w:tcW w:type="dxa" w:w="2520"/>
          </w:tcPr>
          <w:p>
            <w:pPr>
              <w:spacing w:after="20"/>
            </w:pPr>
            <w:r>
              <w:rPr>
                <w:color w:val="1C3A36"/>
                <w:sz w:val="15"/>
              </w:rPr>
              <w:t>Above the Egyptian statutory rate, between the FY2025 print and the historical average</w:t>
            </w:r>
          </w:p>
        </w:tc>
        <w:tc>
          <w:tcPr>
            <w:tcW w:type="dxa" w:w="2952"/>
          </w:tcPr>
          <w:p>
            <w:pPr>
              <w:spacing w:after="20"/>
            </w:pPr>
            <w:r>
              <w:rPr>
                <w:color w:val="1C3A36"/>
                <w:sz w:val="15"/>
              </w:rPr>
              <w:t>Audited effective rates ran 31.3% (FY2023), 30.1% (FY2024) and 22.6% (FY2025); no statutory-vs-effective reconciliation is disclosed, and the group pays tax in 15+ jurisdictions plus Free-Zone entities on a revenue basis</w:t>
            </w:r>
          </w:p>
        </w:tc>
        <w:tc>
          <w:tcPr>
            <w:tcW w:type="dxa" w:w="2664"/>
          </w:tcPr>
          <w:p>
            <w:pPr>
              <w:spacing w:after="20"/>
            </w:pPr>
            <w:r>
              <w:rPr>
                <w:color w:val="1C3A36"/>
                <w:sz w:val="15"/>
              </w:rPr>
              <w:t>A sustained repeat of the FY2025 low or the Q1-2026 print (25.75%) in either direction</w:t>
            </w:r>
          </w:p>
        </w:tc>
      </w:tr>
      <w:tr>
        <w:tc>
          <w:tcPr>
            <w:tcW w:type="dxa" w:w="1944"/>
          </w:tcPr>
          <w:p>
            <w:pPr>
              <w:spacing w:after="20"/>
            </w:pPr>
            <w:r>
              <w:rPr>
                <w:color w:val="1C3A36"/>
                <w:sz w:val="15"/>
              </w:rPr>
              <w:t>Segment margins compressed rather than held at their FY2025 level</w:t>
            </w:r>
          </w:p>
        </w:tc>
        <w:tc>
          <w:tcPr>
            <w:tcW w:type="dxa" w:w="2520"/>
          </w:tcPr>
          <w:p>
            <w:pPr>
              <w:spacing w:after="20"/>
            </w:pPr>
            <w:r>
              <w:rPr>
                <w:color w:val="1C3A36"/>
                <w:sz w:val="15"/>
              </w:rPr>
              <w:t>Cables and Constructions margins recover PARTIALLY over the forecast; Electrical products holds closest to its FY2025 level</w:t>
            </w:r>
          </w:p>
        </w:tc>
        <w:tc>
          <w:tcPr>
            <w:tcW w:type="dxa" w:w="2952"/>
          </w:tcPr>
          <w:p>
            <w:pPr>
              <w:spacing w:after="20"/>
            </w:pPr>
            <w:r>
              <w:rPr>
                <w:color w:val="1C3A36"/>
                <w:sz w:val="15"/>
              </w:rPr>
              <w:t>All three disclosed segments compressed in FY2025 versus FY2023; the causes (copper pass-through, competitive pricing) are not disclosed as transitory or structural</w:t>
            </w:r>
          </w:p>
        </w:tc>
        <w:tc>
          <w:tcPr>
            <w:tcW w:type="dxa" w:w="2664"/>
          </w:tcPr>
          <w:p>
            <w:pPr>
              <w:spacing w:after="20"/>
            </w:pPr>
            <w:r>
              <w:rPr>
                <w:color w:val="1C3A36"/>
                <w:sz w:val="15"/>
              </w:rPr>
              <w:t>Two consecutive years of segment margin at or above the FY2023-24 average</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This study was rebuilt once the company's own audited FY2023, FY2024 and FY2025 consolidated financial statements and its Q1-2026 condensed interim statements became available. An earlier version of this study, built before those filings were in hand, had to triangulate and derive several FY2025 figures from press coverage and company commentary; every one of those derivations has now been replaced by the audited figure itself, and the items below record what is still not disclosed anywhere in the four primary filings, rather than what could not be reached.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An order book, backlog or unit-volume (tonnage, MVA, meter-count) disclosure for any segment, in any of the four filings including the Q1-2026 interim</w:t>
            </w:r>
          </w:p>
        </w:tc>
        <w:tc>
          <w:tcPr>
            <w:tcW w:type="dxa" w:w="3384"/>
          </w:tcPr>
          <w:p>
            <w:pPr>
              <w:spacing w:after="20"/>
            </w:pPr>
            <w:r>
              <w:rPr>
                <w:color w:val="1C3A36"/>
                <w:sz w:val="15"/>
              </w:rPr>
              <w:t>Not disclosed. The company reports only segment revenue (Note 5-3) and segment profit (Note 16) — no volumes, prices or backlog</w:t>
            </w:r>
          </w:p>
        </w:tc>
        <w:tc>
          <w:tcPr>
            <w:tcW w:type="dxa" w:w="4464"/>
          </w:tcPr>
          <w:p>
            <w:pPr>
              <w:spacing w:after="20"/>
            </w:pPr>
            <w:r>
              <w:rPr>
                <w:color w:val="1C3A36"/>
                <w:sz w:val="15"/>
              </w:rPr>
              <w:t>The forecast is built as a taper on each segment's own recent revenue CAGR and, for Cables, a copper-price and FX-translation driver, rather than a reconstructed unit model</w:t>
            </w:r>
          </w:p>
        </w:tc>
      </w:tr>
      <w:tr>
        <w:tc>
          <w:tcPr>
            <w:tcW w:type="dxa" w:w="2232"/>
          </w:tcPr>
          <w:p>
            <w:pPr>
              <w:spacing w:after="20"/>
            </w:pPr>
            <w:r>
              <w:rPr>
                <w:color w:val="1C3A36"/>
                <w:sz w:val="15"/>
              </w:rPr>
              <w:t>A facility-by-facility or currency-by-currency breakdown of the debt book finer than the two-way EGP / hard-currency split disclosed in the FY2025 and Q1-2026 borrowings notes</w:t>
            </w:r>
          </w:p>
        </w:tc>
        <w:tc>
          <w:tcPr>
            <w:tcW w:type="dxa" w:w="3384"/>
          </w:tcPr>
          <w:p>
            <w:pPr>
              <w:spacing w:after="20"/>
            </w:pPr>
            <w:r>
              <w:rPr>
                <w:color w:val="1C3A36"/>
                <w:sz w:val="15"/>
              </w:rPr>
              <w:t>Not disclosed at finer granularity; the FY2024 filing's own three-way EGP/USD/EUR split was itself replaced by the simpler two-way format in FY2025</w:t>
            </w:r>
          </w:p>
        </w:tc>
        <w:tc>
          <w:tcPr>
            <w:tcW w:type="dxa" w:w="4464"/>
          </w:tcPr>
          <w:p>
            <w:pPr>
              <w:spacing w:after="20"/>
            </w:pPr>
            <w:r>
              <w:rPr>
                <w:color w:val="1C3A36"/>
                <w:sz w:val="15"/>
              </w:rPr>
              <w:t>The Egyptian-pound share of the book is back-solved from the independently computed effective interest rate against the two disclosed currency-bucket rates, and is labelled as inferred</w:t>
            </w:r>
          </w:p>
        </w:tc>
      </w:tr>
      <w:tr>
        <w:tc>
          <w:tcPr>
            <w:tcW w:type="dxa" w:w="2232"/>
          </w:tcPr>
          <w:p>
            <w:pPr>
              <w:spacing w:after="20"/>
            </w:pPr>
            <w:r>
              <w:rPr>
                <w:color w:val="1C3A36"/>
                <w:sz w:val="15"/>
              </w:rPr>
              <w:t>A declared, proposed or approved FY2025 dividend — RESOLVED, and the earlier handling corrected</w:t>
            </w:r>
          </w:p>
        </w:tc>
        <w:tc>
          <w:tcPr>
            <w:tcW w:type="dxa" w:w="3384"/>
          </w:tcPr>
          <w:p>
            <w:pPr>
              <w:spacing w:after="20"/>
            </w:pPr>
            <w:r>
              <w:rPr>
                <w:color w:val="1C3A36"/>
                <w:sz w:val="15"/>
              </w:rPr>
              <w:t>Not disclosed in the FY2025 annual filing or the Q1-2026 interim — but the interim covers a period ending 31 March and carries no subsequent-events note, so its silence was never evidence. The dividend exists: EGP 1.85/share, ratified by the general assembly 6 May 2026, rights through 1 June, paid from 4 June 2026 (EGX disclosure, corroborated by financial-press coverage and the quoted trailing yield)</w:t>
            </w:r>
          </w:p>
        </w:tc>
        <w:tc>
          <w:tcPr>
            <w:tcW w:type="dxa" w:w="4464"/>
          </w:tcPr>
          <w:p>
            <w:pPr>
              <w:spacing w:after="20"/>
            </w:pPr>
            <w:r>
              <w:rPr>
                <w:color w:val="1C3A36"/>
                <w:sz w:val="15"/>
              </w:rPr>
              <w:t>An earlier revision removed the dividend on absence-of-evidence grounds — an error, flagged by external review and corrected: the model now carries EGP 1.85 and a 25% forecast payout. Recorded here because reasoning from the silence of a document that could not have contained the fact is exactly the failure mode this register exists to catch</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5 August 2026 and no narrative is attached to the move</w:t>
            </w:r>
          </w:p>
        </w:tc>
      </w:tr>
    </w:tbl>
    <w:p>
      <w:pPr>
        <w:spacing w:after="40"/>
      </w:pPr>
    </w:p>
    <w:p>
      <w:pPr>
        <w:spacing w:after="80" w:before="240"/>
      </w:pPr>
      <w:r>
        <w:rPr>
          <w:b/>
          <w:i w:val="0"/>
          <w:color w:val="1C3A36"/>
          <w:sz w:val="26"/>
        </w:rPr>
        <w:t>A note on aggregator and press data</w:t>
      </w:r>
    </w:p>
    <w:p>
      <w:pPr>
        <w:spacing w:after="100" w:before="0"/>
      </w:pPr>
      <w:r>
        <w:rPr>
          <w:b w:val="0"/>
          <w:i w:val="0"/>
          <w:color w:val="1C3A36"/>
          <w:sz w:val="20"/>
        </w:rPr>
        <w:t>An earlier version of this study relied on press coverage and company commentary for FY2025, because the audited filings were not reachable from the research environment at the time. One material discrepancy was found in that process and is recorded here for the audit trail: a widely syndicated "FY2025" balance sheet — total assets, total equity, total debt and cash — reproduced the company's audited 31 December 2024 figures exactly, one year stale, and was discarded. All balance-sheet, income-statement and segment figures in the current study are taken directly from the audited FY2023-25 consolidated statements and the Q1-2026 condensed interim statements; no aggregator or press figure remains in the model.</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