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0" w:before="0"/>
      </w:pPr>
      <w:r>
        <w:rPr>
          <w:b/>
          <w:i w:val="0"/>
          <w:color w:val="1C3A36"/>
          <w:sz w:val="48"/>
        </w:rPr>
        <w:t>Modon Holding PSC</w:t>
      </w:r>
    </w:p>
    <w:p>
      <w:pPr>
        <w:spacing w:after="40" w:before="0"/>
      </w:pPr>
      <w:r>
        <w:rPr>
          <w:b w:val="0"/>
          <w:i w:val="0"/>
          <w:color w:val="6E7B77"/>
          <w:sz w:val="22"/>
        </w:rPr>
        <w:t>ADX: MODON · Abu Dhabi Securities Exchange · United Arab Emirates dirham (AED)</w:t>
      </w:r>
    </w:p>
    <w:p>
      <w:pPr>
        <w:spacing w:after="200" w:before="0"/>
      </w:pPr>
      <w:r>
        <w:rPr>
          <w:b w:val="0"/>
          <w:i w:val="0"/>
          <w:color w:val="6E7B77"/>
          <w:sz w:val="20"/>
        </w:rPr>
        <w:t>Independent valuation study · revision 3 · 10 August 2026 · valuation date 30 June 2026 · price anchor AED 2.83 (close 7 August 2026)</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FIRST. </w:t>
            </w:r>
            <w:r>
              <w:rPr>
                <w:color w:val="1C3A36"/>
                <w:sz w:val="19"/>
              </w:rPr>
              <w:t>This study is an independent, educational analysis of Modon Holding PSC. It is not investment advice, not a recommendation, and it contains no price target. Every value is a model output presented as a range with its assumptions shown.</w:t>
            </w:r>
          </w:p>
          <w:p>
            <w:pPr>
              <w:spacing w:after="100"/>
            </w:pPr>
            <w:r>
              <w:rPr>
                <w:b/>
                <w:color w:val="1C3A36"/>
                <w:sz w:val="19"/>
              </w:rPr>
              <w:t xml:space="preserve">Revision 3. </w:t>
            </w:r>
            <w:r>
              <w:rPr>
                <w:color w:val="1C3A36"/>
                <w:sz w:val="19"/>
              </w:rPr>
              <w:t>One input changed and it changed the answer. Revisions 1 and 2 could not obtain the exchange's official index and measured the stock's market sensitivity against a composite built from this study's own price library, flagged in both editions as a stand-in. The official FTSE ADX General series has since been obtained and the regression re-run against it. Beta rises from 1.03 to 1.28 (like for like on the same five-year window the stand-in read 1.12), the cost of equity from 9.08% to 10.28%, and the weighted central falls from AED 3.38 to AED 2.98 — against a price of AED 2.83, the margin narrows from about 19% to about 5%. Nothing else in the forecast moved. The stand-in flattered the company, and the correction is reported here rather than absorbed quietly.</w:t>
            </w:r>
          </w:p>
          <w:p>
            <w:pPr>
              <w:spacing w:after="100"/>
            </w:pPr>
            <w:r>
              <w:rPr>
                <w:b/>
                <w:color w:val="1C3A36"/>
                <w:sz w:val="19"/>
              </w:rPr>
              <w:t xml:space="preserve">Revision 2. </w:t>
            </w:r>
            <w:r>
              <w:rPr>
                <w:color w:val="1C3A36"/>
                <w:sz w:val="19"/>
              </w:rPr>
              <w:t>The first edition (earlier the same day) struck its development drivers on 31-December-2025 disclosures although the company's H1-2026 results release of 29 July 2026 — which this study cites for other figures — had superseded them: the revenue backlog had reached AED 65.4 billion (95% development) and H1 sales AED 26 billion. External audits caught that failure and several others. This edition restrikes the valuation on the 30-June-2026 reviewed balance sheet, rebuilds working capital from components, charges depreciation on the asset base, derives the terminal capital structure from the model's own forecast, bridges on available rather than gross cash, replaces the assumed beta with a regression, and rebuilds the peer table on one attributable basis from the peers' own filings. Each change is marked where it appears.</w:t>
            </w:r>
          </w:p>
          <w:p>
            <w:pPr>
              <w:spacing w:after="100"/>
            </w:pPr>
            <w:r>
              <w:rPr>
                <w:b/>
                <w:color w:val="1C3A36"/>
                <w:sz w:val="19"/>
              </w:rPr>
              <w:t xml:space="preserve">Sources. </w:t>
            </w:r>
            <w:r>
              <w:rPr>
                <w:color w:val="1C3A36"/>
                <w:sz w:val="19"/>
              </w:rPr>
              <w:t>Every historical figure comes from the company's own audited statements, reviewed interims and results announcements. Peer figures are cross-checks, labelled. The companion bibliography lists every input with value, source and date.</w:t>
            </w:r>
          </w:p>
          <w:p>
            <w:pPr>
              <w:spacing w:after="100"/>
            </w:pPr>
            <w:r>
              <w:rPr>
                <w:b/>
                <w:color w:val="1C3A36"/>
                <w:sz w:val="19"/>
              </w:rPr>
              <w:t xml:space="preserve">The one judgement that matters most. </w:t>
            </w:r>
            <w:r>
              <w:rPr>
                <w:color w:val="1C3A36"/>
                <w:sz w:val="19"/>
              </w:rPr>
              <w:t>Whether the realised 2025–26 development surge normalises-but-sustains (base) or collapses to run-off (now a stress case — the H1 disclosure falsified it as a live central path) moves this valuation more than any other input. Both readings are computed in full and shown side by side, never averaged.</w:t>
            </w:r>
          </w:p>
        </w:tc>
      </w:tr>
    </w:tbl>
    <w:p>
      <w:pPr>
        <w:spacing w:after="40"/>
      </w:pPr>
    </w:p>
    <w:p>
      <w:pPr>
        <w:spacing w:after="120" w:before="280"/>
      </w:pPr>
      <w:r>
        <w:rPr>
          <w:b/>
          <w:i w:val="0"/>
          <w:color w:val="1C3A36"/>
          <w:sz w:val="30"/>
        </w:rPr>
        <w:t>Headline</w:t>
      </w:r>
    </w:p>
    <w:p>
      <w:pPr>
        <w:spacing w:after="160" w:before="0"/>
      </w:pPr>
      <w:r>
        <w:rPr>
          <w:b/>
          <w:i w:val="0"/>
          <w:color w:val="1C3A36"/>
          <w:sz w:val="24"/>
        </w:rPr>
        <w:t xml:space="preserve">Fair value AED 1.03–5.34 per share (the envelope of the four lenses' extremes, not a distribution), weighted central AED 2.98, against a market price of AED 2.83 (+5%). </w:t>
      </w:r>
    </w:p>
    <w:p>
      <w:pPr>
        <w:spacing w:after="120" w:before="0"/>
      </w:pPr>
      <w:r>
        <w:rPr>
          <w:b w:val="0"/>
          <w:i w:val="0"/>
          <w:color w:val="1C3A36"/>
          <w:sz w:val="21"/>
        </w:rPr>
        <w:t>Modon Holding is Abu Dhabi's government-owned city-builder: real-estate development (Hudayriyat Island, Reem Island, Ras El Hekma in Egypt), the ADNEC events platform, a hospitality portfolio and an asset-management leg. The first half of 2026 was the strongest in its history: revenue AED 9.2bn (+40%), profit AED 2.2bn, real-estate sales AED 26.0bn in six months (a single Hudayriyat launch took AED 13bn within days), and a revenue backlog of AED 65.4bn — double a year earlier, 95% of it contracted development.</w:t>
      </w:r>
    </w:p>
    <w:p>
      <w:pPr>
        <w:spacing w:after="120" w:before="0"/>
      </w:pPr>
      <w:r>
        <w:rPr>
          <w:b w:val="0"/>
          <w:i w:val="0"/>
          <w:color w:val="1C3A36"/>
          <w:sz w:val="21"/>
        </w:rPr>
        <w:t>The cash-flow reading of that backlog is worth AED 4.51 per share on the base path, and AED 3.28 even if launches halve and fade (the run-off stress). The market lenses sit lower: the peer multiple implies about AED 2.20, normalised mid-cycle earnings about AED 1.46, and book value at a justified multiple about AED 2.24. The market prices Modon at 11.5x trailing attributable earnings against 8.1x for Aldar on the same basis. Section 4 prices the gap; section 1.7 shows both sales paths in full.</w:t>
      </w:r>
    </w:p>
    <w:p>
      <w:pPr>
        <w:spacing w:after="120" w:before="0"/>
      </w:pPr>
      <w:r>
        <w:rPr>
          <w:b w:val="0"/>
          <w:i w:val="0"/>
          <w:color w:val="1C3A36"/>
          <w:sz w:val="21"/>
        </w:rPr>
        <w:t>Over the next three months the price map is symmetric and modest: central band AED 2.64–3.09, 5th–95th percentiles AED 2.32–3.52. A fundamental verdict of this size, if right, plays out over years, not a quarter.</w:t>
      </w:r>
    </w:p>
    <w:p>
      <w:pPr>
        <w:spacing w:after="120" w:before="280"/>
      </w:pPr>
      <w:r>
        <w:rPr>
          <w:b/>
          <w:i w:val="0"/>
          <w:color w:val="1C3A36"/>
          <w:sz w:val="30"/>
        </w:rPr>
        <w:t>Valuation summary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181"/>
        <w:gridCol w:w="1181"/>
        <w:gridCol w:w="1181"/>
        <w:gridCol w:w="1123"/>
        <w:gridCol w:w="1224"/>
      </w:tblGrid>
      <w:tr>
        <w:tc>
          <w:tcPr>
            <w:tcW w:type="dxa" w:w="3672"/>
            <w:shd w:val="clear" w:color="auto" w:fill="EAF0EE"/>
          </w:tcPr>
          <w:p>
            <w:pPr>
              <w:spacing w:after="20"/>
            </w:pPr>
            <w:r>
              <w:rPr>
                <w:b/>
                <w:color w:val="1C3A36"/>
                <w:sz w:val="18"/>
              </w:rPr>
              <w:t>Lens</w:t>
            </w:r>
          </w:p>
        </w:tc>
        <w:tc>
          <w:tcPr>
            <w:tcW w:type="dxa" w:w="1181"/>
            <w:shd w:val="clear" w:color="auto" w:fill="EAF0EE"/>
          </w:tcPr>
          <w:p>
            <w:pPr>
              <w:spacing w:after="20"/>
            </w:pPr>
            <w:r>
              <w:rPr>
                <w:b/>
                <w:color w:val="1C3A36"/>
                <w:sz w:val="18"/>
              </w:rPr>
              <w:t>Bear</w:t>
            </w:r>
          </w:p>
        </w:tc>
        <w:tc>
          <w:tcPr>
            <w:tcW w:type="dxa" w:w="1181"/>
            <w:shd w:val="clear" w:color="auto" w:fill="EAF0EE"/>
          </w:tcPr>
          <w:p>
            <w:pPr>
              <w:spacing w:after="20"/>
            </w:pPr>
            <w:r>
              <w:rPr>
                <w:b/>
                <w:color w:val="1C3A36"/>
                <w:sz w:val="18"/>
              </w:rPr>
              <w:t>Base</w:t>
            </w:r>
          </w:p>
        </w:tc>
        <w:tc>
          <w:tcPr>
            <w:tcW w:type="dxa" w:w="1181"/>
            <w:shd w:val="clear" w:color="auto" w:fill="EAF0EE"/>
          </w:tcPr>
          <w:p>
            <w:pPr>
              <w:spacing w:after="20"/>
            </w:pPr>
            <w:r>
              <w:rPr>
                <w:b/>
                <w:color w:val="1C3A36"/>
                <w:sz w:val="18"/>
              </w:rPr>
              <w:t>Bull</w:t>
            </w:r>
          </w:p>
        </w:tc>
        <w:tc>
          <w:tcPr>
            <w:tcW w:type="dxa" w:w="1123"/>
            <w:shd w:val="clear" w:color="auto" w:fill="EAF0EE"/>
          </w:tcPr>
          <w:p>
            <w:pPr>
              <w:spacing w:after="20"/>
            </w:pPr>
            <w:r>
              <w:rPr>
                <w:b/>
                <w:color w:val="1C3A36"/>
                <w:sz w:val="18"/>
              </w:rPr>
              <w:t>Weight</w:t>
            </w:r>
          </w:p>
        </w:tc>
        <w:tc>
          <w:tcPr>
            <w:tcW w:type="dxa" w:w="1224"/>
            <w:shd w:val="clear" w:color="auto" w:fill="EAF0EE"/>
          </w:tcPr>
          <w:p>
            <w:pPr>
              <w:spacing w:after="20"/>
            </w:pPr>
            <w:r>
              <w:rPr>
                <w:b/>
                <w:color w:val="1C3A36"/>
                <w:sz w:val="18"/>
              </w:rPr>
              <w:t>vs price</w:t>
            </w:r>
          </w:p>
        </w:tc>
      </w:tr>
      <w:tr>
        <w:tc>
          <w:tcPr>
            <w:tcW w:type="dxa" w:w="3672"/>
          </w:tcPr>
          <w:p>
            <w:pPr>
              <w:spacing w:after="20"/>
            </w:pPr>
            <w:r>
              <w:rPr>
                <w:color w:val="1C3A36"/>
                <w:sz w:val="18"/>
              </w:rPr>
              <w:t>Discounted cash flow (primary)</w:t>
            </w:r>
          </w:p>
        </w:tc>
        <w:tc>
          <w:tcPr>
            <w:tcW w:type="dxa" w:w="1181"/>
          </w:tcPr>
          <w:p>
            <w:pPr>
              <w:spacing w:after="20"/>
              <w:jc w:val="right"/>
            </w:pPr>
            <w:r>
              <w:rPr>
                <w:color w:val="1C3A36"/>
                <w:sz w:val="18"/>
              </w:rPr>
              <w:t>3.28</w:t>
            </w:r>
          </w:p>
        </w:tc>
        <w:tc>
          <w:tcPr>
            <w:tcW w:type="dxa" w:w="1181"/>
          </w:tcPr>
          <w:p>
            <w:pPr>
              <w:spacing w:after="20"/>
              <w:jc w:val="right"/>
            </w:pPr>
            <w:r>
              <w:rPr>
                <w:color w:val="1C3A36"/>
                <w:sz w:val="18"/>
              </w:rPr>
              <w:t>4.51</w:t>
            </w:r>
          </w:p>
        </w:tc>
        <w:tc>
          <w:tcPr>
            <w:tcW w:type="dxa" w:w="1181"/>
          </w:tcPr>
          <w:p>
            <w:pPr>
              <w:spacing w:after="20"/>
              <w:jc w:val="right"/>
            </w:pPr>
            <w:r>
              <w:rPr>
                <w:color w:val="1C3A36"/>
                <w:sz w:val="18"/>
              </w:rPr>
              <w:t>5.34</w:t>
            </w:r>
          </w:p>
        </w:tc>
        <w:tc>
          <w:tcPr>
            <w:tcW w:type="dxa" w:w="1123"/>
          </w:tcPr>
          <w:p>
            <w:pPr>
              <w:spacing w:after="20"/>
              <w:jc w:val="right"/>
            </w:pPr>
            <w:r>
              <w:rPr>
                <w:color w:val="1C3A36"/>
                <w:sz w:val="18"/>
              </w:rPr>
              <w:t>40%</w:t>
            </w:r>
          </w:p>
        </w:tc>
        <w:tc>
          <w:tcPr>
            <w:tcW w:type="dxa" w:w="1224"/>
          </w:tcPr>
          <w:p>
            <w:pPr>
              <w:spacing w:after="20"/>
              <w:jc w:val="right"/>
            </w:pPr>
            <w:r>
              <w:rPr>
                <w:color w:val="1C3A36"/>
                <w:sz w:val="18"/>
              </w:rPr>
              <w:t>+60%</w:t>
            </w:r>
          </w:p>
        </w:tc>
      </w:tr>
      <w:tr>
        <w:tc>
          <w:tcPr>
            <w:tcW w:type="dxa" w:w="3672"/>
          </w:tcPr>
          <w:p>
            <w:pPr>
              <w:spacing w:after="20"/>
            </w:pPr>
            <w:r>
              <w:rPr>
                <w:color w:val="1C3A36"/>
                <w:sz w:val="18"/>
              </w:rPr>
              <w:t>Relative multiples</w:t>
            </w:r>
          </w:p>
        </w:tc>
        <w:tc>
          <w:tcPr>
            <w:tcW w:type="dxa" w:w="1181"/>
          </w:tcPr>
          <w:p>
            <w:pPr>
              <w:spacing w:after="20"/>
              <w:jc w:val="right"/>
            </w:pPr>
            <w:r>
              <w:rPr>
                <w:color w:val="1C3A36"/>
                <w:sz w:val="18"/>
              </w:rPr>
              <w:t>1.38</w:t>
            </w:r>
          </w:p>
        </w:tc>
        <w:tc>
          <w:tcPr>
            <w:tcW w:type="dxa" w:w="1181"/>
          </w:tcPr>
          <w:p>
            <w:pPr>
              <w:spacing w:after="20"/>
              <w:jc w:val="right"/>
            </w:pPr>
            <w:r>
              <w:rPr>
                <w:color w:val="1C3A36"/>
                <w:sz w:val="18"/>
              </w:rPr>
              <w:t>2.20</w:t>
            </w:r>
          </w:p>
        </w:tc>
        <w:tc>
          <w:tcPr>
            <w:tcW w:type="dxa" w:w="1181"/>
          </w:tcPr>
          <w:p>
            <w:pPr>
              <w:spacing w:after="20"/>
              <w:jc w:val="right"/>
            </w:pPr>
            <w:r>
              <w:rPr>
                <w:color w:val="1C3A36"/>
                <w:sz w:val="18"/>
              </w:rPr>
              <w:t>2.37</w:t>
            </w:r>
          </w:p>
        </w:tc>
        <w:tc>
          <w:tcPr>
            <w:tcW w:type="dxa" w:w="1123"/>
          </w:tcPr>
          <w:p>
            <w:pPr>
              <w:spacing w:after="20"/>
              <w:jc w:val="right"/>
            </w:pPr>
            <w:r>
              <w:rPr>
                <w:color w:val="1C3A36"/>
                <w:sz w:val="18"/>
              </w:rPr>
              <w:t>20%</w:t>
            </w:r>
          </w:p>
        </w:tc>
        <w:tc>
          <w:tcPr>
            <w:tcW w:type="dxa" w:w="1224"/>
          </w:tcPr>
          <w:p>
            <w:pPr>
              <w:spacing w:after="20"/>
              <w:jc w:val="right"/>
            </w:pPr>
            <w:r>
              <w:rPr>
                <w:color w:val="1C3A36"/>
                <w:sz w:val="18"/>
              </w:rPr>
              <w:t>-22%</w:t>
            </w:r>
          </w:p>
        </w:tc>
      </w:tr>
      <w:tr>
        <w:tc>
          <w:tcPr>
            <w:tcW w:type="dxa" w:w="3672"/>
          </w:tcPr>
          <w:p>
            <w:pPr>
              <w:spacing w:after="20"/>
            </w:pPr>
            <w:r>
              <w:rPr>
                <w:color w:val="1C3A36"/>
                <w:sz w:val="18"/>
              </w:rPr>
              <w:t>Normalised earnings power</w:t>
            </w:r>
          </w:p>
        </w:tc>
        <w:tc>
          <w:tcPr>
            <w:tcW w:type="dxa" w:w="1181"/>
          </w:tcPr>
          <w:p>
            <w:pPr>
              <w:spacing w:after="20"/>
              <w:jc w:val="right"/>
            </w:pPr>
            <w:r>
              <w:rPr>
                <w:color w:val="1C3A36"/>
                <w:sz w:val="18"/>
              </w:rPr>
              <w:t>1.03</w:t>
            </w:r>
          </w:p>
        </w:tc>
        <w:tc>
          <w:tcPr>
            <w:tcW w:type="dxa" w:w="1181"/>
          </w:tcPr>
          <w:p>
            <w:pPr>
              <w:spacing w:after="20"/>
              <w:jc w:val="right"/>
            </w:pPr>
            <w:r>
              <w:rPr>
                <w:color w:val="1C3A36"/>
                <w:sz w:val="18"/>
              </w:rPr>
              <w:t>1.46</w:t>
            </w:r>
          </w:p>
        </w:tc>
        <w:tc>
          <w:tcPr>
            <w:tcW w:type="dxa" w:w="1181"/>
          </w:tcPr>
          <w:p>
            <w:pPr>
              <w:spacing w:after="20"/>
              <w:jc w:val="right"/>
            </w:pPr>
            <w:r>
              <w:rPr>
                <w:color w:val="1C3A36"/>
                <w:sz w:val="18"/>
              </w:rPr>
              <w:t>1.80</w:t>
            </w:r>
          </w:p>
        </w:tc>
        <w:tc>
          <w:tcPr>
            <w:tcW w:type="dxa" w:w="1123"/>
          </w:tcPr>
          <w:p>
            <w:pPr>
              <w:spacing w:after="20"/>
              <w:jc w:val="right"/>
            </w:pPr>
            <w:r>
              <w:rPr>
                <w:color w:val="1C3A36"/>
                <w:sz w:val="18"/>
              </w:rPr>
              <w:t>20%</w:t>
            </w:r>
          </w:p>
        </w:tc>
        <w:tc>
          <w:tcPr>
            <w:tcW w:type="dxa" w:w="1224"/>
          </w:tcPr>
          <w:p>
            <w:pPr>
              <w:spacing w:after="20"/>
              <w:jc w:val="right"/>
            </w:pPr>
            <w:r>
              <w:rPr>
                <w:color w:val="1C3A36"/>
                <w:sz w:val="18"/>
              </w:rPr>
              <w:t>-48%</w:t>
            </w:r>
          </w:p>
        </w:tc>
      </w:tr>
      <w:tr>
        <w:tc>
          <w:tcPr>
            <w:tcW w:type="dxa" w:w="3672"/>
          </w:tcPr>
          <w:p>
            <w:pPr>
              <w:spacing w:after="20"/>
            </w:pPr>
            <w:r>
              <w:rPr>
                <w:color w:val="1C3A36"/>
                <w:sz w:val="18"/>
              </w:rPr>
              <w:t>Book value &amp; sustainable return</w:t>
            </w:r>
          </w:p>
        </w:tc>
        <w:tc>
          <w:tcPr>
            <w:tcW w:type="dxa" w:w="1181"/>
          </w:tcPr>
          <w:p>
            <w:pPr>
              <w:spacing w:after="20"/>
              <w:jc w:val="right"/>
            </w:pPr>
            <w:r>
              <w:rPr>
                <w:color w:val="1C3A36"/>
                <w:sz w:val="18"/>
              </w:rPr>
              <w:t>1.34</w:t>
            </w:r>
          </w:p>
        </w:tc>
        <w:tc>
          <w:tcPr>
            <w:tcW w:type="dxa" w:w="1181"/>
          </w:tcPr>
          <w:p>
            <w:pPr>
              <w:spacing w:after="20"/>
              <w:jc w:val="right"/>
            </w:pPr>
            <w:r>
              <w:rPr>
                <w:color w:val="1C3A36"/>
                <w:sz w:val="18"/>
              </w:rPr>
              <w:t>2.24</w:t>
            </w:r>
          </w:p>
        </w:tc>
        <w:tc>
          <w:tcPr>
            <w:tcW w:type="dxa" w:w="1181"/>
          </w:tcPr>
          <w:p>
            <w:pPr>
              <w:spacing w:after="20"/>
              <w:jc w:val="right"/>
            </w:pPr>
            <w:r>
              <w:rPr>
                <w:color w:val="1C3A36"/>
                <w:sz w:val="18"/>
              </w:rPr>
              <w:t>3.13</w:t>
            </w:r>
          </w:p>
        </w:tc>
        <w:tc>
          <w:tcPr>
            <w:tcW w:type="dxa" w:w="1123"/>
          </w:tcPr>
          <w:p>
            <w:pPr>
              <w:spacing w:after="20"/>
              <w:jc w:val="right"/>
            </w:pPr>
            <w:r>
              <w:rPr>
                <w:color w:val="1C3A36"/>
                <w:sz w:val="18"/>
              </w:rPr>
              <w:t>20%</w:t>
            </w:r>
          </w:p>
        </w:tc>
        <w:tc>
          <w:tcPr>
            <w:tcW w:type="dxa" w:w="1224"/>
          </w:tcPr>
          <w:p>
            <w:pPr>
              <w:spacing w:after="20"/>
              <w:jc w:val="right"/>
            </w:pPr>
            <w:r>
              <w:rPr>
                <w:color w:val="1C3A36"/>
                <w:sz w:val="18"/>
              </w:rPr>
              <w:t>-21%</w:t>
            </w:r>
          </w:p>
        </w:tc>
      </w:tr>
      <w:tr>
        <w:tc>
          <w:tcPr>
            <w:tcW w:type="dxa" w:w="3672"/>
            <w:shd w:val="clear" w:color="auto" w:fill="F6F1E6"/>
          </w:tcPr>
          <w:p>
            <w:pPr>
              <w:spacing w:after="20"/>
            </w:pPr>
            <w:r>
              <w:rPr>
                <w:b/>
                <w:color w:val="1C3A36"/>
                <w:sz w:val="18"/>
              </w:rPr>
              <w:t>Weighted central</w:t>
            </w:r>
          </w:p>
        </w:tc>
        <w:tc>
          <w:tcPr>
            <w:tcW w:type="dxa" w:w="1181"/>
            <w:shd w:val="clear" w:color="auto" w:fill="F6F1E6"/>
          </w:tcPr>
          <w:p>
            <w:pPr>
              <w:spacing w:after="20"/>
              <w:jc w:val="right"/>
            </w:pPr>
            <w:r>
              <w:rPr>
                <w:b/>
                <w:color w:val="1C3A36"/>
                <w:sz w:val="18"/>
              </w:rPr>
              <w:t>1.03</w:t>
            </w:r>
          </w:p>
        </w:tc>
        <w:tc>
          <w:tcPr>
            <w:tcW w:type="dxa" w:w="1181"/>
            <w:shd w:val="clear" w:color="auto" w:fill="F6F1E6"/>
          </w:tcPr>
          <w:p>
            <w:pPr>
              <w:spacing w:after="20"/>
              <w:jc w:val="right"/>
            </w:pPr>
            <w:r>
              <w:rPr>
                <w:b/>
                <w:color w:val="1C3A36"/>
                <w:sz w:val="18"/>
              </w:rPr>
              <w:t>2.98</w:t>
            </w:r>
          </w:p>
        </w:tc>
        <w:tc>
          <w:tcPr>
            <w:tcW w:type="dxa" w:w="1181"/>
            <w:shd w:val="clear" w:color="auto" w:fill="F6F1E6"/>
          </w:tcPr>
          <w:p>
            <w:pPr>
              <w:spacing w:after="20"/>
              <w:jc w:val="right"/>
            </w:pPr>
            <w:r>
              <w:rPr>
                <w:b/>
                <w:color w:val="1C3A36"/>
                <w:sz w:val="18"/>
              </w:rPr>
              <w:t>5.34</w:t>
            </w:r>
          </w:p>
        </w:tc>
        <w:tc>
          <w:tcPr>
            <w:tcW w:type="dxa" w:w="1123"/>
            <w:shd w:val="clear" w:color="auto" w:fill="F6F1E6"/>
          </w:tcPr>
          <w:p>
            <w:pPr>
              <w:spacing w:after="20"/>
              <w:jc w:val="right"/>
            </w:pPr>
            <w:r>
              <w:rPr>
                <w:b/>
                <w:color w:val="1C3A36"/>
                <w:sz w:val="18"/>
              </w:rPr>
              <w:t>100%</w:t>
            </w:r>
          </w:p>
        </w:tc>
        <w:tc>
          <w:tcPr>
            <w:tcW w:type="dxa" w:w="1224"/>
            <w:shd w:val="clear" w:color="auto" w:fill="F6F1E6"/>
          </w:tcPr>
          <w:p>
            <w:pPr>
              <w:spacing w:after="20"/>
              <w:jc w:val="right"/>
            </w:pPr>
            <w:r>
              <w:rPr>
                <w:b/>
                <w:color w:val="1C3A36"/>
                <w:sz w:val="18"/>
              </w:rPr>
              <w:t>+5%</w:t>
            </w:r>
          </w:p>
        </w:tc>
      </w:tr>
      <w:tr>
        <w:tc>
          <w:tcPr>
            <w:tcW w:type="dxa" w:w="3672"/>
          </w:tcPr>
          <w:p>
            <w:pPr>
              <w:spacing w:after="20"/>
            </w:pPr>
            <w:r>
              <w:rPr>
                <w:color w:val="1C3A36"/>
                <w:sz w:val="18"/>
              </w:rPr>
              <w:t>DCF terminal value share of enterprise value: 74.2%</w:t>
            </w:r>
          </w:p>
        </w:tc>
        <w:tc>
          <w:tcPr>
            <w:tcW w:type="dxa" w:w="1181"/>
          </w:tcPr>
          <w:p>
            <w:pPr>
              <w:spacing w:after="20"/>
              <w:jc w:val="right"/>
            </w:pPr>
            <w:r>
              <w:rPr>
                <w:color w:val="1C3A36"/>
                <w:sz w:val="18"/>
              </w:rPr>
            </w:r>
          </w:p>
        </w:tc>
        <w:tc>
          <w:tcPr>
            <w:tcW w:type="dxa" w:w="1181"/>
          </w:tcPr>
          <w:p>
            <w:pPr>
              <w:spacing w:after="20"/>
              <w:jc w:val="right"/>
            </w:pPr>
            <w:r>
              <w:rPr>
                <w:color w:val="1C3A36"/>
                <w:sz w:val="18"/>
              </w:rPr>
            </w:r>
          </w:p>
        </w:tc>
        <w:tc>
          <w:tcPr>
            <w:tcW w:type="dxa" w:w="1181"/>
          </w:tcPr>
          <w:p>
            <w:pPr>
              <w:spacing w:after="20"/>
              <w:jc w:val="right"/>
            </w:pPr>
            <w:r>
              <w:rPr>
                <w:color w:val="1C3A36"/>
                <w:sz w:val="18"/>
              </w:rPr>
            </w:r>
          </w:p>
        </w:tc>
        <w:tc>
          <w:tcPr>
            <w:tcW w:type="dxa" w:w="1123"/>
          </w:tcPr>
          <w:p>
            <w:pPr>
              <w:spacing w:after="20"/>
              <w:jc w:val="right"/>
            </w:pPr>
            <w:r>
              <w:rPr>
                <w:color w:val="1C3A36"/>
                <w:sz w:val="18"/>
              </w:rPr>
            </w:r>
          </w:p>
        </w:tc>
        <w:tc>
          <w:tcPr>
            <w:tcW w:type="dxa" w:w="1224"/>
          </w:tcPr>
          <w:p>
            <w:pPr>
              <w:spacing w:after="20"/>
              <w:jc w:val="right"/>
            </w:pPr>
            <w:r>
              <w:rPr>
                <w:color w:val="1C3A36"/>
                <w:sz w:val="18"/>
              </w:rPr>
            </w:r>
          </w:p>
        </w:tc>
      </w:tr>
      <w:tr>
        <w:tc>
          <w:tcPr>
            <w:tcW w:type="dxa" w:w="3672"/>
          </w:tcPr>
          <w:p>
            <w:pPr>
              <w:spacing w:after="20"/>
            </w:pPr>
            <w:r>
              <w:rPr>
                <w:color w:val="1C3A36"/>
                <w:sz w:val="18"/>
              </w:rPr>
              <w:t>Market price (7 Aug 2026)</w:t>
            </w:r>
          </w:p>
        </w:tc>
        <w:tc>
          <w:tcPr>
            <w:tcW w:type="dxa" w:w="1181"/>
          </w:tcPr>
          <w:p>
            <w:pPr>
              <w:spacing w:after="20"/>
              <w:jc w:val="right"/>
            </w:pPr>
            <w:r>
              <w:rPr>
                <w:color w:val="1C3A36"/>
                <w:sz w:val="18"/>
              </w:rPr>
            </w:r>
          </w:p>
        </w:tc>
        <w:tc>
          <w:tcPr>
            <w:tcW w:type="dxa" w:w="1181"/>
          </w:tcPr>
          <w:p>
            <w:pPr>
              <w:spacing w:after="20"/>
              <w:jc w:val="right"/>
            </w:pPr>
            <w:r>
              <w:rPr>
                <w:color w:val="1C3A36"/>
                <w:sz w:val="18"/>
              </w:rPr>
              <w:t>2.83</w:t>
            </w:r>
          </w:p>
        </w:tc>
        <w:tc>
          <w:tcPr>
            <w:tcW w:type="dxa" w:w="1181"/>
          </w:tcPr>
          <w:p>
            <w:pPr>
              <w:spacing w:after="20"/>
              <w:jc w:val="right"/>
            </w:pPr>
            <w:r>
              <w:rPr>
                <w:color w:val="1C3A36"/>
                <w:sz w:val="18"/>
              </w:rPr>
            </w:r>
          </w:p>
        </w:tc>
        <w:tc>
          <w:tcPr>
            <w:tcW w:type="dxa" w:w="1123"/>
          </w:tcPr>
          <w:p>
            <w:pPr>
              <w:spacing w:after="20"/>
              <w:jc w:val="right"/>
            </w:pPr>
            <w:r>
              <w:rPr>
                <w:color w:val="1C3A36"/>
                <w:sz w:val="18"/>
              </w:rPr>
            </w:r>
          </w:p>
        </w:tc>
        <w:tc>
          <w:tcPr>
            <w:tcW w:type="dxa" w:w="1224"/>
          </w:tcPr>
          <w:p>
            <w:pPr>
              <w:spacing w:after="20"/>
              <w:jc w:val="right"/>
            </w:pPr>
            <w:r>
              <w:rPr>
                <w:color w:val="1C3A36"/>
                <w:sz w:val="18"/>
              </w:rPr>
            </w:r>
          </w:p>
        </w:tc>
      </w:tr>
    </w:tbl>
    <w:p>
      <w:pPr>
        <w:spacing w:after="40"/>
      </w:pPr>
    </w:p>
    <w:p>
      <w:pPr>
        <w:spacing w:after="200" w:before="0"/>
      </w:pPr>
      <w:r>
        <w:rPr>
          <w:b w:val="0"/>
          <w:i/>
          <w:color w:val="6E7B77"/>
          <w:sz w:val="17"/>
        </w:rPr>
        <w:t>AED per share. The DCF bear is the run-off stress and the bull the growth-hold scenario of section 1.7 — engine re-runs whose full driver vectors are published on the model's Assumptions sheet. The bear–bull row on the central line is the envelope of lens extremes, labelled as such. The terminal value share is stated beside the lens it belongs to and linked live in the Excel bridge.</w:t>
      </w:r>
    </w:p>
    <w:p>
      <w:pPr>
        <w:spacing w:after="200" w:before="0"/>
      </w:pPr>
      <w:r>
        <w:rPr>
          <w:b/>
          <w:i w:val="0"/>
          <w:color w:val="1C3A36"/>
          <w:sz w:val="21"/>
        </w:rPr>
        <w:t xml:space="preserve">The contested judgement, both ways: </w:t>
      </w:r>
      <w:r>
        <w:rPr>
          <w:b w:val="0"/>
          <w:i w:val="0"/>
          <w:color w:val="1C3A36"/>
          <w:sz w:val="21"/>
        </w:rPr>
        <w:t>base path AED 4.51 · run-off stress AED 3.28. Same balance sheet, different sales paths; never averaged. The realised H1-2026 sales of AED 26bn falsified the run-off as a central scenario — it is retained as the stress bound.</w:t>
      </w:r>
    </w:p>
    <w:p>
      <w:pPr>
        <w:spacing w:after="120" w:before="280"/>
      </w:pPr>
      <w:r>
        <w:rPr>
          <w:b/>
          <w:i w:val="0"/>
          <w:color w:val="1C3A36"/>
          <w:sz w:val="30"/>
        </w:rPr>
        <w:t>Company overview</w:t>
      </w:r>
    </w:p>
    <w:p>
      <w:pPr>
        <w:spacing w:after="120" w:before="0"/>
      </w:pPr>
      <w:r>
        <w:rPr>
          <w:b w:val="0"/>
          <w:i w:val="0"/>
          <w:color w:val="1C3A36"/>
          <w:sz w:val="21"/>
        </w:rPr>
        <w:t>Modon Holding PSC is the Abu Dhabi government's listed city-development platform. The listed vehicle began as Al Qudra Holding, became Q Holding, and in 2024 absorbed Modon Properties and the ADNEC Group in a share-financed combination that multiplied the balance sheet roughly four-fold and reset the perimeter — FY2024 income carries a AED 9.2bn accounting gain from that combination and is treated as a transition year throughout. On 30 October 2025 IHC and ADQ sold their entire stakes to L'imad Holding Company PJSC, wholly owned by the Abu Dhabi Government — 84.75% of the shares (the arithmetic of the disclosed share count; one company announcement rounds it to 84.76%). The stock trades on ADX's growth market with a correspondingly thin free float.</w:t>
      </w:r>
    </w:p>
    <w:p>
      <w:pPr>
        <w:spacing w:after="120" w:before="0"/>
      </w:pPr>
      <w:r>
        <w:rPr>
          <w:b w:val="0"/>
          <w:i w:val="0"/>
          <w:color w:val="1C3A36"/>
          <w:sz w:val="21"/>
        </w:rPr>
        <w:t>Four reported segments. Real Estate Development (54% of FY2025 revenue) masterplans and sells land and homes on Hudayriyat Island (&gt;50mn sqm, 40,000 planned units), Reem Island and Al Ain, and leads phase 1 of Ras El Hekma on Egypt's north coast (170.8mn sqm, 500,000+ planned units), alongside La Zagaleta in Spain. Events, Catering &amp; Tourism (36%) is the ADNEC platform: venues in Abu Dhabi and London (ExCeL), event infrastructure (Arena Group), catering and tourism. Hospitality (6%) reported 7,137 keys across 27 hotels including managed properties at end-2025; the H1-2026 release counts 3,613 keys across 16 owned, operated and JV hotels — the narrower perimeter this study's forward driver uses, with the difference (managed-for-others keys) stated. Asset &amp; Investment Management (5%) holds the recurring-income portfolio (96–97% occupancy) and financial investments including 50% of 2 Finsbury Avenue in London. Recurring revenues reached 38% of the group in H1-2026.</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96"/>
        <w:gridCol w:w="1368"/>
        <w:gridCol w:w="1368"/>
        <w:gridCol w:w="1037"/>
        <w:gridCol w:w="1512"/>
        <w:gridCol w:w="1368"/>
      </w:tblGrid>
      <w:tr>
        <w:tc>
          <w:tcPr>
            <w:tcW w:type="dxa" w:w="3096"/>
            <w:shd w:val="clear" w:color="auto" w:fill="EAF0EE"/>
          </w:tcPr>
          <w:p>
            <w:pPr>
              <w:spacing w:after="20"/>
            </w:pPr>
            <w:r>
              <w:rPr>
                <w:b/>
                <w:color w:val="1C3A36"/>
                <w:sz w:val="18"/>
              </w:rPr>
              <w:t>Segment</w:t>
            </w:r>
          </w:p>
        </w:tc>
        <w:tc>
          <w:tcPr>
            <w:tcW w:type="dxa" w:w="1368"/>
            <w:shd w:val="clear" w:color="auto" w:fill="EAF0EE"/>
          </w:tcPr>
          <w:p>
            <w:pPr>
              <w:spacing w:after="20"/>
            </w:pPr>
            <w:r>
              <w:rPr>
                <w:b/>
                <w:color w:val="1C3A36"/>
                <w:sz w:val="18"/>
              </w:rPr>
              <w:t>Revenue</w:t>
            </w:r>
          </w:p>
        </w:tc>
        <w:tc>
          <w:tcPr>
            <w:tcW w:type="dxa" w:w="1368"/>
            <w:shd w:val="clear" w:color="auto" w:fill="EAF0EE"/>
          </w:tcPr>
          <w:p>
            <w:pPr>
              <w:spacing w:after="20"/>
            </w:pPr>
            <w:r>
              <w:rPr>
                <w:b/>
                <w:color w:val="1C3A36"/>
                <w:sz w:val="18"/>
              </w:rPr>
              <w:t>Gross profit</w:t>
            </w:r>
          </w:p>
        </w:tc>
        <w:tc>
          <w:tcPr>
            <w:tcW w:type="dxa" w:w="1037"/>
            <w:shd w:val="clear" w:color="auto" w:fill="EAF0EE"/>
          </w:tcPr>
          <w:p>
            <w:pPr>
              <w:spacing w:after="20"/>
            </w:pPr>
            <w:r>
              <w:rPr>
                <w:b/>
                <w:color w:val="1C3A36"/>
                <w:sz w:val="18"/>
              </w:rPr>
              <w:t>Margin</w:t>
            </w:r>
          </w:p>
        </w:tc>
        <w:tc>
          <w:tcPr>
            <w:tcW w:type="dxa" w:w="1512"/>
            <w:shd w:val="clear" w:color="auto" w:fill="EAF0EE"/>
          </w:tcPr>
          <w:p>
            <w:pPr>
              <w:spacing w:after="20"/>
            </w:pPr>
            <w:r>
              <w:rPr>
                <w:b/>
                <w:color w:val="1C3A36"/>
                <w:sz w:val="18"/>
              </w:rPr>
              <w:t>Profit before tax</w:t>
            </w:r>
          </w:p>
        </w:tc>
        <w:tc>
          <w:tcPr>
            <w:tcW w:type="dxa" w:w="1368"/>
            <w:shd w:val="clear" w:color="auto" w:fill="EAF0EE"/>
          </w:tcPr>
          <w:p>
            <w:pPr>
              <w:spacing w:after="20"/>
            </w:pPr>
            <w:r>
              <w:rPr>
                <w:b/>
                <w:color w:val="1C3A36"/>
                <w:sz w:val="18"/>
              </w:rPr>
              <w:t>Assets</w:t>
            </w:r>
          </w:p>
        </w:tc>
      </w:tr>
      <w:tr>
        <w:tc>
          <w:tcPr>
            <w:tcW w:type="dxa" w:w="3096"/>
          </w:tcPr>
          <w:p>
            <w:pPr>
              <w:spacing w:after="20"/>
            </w:pPr>
            <w:r>
              <w:rPr>
                <w:color w:val="1C3A36"/>
                <w:sz w:val="18"/>
              </w:rPr>
              <w:t>Real Estate Development</w:t>
            </w:r>
          </w:p>
        </w:tc>
        <w:tc>
          <w:tcPr>
            <w:tcW w:type="dxa" w:w="1368"/>
          </w:tcPr>
          <w:p>
            <w:pPr>
              <w:spacing w:after="20"/>
              <w:jc w:val="right"/>
            </w:pPr>
            <w:r>
              <w:rPr>
                <w:color w:val="1C3A36"/>
                <w:sz w:val="18"/>
              </w:rPr>
              <w:t>7,403</w:t>
            </w:r>
          </w:p>
        </w:tc>
        <w:tc>
          <w:tcPr>
            <w:tcW w:type="dxa" w:w="1368"/>
          </w:tcPr>
          <w:p>
            <w:pPr>
              <w:spacing w:after="20"/>
              <w:jc w:val="right"/>
            </w:pPr>
            <w:r>
              <w:rPr>
                <w:color w:val="1C3A36"/>
                <w:sz w:val="18"/>
              </w:rPr>
              <w:t>3,233</w:t>
            </w:r>
          </w:p>
        </w:tc>
        <w:tc>
          <w:tcPr>
            <w:tcW w:type="dxa" w:w="1037"/>
          </w:tcPr>
          <w:p>
            <w:pPr>
              <w:spacing w:after="20"/>
              <w:jc w:val="right"/>
            </w:pPr>
            <w:r>
              <w:rPr>
                <w:color w:val="1C3A36"/>
                <w:sz w:val="18"/>
              </w:rPr>
              <w:t>43.7%</w:t>
            </w:r>
          </w:p>
        </w:tc>
        <w:tc>
          <w:tcPr>
            <w:tcW w:type="dxa" w:w="1512"/>
          </w:tcPr>
          <w:p>
            <w:pPr>
              <w:spacing w:after="20"/>
              <w:jc w:val="right"/>
            </w:pPr>
            <w:r>
              <w:rPr>
                <w:color w:val="1C3A36"/>
                <w:sz w:val="18"/>
              </w:rPr>
              <w:t>2,548</w:t>
            </w:r>
          </w:p>
        </w:tc>
        <w:tc>
          <w:tcPr>
            <w:tcW w:type="dxa" w:w="1368"/>
          </w:tcPr>
          <w:p>
            <w:pPr>
              <w:spacing w:after="20"/>
              <w:jc w:val="right"/>
            </w:pPr>
            <w:r>
              <w:rPr>
                <w:color w:val="1C3A36"/>
                <w:sz w:val="18"/>
              </w:rPr>
              <w:t>55,739</w:t>
            </w:r>
          </w:p>
        </w:tc>
      </w:tr>
      <w:tr>
        <w:tc>
          <w:tcPr>
            <w:tcW w:type="dxa" w:w="3096"/>
          </w:tcPr>
          <w:p>
            <w:pPr>
              <w:spacing w:after="20"/>
            </w:pPr>
            <w:r>
              <w:rPr>
                <w:color w:val="1C3A36"/>
                <w:sz w:val="18"/>
              </w:rPr>
              <w:t>Asset &amp; Investment Mgmt</w:t>
            </w:r>
          </w:p>
        </w:tc>
        <w:tc>
          <w:tcPr>
            <w:tcW w:type="dxa" w:w="1368"/>
          </w:tcPr>
          <w:p>
            <w:pPr>
              <w:spacing w:after="20"/>
              <w:jc w:val="right"/>
            </w:pPr>
            <w:r>
              <w:rPr>
                <w:color w:val="1C3A36"/>
                <w:sz w:val="18"/>
              </w:rPr>
              <w:t>655</w:t>
            </w:r>
          </w:p>
        </w:tc>
        <w:tc>
          <w:tcPr>
            <w:tcW w:type="dxa" w:w="1368"/>
          </w:tcPr>
          <w:p>
            <w:pPr>
              <w:spacing w:after="20"/>
              <w:jc w:val="right"/>
            </w:pPr>
            <w:r>
              <w:rPr>
                <w:color w:val="1C3A36"/>
                <w:sz w:val="18"/>
              </w:rPr>
              <w:t>421</w:t>
            </w:r>
          </w:p>
        </w:tc>
        <w:tc>
          <w:tcPr>
            <w:tcW w:type="dxa" w:w="1037"/>
          </w:tcPr>
          <w:p>
            <w:pPr>
              <w:spacing w:after="20"/>
              <w:jc w:val="right"/>
            </w:pPr>
            <w:r>
              <w:rPr>
                <w:color w:val="1C3A36"/>
                <w:sz w:val="18"/>
              </w:rPr>
              <w:t>64.3%</w:t>
            </w:r>
          </w:p>
        </w:tc>
        <w:tc>
          <w:tcPr>
            <w:tcW w:type="dxa" w:w="1512"/>
          </w:tcPr>
          <w:p>
            <w:pPr>
              <w:spacing w:after="20"/>
              <w:jc w:val="right"/>
            </w:pPr>
            <w:r>
              <w:rPr>
                <w:color w:val="1C3A36"/>
                <w:sz w:val="18"/>
              </w:rPr>
              <w:t>685</w:t>
            </w:r>
          </w:p>
        </w:tc>
        <w:tc>
          <w:tcPr>
            <w:tcW w:type="dxa" w:w="1368"/>
          </w:tcPr>
          <w:p>
            <w:pPr>
              <w:spacing w:after="20"/>
              <w:jc w:val="right"/>
            </w:pPr>
            <w:r>
              <w:rPr>
                <w:color w:val="1C3A36"/>
                <w:sz w:val="18"/>
              </w:rPr>
              <w:t>11,096</w:t>
            </w:r>
          </w:p>
        </w:tc>
      </w:tr>
      <w:tr>
        <w:tc>
          <w:tcPr>
            <w:tcW w:type="dxa" w:w="3096"/>
          </w:tcPr>
          <w:p>
            <w:pPr>
              <w:spacing w:after="20"/>
            </w:pPr>
            <w:r>
              <w:rPr>
                <w:color w:val="1C3A36"/>
                <w:sz w:val="18"/>
              </w:rPr>
              <w:t>Hospitality</w:t>
            </w:r>
          </w:p>
        </w:tc>
        <w:tc>
          <w:tcPr>
            <w:tcW w:type="dxa" w:w="1368"/>
          </w:tcPr>
          <w:p>
            <w:pPr>
              <w:spacing w:after="20"/>
              <w:jc w:val="right"/>
            </w:pPr>
            <w:r>
              <w:rPr>
                <w:color w:val="1C3A36"/>
                <w:sz w:val="18"/>
              </w:rPr>
              <w:t>792</w:t>
            </w:r>
          </w:p>
        </w:tc>
        <w:tc>
          <w:tcPr>
            <w:tcW w:type="dxa" w:w="1368"/>
          </w:tcPr>
          <w:p>
            <w:pPr>
              <w:spacing w:after="20"/>
              <w:jc w:val="right"/>
            </w:pPr>
            <w:r>
              <w:rPr>
                <w:color w:val="1C3A36"/>
                <w:sz w:val="18"/>
              </w:rPr>
              <w:t>211</w:t>
            </w:r>
          </w:p>
        </w:tc>
        <w:tc>
          <w:tcPr>
            <w:tcW w:type="dxa" w:w="1037"/>
          </w:tcPr>
          <w:p>
            <w:pPr>
              <w:spacing w:after="20"/>
              <w:jc w:val="right"/>
            </w:pPr>
            <w:r>
              <w:rPr>
                <w:color w:val="1C3A36"/>
                <w:sz w:val="18"/>
              </w:rPr>
              <w:t>26.6%</w:t>
            </w:r>
          </w:p>
        </w:tc>
        <w:tc>
          <w:tcPr>
            <w:tcW w:type="dxa" w:w="1512"/>
          </w:tcPr>
          <w:p>
            <w:pPr>
              <w:spacing w:after="20"/>
              <w:jc w:val="right"/>
            </w:pPr>
            <w:r>
              <w:rPr>
                <w:color w:val="1C3A36"/>
                <w:sz w:val="18"/>
              </w:rPr>
              <w:t>-69</w:t>
            </w:r>
          </w:p>
        </w:tc>
        <w:tc>
          <w:tcPr>
            <w:tcW w:type="dxa" w:w="1368"/>
          </w:tcPr>
          <w:p>
            <w:pPr>
              <w:spacing w:after="20"/>
              <w:jc w:val="right"/>
            </w:pPr>
            <w:r>
              <w:rPr>
                <w:color w:val="1C3A36"/>
                <w:sz w:val="18"/>
              </w:rPr>
              <w:t>4,602</w:t>
            </w:r>
          </w:p>
        </w:tc>
      </w:tr>
      <w:tr>
        <w:tc>
          <w:tcPr>
            <w:tcW w:type="dxa" w:w="3096"/>
          </w:tcPr>
          <w:p>
            <w:pPr>
              <w:spacing w:after="20"/>
            </w:pPr>
            <w:r>
              <w:rPr>
                <w:color w:val="1C3A36"/>
                <w:sz w:val="18"/>
              </w:rPr>
              <w:t>Events, Catering &amp; Tourism</w:t>
            </w:r>
          </w:p>
        </w:tc>
        <w:tc>
          <w:tcPr>
            <w:tcW w:type="dxa" w:w="1368"/>
          </w:tcPr>
          <w:p>
            <w:pPr>
              <w:spacing w:after="20"/>
              <w:jc w:val="right"/>
            </w:pPr>
            <w:r>
              <w:rPr>
                <w:color w:val="1C3A36"/>
                <w:sz w:val="18"/>
              </w:rPr>
              <w:t>5,009</w:t>
            </w:r>
          </w:p>
        </w:tc>
        <w:tc>
          <w:tcPr>
            <w:tcW w:type="dxa" w:w="1368"/>
          </w:tcPr>
          <w:p>
            <w:pPr>
              <w:spacing w:after="20"/>
              <w:jc w:val="right"/>
            </w:pPr>
            <w:r>
              <w:rPr>
                <w:color w:val="1C3A36"/>
                <w:sz w:val="18"/>
              </w:rPr>
              <w:t>1,325</w:t>
            </w:r>
          </w:p>
        </w:tc>
        <w:tc>
          <w:tcPr>
            <w:tcW w:type="dxa" w:w="1037"/>
          </w:tcPr>
          <w:p>
            <w:pPr>
              <w:spacing w:after="20"/>
              <w:jc w:val="right"/>
            </w:pPr>
            <w:r>
              <w:rPr>
                <w:color w:val="1C3A36"/>
                <w:sz w:val="18"/>
              </w:rPr>
              <w:t>26.5%</w:t>
            </w:r>
          </w:p>
        </w:tc>
        <w:tc>
          <w:tcPr>
            <w:tcW w:type="dxa" w:w="1512"/>
          </w:tcPr>
          <w:p>
            <w:pPr>
              <w:spacing w:after="20"/>
              <w:jc w:val="right"/>
            </w:pPr>
            <w:r>
              <w:rPr>
                <w:color w:val="1C3A36"/>
                <w:sz w:val="18"/>
              </w:rPr>
              <w:t>1,062</w:t>
            </w:r>
          </w:p>
        </w:tc>
        <w:tc>
          <w:tcPr>
            <w:tcW w:type="dxa" w:w="1368"/>
          </w:tcPr>
          <w:p>
            <w:pPr>
              <w:spacing w:after="20"/>
              <w:jc w:val="right"/>
            </w:pPr>
            <w:r>
              <w:rPr>
                <w:color w:val="1C3A36"/>
                <w:sz w:val="18"/>
              </w:rPr>
              <w:t>14,118</w:t>
            </w:r>
          </w:p>
        </w:tc>
      </w:tr>
      <w:tr>
        <w:tc>
          <w:tcPr>
            <w:tcW w:type="dxa" w:w="3096"/>
            <w:shd w:val="clear" w:color="auto" w:fill="F6F1E6"/>
          </w:tcPr>
          <w:p>
            <w:pPr>
              <w:spacing w:after="20"/>
            </w:pPr>
            <w:r>
              <w:rPr>
                <w:b/>
                <w:color w:val="1C3A36"/>
                <w:sz w:val="18"/>
              </w:rPr>
              <w:t>Group (incl. others/eliminations)</w:t>
            </w:r>
          </w:p>
        </w:tc>
        <w:tc>
          <w:tcPr>
            <w:tcW w:type="dxa" w:w="1368"/>
            <w:shd w:val="clear" w:color="auto" w:fill="F6F1E6"/>
          </w:tcPr>
          <w:p>
            <w:pPr>
              <w:spacing w:after="20"/>
              <w:jc w:val="right"/>
            </w:pPr>
            <w:r>
              <w:rPr>
                <w:b/>
                <w:color w:val="1C3A36"/>
                <w:sz w:val="18"/>
              </w:rPr>
              <w:t>13,829</w:t>
            </w:r>
          </w:p>
        </w:tc>
        <w:tc>
          <w:tcPr>
            <w:tcW w:type="dxa" w:w="1368"/>
            <w:shd w:val="clear" w:color="auto" w:fill="F6F1E6"/>
          </w:tcPr>
          <w:p>
            <w:pPr>
              <w:spacing w:after="20"/>
              <w:jc w:val="right"/>
            </w:pPr>
            <w:r>
              <w:rPr>
                <w:b/>
                <w:color w:val="1C3A36"/>
                <w:sz w:val="18"/>
              </w:rPr>
              <w:t>5,025</w:t>
            </w:r>
          </w:p>
        </w:tc>
        <w:tc>
          <w:tcPr>
            <w:tcW w:type="dxa" w:w="1037"/>
            <w:shd w:val="clear" w:color="auto" w:fill="F6F1E6"/>
          </w:tcPr>
          <w:p>
            <w:pPr>
              <w:spacing w:after="20"/>
              <w:jc w:val="right"/>
            </w:pPr>
            <w:r>
              <w:rPr>
                <w:b/>
                <w:color w:val="1C3A36"/>
                <w:sz w:val="18"/>
              </w:rPr>
              <w:t>36.3%</w:t>
            </w:r>
          </w:p>
        </w:tc>
        <w:tc>
          <w:tcPr>
            <w:tcW w:type="dxa" w:w="1512"/>
            <w:shd w:val="clear" w:color="auto" w:fill="F6F1E6"/>
          </w:tcPr>
          <w:p>
            <w:pPr>
              <w:spacing w:after="20"/>
              <w:jc w:val="right"/>
            </w:pPr>
            <w:r>
              <w:rPr>
                <w:b/>
                <w:color w:val="1C3A36"/>
                <w:sz w:val="18"/>
              </w:rPr>
              <w:t>4,421</w:t>
            </w:r>
          </w:p>
        </w:tc>
        <w:tc>
          <w:tcPr>
            <w:tcW w:type="dxa" w:w="1368"/>
            <w:shd w:val="clear" w:color="auto" w:fill="F6F1E6"/>
          </w:tcPr>
          <w:p>
            <w:pPr>
              <w:spacing w:after="20"/>
              <w:jc w:val="right"/>
            </w:pPr>
            <w:r>
              <w:rPr>
                <w:b/>
                <w:color w:val="1C3A36"/>
                <w:sz w:val="18"/>
              </w:rPr>
              <w:t>87,031</w:t>
            </w:r>
          </w:p>
        </w:tc>
      </w:tr>
    </w:tbl>
    <w:p>
      <w:pPr>
        <w:spacing w:after="40"/>
      </w:pPr>
    </w:p>
    <w:p>
      <w:pPr>
        <w:spacing w:after="200" w:before="0"/>
      </w:pPr>
      <w:r>
        <w:rPr>
          <w:b w:val="0"/>
          <w:i/>
          <w:color w:val="6E7B77"/>
          <w:sz w:val="17"/>
        </w:rPr>
        <w:t>FY2025 segments, AED mn, audited. Hospitality's pre-tax loss reflects financing and depreciation on a young portfolio; its gross profit is positive.</w:t>
      </w:r>
    </w:p>
    <w:p>
      <w:pPr>
        <w:spacing w:after="120" w:before="280"/>
      </w:pPr>
      <w:r>
        <w:rPr>
          <w:b/>
          <w:i w:val="0"/>
          <w:color w:val="1C3A36"/>
          <w:sz w:val="30"/>
        </w:rPr>
        <w:t>1 · Fundamental valuation</w:t>
      </w:r>
    </w:p>
    <w:p>
      <w:pPr>
        <w:spacing w:after="80" w:before="200"/>
      </w:pPr>
      <w:r>
        <w:rPr>
          <w:b/>
          <w:i w:val="0"/>
          <w:color w:val="1C3A36"/>
          <w:sz w:val="24"/>
        </w:rPr>
        <w:t>1.1 · Cash-flow model — restruck at 30 June 2026</w:t>
      </w:r>
    </w:p>
    <w:p>
      <w:pPr>
        <w:spacing w:after="120" w:before="0"/>
      </w:pPr>
      <w:r>
        <w:rPr>
          <w:b w:val="0"/>
          <w:i w:val="0"/>
          <w:color w:val="1C3A36"/>
          <w:sz w:val="21"/>
        </w:rPr>
        <w:t>The model values the company from its 30-June-2026 reviewed balance sheet: a half-year 2026 stub, then four full years, then the terminal block. Development revenue converts the disclosed AED 62.1bn development backlog (65.4bn × 95%) at a visible conversion rate anchored to the pace actually recognised in H1 (development revenue ex-land of AED 4.2bn on an opening 42.6bn backlog, ~20% annualised); new launches roll the backlog forward. The other legs are anchored on their H1 actuals with the events-heavy second-half seasonality stated. Fair-value gains, bargain and disposal gains are zero across the forecast by construction.</w:t>
      </w:r>
    </w:p>
    <w:p>
      <w:pPr>
        <w:spacing w:after="120" w:before="0"/>
      </w:pPr>
      <w:r>
        <w:rPr>
          <w:b w:val="0"/>
          <w:i w:val="0"/>
          <w:color w:val="1C3A36"/>
          <w:sz w:val="21"/>
        </w:rPr>
        <w:t>Working capital is built from components, calibrated at the two balance-sheet dates (31-Dec-2025 and 30-Jun-2026): receivable days on revenue (440 days at both anchors — the related-party collection question in one number), a land-bank roll (new project WIP added per dirham of sales, cost of sales drawn from the existing at-cost bank), and payables-plus-advances cover of direct costs (2.6× at end-2025, 1.86× at 30-Jun-2026, declining — presale advances, not the balance sheet, fund construction). The result is absorption while growth is hot — matching the AED 3.9bn operating outflow the H1 statements actually show — and releases only late, as collections and the land bank catch up. The first edition assumed schedule-based releases; the audits were right to attack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339"/>
        <w:gridCol w:w="1339"/>
        <w:gridCol w:w="1339"/>
        <w:gridCol w:w="1339"/>
        <w:gridCol w:w="1339"/>
      </w:tblGrid>
      <w:tr>
        <w:tc>
          <w:tcPr>
            <w:tcW w:type="dxa" w:w="3384"/>
            <w:shd w:val="clear" w:color="auto" w:fill="EAF0EE"/>
          </w:tcPr>
          <w:p>
            <w:pPr>
              <w:spacing w:after="20"/>
            </w:pPr>
            <w:r>
              <w:rPr>
                <w:b/>
                <w:color w:val="1C3A36"/>
                <w:sz w:val="18"/>
              </w:rPr>
              <w:t>AED mn</w:t>
            </w:r>
          </w:p>
        </w:tc>
        <w:tc>
          <w:tcPr>
            <w:tcW w:type="dxa" w:w="1339"/>
            <w:shd w:val="clear" w:color="auto" w:fill="EAF0EE"/>
          </w:tcPr>
          <w:p>
            <w:pPr>
              <w:spacing w:after="20"/>
            </w:pPr>
            <w:r>
              <w:rPr>
                <w:b/>
                <w:color w:val="1C3A36"/>
                <w:sz w:val="18"/>
              </w:rPr>
              <w:t>H2-26E</w:t>
            </w:r>
          </w:p>
        </w:tc>
        <w:tc>
          <w:tcPr>
            <w:tcW w:type="dxa" w:w="1339"/>
            <w:shd w:val="clear" w:color="auto" w:fill="EAF0EE"/>
          </w:tcPr>
          <w:p>
            <w:pPr>
              <w:spacing w:after="20"/>
            </w:pPr>
            <w:r>
              <w:rPr>
                <w:b/>
                <w:color w:val="1C3A36"/>
                <w:sz w:val="18"/>
              </w:rPr>
              <w:t>FY27E</w:t>
            </w:r>
          </w:p>
        </w:tc>
        <w:tc>
          <w:tcPr>
            <w:tcW w:type="dxa" w:w="1339"/>
            <w:shd w:val="clear" w:color="auto" w:fill="EAF0EE"/>
          </w:tcPr>
          <w:p>
            <w:pPr>
              <w:spacing w:after="20"/>
            </w:pPr>
            <w:r>
              <w:rPr>
                <w:b/>
                <w:color w:val="1C3A36"/>
                <w:sz w:val="18"/>
              </w:rPr>
              <w:t>FY28E</w:t>
            </w:r>
          </w:p>
        </w:tc>
        <w:tc>
          <w:tcPr>
            <w:tcW w:type="dxa" w:w="1339"/>
            <w:shd w:val="clear" w:color="auto" w:fill="EAF0EE"/>
          </w:tcPr>
          <w:p>
            <w:pPr>
              <w:spacing w:after="20"/>
            </w:pPr>
            <w:r>
              <w:rPr>
                <w:b/>
                <w:color w:val="1C3A36"/>
                <w:sz w:val="18"/>
              </w:rPr>
              <w:t>FY29E</w:t>
            </w:r>
          </w:p>
        </w:tc>
        <w:tc>
          <w:tcPr>
            <w:tcW w:type="dxa" w:w="1339"/>
            <w:shd w:val="clear" w:color="auto" w:fill="EAF0EE"/>
          </w:tcPr>
          <w:p>
            <w:pPr>
              <w:spacing w:after="20"/>
            </w:pPr>
            <w:r>
              <w:rPr>
                <w:b/>
                <w:color w:val="1C3A36"/>
                <w:sz w:val="18"/>
              </w:rPr>
              <w:t>FY30E</w:t>
            </w:r>
          </w:p>
        </w:tc>
      </w:tr>
      <w:tr>
        <w:tc>
          <w:tcPr>
            <w:tcW w:type="dxa" w:w="3384"/>
          </w:tcPr>
          <w:p>
            <w:pPr>
              <w:spacing w:after="20"/>
            </w:pPr>
            <w:r>
              <w:rPr>
                <w:color w:val="1C3A36"/>
                <w:sz w:val="18"/>
              </w:rPr>
              <w:t>Revenue</w:t>
            </w:r>
          </w:p>
        </w:tc>
        <w:tc>
          <w:tcPr>
            <w:tcW w:type="dxa" w:w="1339"/>
          </w:tcPr>
          <w:p>
            <w:pPr>
              <w:spacing w:after="20"/>
              <w:jc w:val="right"/>
            </w:pPr>
            <w:r>
              <w:rPr>
                <w:color w:val="1C3A36"/>
                <w:sz w:val="18"/>
              </w:rPr>
              <w:t>11,046</w:t>
            </w:r>
          </w:p>
        </w:tc>
        <w:tc>
          <w:tcPr>
            <w:tcW w:type="dxa" w:w="1339"/>
          </w:tcPr>
          <w:p>
            <w:pPr>
              <w:spacing w:after="20"/>
              <w:jc w:val="right"/>
            </w:pPr>
            <w:r>
              <w:rPr>
                <w:color w:val="1C3A36"/>
                <w:sz w:val="18"/>
              </w:rPr>
              <w:t>26,019</w:t>
            </w:r>
          </w:p>
        </w:tc>
        <w:tc>
          <w:tcPr>
            <w:tcW w:type="dxa" w:w="1339"/>
          </w:tcPr>
          <w:p>
            <w:pPr>
              <w:spacing w:after="20"/>
              <w:jc w:val="right"/>
            </w:pPr>
            <w:r>
              <w:rPr>
                <w:color w:val="1C3A36"/>
                <w:sz w:val="18"/>
              </w:rPr>
              <w:t>32,007</w:t>
            </w:r>
          </w:p>
        </w:tc>
        <w:tc>
          <w:tcPr>
            <w:tcW w:type="dxa" w:w="1339"/>
          </w:tcPr>
          <w:p>
            <w:pPr>
              <w:spacing w:after="20"/>
              <w:jc w:val="right"/>
            </w:pPr>
            <w:r>
              <w:rPr>
                <w:color w:val="1C3A36"/>
                <w:sz w:val="18"/>
              </w:rPr>
              <w:t>34,928</w:t>
            </w:r>
          </w:p>
        </w:tc>
        <w:tc>
          <w:tcPr>
            <w:tcW w:type="dxa" w:w="1339"/>
          </w:tcPr>
          <w:p>
            <w:pPr>
              <w:spacing w:after="20"/>
              <w:jc w:val="right"/>
            </w:pPr>
            <w:r>
              <w:rPr>
                <w:color w:val="1C3A36"/>
                <w:sz w:val="18"/>
              </w:rPr>
              <w:t>36,189</w:t>
            </w:r>
          </w:p>
        </w:tc>
      </w:tr>
      <w:tr>
        <w:tc>
          <w:tcPr>
            <w:tcW w:type="dxa" w:w="3384"/>
          </w:tcPr>
          <w:p>
            <w:pPr>
              <w:spacing w:after="20"/>
            </w:pPr>
            <w:r>
              <w:rPr>
                <w:color w:val="1C3A36"/>
                <w:sz w:val="18"/>
              </w:rPr>
              <w:t>Gross profit</w:t>
            </w:r>
          </w:p>
        </w:tc>
        <w:tc>
          <w:tcPr>
            <w:tcW w:type="dxa" w:w="1339"/>
          </w:tcPr>
          <w:p>
            <w:pPr>
              <w:spacing w:after="20"/>
              <w:jc w:val="right"/>
            </w:pPr>
            <w:r>
              <w:rPr>
                <w:color w:val="1C3A36"/>
                <w:sz w:val="18"/>
              </w:rPr>
              <w:t>4,165</w:t>
            </w:r>
          </w:p>
        </w:tc>
        <w:tc>
          <w:tcPr>
            <w:tcW w:type="dxa" w:w="1339"/>
          </w:tcPr>
          <w:p>
            <w:pPr>
              <w:spacing w:after="20"/>
              <w:jc w:val="right"/>
            </w:pPr>
            <w:r>
              <w:rPr>
                <w:color w:val="1C3A36"/>
                <w:sz w:val="18"/>
              </w:rPr>
              <w:t>9,619</w:t>
            </w:r>
          </w:p>
        </w:tc>
        <w:tc>
          <w:tcPr>
            <w:tcW w:type="dxa" w:w="1339"/>
          </w:tcPr>
          <w:p>
            <w:pPr>
              <w:spacing w:after="20"/>
              <w:jc w:val="right"/>
            </w:pPr>
            <w:r>
              <w:rPr>
                <w:color w:val="1C3A36"/>
                <w:sz w:val="18"/>
              </w:rPr>
              <w:t>11,784</w:t>
            </w:r>
          </w:p>
        </w:tc>
        <w:tc>
          <w:tcPr>
            <w:tcW w:type="dxa" w:w="1339"/>
          </w:tcPr>
          <w:p>
            <w:pPr>
              <w:spacing w:after="20"/>
              <w:jc w:val="right"/>
            </w:pPr>
            <w:r>
              <w:rPr>
                <w:color w:val="1C3A36"/>
                <w:sz w:val="18"/>
              </w:rPr>
              <w:t>12,807</w:t>
            </w:r>
          </w:p>
        </w:tc>
        <w:tc>
          <w:tcPr>
            <w:tcW w:type="dxa" w:w="1339"/>
          </w:tcPr>
          <w:p>
            <w:pPr>
              <w:spacing w:after="20"/>
              <w:jc w:val="right"/>
            </w:pPr>
            <w:r>
              <w:rPr>
                <w:color w:val="1C3A36"/>
                <w:sz w:val="18"/>
              </w:rPr>
              <w:t>13,143</w:t>
            </w:r>
          </w:p>
        </w:tc>
      </w:tr>
      <w:tr>
        <w:tc>
          <w:tcPr>
            <w:tcW w:type="dxa" w:w="3384"/>
          </w:tcPr>
          <w:p>
            <w:pPr>
              <w:spacing w:after="20"/>
            </w:pPr>
            <w:r>
              <w:rPr>
                <w:color w:val="1C3A36"/>
                <w:sz w:val="18"/>
              </w:rPr>
              <w:t>General &amp; administrative</w:t>
            </w:r>
          </w:p>
        </w:tc>
        <w:tc>
          <w:tcPr>
            <w:tcW w:type="dxa" w:w="1339"/>
          </w:tcPr>
          <w:p>
            <w:pPr>
              <w:spacing w:after="20"/>
              <w:jc w:val="right"/>
            </w:pPr>
            <w:r>
              <w:rPr>
                <w:color w:val="1C3A36"/>
                <w:sz w:val="18"/>
              </w:rPr>
              <w:t>-917</w:t>
            </w:r>
          </w:p>
        </w:tc>
        <w:tc>
          <w:tcPr>
            <w:tcW w:type="dxa" w:w="1339"/>
          </w:tcPr>
          <w:p>
            <w:pPr>
              <w:spacing w:after="20"/>
              <w:jc w:val="right"/>
            </w:pPr>
            <w:r>
              <w:rPr>
                <w:color w:val="1C3A36"/>
                <w:sz w:val="18"/>
              </w:rPr>
              <w:t>-2,290</w:t>
            </w:r>
          </w:p>
        </w:tc>
        <w:tc>
          <w:tcPr>
            <w:tcW w:type="dxa" w:w="1339"/>
          </w:tcPr>
          <w:p>
            <w:pPr>
              <w:spacing w:after="20"/>
              <w:jc w:val="right"/>
            </w:pPr>
            <w:r>
              <w:rPr>
                <w:color w:val="1C3A36"/>
                <w:sz w:val="18"/>
              </w:rPr>
              <w:t>-2,785</w:t>
            </w:r>
          </w:p>
        </w:tc>
        <w:tc>
          <w:tcPr>
            <w:tcW w:type="dxa" w:w="1339"/>
          </w:tcPr>
          <w:p>
            <w:pPr>
              <w:spacing w:after="20"/>
              <w:jc w:val="right"/>
            </w:pPr>
            <w:r>
              <w:rPr>
                <w:color w:val="1C3A36"/>
                <w:sz w:val="18"/>
              </w:rPr>
              <w:t>-3,004</w:t>
            </w:r>
          </w:p>
        </w:tc>
        <w:tc>
          <w:tcPr>
            <w:tcW w:type="dxa" w:w="1339"/>
          </w:tcPr>
          <w:p>
            <w:pPr>
              <w:spacing w:after="20"/>
              <w:jc w:val="right"/>
            </w:pPr>
            <w:r>
              <w:rPr>
                <w:color w:val="1C3A36"/>
                <w:sz w:val="18"/>
              </w:rPr>
              <w:t>-3,076</w:t>
            </w:r>
          </w:p>
        </w:tc>
      </w:tr>
      <w:tr>
        <w:tc>
          <w:tcPr>
            <w:tcW w:type="dxa" w:w="3384"/>
          </w:tcPr>
          <w:p>
            <w:pPr>
              <w:spacing w:after="20"/>
            </w:pPr>
            <w:r>
              <w:rPr>
                <w:color w:val="1C3A36"/>
                <w:sz w:val="18"/>
              </w:rPr>
              <w:t>Selling &amp; marketing</w:t>
            </w:r>
          </w:p>
        </w:tc>
        <w:tc>
          <w:tcPr>
            <w:tcW w:type="dxa" w:w="1339"/>
          </w:tcPr>
          <w:p>
            <w:pPr>
              <w:spacing w:after="20"/>
              <w:jc w:val="right"/>
            </w:pPr>
            <w:r>
              <w:rPr>
                <w:color w:val="1C3A36"/>
                <w:sz w:val="18"/>
              </w:rPr>
              <w:t>-188</w:t>
            </w:r>
          </w:p>
        </w:tc>
        <w:tc>
          <w:tcPr>
            <w:tcW w:type="dxa" w:w="1339"/>
          </w:tcPr>
          <w:p>
            <w:pPr>
              <w:spacing w:after="20"/>
              <w:jc w:val="right"/>
            </w:pPr>
            <w:r>
              <w:rPr>
                <w:color w:val="1C3A36"/>
                <w:sz w:val="18"/>
              </w:rPr>
              <w:t>-468</w:t>
            </w:r>
          </w:p>
        </w:tc>
        <w:tc>
          <w:tcPr>
            <w:tcW w:type="dxa" w:w="1339"/>
          </w:tcPr>
          <w:p>
            <w:pPr>
              <w:spacing w:after="20"/>
              <w:jc w:val="right"/>
            </w:pPr>
            <w:r>
              <w:rPr>
                <w:color w:val="1C3A36"/>
                <w:sz w:val="18"/>
              </w:rPr>
              <w:t>-544</w:t>
            </w:r>
          </w:p>
        </w:tc>
        <w:tc>
          <w:tcPr>
            <w:tcW w:type="dxa" w:w="1339"/>
          </w:tcPr>
          <w:p>
            <w:pPr>
              <w:spacing w:after="20"/>
              <w:jc w:val="right"/>
            </w:pPr>
            <w:r>
              <w:rPr>
                <w:color w:val="1C3A36"/>
                <w:sz w:val="18"/>
              </w:rPr>
              <w:t>-594</w:t>
            </w:r>
          </w:p>
        </w:tc>
        <w:tc>
          <w:tcPr>
            <w:tcW w:type="dxa" w:w="1339"/>
          </w:tcPr>
          <w:p>
            <w:pPr>
              <w:spacing w:after="20"/>
              <w:jc w:val="right"/>
            </w:pPr>
            <w:r>
              <w:rPr>
                <w:color w:val="1C3A36"/>
                <w:sz w:val="18"/>
              </w:rPr>
              <w:t>-579</w:t>
            </w:r>
          </w:p>
        </w:tc>
      </w:tr>
      <w:tr>
        <w:tc>
          <w:tcPr>
            <w:tcW w:type="dxa" w:w="3384"/>
          </w:tcPr>
          <w:p>
            <w:pPr>
              <w:spacing w:after="20"/>
            </w:pPr>
            <w:r>
              <w:rPr>
                <w:color w:val="1C3A36"/>
                <w:sz w:val="18"/>
              </w:rPr>
              <w:t>Investment and other income</w:t>
            </w:r>
          </w:p>
        </w:tc>
        <w:tc>
          <w:tcPr>
            <w:tcW w:type="dxa" w:w="1339"/>
          </w:tcPr>
          <w:p>
            <w:pPr>
              <w:spacing w:after="20"/>
              <w:jc w:val="right"/>
            </w:pPr>
            <w:r>
              <w:rPr>
                <w:color w:val="1C3A36"/>
                <w:sz w:val="18"/>
              </w:rPr>
              <w:t>80</w:t>
            </w:r>
          </w:p>
        </w:tc>
        <w:tc>
          <w:tcPr>
            <w:tcW w:type="dxa" w:w="1339"/>
          </w:tcPr>
          <w:p>
            <w:pPr>
              <w:spacing w:after="20"/>
              <w:jc w:val="right"/>
            </w:pPr>
            <w:r>
              <w:rPr>
                <w:color w:val="1C3A36"/>
                <w:sz w:val="18"/>
              </w:rPr>
              <w:t>165</w:t>
            </w:r>
          </w:p>
        </w:tc>
        <w:tc>
          <w:tcPr>
            <w:tcW w:type="dxa" w:w="1339"/>
          </w:tcPr>
          <w:p>
            <w:pPr>
              <w:spacing w:after="20"/>
              <w:jc w:val="right"/>
            </w:pPr>
            <w:r>
              <w:rPr>
                <w:color w:val="1C3A36"/>
                <w:sz w:val="18"/>
              </w:rPr>
              <w:t>170</w:t>
            </w:r>
          </w:p>
        </w:tc>
        <w:tc>
          <w:tcPr>
            <w:tcW w:type="dxa" w:w="1339"/>
          </w:tcPr>
          <w:p>
            <w:pPr>
              <w:spacing w:after="20"/>
              <w:jc w:val="right"/>
            </w:pPr>
            <w:r>
              <w:rPr>
                <w:color w:val="1C3A36"/>
                <w:sz w:val="18"/>
              </w:rPr>
              <w:t>175</w:t>
            </w:r>
          </w:p>
        </w:tc>
        <w:tc>
          <w:tcPr>
            <w:tcW w:type="dxa" w:w="1339"/>
          </w:tcPr>
          <w:p>
            <w:pPr>
              <w:spacing w:after="20"/>
              <w:jc w:val="right"/>
            </w:pPr>
            <w:r>
              <w:rPr>
                <w:color w:val="1C3A36"/>
                <w:sz w:val="18"/>
              </w:rPr>
              <w:t>180</w:t>
            </w:r>
          </w:p>
        </w:tc>
      </w:tr>
      <w:tr>
        <w:tc>
          <w:tcPr>
            <w:tcW w:type="dxa" w:w="3384"/>
            <w:shd w:val="clear" w:color="auto" w:fill="F6F1E6"/>
          </w:tcPr>
          <w:p>
            <w:pPr>
              <w:spacing w:after="20"/>
            </w:pPr>
            <w:r>
              <w:rPr>
                <w:b/>
                <w:color w:val="1C3A36"/>
                <w:sz w:val="18"/>
              </w:rPr>
              <w:t>EBIT</w:t>
            </w:r>
          </w:p>
        </w:tc>
        <w:tc>
          <w:tcPr>
            <w:tcW w:type="dxa" w:w="1339"/>
            <w:shd w:val="clear" w:color="auto" w:fill="F6F1E6"/>
          </w:tcPr>
          <w:p>
            <w:pPr>
              <w:spacing w:after="20"/>
              <w:jc w:val="right"/>
            </w:pPr>
            <w:r>
              <w:rPr>
                <w:b/>
                <w:color w:val="1C3A36"/>
                <w:sz w:val="18"/>
              </w:rPr>
              <w:t>3,140</w:t>
            </w:r>
          </w:p>
        </w:tc>
        <w:tc>
          <w:tcPr>
            <w:tcW w:type="dxa" w:w="1339"/>
            <w:shd w:val="clear" w:color="auto" w:fill="F6F1E6"/>
          </w:tcPr>
          <w:p>
            <w:pPr>
              <w:spacing w:after="20"/>
              <w:jc w:val="right"/>
            </w:pPr>
            <w:r>
              <w:rPr>
                <w:b/>
                <w:color w:val="1C3A36"/>
                <w:sz w:val="18"/>
              </w:rPr>
              <w:t>7,026</w:t>
            </w:r>
          </w:p>
        </w:tc>
        <w:tc>
          <w:tcPr>
            <w:tcW w:type="dxa" w:w="1339"/>
            <w:shd w:val="clear" w:color="auto" w:fill="F6F1E6"/>
          </w:tcPr>
          <w:p>
            <w:pPr>
              <w:spacing w:after="20"/>
              <w:jc w:val="right"/>
            </w:pPr>
            <w:r>
              <w:rPr>
                <w:b/>
                <w:color w:val="1C3A36"/>
                <w:sz w:val="18"/>
              </w:rPr>
              <w:t>8,625</w:t>
            </w:r>
          </w:p>
        </w:tc>
        <w:tc>
          <w:tcPr>
            <w:tcW w:type="dxa" w:w="1339"/>
            <w:shd w:val="clear" w:color="auto" w:fill="F6F1E6"/>
          </w:tcPr>
          <w:p>
            <w:pPr>
              <w:spacing w:after="20"/>
              <w:jc w:val="right"/>
            </w:pPr>
            <w:r>
              <w:rPr>
                <w:b/>
                <w:color w:val="1C3A36"/>
                <w:sz w:val="18"/>
              </w:rPr>
              <w:t>9,384</w:t>
            </w:r>
          </w:p>
        </w:tc>
        <w:tc>
          <w:tcPr>
            <w:tcW w:type="dxa" w:w="1339"/>
            <w:shd w:val="clear" w:color="auto" w:fill="F6F1E6"/>
          </w:tcPr>
          <w:p>
            <w:pPr>
              <w:spacing w:after="20"/>
              <w:jc w:val="right"/>
            </w:pPr>
            <w:r>
              <w:rPr>
                <w:b/>
                <w:color w:val="1C3A36"/>
                <w:sz w:val="18"/>
              </w:rPr>
              <w:t>9,668</w:t>
            </w:r>
          </w:p>
        </w:tc>
      </w:tr>
      <w:tr>
        <w:tc>
          <w:tcPr>
            <w:tcW w:type="dxa" w:w="3384"/>
          </w:tcPr>
          <w:p>
            <w:pPr>
              <w:spacing w:after="20"/>
            </w:pPr>
            <w:r>
              <w:rPr>
                <w:color w:val="1C3A36"/>
                <w:sz w:val="18"/>
              </w:rPr>
              <w:t>EBITDA margin</w:t>
            </w:r>
          </w:p>
        </w:tc>
        <w:tc>
          <w:tcPr>
            <w:tcW w:type="dxa" w:w="1339"/>
          </w:tcPr>
          <w:p>
            <w:pPr>
              <w:spacing w:after="20"/>
              <w:jc w:val="right"/>
            </w:pPr>
            <w:r>
              <w:rPr>
                <w:color w:val="1C3A36"/>
                <w:sz w:val="18"/>
              </w:rPr>
              <w:t>31.5%</w:t>
            </w:r>
          </w:p>
        </w:tc>
        <w:tc>
          <w:tcPr>
            <w:tcW w:type="dxa" w:w="1339"/>
          </w:tcPr>
          <w:p>
            <w:pPr>
              <w:spacing w:after="20"/>
              <w:jc w:val="right"/>
            </w:pPr>
            <w:r>
              <w:rPr>
                <w:color w:val="1C3A36"/>
                <w:sz w:val="18"/>
              </w:rPr>
              <w:t>29.7%</w:t>
            </w:r>
          </w:p>
        </w:tc>
        <w:tc>
          <w:tcPr>
            <w:tcW w:type="dxa" w:w="1339"/>
          </w:tcPr>
          <w:p>
            <w:pPr>
              <w:spacing w:after="20"/>
              <w:jc w:val="right"/>
            </w:pPr>
            <w:r>
              <w:rPr>
                <w:color w:val="1C3A36"/>
                <w:sz w:val="18"/>
              </w:rPr>
              <w:t>29.2%</w:t>
            </w:r>
          </w:p>
        </w:tc>
        <w:tc>
          <w:tcPr>
            <w:tcW w:type="dxa" w:w="1339"/>
          </w:tcPr>
          <w:p>
            <w:pPr>
              <w:spacing w:after="20"/>
              <w:jc w:val="right"/>
            </w:pPr>
            <w:r>
              <w:rPr>
                <w:color w:val="1C3A36"/>
                <w:sz w:val="18"/>
              </w:rPr>
              <w:t>29.1%</w:t>
            </w:r>
          </w:p>
        </w:tc>
        <w:tc>
          <w:tcPr>
            <w:tcW w:type="dxa" w:w="1339"/>
          </w:tcPr>
          <w:p>
            <w:pPr>
              <w:spacing w:after="20"/>
              <w:jc w:val="right"/>
            </w:pPr>
            <w:r>
              <w:rPr>
                <w:color w:val="1C3A36"/>
                <w:sz w:val="18"/>
              </w:rPr>
              <w:t>28.9%</w:t>
            </w:r>
          </w:p>
        </w:tc>
      </w:tr>
      <w:tr>
        <w:tc>
          <w:tcPr>
            <w:tcW w:type="dxa" w:w="3384"/>
          </w:tcPr>
          <w:p>
            <w:pPr>
              <w:spacing w:after="20"/>
            </w:pPr>
            <w:r>
              <w:rPr>
                <w:color w:val="1C3A36"/>
                <w:sz w:val="18"/>
              </w:rPr>
              <w:t>Depreciation &amp; amortisation (asset-base)</w:t>
            </w:r>
          </w:p>
        </w:tc>
        <w:tc>
          <w:tcPr>
            <w:tcW w:type="dxa" w:w="1339"/>
          </w:tcPr>
          <w:p>
            <w:pPr>
              <w:spacing w:after="20"/>
              <w:jc w:val="right"/>
            </w:pPr>
            <w:r>
              <w:rPr>
                <w:color w:val="1C3A36"/>
                <w:sz w:val="18"/>
              </w:rPr>
              <w:t>341</w:t>
            </w:r>
          </w:p>
        </w:tc>
        <w:tc>
          <w:tcPr>
            <w:tcW w:type="dxa" w:w="1339"/>
          </w:tcPr>
          <w:p>
            <w:pPr>
              <w:spacing w:after="20"/>
              <w:jc w:val="right"/>
            </w:pPr>
            <w:r>
              <w:rPr>
                <w:color w:val="1C3A36"/>
                <w:sz w:val="18"/>
              </w:rPr>
              <w:t>709</w:t>
            </w:r>
          </w:p>
        </w:tc>
        <w:tc>
          <w:tcPr>
            <w:tcW w:type="dxa" w:w="1339"/>
          </w:tcPr>
          <w:p>
            <w:pPr>
              <w:spacing w:after="20"/>
              <w:jc w:val="right"/>
            </w:pPr>
            <w:r>
              <w:rPr>
                <w:color w:val="1C3A36"/>
                <w:sz w:val="18"/>
              </w:rPr>
              <w:t>736</w:t>
            </w:r>
          </w:p>
        </w:tc>
        <w:tc>
          <w:tcPr>
            <w:tcW w:type="dxa" w:w="1339"/>
          </w:tcPr>
          <w:p>
            <w:pPr>
              <w:spacing w:after="20"/>
              <w:jc w:val="right"/>
            </w:pPr>
            <w:r>
              <w:rPr>
                <w:color w:val="1C3A36"/>
                <w:sz w:val="18"/>
              </w:rPr>
              <w:t>765</w:t>
            </w:r>
          </w:p>
        </w:tc>
        <w:tc>
          <w:tcPr>
            <w:tcW w:type="dxa" w:w="1339"/>
          </w:tcPr>
          <w:p>
            <w:pPr>
              <w:spacing w:after="20"/>
              <w:jc w:val="right"/>
            </w:pPr>
            <w:r>
              <w:rPr>
                <w:color w:val="1C3A36"/>
                <w:sz w:val="18"/>
              </w:rPr>
              <w:t>794</w:t>
            </w:r>
          </w:p>
        </w:tc>
      </w:tr>
      <w:tr>
        <w:tc>
          <w:tcPr>
            <w:tcW w:type="dxa" w:w="3384"/>
          </w:tcPr>
          <w:p>
            <w:pPr>
              <w:spacing w:after="20"/>
            </w:pPr>
            <w:r>
              <w:rPr>
                <w:color w:val="1C3A36"/>
                <w:sz w:val="18"/>
              </w:rPr>
              <w:t>EBITDA</w:t>
            </w:r>
          </w:p>
        </w:tc>
        <w:tc>
          <w:tcPr>
            <w:tcW w:type="dxa" w:w="1339"/>
          </w:tcPr>
          <w:p>
            <w:pPr>
              <w:spacing w:after="20"/>
              <w:jc w:val="right"/>
            </w:pPr>
            <w:r>
              <w:rPr>
                <w:color w:val="1C3A36"/>
                <w:sz w:val="18"/>
              </w:rPr>
              <w:t>3,481</w:t>
            </w:r>
          </w:p>
        </w:tc>
        <w:tc>
          <w:tcPr>
            <w:tcW w:type="dxa" w:w="1339"/>
          </w:tcPr>
          <w:p>
            <w:pPr>
              <w:spacing w:after="20"/>
              <w:jc w:val="right"/>
            </w:pPr>
            <w:r>
              <w:rPr>
                <w:color w:val="1C3A36"/>
                <w:sz w:val="18"/>
              </w:rPr>
              <w:t>7,734</w:t>
            </w:r>
          </w:p>
        </w:tc>
        <w:tc>
          <w:tcPr>
            <w:tcW w:type="dxa" w:w="1339"/>
          </w:tcPr>
          <w:p>
            <w:pPr>
              <w:spacing w:after="20"/>
              <w:jc w:val="right"/>
            </w:pPr>
            <w:r>
              <w:rPr>
                <w:color w:val="1C3A36"/>
                <w:sz w:val="18"/>
              </w:rPr>
              <w:t>9,361</w:t>
            </w:r>
          </w:p>
        </w:tc>
        <w:tc>
          <w:tcPr>
            <w:tcW w:type="dxa" w:w="1339"/>
          </w:tcPr>
          <w:p>
            <w:pPr>
              <w:spacing w:after="20"/>
              <w:jc w:val="right"/>
            </w:pPr>
            <w:r>
              <w:rPr>
                <w:color w:val="1C3A36"/>
                <w:sz w:val="18"/>
              </w:rPr>
              <w:t>10,149</w:t>
            </w:r>
          </w:p>
        </w:tc>
        <w:tc>
          <w:tcPr>
            <w:tcW w:type="dxa" w:w="1339"/>
          </w:tcPr>
          <w:p>
            <w:pPr>
              <w:spacing w:after="20"/>
              <w:jc w:val="right"/>
            </w:pPr>
            <w:r>
              <w:rPr>
                <w:color w:val="1C3A36"/>
                <w:sz w:val="18"/>
              </w:rPr>
              <w:t>10,462</w:t>
            </w:r>
          </w:p>
        </w:tc>
      </w:tr>
      <w:tr>
        <w:tc>
          <w:tcPr>
            <w:tcW w:type="dxa" w:w="3384"/>
          </w:tcPr>
          <w:p>
            <w:pPr>
              <w:spacing w:after="20"/>
            </w:pPr>
            <w:r>
              <w:rPr>
                <w:color w:val="1C3A36"/>
                <w:sz w:val="18"/>
              </w:rPr>
              <w:t>NOPAT = EBIT × (1 − 15.5%)</w:t>
            </w:r>
          </w:p>
        </w:tc>
        <w:tc>
          <w:tcPr>
            <w:tcW w:type="dxa" w:w="1339"/>
          </w:tcPr>
          <w:p>
            <w:pPr>
              <w:spacing w:after="20"/>
              <w:jc w:val="right"/>
            </w:pPr>
            <w:r>
              <w:rPr>
                <w:color w:val="1C3A36"/>
                <w:sz w:val="18"/>
              </w:rPr>
              <w:t>2,653</w:t>
            </w:r>
          </w:p>
        </w:tc>
        <w:tc>
          <w:tcPr>
            <w:tcW w:type="dxa" w:w="1339"/>
          </w:tcPr>
          <w:p>
            <w:pPr>
              <w:spacing w:after="20"/>
              <w:jc w:val="right"/>
            </w:pPr>
            <w:r>
              <w:rPr>
                <w:color w:val="1C3A36"/>
                <w:sz w:val="18"/>
              </w:rPr>
              <w:t>5,937</w:t>
            </w:r>
          </w:p>
        </w:tc>
        <w:tc>
          <w:tcPr>
            <w:tcW w:type="dxa" w:w="1339"/>
          </w:tcPr>
          <w:p>
            <w:pPr>
              <w:spacing w:after="20"/>
              <w:jc w:val="right"/>
            </w:pPr>
            <w:r>
              <w:rPr>
                <w:color w:val="1C3A36"/>
                <w:sz w:val="18"/>
              </w:rPr>
              <w:t>7,288</w:t>
            </w:r>
          </w:p>
        </w:tc>
        <w:tc>
          <w:tcPr>
            <w:tcW w:type="dxa" w:w="1339"/>
          </w:tcPr>
          <w:p>
            <w:pPr>
              <w:spacing w:after="20"/>
              <w:jc w:val="right"/>
            </w:pPr>
            <w:r>
              <w:rPr>
                <w:color w:val="1C3A36"/>
                <w:sz w:val="18"/>
              </w:rPr>
              <w:t>7,930</w:t>
            </w:r>
          </w:p>
        </w:tc>
        <w:tc>
          <w:tcPr>
            <w:tcW w:type="dxa" w:w="1339"/>
          </w:tcPr>
          <w:p>
            <w:pPr>
              <w:spacing w:after="20"/>
              <w:jc w:val="right"/>
            </w:pPr>
            <w:r>
              <w:rPr>
                <w:color w:val="1C3A36"/>
                <w:sz w:val="18"/>
              </w:rPr>
              <w:t>8,170</w:t>
            </w:r>
          </w:p>
        </w:tc>
      </w:tr>
      <w:tr>
        <w:tc>
          <w:tcPr>
            <w:tcW w:type="dxa" w:w="3384"/>
          </w:tcPr>
          <w:p>
            <w:pPr>
              <w:spacing w:after="20"/>
            </w:pPr>
            <w:r>
              <w:rPr>
                <w:color w:val="1C3A36"/>
                <w:sz w:val="18"/>
              </w:rPr>
              <w:t>+ D&amp;A</w:t>
            </w:r>
          </w:p>
        </w:tc>
        <w:tc>
          <w:tcPr>
            <w:tcW w:type="dxa" w:w="1339"/>
          </w:tcPr>
          <w:p>
            <w:pPr>
              <w:spacing w:after="20"/>
              <w:jc w:val="right"/>
            </w:pPr>
            <w:r>
              <w:rPr>
                <w:color w:val="1C3A36"/>
                <w:sz w:val="18"/>
              </w:rPr>
              <w:t>341</w:t>
            </w:r>
          </w:p>
        </w:tc>
        <w:tc>
          <w:tcPr>
            <w:tcW w:type="dxa" w:w="1339"/>
          </w:tcPr>
          <w:p>
            <w:pPr>
              <w:spacing w:after="20"/>
              <w:jc w:val="right"/>
            </w:pPr>
            <w:r>
              <w:rPr>
                <w:color w:val="1C3A36"/>
                <w:sz w:val="18"/>
              </w:rPr>
              <w:t>709</w:t>
            </w:r>
          </w:p>
        </w:tc>
        <w:tc>
          <w:tcPr>
            <w:tcW w:type="dxa" w:w="1339"/>
          </w:tcPr>
          <w:p>
            <w:pPr>
              <w:spacing w:after="20"/>
              <w:jc w:val="right"/>
            </w:pPr>
            <w:r>
              <w:rPr>
                <w:color w:val="1C3A36"/>
                <w:sz w:val="18"/>
              </w:rPr>
              <w:t>736</w:t>
            </w:r>
          </w:p>
        </w:tc>
        <w:tc>
          <w:tcPr>
            <w:tcW w:type="dxa" w:w="1339"/>
          </w:tcPr>
          <w:p>
            <w:pPr>
              <w:spacing w:after="20"/>
              <w:jc w:val="right"/>
            </w:pPr>
            <w:r>
              <w:rPr>
                <w:color w:val="1C3A36"/>
                <w:sz w:val="18"/>
              </w:rPr>
              <w:t>765</w:t>
            </w:r>
          </w:p>
        </w:tc>
        <w:tc>
          <w:tcPr>
            <w:tcW w:type="dxa" w:w="1339"/>
          </w:tcPr>
          <w:p>
            <w:pPr>
              <w:spacing w:after="20"/>
              <w:jc w:val="right"/>
            </w:pPr>
            <w:r>
              <w:rPr>
                <w:color w:val="1C3A36"/>
                <w:sz w:val="18"/>
              </w:rPr>
              <w:t>794</w:t>
            </w:r>
          </w:p>
        </w:tc>
      </w:tr>
      <w:tr>
        <w:tc>
          <w:tcPr>
            <w:tcW w:type="dxa" w:w="3384"/>
          </w:tcPr>
          <w:p>
            <w:pPr>
              <w:spacing w:after="20"/>
            </w:pPr>
            <w:r>
              <w:rPr>
                <w:color w:val="1C3A36"/>
                <w:sz w:val="18"/>
              </w:rPr>
              <w:t>− capital expenditure</w:t>
            </w:r>
          </w:p>
        </w:tc>
        <w:tc>
          <w:tcPr>
            <w:tcW w:type="dxa" w:w="1339"/>
          </w:tcPr>
          <w:p>
            <w:pPr>
              <w:spacing w:after="20"/>
              <w:jc w:val="right"/>
            </w:pPr>
            <w:r>
              <w:rPr>
                <w:color w:val="1C3A36"/>
                <w:sz w:val="18"/>
              </w:rPr>
              <w:t>-700</w:t>
            </w:r>
          </w:p>
        </w:tc>
        <w:tc>
          <w:tcPr>
            <w:tcW w:type="dxa" w:w="1339"/>
          </w:tcPr>
          <w:p>
            <w:pPr>
              <w:spacing w:after="20"/>
              <w:jc w:val="right"/>
            </w:pPr>
            <w:r>
              <w:rPr>
                <w:color w:val="1C3A36"/>
                <w:sz w:val="18"/>
              </w:rPr>
              <w:t>-1,500</w:t>
            </w:r>
          </w:p>
        </w:tc>
        <w:tc>
          <w:tcPr>
            <w:tcW w:type="dxa" w:w="1339"/>
          </w:tcPr>
          <w:p>
            <w:pPr>
              <w:spacing w:after="20"/>
              <w:jc w:val="right"/>
            </w:pPr>
            <w:r>
              <w:rPr>
                <w:color w:val="1C3A36"/>
                <w:sz w:val="18"/>
              </w:rPr>
              <w:t>-1,550</w:t>
            </w:r>
          </w:p>
        </w:tc>
        <w:tc>
          <w:tcPr>
            <w:tcW w:type="dxa" w:w="1339"/>
          </w:tcPr>
          <w:p>
            <w:pPr>
              <w:spacing w:after="20"/>
              <w:jc w:val="right"/>
            </w:pPr>
            <w:r>
              <w:rPr>
                <w:color w:val="1C3A36"/>
                <w:sz w:val="18"/>
              </w:rPr>
              <w:t>-1,600</w:t>
            </w:r>
          </w:p>
        </w:tc>
        <w:tc>
          <w:tcPr>
            <w:tcW w:type="dxa" w:w="1339"/>
          </w:tcPr>
          <w:p>
            <w:pPr>
              <w:spacing w:after="20"/>
              <w:jc w:val="right"/>
            </w:pPr>
            <w:r>
              <w:rPr>
                <w:color w:val="1C3A36"/>
                <w:sz w:val="18"/>
              </w:rPr>
              <w:t>-1,650</w:t>
            </w:r>
          </w:p>
        </w:tc>
      </w:tr>
      <w:tr>
        <w:tc>
          <w:tcPr>
            <w:tcW w:type="dxa" w:w="3384"/>
          </w:tcPr>
          <w:p>
            <w:pPr>
              <w:spacing w:after="20"/>
            </w:pPr>
            <w:r>
              <w:rPr>
                <w:color w:val="1C3A36"/>
                <w:sz w:val="18"/>
              </w:rPr>
              <w:t>− Δ working capital (components)</w:t>
            </w:r>
          </w:p>
        </w:tc>
        <w:tc>
          <w:tcPr>
            <w:tcW w:type="dxa" w:w="1339"/>
          </w:tcPr>
          <w:p>
            <w:pPr>
              <w:spacing w:after="20"/>
              <w:jc w:val="right"/>
            </w:pPr>
            <w:r>
              <w:rPr>
                <w:color w:val="1C3A36"/>
                <w:sz w:val="18"/>
              </w:rPr>
              <w:t>938</w:t>
            </w:r>
          </w:p>
        </w:tc>
        <w:tc>
          <w:tcPr>
            <w:tcW w:type="dxa" w:w="1339"/>
          </w:tcPr>
          <w:p>
            <w:pPr>
              <w:spacing w:after="20"/>
              <w:jc w:val="right"/>
            </w:pPr>
            <w:r>
              <w:rPr>
                <w:color w:val="1C3A36"/>
                <w:sz w:val="18"/>
              </w:rPr>
              <w:t>3,119</w:t>
            </w:r>
          </w:p>
        </w:tc>
        <w:tc>
          <w:tcPr>
            <w:tcW w:type="dxa" w:w="1339"/>
          </w:tcPr>
          <w:p>
            <w:pPr>
              <w:spacing w:after="20"/>
              <w:jc w:val="right"/>
            </w:pPr>
            <w:r>
              <w:rPr>
                <w:color w:val="1C3A36"/>
                <w:sz w:val="18"/>
              </w:rPr>
              <w:t>1,520</w:t>
            </w:r>
          </w:p>
        </w:tc>
        <w:tc>
          <w:tcPr>
            <w:tcW w:type="dxa" w:w="1339"/>
          </w:tcPr>
          <w:p>
            <w:pPr>
              <w:spacing w:after="20"/>
              <w:jc w:val="right"/>
            </w:pPr>
            <w:r>
              <w:rPr>
                <w:color w:val="1C3A36"/>
                <w:sz w:val="18"/>
              </w:rPr>
              <w:t>-313</w:t>
            </w:r>
          </w:p>
        </w:tc>
        <w:tc>
          <w:tcPr>
            <w:tcW w:type="dxa" w:w="1339"/>
          </w:tcPr>
          <w:p>
            <w:pPr>
              <w:spacing w:after="20"/>
              <w:jc w:val="right"/>
            </w:pPr>
            <w:r>
              <w:rPr>
                <w:color w:val="1C3A36"/>
                <w:sz w:val="18"/>
              </w:rPr>
              <w:t>-2,109</w:t>
            </w:r>
          </w:p>
        </w:tc>
      </w:tr>
      <w:tr>
        <w:tc>
          <w:tcPr>
            <w:tcW w:type="dxa" w:w="3384"/>
            <w:shd w:val="clear" w:color="auto" w:fill="F6F1E6"/>
          </w:tcPr>
          <w:p>
            <w:pPr>
              <w:spacing w:after="20"/>
            </w:pPr>
            <w:r>
              <w:rPr>
                <w:b/>
                <w:color w:val="1C3A36"/>
                <w:sz w:val="18"/>
              </w:rPr>
              <w:t>Free cash flow to firm</w:t>
            </w:r>
          </w:p>
        </w:tc>
        <w:tc>
          <w:tcPr>
            <w:tcW w:type="dxa" w:w="1339"/>
            <w:shd w:val="clear" w:color="auto" w:fill="F6F1E6"/>
          </w:tcPr>
          <w:p>
            <w:pPr>
              <w:spacing w:after="20"/>
              <w:jc w:val="right"/>
            </w:pPr>
            <w:r>
              <w:rPr>
                <w:b/>
                <w:color w:val="1C3A36"/>
                <w:sz w:val="18"/>
              </w:rPr>
              <w:t>1,357</w:t>
            </w:r>
          </w:p>
        </w:tc>
        <w:tc>
          <w:tcPr>
            <w:tcW w:type="dxa" w:w="1339"/>
            <w:shd w:val="clear" w:color="auto" w:fill="F6F1E6"/>
          </w:tcPr>
          <w:p>
            <w:pPr>
              <w:spacing w:after="20"/>
              <w:jc w:val="right"/>
            </w:pPr>
            <w:r>
              <w:rPr>
                <w:b/>
                <w:color w:val="1C3A36"/>
                <w:sz w:val="18"/>
              </w:rPr>
              <w:t>2,027</w:t>
            </w:r>
          </w:p>
        </w:tc>
        <w:tc>
          <w:tcPr>
            <w:tcW w:type="dxa" w:w="1339"/>
            <w:shd w:val="clear" w:color="auto" w:fill="F6F1E6"/>
          </w:tcPr>
          <w:p>
            <w:pPr>
              <w:spacing w:after="20"/>
              <w:jc w:val="right"/>
            </w:pPr>
            <w:r>
              <w:rPr>
                <w:b/>
                <w:color w:val="1C3A36"/>
                <w:sz w:val="18"/>
              </w:rPr>
              <w:t>4,955</w:t>
            </w:r>
          </w:p>
        </w:tc>
        <w:tc>
          <w:tcPr>
            <w:tcW w:type="dxa" w:w="1339"/>
            <w:shd w:val="clear" w:color="auto" w:fill="F6F1E6"/>
          </w:tcPr>
          <w:p>
            <w:pPr>
              <w:spacing w:after="20"/>
              <w:jc w:val="right"/>
            </w:pPr>
            <w:r>
              <w:rPr>
                <w:b/>
                <w:color w:val="1C3A36"/>
                <w:sz w:val="18"/>
              </w:rPr>
              <w:t>7,408</w:t>
            </w:r>
          </w:p>
        </w:tc>
        <w:tc>
          <w:tcPr>
            <w:tcW w:type="dxa" w:w="1339"/>
            <w:shd w:val="clear" w:color="auto" w:fill="F6F1E6"/>
          </w:tcPr>
          <w:p>
            <w:pPr>
              <w:spacing w:after="20"/>
              <w:jc w:val="right"/>
            </w:pPr>
            <w:r>
              <w:rPr>
                <w:b/>
                <w:color w:val="1C3A36"/>
                <w:sz w:val="18"/>
              </w:rPr>
              <w:t>9,423</w:t>
            </w:r>
          </w:p>
        </w:tc>
      </w:tr>
      <w:tr>
        <w:tc>
          <w:tcPr>
            <w:tcW w:type="dxa" w:w="3384"/>
          </w:tcPr>
          <w:p>
            <w:pPr>
              <w:spacing w:after="20"/>
            </w:pPr>
            <w:r>
              <w:rPr>
                <w:color w:val="1C3A36"/>
                <w:sz w:val="18"/>
              </w:rPr>
              <w:t>Discount factor</w:t>
            </w:r>
          </w:p>
        </w:tc>
        <w:tc>
          <w:tcPr>
            <w:tcW w:type="dxa" w:w="1339"/>
          </w:tcPr>
          <w:p>
            <w:pPr>
              <w:spacing w:after="20"/>
              <w:jc w:val="right"/>
            </w:pPr>
            <w:r>
              <w:rPr>
                <w:color w:val="1C3A36"/>
                <w:sz w:val="18"/>
              </w:rPr>
              <w:t>0.9565</w:t>
            </w:r>
          </w:p>
        </w:tc>
        <w:tc>
          <w:tcPr>
            <w:tcW w:type="dxa" w:w="1339"/>
          </w:tcPr>
          <w:p>
            <w:pPr>
              <w:spacing w:after="20"/>
              <w:jc w:val="right"/>
            </w:pPr>
            <w:r>
              <w:rPr>
                <w:color w:val="1C3A36"/>
                <w:sz w:val="18"/>
              </w:rPr>
              <w:t>0.8751</w:t>
            </w:r>
          </w:p>
        </w:tc>
        <w:tc>
          <w:tcPr>
            <w:tcW w:type="dxa" w:w="1339"/>
          </w:tcPr>
          <w:p>
            <w:pPr>
              <w:spacing w:after="20"/>
              <w:jc w:val="right"/>
            </w:pPr>
            <w:r>
              <w:rPr>
                <w:color w:val="1C3A36"/>
                <w:sz w:val="18"/>
              </w:rPr>
              <w:t>0.8007</w:t>
            </w:r>
          </w:p>
        </w:tc>
        <w:tc>
          <w:tcPr>
            <w:tcW w:type="dxa" w:w="1339"/>
          </w:tcPr>
          <w:p>
            <w:pPr>
              <w:spacing w:after="20"/>
              <w:jc w:val="right"/>
            </w:pPr>
            <w:r>
              <w:rPr>
                <w:color w:val="1C3A36"/>
                <w:sz w:val="18"/>
              </w:rPr>
              <w:t>0.7325</w:t>
            </w:r>
          </w:p>
        </w:tc>
        <w:tc>
          <w:tcPr>
            <w:tcW w:type="dxa" w:w="1339"/>
          </w:tcPr>
          <w:p>
            <w:pPr>
              <w:spacing w:after="20"/>
              <w:jc w:val="right"/>
            </w:pPr>
            <w:r>
              <w:rPr>
                <w:color w:val="1C3A36"/>
                <w:sz w:val="18"/>
              </w:rPr>
              <w:t>0.6702</w:t>
            </w:r>
          </w:p>
        </w:tc>
      </w:tr>
      <w:tr>
        <w:tc>
          <w:tcPr>
            <w:tcW w:type="dxa" w:w="3384"/>
          </w:tcPr>
          <w:p>
            <w:pPr>
              <w:spacing w:after="20"/>
            </w:pPr>
            <w:r>
              <w:rPr>
                <w:color w:val="1C3A36"/>
                <w:sz w:val="18"/>
              </w:rPr>
              <w:t>PV of FCFF</w:t>
            </w:r>
          </w:p>
        </w:tc>
        <w:tc>
          <w:tcPr>
            <w:tcW w:type="dxa" w:w="1339"/>
          </w:tcPr>
          <w:p>
            <w:pPr>
              <w:spacing w:after="20"/>
              <w:jc w:val="right"/>
            </w:pPr>
            <w:r>
              <w:rPr>
                <w:color w:val="1C3A36"/>
                <w:sz w:val="18"/>
              </w:rPr>
              <w:t>1,298</w:t>
            </w:r>
          </w:p>
        </w:tc>
        <w:tc>
          <w:tcPr>
            <w:tcW w:type="dxa" w:w="1339"/>
          </w:tcPr>
          <w:p>
            <w:pPr>
              <w:spacing w:after="20"/>
              <w:jc w:val="right"/>
            </w:pPr>
            <w:r>
              <w:rPr>
                <w:color w:val="1C3A36"/>
                <w:sz w:val="18"/>
              </w:rPr>
              <w:t>1,774</w:t>
            </w:r>
          </w:p>
        </w:tc>
        <w:tc>
          <w:tcPr>
            <w:tcW w:type="dxa" w:w="1339"/>
          </w:tcPr>
          <w:p>
            <w:pPr>
              <w:spacing w:after="20"/>
              <w:jc w:val="right"/>
            </w:pPr>
            <w:r>
              <w:rPr>
                <w:color w:val="1C3A36"/>
                <w:sz w:val="18"/>
              </w:rPr>
              <w:t>3,967</w:t>
            </w:r>
          </w:p>
        </w:tc>
        <w:tc>
          <w:tcPr>
            <w:tcW w:type="dxa" w:w="1339"/>
          </w:tcPr>
          <w:p>
            <w:pPr>
              <w:spacing w:after="20"/>
              <w:jc w:val="right"/>
            </w:pPr>
            <w:r>
              <w:rPr>
                <w:color w:val="1C3A36"/>
                <w:sz w:val="18"/>
              </w:rPr>
              <w:t>5,427</w:t>
            </w:r>
          </w:p>
        </w:tc>
        <w:tc>
          <w:tcPr>
            <w:tcW w:type="dxa" w:w="1339"/>
          </w:tcPr>
          <w:p>
            <w:pPr>
              <w:spacing w:after="20"/>
              <w:jc w:val="right"/>
            </w:pPr>
            <w:r>
              <w:rPr>
                <w:color w:val="1C3A36"/>
                <w:sz w:val="18"/>
              </w:rPr>
              <w:t>6,315</w:t>
            </w:r>
          </w:p>
        </w:tc>
      </w:tr>
    </w:tbl>
    <w:p>
      <w:pPr>
        <w:spacing w:after="40"/>
      </w:pPr>
    </w:p>
    <w:p>
      <w:pPr>
        <w:spacing w:after="200" w:before="0"/>
      </w:pPr>
      <w:r>
        <w:rPr>
          <w:b w:val="0"/>
          <w:i/>
          <w:color w:val="6E7B77"/>
          <w:sz w:val="17"/>
        </w:rPr>
        <w:t>H2-2026E is a half-year stub discounted at 0.5 years; FY2027E–FY2030E at 1.5–4.5 years. Explicit present value AED 18,780mn at the 9.30% cost of capital of section 1.8. The Δ-working-capital row ABSORBS cash through FY2028 — the reversal of the first edition's release schedule.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339"/>
        <w:gridCol w:w="1339"/>
        <w:gridCol w:w="1339"/>
        <w:gridCol w:w="1339"/>
        <w:gridCol w:w="1339"/>
      </w:tblGrid>
      <w:tr>
        <w:tc>
          <w:tcPr>
            <w:tcW w:type="dxa" w:w="3384"/>
            <w:shd w:val="clear" w:color="auto" w:fill="EAF0EE"/>
          </w:tcPr>
          <w:p>
            <w:pPr>
              <w:spacing w:after="20"/>
            </w:pPr>
            <w:r>
              <w:rPr>
                <w:b/>
                <w:color w:val="1C3A36"/>
                <w:sz w:val="17"/>
              </w:rPr>
              <w:t>Working-capital components (AED mn)</w:t>
            </w:r>
          </w:p>
        </w:tc>
        <w:tc>
          <w:tcPr>
            <w:tcW w:type="dxa" w:w="1339"/>
            <w:shd w:val="clear" w:color="auto" w:fill="EAF0EE"/>
          </w:tcPr>
          <w:p>
            <w:pPr>
              <w:spacing w:after="20"/>
            </w:pPr>
            <w:r>
              <w:rPr>
                <w:b/>
                <w:color w:val="1C3A36"/>
                <w:sz w:val="17"/>
              </w:rPr>
              <w:t>H2-26E</w:t>
            </w:r>
          </w:p>
        </w:tc>
        <w:tc>
          <w:tcPr>
            <w:tcW w:type="dxa" w:w="1339"/>
            <w:shd w:val="clear" w:color="auto" w:fill="EAF0EE"/>
          </w:tcPr>
          <w:p>
            <w:pPr>
              <w:spacing w:after="20"/>
            </w:pPr>
            <w:r>
              <w:rPr>
                <w:b/>
                <w:color w:val="1C3A36"/>
                <w:sz w:val="17"/>
              </w:rPr>
              <w:t>FY27E</w:t>
            </w:r>
          </w:p>
        </w:tc>
        <w:tc>
          <w:tcPr>
            <w:tcW w:type="dxa" w:w="1339"/>
            <w:shd w:val="clear" w:color="auto" w:fill="EAF0EE"/>
          </w:tcPr>
          <w:p>
            <w:pPr>
              <w:spacing w:after="20"/>
            </w:pPr>
            <w:r>
              <w:rPr>
                <w:b/>
                <w:color w:val="1C3A36"/>
                <w:sz w:val="17"/>
              </w:rPr>
              <w:t>FY28E</w:t>
            </w:r>
          </w:p>
        </w:tc>
        <w:tc>
          <w:tcPr>
            <w:tcW w:type="dxa" w:w="1339"/>
            <w:shd w:val="clear" w:color="auto" w:fill="EAF0EE"/>
          </w:tcPr>
          <w:p>
            <w:pPr>
              <w:spacing w:after="20"/>
            </w:pPr>
            <w:r>
              <w:rPr>
                <w:b/>
                <w:color w:val="1C3A36"/>
                <w:sz w:val="17"/>
              </w:rPr>
              <w:t>FY29E</w:t>
            </w:r>
          </w:p>
        </w:tc>
        <w:tc>
          <w:tcPr>
            <w:tcW w:type="dxa" w:w="1339"/>
            <w:shd w:val="clear" w:color="auto" w:fill="EAF0EE"/>
          </w:tcPr>
          <w:p>
            <w:pPr>
              <w:spacing w:after="20"/>
            </w:pPr>
            <w:r>
              <w:rPr>
                <w:b/>
                <w:color w:val="1C3A36"/>
                <w:sz w:val="17"/>
              </w:rPr>
              <w:t>FY30E</w:t>
            </w:r>
          </w:p>
        </w:tc>
      </w:tr>
      <w:tr>
        <w:tc>
          <w:tcPr>
            <w:tcW w:type="dxa" w:w="3384"/>
          </w:tcPr>
          <w:p>
            <w:pPr>
              <w:spacing w:after="20"/>
            </w:pPr>
            <w:r>
              <w:rPr>
                <w:color w:val="1C3A36"/>
                <w:sz w:val="17"/>
              </w:rPr>
              <w:t>Receivables incl. related-party (days × revenue)</w:t>
            </w:r>
          </w:p>
        </w:tc>
        <w:tc>
          <w:tcPr>
            <w:tcW w:type="dxa" w:w="1339"/>
          </w:tcPr>
          <w:p>
            <w:pPr>
              <w:spacing w:after="20"/>
              <w:jc w:val="right"/>
            </w:pPr>
            <w:r>
              <w:rPr>
                <w:color w:val="1C3A36"/>
                <w:sz w:val="17"/>
              </w:rPr>
              <w:t>24,392</w:t>
            </w:r>
          </w:p>
        </w:tc>
        <w:tc>
          <w:tcPr>
            <w:tcW w:type="dxa" w:w="1339"/>
          </w:tcPr>
          <w:p>
            <w:pPr>
              <w:spacing w:after="20"/>
              <w:jc w:val="right"/>
            </w:pPr>
            <w:r>
              <w:rPr>
                <w:color w:val="1C3A36"/>
                <w:sz w:val="17"/>
              </w:rPr>
              <w:t>30,653</w:t>
            </w:r>
          </w:p>
        </w:tc>
        <w:tc>
          <w:tcPr>
            <w:tcW w:type="dxa" w:w="1339"/>
          </w:tcPr>
          <w:p>
            <w:pPr>
              <w:spacing w:after="20"/>
              <w:jc w:val="right"/>
            </w:pPr>
            <w:r>
              <w:rPr>
                <w:color w:val="1C3A36"/>
                <w:sz w:val="17"/>
              </w:rPr>
              <w:t>35,953</w:t>
            </w:r>
          </w:p>
        </w:tc>
        <w:tc>
          <w:tcPr>
            <w:tcW w:type="dxa" w:w="1339"/>
          </w:tcPr>
          <w:p>
            <w:pPr>
              <w:spacing w:after="20"/>
              <w:jc w:val="right"/>
            </w:pPr>
            <w:r>
              <w:rPr>
                <w:color w:val="1C3A36"/>
                <w:sz w:val="17"/>
              </w:rPr>
              <w:t>37,320</w:t>
            </w:r>
          </w:p>
        </w:tc>
        <w:tc>
          <w:tcPr>
            <w:tcW w:type="dxa" w:w="1339"/>
          </w:tcPr>
          <w:p>
            <w:pPr>
              <w:spacing w:after="20"/>
              <w:jc w:val="right"/>
            </w:pPr>
            <w:r>
              <w:rPr>
                <w:color w:val="1C3A36"/>
                <w:sz w:val="17"/>
              </w:rPr>
              <w:t>36,684</w:t>
            </w:r>
          </w:p>
        </w:tc>
      </w:tr>
      <w:tr>
        <w:tc>
          <w:tcPr>
            <w:tcW w:type="dxa" w:w="3384"/>
          </w:tcPr>
          <w:p>
            <w:pPr>
              <w:spacing w:after="20"/>
            </w:pPr>
            <w:r>
              <w:rPr>
                <w:color w:val="1C3A36"/>
                <w:sz w:val="17"/>
              </w:rPr>
              <w:t>Inventories + development WIP (roll)</w:t>
            </w:r>
          </w:p>
        </w:tc>
        <w:tc>
          <w:tcPr>
            <w:tcW w:type="dxa" w:w="1339"/>
          </w:tcPr>
          <w:p>
            <w:pPr>
              <w:spacing w:after="20"/>
              <w:jc w:val="right"/>
            </w:pPr>
            <w:r>
              <w:rPr>
                <w:color w:val="1C3A36"/>
                <w:sz w:val="17"/>
              </w:rPr>
              <w:t>34,435</w:t>
            </w:r>
          </w:p>
        </w:tc>
        <w:tc>
          <w:tcPr>
            <w:tcW w:type="dxa" w:w="1339"/>
          </w:tcPr>
          <w:p>
            <w:pPr>
              <w:spacing w:after="20"/>
              <w:jc w:val="right"/>
            </w:pPr>
            <w:r>
              <w:rPr>
                <w:color w:val="1C3A36"/>
                <w:sz w:val="17"/>
              </w:rPr>
              <w:t>35,239</w:t>
            </w:r>
          </w:p>
        </w:tc>
        <w:tc>
          <w:tcPr>
            <w:tcW w:type="dxa" w:w="1339"/>
          </w:tcPr>
          <w:p>
            <w:pPr>
              <w:spacing w:after="20"/>
              <w:jc w:val="right"/>
            </w:pPr>
            <w:r>
              <w:rPr>
                <w:color w:val="1C3A36"/>
                <w:sz w:val="17"/>
              </w:rPr>
              <w:t>34,923</w:t>
            </w:r>
          </w:p>
        </w:tc>
        <w:tc>
          <w:tcPr>
            <w:tcW w:type="dxa" w:w="1339"/>
          </w:tcPr>
          <w:p>
            <w:pPr>
              <w:spacing w:after="20"/>
              <w:jc w:val="right"/>
            </w:pPr>
            <w:r>
              <w:rPr>
                <w:color w:val="1C3A36"/>
                <w:sz w:val="17"/>
              </w:rPr>
              <w:t>33,972</w:t>
            </w:r>
          </w:p>
        </w:tc>
        <w:tc>
          <w:tcPr>
            <w:tcW w:type="dxa" w:w="1339"/>
          </w:tcPr>
          <w:p>
            <w:pPr>
              <w:spacing w:after="20"/>
              <w:jc w:val="right"/>
            </w:pPr>
            <w:r>
              <w:rPr>
                <w:color w:val="1C3A36"/>
                <w:sz w:val="17"/>
              </w:rPr>
              <w:t>32,687</w:t>
            </w:r>
          </w:p>
        </w:tc>
      </w:tr>
      <w:tr>
        <w:tc>
          <w:tcPr>
            <w:tcW w:type="dxa" w:w="3384"/>
          </w:tcPr>
          <w:p>
            <w:pPr>
              <w:spacing w:after="20"/>
            </w:pPr>
            <w:r>
              <w:rPr>
                <w:color w:val="1C3A36"/>
                <w:sz w:val="17"/>
              </w:rPr>
              <w:t>Payables incl. advances (cover × costs)</w:t>
            </w:r>
          </w:p>
        </w:tc>
        <w:tc>
          <w:tcPr>
            <w:tcW w:type="dxa" w:w="1339"/>
          </w:tcPr>
          <w:p>
            <w:pPr>
              <w:spacing w:after="20"/>
              <w:jc w:val="right"/>
            </w:pPr>
            <w:r>
              <w:rPr>
                <w:color w:val="1C3A36"/>
                <w:sz w:val="17"/>
              </w:rPr>
              <w:t>23,935</w:t>
            </w:r>
          </w:p>
        </w:tc>
        <w:tc>
          <w:tcPr>
            <w:tcW w:type="dxa" w:w="1339"/>
          </w:tcPr>
          <w:p>
            <w:pPr>
              <w:spacing w:after="20"/>
              <w:jc w:val="right"/>
            </w:pPr>
            <w:r>
              <w:rPr>
                <w:color w:val="1C3A36"/>
                <w:sz w:val="17"/>
              </w:rPr>
              <w:t>27,881</w:t>
            </w:r>
          </w:p>
        </w:tc>
        <w:tc>
          <w:tcPr>
            <w:tcW w:type="dxa" w:w="1339"/>
          </w:tcPr>
          <w:p>
            <w:pPr>
              <w:spacing w:after="20"/>
              <w:jc w:val="right"/>
            </w:pPr>
            <w:r>
              <w:rPr>
                <w:color w:val="1C3A36"/>
                <w:sz w:val="17"/>
              </w:rPr>
              <w:t>31,346</w:t>
            </w:r>
          </w:p>
        </w:tc>
        <w:tc>
          <w:tcPr>
            <w:tcW w:type="dxa" w:w="1339"/>
          </w:tcPr>
          <w:p>
            <w:pPr>
              <w:spacing w:after="20"/>
              <w:jc w:val="right"/>
            </w:pPr>
            <w:r>
              <w:rPr>
                <w:color w:val="1C3A36"/>
                <w:sz w:val="17"/>
              </w:rPr>
              <w:t>32,075</w:t>
            </w:r>
          </w:p>
        </w:tc>
        <w:tc>
          <w:tcPr>
            <w:tcW w:type="dxa" w:w="1339"/>
          </w:tcPr>
          <w:p>
            <w:pPr>
              <w:spacing w:after="20"/>
              <w:jc w:val="right"/>
            </w:pPr>
            <w:r>
              <w:rPr>
                <w:color w:val="1C3A36"/>
                <w:sz w:val="17"/>
              </w:rPr>
              <w:t>32,263</w:t>
            </w:r>
          </w:p>
        </w:tc>
      </w:tr>
      <w:tr>
        <w:tc>
          <w:tcPr>
            <w:tcW w:type="dxa" w:w="3384"/>
          </w:tcPr>
          <w:p>
            <w:pPr>
              <w:spacing w:after="20"/>
            </w:pPr>
            <w:r>
              <w:rPr>
                <w:color w:val="1C3A36"/>
                <w:sz w:val="17"/>
              </w:rPr>
              <w:t>Net working capital</w:t>
            </w:r>
          </w:p>
        </w:tc>
        <w:tc>
          <w:tcPr>
            <w:tcW w:type="dxa" w:w="1339"/>
          </w:tcPr>
          <w:p>
            <w:pPr>
              <w:spacing w:after="20"/>
              <w:jc w:val="right"/>
            </w:pPr>
            <w:r>
              <w:rPr>
                <w:color w:val="1C3A36"/>
                <w:sz w:val="17"/>
              </w:rPr>
              <w:t>34,892</w:t>
            </w:r>
          </w:p>
        </w:tc>
        <w:tc>
          <w:tcPr>
            <w:tcW w:type="dxa" w:w="1339"/>
          </w:tcPr>
          <w:p>
            <w:pPr>
              <w:spacing w:after="20"/>
              <w:jc w:val="right"/>
            </w:pPr>
            <w:r>
              <w:rPr>
                <w:color w:val="1C3A36"/>
                <w:sz w:val="17"/>
              </w:rPr>
              <w:t>38,010</w:t>
            </w:r>
          </w:p>
        </w:tc>
        <w:tc>
          <w:tcPr>
            <w:tcW w:type="dxa" w:w="1339"/>
          </w:tcPr>
          <w:p>
            <w:pPr>
              <w:spacing w:after="20"/>
              <w:jc w:val="right"/>
            </w:pPr>
            <w:r>
              <w:rPr>
                <w:color w:val="1C3A36"/>
                <w:sz w:val="17"/>
              </w:rPr>
              <w:t>39,530</w:t>
            </w:r>
          </w:p>
        </w:tc>
        <w:tc>
          <w:tcPr>
            <w:tcW w:type="dxa" w:w="1339"/>
          </w:tcPr>
          <w:p>
            <w:pPr>
              <w:spacing w:after="20"/>
              <w:jc w:val="right"/>
            </w:pPr>
            <w:r>
              <w:rPr>
                <w:color w:val="1C3A36"/>
                <w:sz w:val="17"/>
              </w:rPr>
              <w:t>39,217</w:t>
            </w:r>
          </w:p>
        </w:tc>
        <w:tc>
          <w:tcPr>
            <w:tcW w:type="dxa" w:w="1339"/>
          </w:tcPr>
          <w:p>
            <w:pPr>
              <w:spacing w:after="20"/>
              <w:jc w:val="right"/>
            </w:pPr>
            <w:r>
              <w:rPr>
                <w:color w:val="1C3A36"/>
                <w:sz w:val="17"/>
              </w:rPr>
              <w:t>37,108</w:t>
            </w:r>
          </w:p>
        </w:tc>
      </w:tr>
      <w:tr>
        <w:tc>
          <w:tcPr>
            <w:tcW w:type="dxa" w:w="3384"/>
            <w:shd w:val="clear" w:color="auto" w:fill="F6F1E6"/>
          </w:tcPr>
          <w:p>
            <w:pPr>
              <w:spacing w:after="20"/>
            </w:pPr>
            <w:r>
              <w:rPr>
                <w:b/>
                <w:color w:val="1C3A36"/>
                <w:sz w:val="17"/>
              </w:rPr>
              <w:t>Δ working capital (+ = absorption)</w:t>
            </w:r>
          </w:p>
        </w:tc>
        <w:tc>
          <w:tcPr>
            <w:tcW w:type="dxa" w:w="1339"/>
            <w:shd w:val="clear" w:color="auto" w:fill="F6F1E6"/>
          </w:tcPr>
          <w:p>
            <w:pPr>
              <w:spacing w:after="20"/>
              <w:jc w:val="right"/>
            </w:pPr>
            <w:r>
              <w:rPr>
                <w:b/>
                <w:color w:val="1C3A36"/>
                <w:sz w:val="17"/>
              </w:rPr>
              <w:t>938</w:t>
            </w:r>
          </w:p>
        </w:tc>
        <w:tc>
          <w:tcPr>
            <w:tcW w:type="dxa" w:w="1339"/>
            <w:shd w:val="clear" w:color="auto" w:fill="F6F1E6"/>
          </w:tcPr>
          <w:p>
            <w:pPr>
              <w:spacing w:after="20"/>
              <w:jc w:val="right"/>
            </w:pPr>
            <w:r>
              <w:rPr>
                <w:b/>
                <w:color w:val="1C3A36"/>
                <w:sz w:val="17"/>
              </w:rPr>
              <w:t>3,119</w:t>
            </w:r>
          </w:p>
        </w:tc>
        <w:tc>
          <w:tcPr>
            <w:tcW w:type="dxa" w:w="1339"/>
            <w:shd w:val="clear" w:color="auto" w:fill="F6F1E6"/>
          </w:tcPr>
          <w:p>
            <w:pPr>
              <w:spacing w:after="20"/>
              <w:jc w:val="right"/>
            </w:pPr>
            <w:r>
              <w:rPr>
                <w:b/>
                <w:color w:val="1C3A36"/>
                <w:sz w:val="17"/>
              </w:rPr>
              <w:t>1,520</w:t>
            </w:r>
          </w:p>
        </w:tc>
        <w:tc>
          <w:tcPr>
            <w:tcW w:type="dxa" w:w="1339"/>
            <w:shd w:val="clear" w:color="auto" w:fill="F6F1E6"/>
          </w:tcPr>
          <w:p>
            <w:pPr>
              <w:spacing w:after="20"/>
              <w:jc w:val="right"/>
            </w:pPr>
            <w:r>
              <w:rPr>
                <w:b/>
                <w:color w:val="1C3A36"/>
                <w:sz w:val="17"/>
              </w:rPr>
              <w:t>-313</w:t>
            </w:r>
          </w:p>
        </w:tc>
        <w:tc>
          <w:tcPr>
            <w:tcW w:type="dxa" w:w="1339"/>
            <w:shd w:val="clear" w:color="auto" w:fill="F6F1E6"/>
          </w:tcPr>
          <w:p>
            <w:pPr>
              <w:spacing w:after="20"/>
              <w:jc w:val="right"/>
            </w:pPr>
            <w:r>
              <w:rPr>
                <w:b/>
                <w:color w:val="1C3A36"/>
                <w:sz w:val="17"/>
              </w:rPr>
              <w:t>-2,109</w:t>
            </w:r>
          </w:p>
        </w:tc>
      </w:tr>
    </w:tbl>
    <w:p>
      <w:pPr>
        <w:spacing w:after="40"/>
      </w:pPr>
    </w:p>
    <w:p>
      <w:pPr>
        <w:spacing w:after="120" w:before="0"/>
      </w:pPr>
      <w:r>
        <w:rPr>
          <w:b w:val="0"/>
          <w:i w:val="0"/>
          <w:color w:val="1C3A36"/>
          <w:sz w:val="21"/>
        </w:rPr>
        <w:t>Terminal block. Terminal growth 2.5%; terminal return on capital 8.5% — deliberately below the model's own forecast path (which reaches ~13% by FY2030E as capital releases while profit grows) and above the FY2025 clean achieved 6.1%, a stated mean-reversion margin of safety. Reinvestment = g/ROIC = 29.4%, derived. The terminal debt weight is no longer assumed: it is DERIVED from the model's own FY2030E balance sheet (8.0%), which puts the terminal rate at 9.82% — ABOVE the explicit-window rate, where the first edition had it below. Terminal value AED 80,726mn, worth AED 54,103mn today — 74.2% of enterprise value, a share the reader should see and judge; the working-capital absorption in the explicit years pushes it up, and section 1.9 prices the terminal-return case both ways.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624"/>
        <w:gridCol w:w="2304"/>
      </w:tblGrid>
      <w:tr>
        <w:tc>
          <w:tcPr>
            <w:tcW w:type="dxa" w:w="6624"/>
            <w:shd w:val="clear" w:color="auto" w:fill="EAF0EE"/>
          </w:tcPr>
          <w:p>
            <w:pPr>
              <w:spacing w:after="20"/>
            </w:pPr>
            <w:r>
              <w:rPr>
                <w:b/>
                <w:color w:val="1C3A36"/>
                <w:sz w:val="18"/>
              </w:rPr>
              <w:t>Enterprise value → equity per share (30-Jun-2026)</w:t>
            </w:r>
          </w:p>
        </w:tc>
        <w:tc>
          <w:tcPr>
            <w:tcW w:type="dxa" w:w="2304"/>
            <w:shd w:val="clear" w:color="auto" w:fill="EAF0EE"/>
          </w:tcPr>
          <w:p>
            <w:pPr>
              <w:spacing w:after="20"/>
            </w:pPr>
            <w:r>
              <w:rPr>
                <w:b/>
                <w:color w:val="1C3A36"/>
                <w:sz w:val="18"/>
              </w:rPr>
              <w:t>AED mn</w:t>
            </w:r>
          </w:p>
        </w:tc>
      </w:tr>
      <w:tr>
        <w:tc>
          <w:tcPr>
            <w:tcW w:type="dxa" w:w="6624"/>
          </w:tcPr>
          <w:p>
            <w:pPr>
              <w:spacing w:after="20"/>
            </w:pPr>
            <w:r>
              <w:rPr>
                <w:color w:val="1C3A36"/>
                <w:sz w:val="18"/>
              </w:rPr>
              <w:t>PV of explicit periods</w:t>
            </w:r>
          </w:p>
        </w:tc>
        <w:tc>
          <w:tcPr>
            <w:tcW w:type="dxa" w:w="2304"/>
          </w:tcPr>
          <w:p>
            <w:pPr>
              <w:spacing w:after="20"/>
              <w:jc w:val="right"/>
            </w:pPr>
            <w:r>
              <w:rPr>
                <w:color w:val="1C3A36"/>
                <w:sz w:val="18"/>
              </w:rPr>
              <w:t>18,780</w:t>
            </w:r>
          </w:p>
        </w:tc>
      </w:tr>
      <w:tr>
        <w:tc>
          <w:tcPr>
            <w:tcW w:type="dxa" w:w="6624"/>
          </w:tcPr>
          <w:p>
            <w:pPr>
              <w:spacing w:after="20"/>
            </w:pPr>
            <w:r>
              <w:rPr>
                <w:color w:val="1C3A36"/>
                <w:sz w:val="18"/>
              </w:rPr>
              <w:t>PV of terminal value</w:t>
            </w:r>
          </w:p>
        </w:tc>
        <w:tc>
          <w:tcPr>
            <w:tcW w:type="dxa" w:w="2304"/>
          </w:tcPr>
          <w:p>
            <w:pPr>
              <w:spacing w:after="20"/>
              <w:jc w:val="right"/>
            </w:pPr>
            <w:r>
              <w:rPr>
                <w:color w:val="1C3A36"/>
                <w:sz w:val="18"/>
              </w:rPr>
              <w:t>54,103</w:t>
            </w:r>
          </w:p>
        </w:tc>
      </w:tr>
      <w:tr>
        <w:tc>
          <w:tcPr>
            <w:tcW w:type="dxa" w:w="6624"/>
            <w:shd w:val="clear" w:color="auto" w:fill="F6F1E6"/>
          </w:tcPr>
          <w:p>
            <w:pPr>
              <w:spacing w:after="20"/>
            </w:pPr>
            <w:r>
              <w:rPr>
                <w:b/>
                <w:color w:val="1C3A36"/>
                <w:sz w:val="18"/>
              </w:rPr>
              <w:t>Enterprise value</w:t>
            </w:r>
          </w:p>
        </w:tc>
        <w:tc>
          <w:tcPr>
            <w:tcW w:type="dxa" w:w="2304"/>
            <w:shd w:val="clear" w:color="auto" w:fill="F6F1E6"/>
          </w:tcPr>
          <w:p>
            <w:pPr>
              <w:spacing w:after="20"/>
              <w:jc w:val="right"/>
            </w:pPr>
            <w:r>
              <w:rPr>
                <w:b/>
                <w:color w:val="1C3A36"/>
                <w:sz w:val="18"/>
              </w:rPr>
              <w:t>72,884</w:t>
            </w:r>
          </w:p>
        </w:tc>
      </w:tr>
      <w:tr>
        <w:tc>
          <w:tcPr>
            <w:tcW w:type="dxa" w:w="6624"/>
          </w:tcPr>
          <w:p>
            <w:pPr>
              <w:spacing w:after="20"/>
            </w:pPr>
            <w:r>
              <w:rPr>
                <w:color w:val="1C3A36"/>
                <w:sz w:val="18"/>
              </w:rPr>
              <w:t xml:space="preserve">  of which terminal value: 74.2%</w:t>
            </w:r>
          </w:p>
        </w:tc>
        <w:tc>
          <w:tcPr>
            <w:tcW w:type="dxa" w:w="2304"/>
          </w:tcPr>
          <w:p>
            <w:pPr>
              <w:spacing w:after="20"/>
              <w:jc w:val="right"/>
            </w:pPr>
            <w:r>
              <w:rPr>
                <w:color w:val="1C3A36"/>
                <w:sz w:val="18"/>
              </w:rPr>
            </w:r>
          </w:p>
        </w:tc>
      </w:tr>
      <w:tr>
        <w:tc>
          <w:tcPr>
            <w:tcW w:type="dxa" w:w="6624"/>
          </w:tcPr>
          <w:p>
            <w:pPr>
              <w:spacing w:after="20"/>
            </w:pPr>
            <w:r>
              <w:rPr>
                <w:color w:val="1C3A36"/>
                <w:sz w:val="18"/>
              </w:rPr>
              <w:t>+ unrestricted (available) cash — disclosed</w:t>
            </w:r>
          </w:p>
        </w:tc>
        <w:tc>
          <w:tcPr>
            <w:tcW w:type="dxa" w:w="2304"/>
          </w:tcPr>
          <w:p>
            <w:pPr>
              <w:spacing w:after="20"/>
              <w:jc w:val="right"/>
            </w:pPr>
            <w:r>
              <w:rPr>
                <w:color w:val="1C3A36"/>
                <w:sz w:val="18"/>
              </w:rPr>
              <w:t>8,600</w:t>
            </w:r>
          </w:p>
        </w:tc>
      </w:tr>
      <w:tr>
        <w:tc>
          <w:tcPr>
            <w:tcW w:type="dxa" w:w="6624"/>
          </w:tcPr>
          <w:p>
            <w:pPr>
              <w:spacing w:after="20"/>
            </w:pPr>
            <w:r>
              <w:rPr>
                <w:color w:val="1C3A36"/>
                <w:sz w:val="18"/>
              </w:rPr>
              <w:t xml:space="preserve">  (excluded: AED 3,703mn of escrow/restricted cash — it funds completion of the very backlog the DCF values; adding it back would double-count)</w:t>
            </w:r>
          </w:p>
        </w:tc>
        <w:tc>
          <w:tcPr>
            <w:tcW w:type="dxa" w:w="2304"/>
          </w:tcPr>
          <w:p>
            <w:pPr>
              <w:spacing w:after="20"/>
              <w:jc w:val="right"/>
            </w:pPr>
            <w:r>
              <w:rPr>
                <w:color w:val="1C3A36"/>
                <w:sz w:val="18"/>
              </w:rPr>
            </w:r>
          </w:p>
        </w:tc>
      </w:tr>
      <w:tr>
        <w:tc>
          <w:tcPr>
            <w:tcW w:type="dxa" w:w="6624"/>
          </w:tcPr>
          <w:p>
            <w:pPr>
              <w:spacing w:after="20"/>
            </w:pPr>
            <w:r>
              <w:rPr>
                <w:color w:val="1C3A36"/>
                <w:sz w:val="18"/>
              </w:rPr>
              <w:t>− debt incl. the related-party loan</w:t>
            </w:r>
          </w:p>
        </w:tc>
        <w:tc>
          <w:tcPr>
            <w:tcW w:type="dxa" w:w="2304"/>
          </w:tcPr>
          <w:p>
            <w:pPr>
              <w:spacing w:after="20"/>
              <w:jc w:val="right"/>
            </w:pPr>
            <w:r>
              <w:rPr>
                <w:color w:val="1C3A36"/>
                <w:sz w:val="18"/>
              </w:rPr>
              <w:t>-9,542</w:t>
            </w:r>
          </w:p>
        </w:tc>
      </w:tr>
      <w:tr>
        <w:tc>
          <w:tcPr>
            <w:tcW w:type="dxa" w:w="6624"/>
          </w:tcPr>
          <w:p>
            <w:pPr>
              <w:spacing w:after="20"/>
            </w:pPr>
            <w:r>
              <w:rPr>
                <w:color w:val="1C3A36"/>
                <w:sz w:val="18"/>
              </w:rPr>
              <w:t>− lease liabilities</w:t>
            </w:r>
          </w:p>
        </w:tc>
        <w:tc>
          <w:tcPr>
            <w:tcW w:type="dxa" w:w="2304"/>
          </w:tcPr>
          <w:p>
            <w:pPr>
              <w:spacing w:after="20"/>
              <w:jc w:val="right"/>
            </w:pPr>
            <w:r>
              <w:rPr>
                <w:color w:val="1C3A36"/>
                <w:sz w:val="18"/>
              </w:rPr>
              <w:t>-645</w:t>
            </w:r>
          </w:p>
        </w:tc>
      </w:tr>
      <w:tr>
        <w:tc>
          <w:tcPr>
            <w:tcW w:type="dxa" w:w="6624"/>
          </w:tcPr>
          <w:p>
            <w:pPr>
              <w:spacing w:after="20"/>
            </w:pPr>
            <w:r>
              <w:rPr>
                <w:color w:val="1C3A36"/>
                <w:sz w:val="18"/>
              </w:rPr>
              <w:t>+ associates &amp; joint ventures at book</w:t>
            </w:r>
          </w:p>
        </w:tc>
        <w:tc>
          <w:tcPr>
            <w:tcW w:type="dxa" w:w="2304"/>
          </w:tcPr>
          <w:p>
            <w:pPr>
              <w:spacing w:after="20"/>
              <w:jc w:val="right"/>
            </w:pPr>
            <w:r>
              <w:rPr>
                <w:color w:val="1C3A36"/>
                <w:sz w:val="18"/>
              </w:rPr>
              <w:t>2,826</w:t>
            </w:r>
          </w:p>
        </w:tc>
      </w:tr>
      <w:tr>
        <w:tc>
          <w:tcPr>
            <w:tcW w:type="dxa" w:w="6624"/>
          </w:tcPr>
          <w:p>
            <w:pPr>
              <w:spacing w:after="20"/>
            </w:pPr>
            <w:r>
              <w:rPr>
                <w:color w:val="1C3A36"/>
                <w:sz w:val="18"/>
              </w:rPr>
              <w:t>+ financial assets</w:t>
            </w:r>
          </w:p>
        </w:tc>
        <w:tc>
          <w:tcPr>
            <w:tcW w:type="dxa" w:w="2304"/>
          </w:tcPr>
          <w:p>
            <w:pPr>
              <w:spacing w:after="20"/>
              <w:jc w:val="right"/>
            </w:pPr>
            <w:r>
              <w:rPr>
                <w:color w:val="1C3A36"/>
                <w:sz w:val="18"/>
              </w:rPr>
              <w:t>393</w:t>
            </w:r>
          </w:p>
        </w:tc>
      </w:tr>
      <w:tr>
        <w:tc>
          <w:tcPr>
            <w:tcW w:type="dxa" w:w="6624"/>
          </w:tcPr>
          <w:p>
            <w:pPr>
              <w:spacing w:after="20"/>
            </w:pPr>
            <w:r>
              <w:rPr>
                <w:color w:val="1C3A36"/>
                <w:sz w:val="18"/>
              </w:rPr>
              <w:t>− non-controlling interests, capitalised at 2% of equity value (book AED 922mn shown as the alternative)</w:t>
            </w:r>
          </w:p>
        </w:tc>
        <w:tc>
          <w:tcPr>
            <w:tcW w:type="dxa" w:w="2304"/>
          </w:tcPr>
          <w:p>
            <w:pPr>
              <w:spacing w:after="20"/>
              <w:jc w:val="right"/>
            </w:pPr>
            <w:r>
              <w:rPr>
                <w:color w:val="1C3A36"/>
                <w:sz w:val="18"/>
              </w:rPr>
              <w:t>-1,472</w:t>
            </w:r>
          </w:p>
        </w:tc>
      </w:tr>
      <w:tr>
        <w:tc>
          <w:tcPr>
            <w:tcW w:type="dxa" w:w="6624"/>
            <w:shd w:val="clear" w:color="auto" w:fill="F6F1E6"/>
          </w:tcPr>
          <w:p>
            <w:pPr>
              <w:spacing w:after="20"/>
            </w:pPr>
            <w:r>
              <w:rPr>
                <w:b/>
                <w:color w:val="1C3A36"/>
                <w:sz w:val="18"/>
              </w:rPr>
              <w:t>Equity attributable, 30 Jun 2026</w:t>
            </w:r>
          </w:p>
        </w:tc>
        <w:tc>
          <w:tcPr>
            <w:tcW w:type="dxa" w:w="2304"/>
            <w:shd w:val="clear" w:color="auto" w:fill="F6F1E6"/>
          </w:tcPr>
          <w:p>
            <w:pPr>
              <w:spacing w:after="20"/>
              <w:jc w:val="right"/>
            </w:pPr>
            <w:r>
              <w:rPr>
                <w:b/>
                <w:color w:val="1C3A36"/>
                <w:sz w:val="18"/>
              </w:rPr>
              <w:t>73,045</w:t>
            </w:r>
          </w:p>
        </w:tc>
      </w:tr>
      <w:tr>
        <w:tc>
          <w:tcPr>
            <w:tcW w:type="dxa" w:w="6624"/>
          </w:tcPr>
          <w:p>
            <w:pPr>
              <w:spacing w:after="20"/>
            </w:pPr>
            <w:r>
              <w:rPr>
                <w:color w:val="1C3A36"/>
                <w:sz w:val="18"/>
              </w:rPr>
              <w:t>Per share (16,347mn shares)</w:t>
            </w:r>
          </w:p>
        </w:tc>
        <w:tc>
          <w:tcPr>
            <w:tcW w:type="dxa" w:w="2304"/>
          </w:tcPr>
          <w:p>
            <w:pPr>
              <w:spacing w:after="20"/>
              <w:jc w:val="right"/>
            </w:pPr>
            <w:r>
              <w:rPr>
                <w:color w:val="1C3A36"/>
                <w:sz w:val="18"/>
              </w:rPr>
              <w:t>4.47</w:t>
            </w:r>
          </w:p>
        </w:tc>
      </w:tr>
      <w:tr>
        <w:tc>
          <w:tcPr>
            <w:tcW w:type="dxa" w:w="6624"/>
            <w:shd w:val="clear" w:color="auto" w:fill="F6F1E6"/>
          </w:tcPr>
          <w:p>
            <w:pPr>
              <w:spacing w:after="20"/>
            </w:pPr>
            <w:r>
              <w:rPr>
                <w:b/>
                <w:color w:val="1C3A36"/>
                <w:sz w:val="18"/>
              </w:rPr>
              <w:t>Rolled 38 days to the 7 Aug 2026 anchor at the cost of equity</w:t>
            </w:r>
          </w:p>
        </w:tc>
        <w:tc>
          <w:tcPr>
            <w:tcW w:type="dxa" w:w="2304"/>
            <w:shd w:val="clear" w:color="auto" w:fill="F6F1E6"/>
          </w:tcPr>
          <w:p>
            <w:pPr>
              <w:spacing w:after="20"/>
              <w:jc w:val="right"/>
            </w:pPr>
            <w:r>
              <w:rPr>
                <w:b/>
                <w:color w:val="1C3A36"/>
                <w:sz w:val="18"/>
              </w:rPr>
              <w:t>4.51</w:t>
            </w:r>
          </w:p>
        </w:tc>
      </w:tr>
    </w:tbl>
    <w:p>
      <w:pPr>
        <w:spacing w:after="40"/>
      </w:pPr>
    </w:p>
    <w:p>
      <w:pPr>
        <w:spacing w:after="200" w:before="0"/>
      </w:pPr>
      <w:r>
        <w:rPr>
          <w:b w:val="0"/>
          <w:i/>
          <w:color w:val="6E7B77"/>
          <w:sz w:val="17"/>
        </w:rPr>
        <w:t>Gross-cash alternative (first edition's basis): AED 4.74; book-NCI alternative: AED 4.55. Both are shown in the workbook. On the strict all-cash basis the company holds net cash of AED 2,762mn; on its own available-cash definition it reports net debt of AED 912mn — both framings stated.</w:t>
      </w:r>
    </w:p>
    <w:p>
      <w:pPr>
        <w:spacing w:after="80" w:before="200"/>
      </w:pPr>
      <w:r>
        <w:rPr>
          <w:b/>
          <w:i w:val="0"/>
          <w:color w:val="1C3A36"/>
          <w:sz w:val="24"/>
        </w:rPr>
        <w:t>1.2 · Book value and sustainable return</w:t>
      </w:r>
    </w:p>
    <w:p>
      <w:pPr>
        <w:spacing w:after="120" w:before="0"/>
      </w:pPr>
      <w:r>
        <w:rPr>
          <w:b w:val="0"/>
          <w:i w:val="0"/>
          <w:color w:val="1C3A36"/>
          <w:sz w:val="21"/>
        </w:rPr>
        <w:t>Attributable equity at 30 June 2026 is AED 56,397mn — AED 3.45 per share, so the market pays 0.82x book. One cleaning, tied to the disclosed line items: FY2025 carried AED 735mn of fair-value and disposal gains; removing them (tax-effected) puts clean attributable return on average equity at 6.6% against 7.8% reported. The 7.5% used here is a forward-sustainable judgement, not that cleaning: it sits between the mechanical clean figure and the model's own forecast path (10.3% rising), and the first edition's conflation of the two — flagged by the audits — is withdrawn. Justified price-to-book = (7.5% − 2.5%) / (10.28% − 2.5%) = 0.64x, worth AED 2.24 per share rolled to the anchor — this lens is now struck on the same date as the others.</w:t>
      </w:r>
    </w:p>
    <w:p>
      <w:pPr>
        <w:spacing w:after="80" w:before="200"/>
      </w:pPr>
      <w:r>
        <w:rPr>
          <w:b/>
          <w:i w:val="0"/>
          <w:color w:val="1C3A36"/>
          <w:sz w:val="24"/>
        </w:rPr>
        <w:t>1.3 · Relative multiples — rebuilt on one basis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864"/>
        <w:gridCol w:w="1613"/>
        <w:gridCol w:w="1843"/>
        <w:gridCol w:w="1584"/>
        <w:gridCol w:w="1656"/>
      </w:tblGrid>
      <w:tr>
        <w:tc>
          <w:tcPr>
            <w:tcW w:type="dxa" w:w="2520"/>
            <w:shd w:val="clear" w:color="auto" w:fill="EAF0EE"/>
          </w:tcPr>
          <w:p>
            <w:pPr>
              <w:spacing w:after="20"/>
            </w:pPr>
            <w:r>
              <w:rPr>
                <w:b/>
                <w:color w:val="1C3A36"/>
                <w:sz w:val="17"/>
              </w:rPr>
              <w:t>Peer</w:t>
            </w:r>
          </w:p>
        </w:tc>
        <w:tc>
          <w:tcPr>
            <w:tcW w:type="dxa" w:w="864"/>
            <w:shd w:val="clear" w:color="auto" w:fill="EAF0EE"/>
          </w:tcPr>
          <w:p>
            <w:pPr>
              <w:spacing w:after="20"/>
            </w:pPr>
            <w:r>
              <w:rPr>
                <w:b/>
                <w:color w:val="1C3A36"/>
                <w:sz w:val="17"/>
              </w:rPr>
              <w:t>Spot</w:t>
            </w:r>
          </w:p>
        </w:tc>
        <w:tc>
          <w:tcPr>
            <w:tcW w:type="dxa" w:w="1613"/>
            <w:shd w:val="clear" w:color="auto" w:fill="EAF0EE"/>
          </w:tcPr>
          <w:p>
            <w:pPr>
              <w:spacing w:after="20"/>
            </w:pPr>
            <w:r>
              <w:rPr>
                <w:b/>
                <w:color w:val="1C3A36"/>
                <w:sz w:val="17"/>
              </w:rPr>
              <w:t>Mkt cap, AED mn</w:t>
            </w:r>
          </w:p>
        </w:tc>
        <w:tc>
          <w:tcPr>
            <w:tcW w:type="dxa" w:w="1843"/>
            <w:shd w:val="clear" w:color="auto" w:fill="EAF0EE"/>
          </w:tcPr>
          <w:p>
            <w:pPr>
              <w:spacing w:after="20"/>
            </w:pPr>
            <w:r>
              <w:rPr>
                <w:b/>
                <w:color w:val="1C3A36"/>
                <w:sz w:val="17"/>
              </w:rPr>
              <w:t>FY2025 attributable NP</w:t>
            </w:r>
          </w:p>
        </w:tc>
        <w:tc>
          <w:tcPr>
            <w:tcW w:type="dxa" w:w="1584"/>
            <w:shd w:val="clear" w:color="auto" w:fill="EAF0EE"/>
          </w:tcPr>
          <w:p>
            <w:pPr>
              <w:spacing w:after="20"/>
            </w:pPr>
            <w:r>
              <w:rPr>
                <w:b/>
                <w:color w:val="1C3A36"/>
                <w:sz w:val="17"/>
              </w:rPr>
              <w:t>Trailing P/E (attr.)</w:t>
            </w:r>
          </w:p>
        </w:tc>
        <w:tc>
          <w:tcPr>
            <w:tcW w:type="dxa" w:w="1656"/>
            <w:shd w:val="clear" w:color="auto" w:fill="EAF0EE"/>
          </w:tcPr>
          <w:p>
            <w:pPr>
              <w:spacing w:after="20"/>
            </w:pPr>
            <w:r>
              <w:rPr>
                <w:b/>
                <w:color w:val="1C3A36"/>
                <w:sz w:val="17"/>
              </w:rPr>
              <w:t>Backlog (own disclosure)</w:t>
            </w:r>
          </w:p>
        </w:tc>
      </w:tr>
      <w:tr>
        <w:tc>
          <w:tcPr>
            <w:tcW w:type="dxa" w:w="2520"/>
          </w:tcPr>
          <w:p>
            <w:pPr>
              <w:spacing w:after="20"/>
            </w:pPr>
            <w:r>
              <w:rPr>
                <w:color w:val="1C3A36"/>
                <w:sz w:val="17"/>
              </w:rPr>
              <w:t>Aldar Properties (ADX)</w:t>
            </w:r>
          </w:p>
        </w:tc>
        <w:tc>
          <w:tcPr>
            <w:tcW w:type="dxa" w:w="864"/>
          </w:tcPr>
          <w:p>
            <w:pPr>
              <w:spacing w:after="20"/>
              <w:jc w:val="right"/>
            </w:pPr>
            <w:r>
              <w:rPr>
                <w:color w:val="1C3A36"/>
                <w:sz w:val="17"/>
              </w:rPr>
              <w:t>7.78</w:t>
            </w:r>
          </w:p>
        </w:tc>
        <w:tc>
          <w:tcPr>
            <w:tcW w:type="dxa" w:w="1613"/>
          </w:tcPr>
          <w:p>
            <w:pPr>
              <w:spacing w:after="20"/>
              <w:jc w:val="right"/>
            </w:pPr>
            <w:r>
              <w:rPr>
                <w:color w:val="1C3A36"/>
                <w:sz w:val="17"/>
              </w:rPr>
              <w:t>61,171</w:t>
            </w:r>
          </w:p>
        </w:tc>
        <w:tc>
          <w:tcPr>
            <w:tcW w:type="dxa" w:w="1843"/>
          </w:tcPr>
          <w:p>
            <w:pPr>
              <w:spacing w:after="20"/>
              <w:jc w:val="right"/>
            </w:pPr>
            <w:r>
              <w:rPr>
                <w:color w:val="1C3A36"/>
                <w:sz w:val="17"/>
              </w:rPr>
              <w:t>7,548</w:t>
            </w:r>
          </w:p>
        </w:tc>
        <w:tc>
          <w:tcPr>
            <w:tcW w:type="dxa" w:w="1584"/>
          </w:tcPr>
          <w:p>
            <w:pPr>
              <w:spacing w:after="20"/>
              <w:jc w:val="right"/>
            </w:pPr>
            <w:r>
              <w:rPr>
                <w:color w:val="1C3A36"/>
                <w:sz w:val="17"/>
              </w:rPr>
              <w:t>8.10x</w:t>
            </w:r>
          </w:p>
        </w:tc>
        <w:tc>
          <w:tcPr>
            <w:tcW w:type="dxa" w:w="1656"/>
          </w:tcPr>
          <w:p>
            <w:pPr>
              <w:spacing w:after="20"/>
              <w:jc w:val="right"/>
            </w:pPr>
            <w:r>
              <w:rPr>
                <w:color w:val="1C3A36"/>
                <w:sz w:val="17"/>
              </w:rPr>
              <w:t>71,700</w:t>
            </w:r>
          </w:p>
        </w:tc>
      </w:tr>
      <w:tr>
        <w:tc>
          <w:tcPr>
            <w:tcW w:type="dxa" w:w="2520"/>
          </w:tcPr>
          <w:p>
            <w:pPr>
              <w:spacing w:after="20"/>
            </w:pPr>
            <w:r>
              <w:rPr>
                <w:color w:val="1C3A36"/>
                <w:sz w:val="17"/>
              </w:rPr>
              <w:t>Emaar Properties (DFM)</w:t>
            </w:r>
          </w:p>
        </w:tc>
        <w:tc>
          <w:tcPr>
            <w:tcW w:type="dxa" w:w="864"/>
          </w:tcPr>
          <w:p>
            <w:pPr>
              <w:spacing w:after="20"/>
              <w:jc w:val="right"/>
            </w:pPr>
            <w:r>
              <w:rPr>
                <w:color w:val="1C3A36"/>
                <w:sz w:val="17"/>
              </w:rPr>
              <w:t>11.50</w:t>
            </w:r>
          </w:p>
        </w:tc>
        <w:tc>
          <w:tcPr>
            <w:tcW w:type="dxa" w:w="1613"/>
          </w:tcPr>
          <w:p>
            <w:pPr>
              <w:spacing w:after="20"/>
              <w:jc w:val="right"/>
            </w:pPr>
            <w:r>
              <w:rPr>
                <w:color w:val="1C3A36"/>
                <w:sz w:val="17"/>
              </w:rPr>
              <w:t>101,650</w:t>
            </w:r>
          </w:p>
        </w:tc>
        <w:tc>
          <w:tcPr>
            <w:tcW w:type="dxa" w:w="1843"/>
          </w:tcPr>
          <w:p>
            <w:pPr>
              <w:spacing w:after="20"/>
              <w:jc w:val="right"/>
            </w:pPr>
            <w:r>
              <w:rPr>
                <w:color w:val="1C3A36"/>
                <w:sz w:val="17"/>
              </w:rPr>
              <w:t>17,599</w:t>
            </w:r>
          </w:p>
        </w:tc>
        <w:tc>
          <w:tcPr>
            <w:tcW w:type="dxa" w:w="1584"/>
          </w:tcPr>
          <w:p>
            <w:pPr>
              <w:spacing w:after="20"/>
              <w:jc w:val="right"/>
            </w:pPr>
            <w:r>
              <w:rPr>
                <w:color w:val="1C3A36"/>
                <w:sz w:val="17"/>
              </w:rPr>
              <w:t>5.78x</w:t>
            </w:r>
          </w:p>
        </w:tc>
        <w:tc>
          <w:tcPr>
            <w:tcW w:type="dxa" w:w="1656"/>
          </w:tcPr>
          <w:p>
            <w:pPr>
              <w:spacing w:after="20"/>
              <w:jc w:val="right"/>
            </w:pPr>
            <w:r>
              <w:rPr>
                <w:color w:val="1C3A36"/>
                <w:sz w:val="17"/>
              </w:rPr>
              <w:t>155,000</w:t>
            </w:r>
          </w:p>
        </w:tc>
      </w:tr>
      <w:tr>
        <w:tc>
          <w:tcPr>
            <w:tcW w:type="dxa" w:w="2520"/>
          </w:tcPr>
          <w:p>
            <w:pPr>
              <w:spacing w:after="20"/>
            </w:pPr>
            <w:r>
              <w:rPr>
                <w:color w:val="1C3A36"/>
                <w:sz w:val="17"/>
              </w:rPr>
              <w:t>Emaar Development (DFM)</w:t>
            </w:r>
          </w:p>
        </w:tc>
        <w:tc>
          <w:tcPr>
            <w:tcW w:type="dxa" w:w="864"/>
          </w:tcPr>
          <w:p>
            <w:pPr>
              <w:spacing w:after="20"/>
              <w:jc w:val="right"/>
            </w:pPr>
            <w:r>
              <w:rPr>
                <w:color w:val="1C3A36"/>
                <w:sz w:val="17"/>
              </w:rPr>
              <w:t>13.38</w:t>
            </w:r>
          </w:p>
        </w:tc>
        <w:tc>
          <w:tcPr>
            <w:tcW w:type="dxa" w:w="1613"/>
          </w:tcPr>
          <w:p>
            <w:pPr>
              <w:spacing w:after="20"/>
              <w:jc w:val="right"/>
            </w:pPr>
            <w:r>
              <w:rPr>
                <w:color w:val="1C3A36"/>
                <w:sz w:val="17"/>
              </w:rPr>
              <w:t>53,520</w:t>
            </w:r>
          </w:p>
        </w:tc>
        <w:tc>
          <w:tcPr>
            <w:tcW w:type="dxa" w:w="1843"/>
          </w:tcPr>
          <w:p>
            <w:pPr>
              <w:spacing w:after="20"/>
              <w:jc w:val="right"/>
            </w:pPr>
            <w:r>
              <w:rPr>
                <w:color w:val="1C3A36"/>
                <w:sz w:val="17"/>
              </w:rPr>
              <w:t>11,316</w:t>
            </w:r>
          </w:p>
        </w:tc>
        <w:tc>
          <w:tcPr>
            <w:tcW w:type="dxa" w:w="1584"/>
          </w:tcPr>
          <w:p>
            <w:pPr>
              <w:spacing w:after="20"/>
              <w:jc w:val="right"/>
            </w:pPr>
            <w:r>
              <w:rPr>
                <w:color w:val="1C3A36"/>
                <w:sz w:val="17"/>
              </w:rPr>
              <w:t>4.73x</w:t>
            </w:r>
          </w:p>
        </w:tc>
        <w:tc>
          <w:tcPr>
            <w:tcW w:type="dxa" w:w="1656"/>
          </w:tcPr>
          <w:p>
            <w:pPr>
              <w:spacing w:after="20"/>
              <w:jc w:val="right"/>
            </w:pPr>
            <w:r>
              <w:rPr>
                <w:color w:val="1C3A36"/>
                <w:sz w:val="17"/>
              </w:rPr>
              <w:t>125,200</w:t>
            </w:r>
          </w:p>
        </w:tc>
      </w:tr>
      <w:tr>
        <w:tc>
          <w:tcPr>
            <w:tcW w:type="dxa" w:w="2520"/>
            <w:shd w:val="clear" w:color="auto" w:fill="F6F1E6"/>
          </w:tcPr>
          <w:p>
            <w:pPr>
              <w:spacing w:after="20"/>
            </w:pPr>
            <w:r>
              <w:rPr>
                <w:b/>
                <w:color w:val="1C3A36"/>
                <w:sz w:val="17"/>
              </w:rPr>
              <w:t>Modon Holding</w:t>
            </w:r>
          </w:p>
        </w:tc>
        <w:tc>
          <w:tcPr>
            <w:tcW w:type="dxa" w:w="864"/>
            <w:shd w:val="clear" w:color="auto" w:fill="F6F1E6"/>
          </w:tcPr>
          <w:p>
            <w:pPr>
              <w:spacing w:after="20"/>
              <w:jc w:val="right"/>
            </w:pPr>
            <w:r>
              <w:rPr>
                <w:b/>
                <w:color w:val="1C3A36"/>
                <w:sz w:val="17"/>
              </w:rPr>
              <w:t>2.83</w:t>
            </w:r>
          </w:p>
        </w:tc>
        <w:tc>
          <w:tcPr>
            <w:tcW w:type="dxa" w:w="1613"/>
            <w:shd w:val="clear" w:color="auto" w:fill="F6F1E6"/>
          </w:tcPr>
          <w:p>
            <w:pPr>
              <w:spacing w:after="20"/>
              <w:jc w:val="right"/>
            </w:pPr>
            <w:r>
              <w:rPr>
                <w:b/>
                <w:color w:val="1C3A36"/>
                <w:sz w:val="17"/>
              </w:rPr>
              <w:t>46,262</w:t>
            </w:r>
          </w:p>
        </w:tc>
        <w:tc>
          <w:tcPr>
            <w:tcW w:type="dxa" w:w="1843"/>
            <w:shd w:val="clear" w:color="auto" w:fill="F6F1E6"/>
          </w:tcPr>
          <w:p>
            <w:pPr>
              <w:spacing w:after="20"/>
              <w:jc w:val="right"/>
            </w:pPr>
            <w:r>
              <w:rPr>
                <w:b/>
                <w:color w:val="1C3A36"/>
                <w:sz w:val="17"/>
              </w:rPr>
              <w:t>4,020</w:t>
            </w:r>
          </w:p>
        </w:tc>
        <w:tc>
          <w:tcPr>
            <w:tcW w:type="dxa" w:w="1584"/>
            <w:shd w:val="clear" w:color="auto" w:fill="F6F1E6"/>
          </w:tcPr>
          <w:p>
            <w:pPr>
              <w:spacing w:after="20"/>
              <w:jc w:val="right"/>
            </w:pPr>
            <w:r>
              <w:rPr>
                <w:b/>
                <w:color w:val="1C3A36"/>
                <w:sz w:val="17"/>
              </w:rPr>
              <w:t>11.51x</w:t>
            </w:r>
          </w:p>
        </w:tc>
        <w:tc>
          <w:tcPr>
            <w:tcW w:type="dxa" w:w="1656"/>
            <w:shd w:val="clear" w:color="auto" w:fill="F6F1E6"/>
          </w:tcPr>
          <w:p>
            <w:pPr>
              <w:spacing w:after="20"/>
              <w:jc w:val="right"/>
            </w:pPr>
            <w:r>
              <w:rPr>
                <w:b/>
                <w:color w:val="1C3A36"/>
                <w:sz w:val="17"/>
              </w:rPr>
              <w:t>65,400</w:t>
            </w:r>
          </w:p>
        </w:tc>
      </w:tr>
    </w:tbl>
    <w:p>
      <w:pPr>
        <w:spacing w:after="40"/>
      </w:pPr>
    </w:p>
    <w:p>
      <w:pPr>
        <w:spacing w:after="200" w:before="0"/>
      </w:pPr>
      <w:r>
        <w:rPr>
          <w:b w:val="0"/>
          <w:i/>
          <w:color w:val="6E7B77"/>
          <w:sz w:val="17"/>
        </w:rPr>
        <w:t>One basis throughout: attributable profit from each peer's own audited filings and releases; every multiple is the printed market cap over the printed profit (the first edition's table mixed bases and vintages and did not reconcile — rebuilt after the audits). Backlogs: Aldar FY2025 development 71.7bn; Emaar group 155bn; Emaar Development 125.2bn; Modon 30-Jun-2026 group 65.4bn — own disclosure and date per row. On the group-profit basis Modon's trailing multiple is 11.8x (dual-framed; FY2025 NCI was a loss, so attributable exceeds group profit).</w:t>
      </w:r>
    </w:p>
    <w:p>
      <w:pPr>
        <w:spacing w:after="120" w:before="0"/>
      </w:pPr>
      <w:r>
        <w:rPr>
          <w:b w:val="0"/>
          <w:i w:val="0"/>
          <w:color w:val="1C3A36"/>
          <w:sz w:val="21"/>
        </w:rPr>
        <w:t>The attributable peer set runs 4.7–8.1x trailing. This study applies 7.5x to FY2026E attributable profit (H1 actual plus the H2 model, AED 4,785mn) — parity-minus with the sector leader: the growth and recurring-income premium and the ~15%-float/related-party discount are treated as offsetting, and a forward multiple on a growing base is worth ~8% more than the same trailing multiple, stated. That gives AED 2.20 per share. The EV/EBITDA cross-check (7.0x, a house multiple with no computable peer anchor — peer net debt is not disclosed in reachable form) implies AED 2.82 and is displayed in the workbook but NOT averaged into the lens; the first edition's silent blend of two legs 43% apart is withdrawn.</w:t>
      </w:r>
    </w:p>
    <w:p>
      <w:pPr>
        <w:spacing w:after="80" w:before="200"/>
      </w:pPr>
      <w:r>
        <w:rPr>
          <w:b/>
          <w:i w:val="0"/>
          <w:color w:val="1C3A36"/>
          <w:sz w:val="24"/>
        </w:rPr>
        <w:t>1.4 · Normalised earnings power</w:t>
      </w:r>
    </w:p>
    <w:p>
      <w:pPr>
        <w:spacing w:after="120" w:before="0"/>
      </w:pPr>
      <w:r>
        <w:rPr>
          <w:b w:val="0"/>
          <w:i w:val="0"/>
          <w:color w:val="1C3A36"/>
          <w:sz w:val="21"/>
        </w:rPr>
        <w:t>Through a full cycle this study assumes development sales settle near AED 20.0bn a year — raised from the first edition's 18bn because the realised H1-2026 (AED 26bn in six months) lifts any honest cycle average, yet still far below the current pace — with the recurring legs grown moderately: normalised revenue about AED 24.4bn, through-cycle net margin 11.5%, normalised earnings AED 2,809mn (AED 0.172/share), worth AED 1.46 at 8.5x. The harshest lens: it treats 2025–26 as a cycle top.</w:t>
      </w:r>
    </w:p>
    <w:p>
      <w:pPr>
        <w:spacing w:after="80" w:before="200"/>
      </w:pPr>
      <w:r>
        <w:rPr>
          <w:b/>
          <w:i w:val="0"/>
          <w:color w:val="1C3A36"/>
          <w:sz w:val="24"/>
        </w:rPr>
        <w:t>1.5 · Synthesis — four lenses, one field</w:t>
      </w:r>
    </w:p>
    <w:p>
      <w:pPr>
        <w:spacing w:after="40"/>
        <w:jc w:val="center"/>
      </w:pPr>
      <w:r>
        <w:drawing>
          <wp:inline xmlns:a="http://schemas.openxmlformats.org/drawingml/2006/main" xmlns:pic="http://schemas.openxmlformats.org/drawingml/2006/picture">
            <wp:extent cx="6309360" cy="2731888"/>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731888"/>
                    </a:xfrm>
                    <a:prstGeom prst="rect"/>
                  </pic:spPr>
                </pic:pic>
              </a:graphicData>
            </a:graphic>
          </wp:inline>
        </w:drawing>
      </w:r>
    </w:p>
    <w:p>
      <w:pPr>
        <w:spacing w:after="200" w:before="0"/>
      </w:pPr>
      <w:r>
        <w:rPr>
          <w:b w:val="0"/>
          <w:i/>
          <w:color w:val="6E7B77"/>
          <w:sz w:val="17"/>
        </w:rPr>
        <w:t>Figure 1 — the four lenses and the weighted central against the market price. The DCF span is the run-off-stress-to-growth-hold spread.</w:t>
      </w:r>
    </w:p>
    <w:p>
      <w:pPr>
        <w:spacing w:after="120" w:before="0"/>
      </w:pPr>
      <w:r>
        <w:rPr>
          <w:b w:val="0"/>
          <w:i w:val="0"/>
          <w:color w:val="1C3A36"/>
          <w:sz w:val="21"/>
        </w:rPr>
        <w:t>Weights: DCF 40% on backlog visibility; the three market lenses carry 60% jointly — and that structure IS how the float and governance friction is priced. One audit demanded an additional ~30% holding-company discount on top; that would charge the same friction twice, and is rejected with the reasoning stated here — the central already sits 34% below the DCF because of it. Result: AED 2.98, +5% above the market.</w:t>
      </w:r>
    </w:p>
    <w:p>
      <w:pPr>
        <w:spacing w:after="80" w:before="200"/>
      </w:pPr>
      <w:r>
        <w:rPr>
          <w:b/>
          <w:i w:val="0"/>
          <w:color w:val="1C3A36"/>
          <w:sz w:val="24"/>
        </w:rPr>
        <w:t>1.6 · Drivers — each leg on its own driver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5184"/>
        <w:gridCol w:w="2448"/>
      </w:tblGrid>
      <w:tr>
        <w:tc>
          <w:tcPr>
            <w:tcW w:type="dxa" w:w="2232"/>
            <w:shd w:val="clear" w:color="auto" w:fill="EAF0EE"/>
          </w:tcPr>
          <w:p>
            <w:pPr>
              <w:spacing w:after="20"/>
            </w:pPr>
            <w:r>
              <w:rPr>
                <w:b/>
                <w:color w:val="1C3A36"/>
                <w:sz w:val="17"/>
              </w:rPr>
              <w:t>Leg</w:t>
            </w:r>
          </w:p>
        </w:tc>
        <w:tc>
          <w:tcPr>
            <w:tcW w:type="dxa" w:w="5184"/>
            <w:shd w:val="clear" w:color="auto" w:fill="EAF0EE"/>
          </w:tcPr>
          <w:p>
            <w:pPr>
              <w:spacing w:after="20"/>
            </w:pPr>
            <w:r>
              <w:rPr>
                <w:b/>
                <w:color w:val="1C3A36"/>
                <w:sz w:val="17"/>
              </w:rPr>
              <w:t>Driver build</w:t>
            </w:r>
          </w:p>
        </w:tc>
        <w:tc>
          <w:tcPr>
            <w:tcW w:type="dxa" w:w="2448"/>
            <w:shd w:val="clear" w:color="auto" w:fill="EAF0EE"/>
          </w:tcPr>
          <w:p>
            <w:pPr>
              <w:spacing w:after="20"/>
            </w:pPr>
            <w:r>
              <w:rPr>
                <w:b/>
                <w:color w:val="1C3A36"/>
                <w:sz w:val="17"/>
              </w:rPr>
              <w:t>Path</w:t>
            </w:r>
          </w:p>
        </w:tc>
      </w:tr>
      <w:tr>
        <w:tc>
          <w:tcPr>
            <w:tcW w:type="dxa" w:w="2232"/>
          </w:tcPr>
          <w:p>
            <w:pPr>
              <w:spacing w:after="20"/>
            </w:pPr>
            <w:r>
              <w:rPr>
                <w:color w:val="1C3A36"/>
                <w:sz w:val="17"/>
              </w:rPr>
              <w:t>Development</w:t>
            </w:r>
          </w:p>
        </w:tc>
        <w:tc>
          <w:tcPr>
            <w:tcW w:type="dxa" w:w="5184"/>
          </w:tcPr>
          <w:p>
            <w:pPr>
              <w:spacing w:after="20"/>
              <w:jc w:val="right"/>
            </w:pPr>
            <w:r>
              <w:rPr>
                <w:color w:val="1C3A36"/>
                <w:sz w:val="17"/>
              </w:rPr>
              <w:t>conversion of the disclosed 30-Jun backlog (10.5% half-year stub, then 25%→32%) + land sales; new sales AED 30.0bn→21.0bn/yr — every year below the realised H1 annualised pace</w:t>
            </w:r>
          </w:p>
        </w:tc>
        <w:tc>
          <w:tcPr>
            <w:tcW w:type="dxa" w:w="2448"/>
          </w:tcPr>
          <w:p>
            <w:pPr>
              <w:spacing w:after="20"/>
              <w:jc w:val="right"/>
            </w:pPr>
            <w:r>
              <w:rPr>
                <w:color w:val="1C3A36"/>
                <w:sz w:val="17"/>
              </w:rPr>
              <w:t>revenue AED 18.3bn→27.3bn</w:t>
            </w:r>
          </w:p>
        </w:tc>
      </w:tr>
      <w:tr>
        <w:tc>
          <w:tcPr>
            <w:tcW w:type="dxa" w:w="2232"/>
          </w:tcPr>
          <w:p>
            <w:pPr>
              <w:spacing w:after="20"/>
            </w:pPr>
            <w:r>
              <w:rPr>
                <w:color w:val="1C3A36"/>
                <w:sz w:val="17"/>
              </w:rPr>
              <w:t xml:space="preserve">  margin</w:t>
            </w:r>
          </w:p>
        </w:tc>
        <w:tc>
          <w:tcPr>
            <w:tcW w:type="dxa" w:w="5184"/>
          </w:tcPr>
          <w:p>
            <w:pPr>
              <w:spacing w:after="20"/>
              <w:jc w:val="right"/>
            </w:pPr>
            <w:r>
              <w:rPr>
                <w:color w:val="1C3A36"/>
                <w:sz w:val="17"/>
              </w:rPr>
              <w:t>41.0%→38.0% (H1 actual 41.3%); related-party land mix fades; construction escalator ~4% vs realised-price ~2%</w:t>
            </w:r>
          </w:p>
        </w:tc>
        <w:tc>
          <w:tcPr>
            <w:tcW w:type="dxa" w:w="2448"/>
          </w:tcPr>
          <w:p>
            <w:pPr>
              <w:spacing w:after="20"/>
              <w:jc w:val="right"/>
            </w:pPr>
            <w:r>
              <w:rPr>
                <w:color w:val="1C3A36"/>
                <w:sz w:val="17"/>
              </w:rPr>
              <w:t>output</w:t>
            </w:r>
          </w:p>
        </w:tc>
      </w:tr>
      <w:tr>
        <w:tc>
          <w:tcPr>
            <w:tcW w:type="dxa" w:w="2232"/>
          </w:tcPr>
          <w:p>
            <w:pPr>
              <w:spacing w:after="20"/>
            </w:pPr>
            <w:r>
              <w:rPr>
                <w:color w:val="1C3A36"/>
                <w:sz w:val="17"/>
              </w:rPr>
              <w:t>Asset &amp; investment mgmt</w:t>
            </w:r>
          </w:p>
        </w:tc>
        <w:tc>
          <w:tcPr>
            <w:tcW w:type="dxa" w:w="5184"/>
          </w:tcPr>
          <w:p>
            <w:pPr>
              <w:spacing w:after="20"/>
              <w:jc w:val="right"/>
            </w:pPr>
            <w:r>
              <w:rPr>
                <w:color w:val="1C3A36"/>
                <w:sz w:val="17"/>
              </w:rPr>
              <w:t>H1 actual + contracted occupancy (96%); ~8.5%/yr</w:t>
            </w:r>
          </w:p>
        </w:tc>
        <w:tc>
          <w:tcPr>
            <w:tcW w:type="dxa" w:w="2448"/>
          </w:tcPr>
          <w:p>
            <w:pPr>
              <w:spacing w:after="20"/>
              <w:jc w:val="right"/>
            </w:pPr>
            <w:r>
              <w:rPr>
                <w:color w:val="1C3A36"/>
                <w:sz w:val="17"/>
              </w:rPr>
              <w:t>AED 813→1,029mn</w:t>
            </w:r>
          </w:p>
        </w:tc>
      </w:tr>
      <w:tr>
        <w:tc>
          <w:tcPr>
            <w:tcW w:type="dxa" w:w="2232"/>
          </w:tcPr>
          <w:p>
            <w:pPr>
              <w:spacing w:after="20"/>
            </w:pPr>
            <w:r>
              <w:rPr>
                <w:color w:val="1C3A36"/>
                <w:sz w:val="17"/>
              </w:rPr>
              <w:t>Hospitality</w:t>
            </w:r>
          </w:p>
        </w:tc>
        <w:tc>
          <w:tcPr>
            <w:tcW w:type="dxa" w:w="5184"/>
          </w:tcPr>
          <w:p>
            <w:pPr>
              <w:spacing w:after="20"/>
              <w:jc w:val="right"/>
            </w:pPr>
            <w:r>
              <w:rPr>
                <w:color w:val="1C3A36"/>
                <w:sz w:val="17"/>
              </w:rPr>
              <w:t>H1 actual + winter seasonality on the 3,613 owned/operated/JV keys; margin recovering to 30%</w:t>
            </w:r>
          </w:p>
        </w:tc>
        <w:tc>
          <w:tcPr>
            <w:tcW w:type="dxa" w:w="2448"/>
          </w:tcPr>
          <w:p>
            <w:pPr>
              <w:spacing w:after="20"/>
              <w:jc w:val="right"/>
            </w:pPr>
            <w:r>
              <w:rPr>
                <w:color w:val="1C3A36"/>
                <w:sz w:val="17"/>
              </w:rPr>
              <w:t>AED 899→1,081mn</w:t>
            </w:r>
          </w:p>
        </w:tc>
      </w:tr>
      <w:tr>
        <w:tc>
          <w:tcPr>
            <w:tcW w:type="dxa" w:w="2232"/>
          </w:tcPr>
          <w:p>
            <w:pPr>
              <w:spacing w:after="20"/>
            </w:pPr>
            <w:r>
              <w:rPr>
                <w:color w:val="1C3A36"/>
                <w:sz w:val="17"/>
              </w:rPr>
              <w:t>Events, catering &amp; tourism</w:t>
            </w:r>
          </w:p>
        </w:tc>
        <w:tc>
          <w:tcPr>
            <w:tcW w:type="dxa" w:w="5184"/>
          </w:tcPr>
          <w:p>
            <w:pPr>
              <w:spacing w:after="20"/>
              <w:jc w:val="right"/>
            </w:pPr>
            <w:r>
              <w:rPr>
                <w:color w:val="1C3A36"/>
                <w:sz w:val="17"/>
              </w:rPr>
              <w:t>H1 actual + the H2-weighted events season; ~4%/yr</w:t>
            </w:r>
          </w:p>
        </w:tc>
        <w:tc>
          <w:tcPr>
            <w:tcW w:type="dxa" w:w="2448"/>
          </w:tcPr>
          <w:p>
            <w:pPr>
              <w:spacing w:after="20"/>
              <w:jc w:val="right"/>
            </w:pPr>
            <w:r>
              <w:rPr>
                <w:color w:val="1C3A36"/>
                <w:sz w:val="17"/>
              </w:rPr>
              <w:t>AED 6.0bn→6.8bn</w:t>
            </w:r>
          </w:p>
        </w:tc>
      </w:tr>
      <w:tr>
        <w:tc>
          <w:tcPr>
            <w:tcW w:type="dxa" w:w="2232"/>
          </w:tcPr>
          <w:p>
            <w:pPr>
              <w:spacing w:after="20"/>
            </w:pPr>
            <w:r>
              <w:rPr>
                <w:color w:val="1C3A36"/>
                <w:sz w:val="17"/>
              </w:rPr>
              <w:t>Working capital</w:t>
            </w:r>
          </w:p>
        </w:tc>
        <w:tc>
          <w:tcPr>
            <w:tcW w:type="dxa" w:w="5184"/>
          </w:tcPr>
          <w:p>
            <w:pPr>
              <w:spacing w:after="20"/>
              <w:jc w:val="right"/>
            </w:pPr>
            <w:r>
              <w:rPr>
                <w:color w:val="1C3A36"/>
                <w:sz w:val="17"/>
              </w:rPr>
              <w:t>receivable days 440→370; land-bank draw vs new-WIP add; advances cover 1.86×→1.40×</w:t>
            </w:r>
          </w:p>
        </w:tc>
        <w:tc>
          <w:tcPr>
            <w:tcW w:type="dxa" w:w="2448"/>
          </w:tcPr>
          <w:p>
            <w:pPr>
              <w:spacing w:after="20"/>
              <w:jc w:val="right"/>
            </w:pPr>
            <w:r>
              <w:rPr>
                <w:color w:val="1C3A36"/>
                <w:sz w:val="17"/>
              </w:rPr>
              <w:t>absorbs, then releases late</w:t>
            </w:r>
          </w:p>
        </w:tc>
      </w:tr>
      <w:tr>
        <w:tc>
          <w:tcPr>
            <w:tcW w:type="dxa" w:w="2232"/>
          </w:tcPr>
          <w:p>
            <w:pPr>
              <w:spacing w:after="20"/>
            </w:pPr>
            <w:r>
              <w:rPr>
                <w:color w:val="1C3A36"/>
                <w:sz w:val="17"/>
              </w:rPr>
              <w:t>D&amp;A</w:t>
            </w:r>
          </w:p>
        </w:tc>
        <w:tc>
          <w:tcPr>
            <w:tcW w:type="dxa" w:w="5184"/>
          </w:tcPr>
          <w:p>
            <w:pPr>
              <w:spacing w:after="20"/>
              <w:jc w:val="right"/>
            </w:pPr>
            <w:r>
              <w:rPr>
                <w:color w:val="1C3A36"/>
                <w:sz w:val="17"/>
              </w:rPr>
              <w:t>3.4% on the average depreciable base (asset-base charge — the first edition's revenue-driven D&amp;A is withdrawn)</w:t>
            </w:r>
          </w:p>
        </w:tc>
        <w:tc>
          <w:tcPr>
            <w:tcW w:type="dxa" w:w="2448"/>
          </w:tcPr>
          <w:p>
            <w:pPr>
              <w:spacing w:after="20"/>
              <w:jc w:val="right"/>
            </w:pPr>
            <w:r>
              <w:rPr>
                <w:color w:val="1C3A36"/>
                <w:sz w:val="17"/>
              </w:rPr>
              <w:t>from the base roll</w:t>
            </w:r>
          </w:p>
        </w:tc>
      </w:tr>
      <w:tr>
        <w:tc>
          <w:tcPr>
            <w:tcW w:type="dxa" w:w="2232"/>
          </w:tcPr>
          <w:p>
            <w:pPr>
              <w:spacing w:after="20"/>
            </w:pPr>
            <w:r>
              <w:rPr>
                <w:color w:val="1C3A36"/>
                <w:sz w:val="17"/>
              </w:rPr>
              <w:t>Tax</w:t>
            </w:r>
          </w:p>
        </w:tc>
        <w:tc>
          <w:tcPr>
            <w:tcW w:type="dxa" w:w="5184"/>
          </w:tcPr>
          <w:p>
            <w:pPr>
              <w:spacing w:after="20"/>
              <w:jc w:val="right"/>
            </w:pPr>
            <w:r>
              <w:rPr>
                <w:color w:val="1C3A36"/>
                <w:sz w:val="17"/>
              </w:rPr>
              <w:t>DMTT floor + foreign uplift (H1 actual 15.4%)</w:t>
            </w:r>
          </w:p>
        </w:tc>
        <w:tc>
          <w:tcPr>
            <w:tcW w:type="dxa" w:w="2448"/>
          </w:tcPr>
          <w:p>
            <w:pPr>
              <w:spacing w:after="20"/>
              <w:jc w:val="right"/>
            </w:pPr>
            <w:r>
              <w:rPr>
                <w:color w:val="1C3A36"/>
                <w:sz w:val="17"/>
              </w:rPr>
              <w:t>15.5%</w:t>
            </w:r>
          </w:p>
        </w:tc>
      </w:tr>
    </w:tbl>
    <w:p>
      <w:pPr>
        <w:spacing w:after="40"/>
      </w:pPr>
    </w:p>
    <w:p>
      <w:pPr>
        <w:spacing w:after="200" w:before="0"/>
      </w:pPr>
      <w:r>
        <w:rPr>
          <w:b w:val="0"/>
          <w:i/>
          <w:color w:val="6E7B77"/>
          <w:sz w:val="17"/>
        </w:rPr>
        <w:t>Per-project volumes and prices are not disclosed; the build stops at segment level with unit-level anchors (FY2025: AED 7.0mn/unit realised in Abu Dhabi, 3.1mn internationally — the latter including joint-venture sales, so per-unit division across categories is not closed). That gap is flagged, not papered over.</w:t>
      </w:r>
    </w:p>
    <w:p>
      <w:pPr>
        <w:spacing w:after="80" w:before="200"/>
      </w:pPr>
      <w:r>
        <w:rPr>
          <w:b/>
          <w:i w:val="0"/>
          <w:color w:val="1C3A36"/>
          <w:sz w:val="24"/>
        </w:rPr>
        <w:t>1.7 · The crux — the sales path, priced both ways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3960"/>
        <w:gridCol w:w="3960"/>
      </w:tblGrid>
      <w:tr>
        <w:tc>
          <w:tcPr>
            <w:tcW w:type="dxa" w:w="1944"/>
            <w:shd w:val="clear" w:color="auto" w:fill="EAF0EE"/>
          </w:tcPr>
          <w:p>
            <w:pPr>
              <w:spacing w:after="20"/>
            </w:pPr>
            <w:r>
              <w:rPr>
                <w:b/>
                <w:color w:val="1C3A36"/>
                <w:sz w:val="17"/>
              </w:rPr>
            </w:r>
          </w:p>
        </w:tc>
        <w:tc>
          <w:tcPr>
            <w:tcW w:type="dxa" w:w="3960"/>
            <w:shd w:val="clear" w:color="auto" w:fill="EAF0EE"/>
          </w:tcPr>
          <w:p>
            <w:pPr>
              <w:spacing w:after="20"/>
            </w:pPr>
            <w:r>
              <w:rPr>
                <w:b/>
                <w:color w:val="1C3A36"/>
                <w:sz w:val="17"/>
              </w:rPr>
              <w:t>Base: normalising-but-sustained</w:t>
            </w:r>
          </w:p>
        </w:tc>
        <w:tc>
          <w:tcPr>
            <w:tcW w:type="dxa" w:w="3960"/>
            <w:shd w:val="clear" w:color="auto" w:fill="EAF0EE"/>
          </w:tcPr>
          <w:p>
            <w:pPr>
              <w:spacing w:after="20"/>
            </w:pPr>
            <w:r>
              <w:rPr>
                <w:b/>
                <w:color w:val="1C3A36"/>
                <w:sz w:val="17"/>
              </w:rPr>
              <w:t>Stress: backlog run-off</w:t>
            </w:r>
          </w:p>
        </w:tc>
      </w:tr>
      <w:tr>
        <w:tc>
          <w:tcPr>
            <w:tcW w:type="dxa" w:w="1944"/>
          </w:tcPr>
          <w:p>
            <w:pPr>
              <w:spacing w:after="20"/>
            </w:pPr>
            <w:r>
              <w:rPr>
                <w:color w:val="1C3A36"/>
                <w:sz w:val="17"/>
              </w:rPr>
              <w:t>New development sales</w:t>
            </w:r>
          </w:p>
        </w:tc>
        <w:tc>
          <w:tcPr>
            <w:tcW w:type="dxa" w:w="3960"/>
          </w:tcPr>
          <w:p>
            <w:pPr>
              <w:spacing w:after="20"/>
              <w:jc w:val="right"/>
            </w:pPr>
            <w:r>
              <w:rPr>
                <w:color w:val="1C3A36"/>
                <w:sz w:val="17"/>
              </w:rPr>
              <w:t>H2-26 AED 12.0bn, then 30.0→21.0bn/yr</w:t>
            </w:r>
          </w:p>
        </w:tc>
        <w:tc>
          <w:tcPr>
            <w:tcW w:type="dxa" w:w="3960"/>
          </w:tcPr>
          <w:p>
            <w:pPr>
              <w:spacing w:after="20"/>
              <w:jc w:val="right"/>
            </w:pPr>
            <w:r>
              <w:rPr>
                <w:color w:val="1C3A36"/>
                <w:sz w:val="17"/>
              </w:rPr>
              <w:t>H2-26 AED 8.0bn, then 15.0→8.0bn/yr</w:t>
            </w:r>
          </w:p>
        </w:tc>
      </w:tr>
      <w:tr>
        <w:tc>
          <w:tcPr>
            <w:tcW w:type="dxa" w:w="1944"/>
          </w:tcPr>
          <w:p>
            <w:pPr>
              <w:spacing w:after="20"/>
            </w:pPr>
            <w:r>
              <w:rPr>
                <w:color w:val="1C3A36"/>
                <w:sz w:val="17"/>
              </w:rPr>
              <w:t>Development margin</w:t>
            </w:r>
          </w:p>
        </w:tc>
        <w:tc>
          <w:tcPr>
            <w:tcW w:type="dxa" w:w="3960"/>
          </w:tcPr>
          <w:p>
            <w:pPr>
              <w:spacing w:after="20"/>
              <w:jc w:val="right"/>
            </w:pPr>
            <w:r>
              <w:rPr>
                <w:color w:val="1C3A36"/>
                <w:sz w:val="17"/>
              </w:rPr>
              <w:t>41.0%→38.0%</w:t>
            </w:r>
          </w:p>
        </w:tc>
        <w:tc>
          <w:tcPr>
            <w:tcW w:type="dxa" w:w="3960"/>
          </w:tcPr>
          <w:p>
            <w:pPr>
              <w:spacing w:after="20"/>
              <w:jc w:val="right"/>
            </w:pPr>
            <w:r>
              <w:rPr>
                <w:color w:val="1C3A36"/>
                <w:sz w:val="17"/>
              </w:rPr>
              <w:t>40.0%→35.0%</w:t>
            </w:r>
          </w:p>
        </w:tc>
      </w:tr>
      <w:tr>
        <w:tc>
          <w:tcPr>
            <w:tcW w:type="dxa" w:w="1944"/>
          </w:tcPr>
          <w:p>
            <w:pPr>
              <w:spacing w:after="20"/>
            </w:pPr>
            <w:r>
              <w:rPr>
                <w:color w:val="1C3A36"/>
                <w:sz w:val="17"/>
              </w:rPr>
              <w:t>FY2030E group revenue</w:t>
            </w:r>
          </w:p>
        </w:tc>
        <w:tc>
          <w:tcPr>
            <w:tcW w:type="dxa" w:w="3960"/>
          </w:tcPr>
          <w:p>
            <w:pPr>
              <w:spacing w:after="20"/>
              <w:jc w:val="right"/>
            </w:pPr>
            <w:r>
              <w:rPr>
                <w:color w:val="1C3A36"/>
                <w:sz w:val="17"/>
              </w:rPr>
              <w:t>AED 36.2bn</w:t>
            </w:r>
          </w:p>
        </w:tc>
        <w:tc>
          <w:tcPr>
            <w:tcW w:type="dxa" w:w="3960"/>
          </w:tcPr>
          <w:p>
            <w:pPr>
              <w:spacing w:after="20"/>
              <w:jc w:val="right"/>
            </w:pPr>
            <w:r>
              <w:rPr>
                <w:color w:val="1C3A36"/>
                <w:sz w:val="17"/>
              </w:rPr>
              <w:t>AED 25.4bn</w:t>
            </w:r>
          </w:p>
        </w:tc>
      </w:tr>
      <w:tr>
        <w:tc>
          <w:tcPr>
            <w:tcW w:type="dxa" w:w="1944"/>
            <w:shd w:val="clear" w:color="auto" w:fill="F6F1E6"/>
          </w:tcPr>
          <w:p>
            <w:pPr>
              <w:spacing w:after="20"/>
            </w:pPr>
            <w:r>
              <w:rPr>
                <w:b/>
                <w:color w:val="1C3A36"/>
                <w:sz w:val="17"/>
              </w:rPr>
              <w:t>Value per share</w:t>
            </w:r>
          </w:p>
        </w:tc>
        <w:tc>
          <w:tcPr>
            <w:tcW w:type="dxa" w:w="3960"/>
            <w:shd w:val="clear" w:color="auto" w:fill="F6F1E6"/>
          </w:tcPr>
          <w:p>
            <w:pPr>
              <w:spacing w:after="20"/>
              <w:jc w:val="right"/>
            </w:pPr>
            <w:r>
              <w:rPr>
                <w:b/>
                <w:color w:val="1C3A36"/>
                <w:sz w:val="17"/>
              </w:rPr>
              <w:t>AED 4.51</w:t>
            </w:r>
          </w:p>
        </w:tc>
        <w:tc>
          <w:tcPr>
            <w:tcW w:type="dxa" w:w="3960"/>
            <w:shd w:val="clear" w:color="auto" w:fill="F6F1E6"/>
          </w:tcPr>
          <w:p>
            <w:pPr>
              <w:spacing w:after="20"/>
              <w:jc w:val="right"/>
            </w:pPr>
            <w:r>
              <w:rPr>
                <w:b/>
                <w:color w:val="1C3A36"/>
                <w:sz w:val="17"/>
              </w:rPr>
              <w:t>AED 3.28</w:t>
            </w:r>
          </w:p>
        </w:tc>
      </w:tr>
      <w:tr>
        <w:tc>
          <w:tcPr>
            <w:tcW w:type="dxa" w:w="1944"/>
          </w:tcPr>
          <w:p>
            <w:pPr>
              <w:spacing w:after="20"/>
            </w:pPr>
            <w:r>
              <w:rPr>
                <w:color w:val="1C3A36"/>
                <w:sz w:val="17"/>
              </w:rPr>
              <w:t>Status</w:t>
            </w:r>
          </w:p>
        </w:tc>
        <w:tc>
          <w:tcPr>
            <w:tcW w:type="dxa" w:w="3960"/>
          </w:tcPr>
          <w:p>
            <w:pPr>
              <w:spacing w:after="20"/>
              <w:jc w:val="right"/>
            </w:pPr>
            <w:r>
              <w:rPr>
                <w:color w:val="1C3A36"/>
                <w:sz w:val="17"/>
              </w:rPr>
              <w:t>central path</w:t>
            </w:r>
          </w:p>
        </w:tc>
        <w:tc>
          <w:tcPr>
            <w:tcW w:type="dxa" w:w="3960"/>
          </w:tcPr>
          <w:p>
            <w:pPr>
              <w:spacing w:after="20"/>
              <w:jc w:val="right"/>
            </w:pPr>
            <w:r>
              <w:rPr>
                <w:color w:val="1C3A36"/>
                <w:sz w:val="17"/>
              </w:rPr>
              <w:t>stress bound: the disclosed H1-2026 sales (AED 26bn in six months, 2.6× prior year) falsify this as a live central scenario; it prices the question "what if that was the top?"</w:t>
            </w:r>
          </w:p>
        </w:tc>
      </w:tr>
    </w:tbl>
    <w:p>
      <w:pPr>
        <w:spacing w:after="40"/>
      </w:pPr>
    </w:p>
    <w:p>
      <w:pPr>
        <w:spacing w:after="120" w:before="0"/>
      </w:pPr>
      <w:r>
        <w:rPr>
          <w:b w:val="0"/>
          <w:i w:val="0"/>
          <w:color w:val="1C3A36"/>
          <w:sz w:val="21"/>
        </w:rPr>
        <w:t>Even the stress reading values the group +16% against the market price; the growth-hold upper reading (sales held near the realised pace) reaches AED 5.34. All three driver vectors are published in the workbook.</w:t>
      </w:r>
    </w:p>
    <w:p>
      <w:pPr>
        <w:spacing w:after="80" w:before="200"/>
      </w:pPr>
      <w:r>
        <w:rPr>
          <w:b/>
          <w:i w:val="0"/>
          <w:color w:val="1C3A36"/>
          <w:sz w:val="24"/>
        </w:rPr>
        <w:t>1.8 · Macro and country — the cost of capital, built and priced</w:t>
      </w:r>
    </w:p>
    <w:p>
      <w:pPr>
        <w:spacing w:after="120" w:before="0"/>
      </w:pPr>
      <w:r>
        <w:rPr>
          <w:b w:val="0"/>
          <w:i w:val="0"/>
          <w:color w:val="1C3A36"/>
          <w:sz w:val="21"/>
        </w:rPr>
        <w:t>Rates are sourced and each risk charged once. The AED government curve gives 4.48% (January-2031 dirham treasury tranche, auctioned July 2026 ~4bp over US Treasuries; the longest liquid AED tenor, ~4.4 years against a perpetual stream — a limitation, stated); netting the UAE's own 0.42% default spread — which already sits inside the equity premium — leaves 4.06%. The equity premium is 4.87% on the rating basis (no sovereign CDS series exists for the UAE, so no CDS-basis alternative can be built; and the spread-basis mix in the first edition — rating-based for the netting, market-based for retiring the conflict premium — is now stated: on a like-for-like basis the two constructions differ by ~6bp).</w:t>
      </w:r>
    </w:p>
    <w:p>
      <w:pPr>
        <w:spacing w:after="120" w:before="0"/>
      </w:pPr>
      <w:r>
        <w:rPr>
          <w:b w:val="0"/>
          <w:i w:val="0"/>
          <w:color w:val="1C3A36"/>
          <w:sz w:val="21"/>
        </w:rPr>
        <w:t>Beta is measured against the exchange's own index. Earlier editions could not obtain the FTSE ADX General series and used a composite of this study's own UAE price library as a stand-in, flagged as such. The official series has since been obtained — 3,884 sessions from January 2011 to July 2026, screened for data quality before use — and MODON's weekly returns are now regressed against it: beta 1.28 over five years (R² 0.09, n 255), which is the longest window that clears the usability test and is therefore the one adopted. The shorter windows read HIGHER, not lower — 1.80 over three years and 1.58 over two — so the adopted figure is the most favourable of the three and the risk on this input runs against value, not for it. The stand-in was not harmless: the official index is about a third less volatile than the composite at a similar correlation, and because beta divides the stock's volatility by the market's, the true benchmark RAISES beta from 1.12 to 1.28 — worth about AED 1.05 per share on the cash-flow lens. That correction is the single largest change in this edition and it moves against the company. A published industry-average route (emerging-market real-estate development, unlevered ~0.45) was tested and rejected as primary: that average is dominated by highly-levered developers unrepresentative of a state platform, and it is kept only as a lower-bound cross-check. Section 1.9 sensitises beta one standard error either side of the adopted figure rather than around a convention.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656"/>
        <w:gridCol w:w="5256"/>
      </w:tblGrid>
      <w:tr>
        <w:tc>
          <w:tcPr>
            <w:tcW w:type="dxa" w:w="2952"/>
            <w:shd w:val="clear" w:color="auto" w:fill="EAF0EE"/>
          </w:tcPr>
          <w:p>
            <w:pPr>
              <w:spacing w:after="20"/>
            </w:pPr>
            <w:r>
              <w:rPr>
                <w:b/>
                <w:color w:val="1C3A36"/>
                <w:sz w:val="17"/>
              </w:rPr>
              <w:t>Cost of capital</w:t>
            </w:r>
          </w:p>
        </w:tc>
        <w:tc>
          <w:tcPr>
            <w:tcW w:type="dxa" w:w="1656"/>
            <w:shd w:val="clear" w:color="auto" w:fill="EAF0EE"/>
          </w:tcPr>
          <w:p>
            <w:pPr>
              <w:spacing w:after="20"/>
            </w:pPr>
            <w:r>
              <w:rPr>
                <w:b/>
                <w:color w:val="1C3A36"/>
                <w:sz w:val="17"/>
              </w:rPr>
              <w:t>Value</w:t>
            </w:r>
          </w:p>
        </w:tc>
        <w:tc>
          <w:tcPr>
            <w:tcW w:type="dxa" w:w="5256"/>
            <w:shd w:val="clear" w:color="auto" w:fill="EAF0EE"/>
          </w:tcPr>
          <w:p>
            <w:pPr>
              <w:spacing w:after="20"/>
            </w:pPr>
            <w:r>
              <w:rPr>
                <w:b/>
                <w:color w:val="1C3A36"/>
                <w:sz w:val="17"/>
              </w:rPr>
              <w:t>Construction</w:t>
            </w:r>
          </w:p>
        </w:tc>
      </w:tr>
      <w:tr>
        <w:tc>
          <w:tcPr>
            <w:tcW w:type="dxa" w:w="2952"/>
          </w:tcPr>
          <w:p>
            <w:pPr>
              <w:spacing w:after="20"/>
            </w:pPr>
            <w:r>
              <w:rPr>
                <w:color w:val="1C3A36"/>
                <w:sz w:val="17"/>
              </w:rPr>
              <w:t>Risk-free rate, normalised</w:t>
            </w:r>
          </w:p>
        </w:tc>
        <w:tc>
          <w:tcPr>
            <w:tcW w:type="dxa" w:w="1656"/>
          </w:tcPr>
          <w:p>
            <w:pPr>
              <w:spacing w:after="20"/>
              <w:jc w:val="right"/>
            </w:pPr>
            <w:r>
              <w:rPr>
                <w:color w:val="1C3A36"/>
                <w:sz w:val="17"/>
              </w:rPr>
              <w:t>4.06%</w:t>
            </w:r>
          </w:p>
        </w:tc>
        <w:tc>
          <w:tcPr>
            <w:tcW w:type="dxa" w:w="5256"/>
          </w:tcPr>
          <w:p>
            <w:pPr>
              <w:spacing w:after="20"/>
              <w:jc w:val="right"/>
            </w:pPr>
            <w:r>
              <w:rPr>
                <w:color w:val="1C3A36"/>
                <w:sz w:val="17"/>
              </w:rPr>
              <w:t>4.48% − 0.42% default spread</w:t>
            </w:r>
          </w:p>
        </w:tc>
      </w:tr>
      <w:tr>
        <w:tc>
          <w:tcPr>
            <w:tcW w:type="dxa" w:w="2952"/>
          </w:tcPr>
          <w:p>
            <w:pPr>
              <w:spacing w:after="20"/>
            </w:pPr>
            <w:r>
              <w:rPr>
                <w:color w:val="1C3A36"/>
                <w:sz w:val="17"/>
              </w:rPr>
              <w:t>Cost of equity</w:t>
            </w:r>
          </w:p>
        </w:tc>
        <w:tc>
          <w:tcPr>
            <w:tcW w:type="dxa" w:w="1656"/>
          </w:tcPr>
          <w:p>
            <w:pPr>
              <w:spacing w:after="20"/>
              <w:jc w:val="right"/>
            </w:pPr>
            <w:r>
              <w:rPr>
                <w:color w:val="1C3A36"/>
                <w:sz w:val="17"/>
              </w:rPr>
              <w:t>10.28%</w:t>
            </w:r>
          </w:p>
        </w:tc>
        <w:tc>
          <w:tcPr>
            <w:tcW w:type="dxa" w:w="5256"/>
          </w:tcPr>
          <w:p>
            <w:pPr>
              <w:spacing w:after="20"/>
              <w:jc w:val="right"/>
            </w:pPr>
            <w:r>
              <w:rPr>
                <w:color w:val="1C3A36"/>
                <w:sz w:val="17"/>
              </w:rPr>
              <w:t>rf* + 1.28 × 4.87%</w:t>
            </w:r>
          </w:p>
        </w:tc>
      </w:tr>
      <w:tr>
        <w:tc>
          <w:tcPr>
            <w:tcW w:type="dxa" w:w="2952"/>
          </w:tcPr>
          <w:p>
            <w:pPr>
              <w:spacing w:after="20"/>
            </w:pPr>
            <w:r>
              <w:rPr>
                <w:color w:val="1C3A36"/>
                <w:sz w:val="17"/>
              </w:rPr>
              <w:t>Marginal cost of debt</w:t>
            </w:r>
          </w:p>
        </w:tc>
        <w:tc>
          <w:tcPr>
            <w:tcW w:type="dxa" w:w="1656"/>
          </w:tcPr>
          <w:p>
            <w:pPr>
              <w:spacing w:after="20"/>
              <w:jc w:val="right"/>
            </w:pPr>
            <w:r>
              <w:rPr>
                <w:color w:val="1C3A36"/>
                <w:sz w:val="17"/>
              </w:rPr>
              <w:t>5.36%</w:t>
            </w:r>
          </w:p>
        </w:tc>
        <w:tc>
          <w:tcPr>
            <w:tcW w:type="dxa" w:w="5256"/>
          </w:tcPr>
          <w:p>
            <w:pPr>
              <w:spacing w:after="20"/>
              <w:jc w:val="right"/>
            </w:pPr>
            <w:r>
              <w:rPr>
                <w:color w:val="1C3A36"/>
                <w:sz w:val="17"/>
              </w:rPr>
              <w:t>6M EIBOR 3.71% (31-Mar-2026 fixing, dated — the official page refused retrieval twice; ~3bp of rate per 25bp of fixing) + 1.65% margin</w:t>
            </w:r>
          </w:p>
        </w:tc>
      </w:tr>
      <w:tr>
        <w:tc>
          <w:tcPr>
            <w:tcW w:type="dxa" w:w="2952"/>
          </w:tcPr>
          <w:p>
            <w:pPr>
              <w:spacing w:after="20"/>
            </w:pPr>
            <w:r>
              <w:rPr>
                <w:color w:val="1C3A36"/>
                <w:sz w:val="17"/>
              </w:rPr>
              <w:t xml:space="preserve">  after tax</w:t>
            </w:r>
          </w:p>
        </w:tc>
        <w:tc>
          <w:tcPr>
            <w:tcW w:type="dxa" w:w="1656"/>
          </w:tcPr>
          <w:p>
            <w:pPr>
              <w:spacing w:after="20"/>
              <w:jc w:val="right"/>
            </w:pPr>
            <w:r>
              <w:rPr>
                <w:color w:val="1C3A36"/>
                <w:sz w:val="17"/>
              </w:rPr>
              <w:t>4.53%</w:t>
            </w:r>
          </w:p>
        </w:tc>
        <w:tc>
          <w:tcPr>
            <w:tcW w:type="dxa" w:w="5256"/>
          </w:tcPr>
          <w:p>
            <w:pPr>
              <w:spacing w:after="20"/>
              <w:jc w:val="right"/>
            </w:pPr>
            <w:r>
              <w:rPr>
                <w:color w:val="1C3A36"/>
                <w:sz w:val="17"/>
              </w:rPr>
              <w:t>× (1 − 15.5%)</w:t>
            </w:r>
          </w:p>
        </w:tc>
      </w:tr>
      <w:tr>
        <w:tc>
          <w:tcPr>
            <w:tcW w:type="dxa" w:w="2952"/>
          </w:tcPr>
          <w:p>
            <w:pPr>
              <w:spacing w:after="20"/>
            </w:pPr>
            <w:r>
              <w:rPr>
                <w:color w:val="1C3A36"/>
                <w:sz w:val="17"/>
              </w:rPr>
              <w:t>Weights</w:t>
            </w:r>
          </w:p>
        </w:tc>
        <w:tc>
          <w:tcPr>
            <w:tcW w:type="dxa" w:w="1656"/>
          </w:tcPr>
          <w:p>
            <w:pPr>
              <w:spacing w:after="20"/>
              <w:jc w:val="right"/>
            </w:pPr>
            <w:r>
              <w:rPr>
                <w:color w:val="1C3A36"/>
                <w:sz w:val="17"/>
              </w:rPr>
              <w:t>82.9% / 17.1%</w:t>
            </w:r>
          </w:p>
        </w:tc>
        <w:tc>
          <w:tcPr>
            <w:tcW w:type="dxa" w:w="5256"/>
          </w:tcPr>
          <w:p>
            <w:pPr>
              <w:spacing w:after="20"/>
              <w:jc w:val="right"/>
            </w:pPr>
            <w:r>
              <w:rPr>
                <w:color w:val="1C3A36"/>
                <w:sz w:val="17"/>
              </w:rPr>
              <w:t>market equity / 30-Jun-2026 book debt. Circularity acknowledged: the market's own weights are used while the study argues the equity is mispriced; at the study's own equity value the rate would be ~30bp higher and the DCF ~1% lower</w:t>
            </w:r>
          </w:p>
        </w:tc>
      </w:tr>
      <w:tr>
        <w:tc>
          <w:tcPr>
            <w:tcW w:type="dxa" w:w="2952"/>
            <w:shd w:val="clear" w:color="auto" w:fill="F6F1E6"/>
          </w:tcPr>
          <w:p>
            <w:pPr>
              <w:spacing w:after="20"/>
            </w:pPr>
            <w:r>
              <w:rPr>
                <w:b/>
                <w:color w:val="1C3A36"/>
                <w:sz w:val="17"/>
              </w:rPr>
              <w:t>Cost of capital, explicit window</w:t>
            </w:r>
          </w:p>
        </w:tc>
        <w:tc>
          <w:tcPr>
            <w:tcW w:type="dxa" w:w="1656"/>
            <w:shd w:val="clear" w:color="auto" w:fill="F6F1E6"/>
          </w:tcPr>
          <w:p>
            <w:pPr>
              <w:spacing w:after="20"/>
              <w:jc w:val="right"/>
            </w:pPr>
            <w:r>
              <w:rPr>
                <w:b/>
                <w:color w:val="1C3A36"/>
                <w:sz w:val="17"/>
              </w:rPr>
              <w:t>9.30%</w:t>
            </w:r>
          </w:p>
        </w:tc>
        <w:tc>
          <w:tcPr>
            <w:tcW w:type="dxa" w:w="5256"/>
            <w:shd w:val="clear" w:color="auto" w:fill="F6F1E6"/>
          </w:tcPr>
          <w:p>
            <w:pPr>
              <w:spacing w:after="20"/>
              <w:jc w:val="right"/>
            </w:pPr>
            <w:r>
              <w:rPr>
                <w:b/>
                <w:color w:val="1C3A36"/>
                <w:sz w:val="17"/>
              </w:rPr>
              <w:t>weighted</w:t>
            </w:r>
          </w:p>
        </w:tc>
      </w:tr>
      <w:tr>
        <w:tc>
          <w:tcPr>
            <w:tcW w:type="dxa" w:w="2952"/>
          </w:tcPr>
          <w:p>
            <w:pPr>
              <w:spacing w:after="20"/>
            </w:pPr>
            <w:r>
              <w:rPr>
                <w:color w:val="1C3A36"/>
                <w:sz w:val="17"/>
              </w:rPr>
              <w:t>Cost of capital, terminal</w:t>
            </w:r>
          </w:p>
        </w:tc>
        <w:tc>
          <w:tcPr>
            <w:tcW w:type="dxa" w:w="1656"/>
          </w:tcPr>
          <w:p>
            <w:pPr>
              <w:spacing w:after="20"/>
              <w:jc w:val="right"/>
            </w:pPr>
            <w:r>
              <w:rPr>
                <w:color w:val="1C3A36"/>
                <w:sz w:val="17"/>
              </w:rPr>
              <w:t>9.82%</w:t>
            </w:r>
          </w:p>
        </w:tc>
        <w:tc>
          <w:tcPr>
            <w:tcW w:type="dxa" w:w="5256"/>
          </w:tcPr>
          <w:p>
            <w:pPr>
              <w:spacing w:after="20"/>
              <w:jc w:val="right"/>
            </w:pPr>
            <w:r>
              <w:rPr>
                <w:color w:val="1C3A36"/>
                <w:sz w:val="17"/>
              </w:rPr>
              <w:t>weights DERIVED from the model's own FY2030E balance sheet (8.0% debt) — above the explicit rate, as a shrinking debt share demands</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896"/>
        <w:gridCol w:w="2736"/>
        <w:gridCol w:w="2232"/>
      </w:tblGrid>
      <w:tr>
        <w:tc>
          <w:tcPr>
            <w:tcW w:type="dxa" w:w="4896"/>
            <w:shd w:val="clear" w:color="auto" w:fill="EAF0EE"/>
          </w:tcPr>
          <w:p>
            <w:pPr>
              <w:spacing w:after="20"/>
            </w:pPr>
            <w:r>
              <w:rPr>
                <w:b/>
                <w:color w:val="1C3A36"/>
                <w:sz w:val="17"/>
              </w:rPr>
              <w:t>Cost-of-debt evidence (loan note, FY2025)</w:t>
            </w:r>
          </w:p>
        </w:tc>
        <w:tc>
          <w:tcPr>
            <w:tcW w:type="dxa" w:w="2736"/>
            <w:shd w:val="clear" w:color="auto" w:fill="EAF0EE"/>
          </w:tcPr>
          <w:p>
            <w:pPr>
              <w:spacing w:after="20"/>
            </w:pPr>
            <w:r>
              <w:rPr>
                <w:b/>
                <w:color w:val="1C3A36"/>
                <w:sz w:val="17"/>
              </w:rPr>
              <w:t>Rate</w:t>
            </w:r>
          </w:p>
        </w:tc>
        <w:tc>
          <w:tcPr>
            <w:tcW w:type="dxa" w:w="2232"/>
            <w:shd w:val="clear" w:color="auto" w:fill="EAF0EE"/>
          </w:tcPr>
          <w:p>
            <w:pPr>
              <w:spacing w:after="20"/>
            </w:pPr>
            <w:r>
              <w:rPr>
                <w:b/>
                <w:color w:val="1C3A36"/>
                <w:sz w:val="17"/>
              </w:rPr>
              <w:t>Maturity</w:t>
            </w:r>
          </w:p>
        </w:tc>
      </w:tr>
      <w:tr>
        <w:tc>
          <w:tcPr>
            <w:tcW w:type="dxa" w:w="4896"/>
          </w:tcPr>
          <w:p>
            <w:pPr>
              <w:spacing w:after="20"/>
            </w:pPr>
            <w:r>
              <w:rPr>
                <w:color w:val="1C3A36"/>
                <w:sz w:val="17"/>
              </w:rPr>
              <w:t>Largest new AED tranche (AED 1,415mn)</w:t>
            </w:r>
          </w:p>
        </w:tc>
        <w:tc>
          <w:tcPr>
            <w:tcW w:type="dxa" w:w="2736"/>
          </w:tcPr>
          <w:p>
            <w:pPr>
              <w:spacing w:after="20"/>
              <w:jc w:val="right"/>
            </w:pPr>
            <w:r>
              <w:rPr>
                <w:color w:val="1C3A36"/>
                <w:sz w:val="17"/>
              </w:rPr>
              <w:t>6M EIBOR + 0.60%</w:t>
            </w:r>
          </w:p>
        </w:tc>
        <w:tc>
          <w:tcPr>
            <w:tcW w:type="dxa" w:w="2232"/>
          </w:tcPr>
          <w:p>
            <w:pPr>
              <w:spacing w:after="20"/>
              <w:jc w:val="right"/>
            </w:pPr>
            <w:r>
              <w:rPr>
                <w:color w:val="1C3A36"/>
                <w:sz w:val="17"/>
              </w:rPr>
              <w:t>Jan-2027</w:t>
            </w:r>
          </w:p>
        </w:tc>
      </w:tr>
      <w:tr>
        <w:tc>
          <w:tcPr>
            <w:tcW w:type="dxa" w:w="4896"/>
          </w:tcPr>
          <w:p>
            <w:pPr>
              <w:spacing w:after="20"/>
            </w:pPr>
            <w:r>
              <w:rPr>
                <w:color w:val="1C3A36"/>
                <w:sz w:val="17"/>
              </w:rPr>
              <w:t>AED construction tranches</w:t>
            </w:r>
          </w:p>
        </w:tc>
        <w:tc>
          <w:tcPr>
            <w:tcW w:type="dxa" w:w="2736"/>
          </w:tcPr>
          <w:p>
            <w:pPr>
              <w:spacing w:after="20"/>
              <w:jc w:val="right"/>
            </w:pPr>
            <w:r>
              <w:rPr>
                <w:color w:val="1C3A36"/>
                <w:sz w:val="17"/>
              </w:rPr>
              <w:t>3M EIBOR + 0.85% to + 2.5%</w:t>
            </w:r>
          </w:p>
        </w:tc>
        <w:tc>
          <w:tcPr>
            <w:tcW w:type="dxa" w:w="2232"/>
          </w:tcPr>
          <w:p>
            <w:pPr>
              <w:spacing w:after="20"/>
              <w:jc w:val="right"/>
            </w:pPr>
            <w:r>
              <w:rPr>
                <w:color w:val="1C3A36"/>
                <w:sz w:val="17"/>
              </w:rPr>
              <w:t>2028–2030</w:t>
            </w:r>
          </w:p>
        </w:tc>
      </w:tr>
      <w:tr>
        <w:tc>
          <w:tcPr>
            <w:tcW w:type="dxa" w:w="4896"/>
          </w:tcPr>
          <w:p>
            <w:pPr>
              <w:spacing w:after="20"/>
            </w:pPr>
            <w:r>
              <w:rPr>
                <w:color w:val="1C3A36"/>
                <w:sz w:val="17"/>
              </w:rPr>
              <w:t>GBP venue debt (ExCeL, hotels)</w:t>
            </w:r>
          </w:p>
        </w:tc>
        <w:tc>
          <w:tcPr>
            <w:tcW w:type="dxa" w:w="2736"/>
          </w:tcPr>
          <w:p>
            <w:pPr>
              <w:spacing w:after="20"/>
              <w:jc w:val="right"/>
            </w:pPr>
            <w:r>
              <w:rPr>
                <w:color w:val="1C3A36"/>
                <w:sz w:val="17"/>
              </w:rPr>
              <w:t>SONIA + 0.95% to + 2.05%</w:t>
            </w:r>
          </w:p>
        </w:tc>
        <w:tc>
          <w:tcPr>
            <w:tcW w:type="dxa" w:w="2232"/>
          </w:tcPr>
          <w:p>
            <w:pPr>
              <w:spacing w:after="20"/>
              <w:jc w:val="right"/>
            </w:pPr>
            <w:r>
              <w:rPr>
                <w:color w:val="1C3A36"/>
                <w:sz w:val="17"/>
              </w:rPr>
              <w:t>2028–2029</w:t>
            </w:r>
          </w:p>
        </w:tc>
      </w:tr>
      <w:tr>
        <w:tc>
          <w:tcPr>
            <w:tcW w:type="dxa" w:w="4896"/>
          </w:tcPr>
          <w:p>
            <w:pPr>
              <w:spacing w:after="20"/>
            </w:pPr>
            <w:r>
              <w:rPr>
                <w:color w:val="1C3A36"/>
                <w:sz w:val="17"/>
              </w:rPr>
              <w:t>USD project tranches</w:t>
            </w:r>
          </w:p>
        </w:tc>
        <w:tc>
          <w:tcPr>
            <w:tcW w:type="dxa" w:w="2736"/>
          </w:tcPr>
          <w:p>
            <w:pPr>
              <w:spacing w:after="20"/>
              <w:jc w:val="right"/>
            </w:pPr>
            <w:r>
              <w:rPr>
                <w:color w:val="1C3A36"/>
                <w:sz w:val="17"/>
              </w:rPr>
              <w:t>SOFR + margin (to + 4.98%)</w:t>
            </w:r>
          </w:p>
        </w:tc>
        <w:tc>
          <w:tcPr>
            <w:tcW w:type="dxa" w:w="2232"/>
          </w:tcPr>
          <w:p>
            <w:pPr>
              <w:spacing w:after="20"/>
              <w:jc w:val="right"/>
            </w:pPr>
            <w:r>
              <w:rPr>
                <w:color w:val="1C3A36"/>
                <w:sz w:val="17"/>
              </w:rPr>
              <w:t>2026–2027</w:t>
            </w:r>
          </w:p>
        </w:tc>
      </w:tr>
      <w:tr>
        <w:tc>
          <w:tcPr>
            <w:tcW w:type="dxa" w:w="4896"/>
          </w:tcPr>
          <w:p>
            <w:pPr>
              <w:spacing w:after="20"/>
            </w:pPr>
            <w:r>
              <w:rPr>
                <w:color w:val="1C3A36"/>
                <w:sz w:val="17"/>
              </w:rPr>
              <w:t>Fixed AED tranches</w:t>
            </w:r>
          </w:p>
        </w:tc>
        <w:tc>
          <w:tcPr>
            <w:tcW w:type="dxa" w:w="2736"/>
          </w:tcPr>
          <w:p>
            <w:pPr>
              <w:spacing w:after="20"/>
              <w:jc w:val="right"/>
            </w:pPr>
            <w:r>
              <w:rPr>
                <w:color w:val="1C3A36"/>
                <w:sz w:val="17"/>
              </w:rPr>
              <w:t>3.32% – 4.36%</w:t>
            </w:r>
          </w:p>
        </w:tc>
        <w:tc>
          <w:tcPr>
            <w:tcW w:type="dxa" w:w="2232"/>
          </w:tcPr>
          <w:p>
            <w:pPr>
              <w:spacing w:after="20"/>
              <w:jc w:val="right"/>
            </w:pPr>
            <w:r>
              <w:rPr>
                <w:color w:val="1C3A36"/>
                <w:sz w:val="17"/>
              </w:rPr>
              <w:t>2028–2033</w:t>
            </w:r>
          </w:p>
        </w:tc>
      </w:tr>
      <w:tr>
        <w:tc>
          <w:tcPr>
            <w:tcW w:type="dxa" w:w="4896"/>
            <w:shd w:val="clear" w:color="auto" w:fill="F6F1E6"/>
          </w:tcPr>
          <w:p>
            <w:pPr>
              <w:spacing w:after="20"/>
            </w:pPr>
            <w:r>
              <w:rPr>
                <w:b/>
                <w:color w:val="1C3A36"/>
                <w:sz w:val="17"/>
              </w:rPr>
              <w:t>Blended marginal rate used</w:t>
            </w:r>
          </w:p>
        </w:tc>
        <w:tc>
          <w:tcPr>
            <w:tcW w:type="dxa" w:w="2736"/>
            <w:shd w:val="clear" w:color="auto" w:fill="F6F1E6"/>
          </w:tcPr>
          <w:p>
            <w:pPr>
              <w:spacing w:after="20"/>
              <w:jc w:val="right"/>
            </w:pPr>
            <w:r>
              <w:rPr>
                <w:b/>
                <w:color w:val="1C3A36"/>
                <w:sz w:val="17"/>
              </w:rPr>
              <w:t>5.36%</w:t>
            </w:r>
          </w:p>
        </w:tc>
        <w:tc>
          <w:tcPr>
            <w:tcW w:type="dxa" w:w="2232"/>
            <w:shd w:val="clear" w:color="auto" w:fill="F6F1E6"/>
          </w:tcPr>
          <w:p>
            <w:pPr>
              <w:spacing w:after="20"/>
              <w:jc w:val="right"/>
            </w:pPr>
            <w:r>
              <w:rPr>
                <w:b/>
                <w:color w:val="1C3A36"/>
                <w:sz w:val="17"/>
              </w:rPr>
              <w:t>above the 4.48% sovereign, as it must be</w:t>
            </w:r>
          </w:p>
        </w:tc>
      </w:tr>
      <w:tr>
        <w:tc>
          <w:tcPr>
            <w:tcW w:type="dxa" w:w="4896"/>
          </w:tcPr>
          <w:p>
            <w:pPr>
              <w:spacing w:after="20"/>
            </w:pPr>
            <w:r>
              <w:rPr>
                <w:color w:val="1C3A36"/>
                <w:sz w:val="17"/>
              </w:rPr>
              <w:t>Realised effective rate, FY2025</w:t>
            </w:r>
          </w:p>
        </w:tc>
        <w:tc>
          <w:tcPr>
            <w:tcW w:type="dxa" w:w="2736"/>
          </w:tcPr>
          <w:p>
            <w:pPr>
              <w:spacing w:after="20"/>
              <w:jc w:val="right"/>
            </w:pPr>
            <w:r>
              <w:rPr>
                <w:color w:val="1C3A36"/>
                <w:sz w:val="17"/>
              </w:rPr>
              <w:t>5.9%</w:t>
            </w:r>
          </w:p>
        </w:tc>
        <w:tc>
          <w:tcPr>
            <w:tcW w:type="dxa" w:w="2232"/>
          </w:tcPr>
          <w:p>
            <w:pPr>
              <w:spacing w:after="20"/>
              <w:jc w:val="right"/>
            </w:pPr>
            <w:r>
              <w:rPr>
                <w:color w:val="1C3A36"/>
                <w:sz w:val="17"/>
              </w:rPr>
              <w:t>interest charge over average loan book</w:t>
            </w:r>
          </w:p>
        </w:tc>
      </w:tr>
    </w:tbl>
    <w:p>
      <w:pPr>
        <w:spacing w:after="40"/>
      </w:pPr>
    </w:p>
    <w:p>
      <w:pPr>
        <w:spacing w:after="120" w:before="0"/>
      </w:pPr>
      <w:r>
        <w:rPr>
          <w:b w:val="0"/>
          <w:i w:val="0"/>
          <w:color w:val="1C3A36"/>
          <w:sz w:val="21"/>
        </w:rPr>
        <w:t>Priced stress readings: charging the 17% of revenue earned outside the UAE (the audited geographic split in the revenue note — recognised revenue, not contracted sales) with Egypt's country premium cuts the DCF to AED 3.64; the mid-2026 conflict premium stays retired on the auction evidence, with a +2-point cost-of-equity strip below. Tax at the 15% domestic-minimum floor plus the observed foreign uplift.</w:t>
      </w:r>
    </w:p>
    <w:p>
      <w:pPr>
        <w:spacing w:after="80" w:before="200"/>
      </w:pPr>
      <w:r>
        <w:rPr>
          <w:b/>
          <w:i w:val="0"/>
          <w:color w:val="1C3A36"/>
          <w:sz w:val="24"/>
        </w:rPr>
        <w:t>1.9 · Sensitivity</w:t>
      </w:r>
    </w:p>
    <w:p>
      <w:pPr>
        <w:spacing w:after="40"/>
        <w:jc w:val="center"/>
      </w:pPr>
      <w:r>
        <w:drawing>
          <wp:inline xmlns:a="http://schemas.openxmlformats.org/drawingml/2006/main" xmlns:pic="http://schemas.openxmlformats.org/drawingml/2006/picture">
            <wp:extent cx="5852160" cy="2814963"/>
            <wp:docPr id="2" name="Picture 2"/>
            <wp:cNvGraphicFramePr>
              <a:graphicFrameLocks noChangeAspect="1"/>
            </wp:cNvGraphicFramePr>
            <a:graphic>
              <a:graphicData uri="http://schemas.openxmlformats.org/drawingml/2006/picture">
                <pic:pic>
                  <pic:nvPicPr>
                    <pic:cNvPr id="0" name="fig2_sens.png"/>
                    <pic:cNvPicPr/>
                  </pic:nvPicPr>
                  <pic:blipFill>
                    <a:blip r:embed="rId10"/>
                    <a:stretch>
                      <a:fillRect/>
                    </a:stretch>
                  </pic:blipFill>
                  <pic:spPr>
                    <a:xfrm>
                      <a:off x="0" y="0"/>
                      <a:ext cx="5852160" cy="2814963"/>
                    </a:xfrm>
                    <a:prstGeom prst="rect"/>
                  </pic:spPr>
                </pic:pic>
              </a:graphicData>
            </a:graphic>
          </wp:inline>
        </w:drawing>
      </w:r>
    </w:p>
    <w:p>
      <w:pPr>
        <w:spacing w:after="200" w:before="0"/>
      </w:pPr>
      <w:r>
        <w:rPr>
          <w:b w:val="0"/>
          <w:i/>
          <w:color w:val="6E7B77"/>
          <w:sz w:val="17"/>
        </w:rPr>
        <w:t>Figure 2 — DCF fair value across cost-of-equity shifts and terminal growth. Rebuilt so the centre cell equals the base case (the first edition's grid used a different terminal convention from its own base — an audit finding). Note the flat rows: with the terminal rate near the terminal return on capital, growth is close to value-neutral.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224"/>
        <w:gridCol w:w="1224"/>
        <w:gridCol w:w="1224"/>
        <w:gridCol w:w="1224"/>
        <w:gridCol w:w="1224"/>
      </w:tblGrid>
      <w:tr>
        <w:tc>
          <w:tcPr>
            <w:tcW w:type="dxa" w:w="3744"/>
            <w:shd w:val="clear" w:color="auto" w:fill="EAF0EE"/>
          </w:tcPr>
          <w:p>
            <w:pPr>
              <w:spacing w:after="20"/>
            </w:pPr>
            <w:r>
              <w:rPr>
                <w:b/>
                <w:color w:val="1C3A36"/>
                <w:sz w:val="18"/>
              </w:rPr>
              <w:t>One-way strip (DCF per share)</w:t>
            </w:r>
          </w:p>
        </w:tc>
        <w:tc>
          <w:tcPr>
            <w:tcW w:type="dxa" w:w="1224"/>
            <w:shd w:val="clear" w:color="auto" w:fill="EAF0EE"/>
          </w:tcPr>
          <w:p>
            <w:pPr>
              <w:spacing w:after="20"/>
            </w:pPr>
            <w:r>
              <w:rPr>
                <w:b/>
                <w:color w:val="1C3A36"/>
                <w:sz w:val="18"/>
              </w:rPr>
              <w:t>−2</w:t>
            </w:r>
          </w:p>
        </w:tc>
        <w:tc>
          <w:tcPr>
            <w:tcW w:type="dxa" w:w="1224"/>
            <w:shd w:val="clear" w:color="auto" w:fill="EAF0EE"/>
          </w:tcPr>
          <w:p>
            <w:pPr>
              <w:spacing w:after="20"/>
            </w:pPr>
            <w:r>
              <w:rPr>
                <w:b/>
                <w:color w:val="1C3A36"/>
                <w:sz w:val="18"/>
              </w:rPr>
              <w:t>−1</w:t>
            </w:r>
          </w:p>
        </w:tc>
        <w:tc>
          <w:tcPr>
            <w:tcW w:type="dxa" w:w="1224"/>
            <w:shd w:val="clear" w:color="auto" w:fill="EAF0EE"/>
          </w:tcPr>
          <w:p>
            <w:pPr>
              <w:spacing w:after="20"/>
            </w:pPr>
            <w:r>
              <w:rPr>
                <w:b/>
                <w:color w:val="1C3A36"/>
                <w:sz w:val="18"/>
              </w:rPr>
              <w:t>base</w:t>
            </w:r>
          </w:p>
        </w:tc>
        <w:tc>
          <w:tcPr>
            <w:tcW w:type="dxa" w:w="1224"/>
            <w:shd w:val="clear" w:color="auto" w:fill="EAF0EE"/>
          </w:tcPr>
          <w:p>
            <w:pPr>
              <w:spacing w:after="20"/>
            </w:pPr>
            <w:r>
              <w:rPr>
                <w:b/>
                <w:color w:val="1C3A36"/>
                <w:sz w:val="18"/>
              </w:rPr>
              <w:t>+1</w:t>
            </w:r>
          </w:p>
        </w:tc>
        <w:tc>
          <w:tcPr>
            <w:tcW w:type="dxa" w:w="1224"/>
            <w:shd w:val="clear" w:color="auto" w:fill="EAF0EE"/>
          </w:tcPr>
          <w:p>
            <w:pPr>
              <w:spacing w:after="20"/>
            </w:pPr>
            <w:r>
              <w:rPr>
                <w:b/>
                <w:color w:val="1C3A36"/>
                <w:sz w:val="18"/>
              </w:rPr>
              <w:t>+2</w:t>
            </w:r>
          </w:p>
        </w:tc>
      </w:tr>
      <w:tr>
        <w:tc>
          <w:tcPr>
            <w:tcW w:type="dxa" w:w="3744"/>
          </w:tcPr>
          <w:p>
            <w:pPr>
              <w:spacing w:after="20"/>
            </w:pPr>
            <w:r>
              <w:rPr>
                <w:color w:val="1C3A36"/>
                <w:sz w:val="18"/>
              </w:rPr>
              <w:t>Beta 0.76 → 1.79 (base 1.28, steps of one standard error)</w:t>
            </w:r>
          </w:p>
        </w:tc>
        <w:tc>
          <w:tcPr>
            <w:tcW w:type="dxa" w:w="1224"/>
          </w:tcPr>
          <w:p>
            <w:pPr>
              <w:spacing w:after="20"/>
              <w:jc w:val="right"/>
            </w:pPr>
            <w:r>
              <w:rPr>
                <w:color w:val="1C3A36"/>
                <w:sz w:val="18"/>
              </w:rPr>
              <w:t>6.51</w:t>
            </w:r>
          </w:p>
        </w:tc>
        <w:tc>
          <w:tcPr>
            <w:tcW w:type="dxa" w:w="1224"/>
          </w:tcPr>
          <w:p>
            <w:pPr>
              <w:spacing w:after="20"/>
              <w:jc w:val="right"/>
            </w:pPr>
            <w:r>
              <w:rPr>
                <w:color w:val="1C3A36"/>
                <w:sz w:val="18"/>
              </w:rPr>
              <w:t>5.33</w:t>
            </w:r>
          </w:p>
        </w:tc>
        <w:tc>
          <w:tcPr>
            <w:tcW w:type="dxa" w:w="1224"/>
          </w:tcPr>
          <w:p>
            <w:pPr>
              <w:spacing w:after="20"/>
              <w:jc w:val="right"/>
            </w:pPr>
            <w:r>
              <w:rPr>
                <w:color w:val="1C3A36"/>
                <w:sz w:val="18"/>
              </w:rPr>
              <w:t>4.51</w:t>
            </w:r>
          </w:p>
        </w:tc>
        <w:tc>
          <w:tcPr>
            <w:tcW w:type="dxa" w:w="1224"/>
          </w:tcPr>
          <w:p>
            <w:pPr>
              <w:spacing w:after="20"/>
              <w:jc w:val="right"/>
            </w:pPr>
            <w:r>
              <w:rPr>
                <w:color w:val="1C3A36"/>
                <w:sz w:val="18"/>
              </w:rPr>
              <w:t>3.92</w:t>
            </w:r>
          </w:p>
        </w:tc>
        <w:tc>
          <w:tcPr>
            <w:tcW w:type="dxa" w:w="1224"/>
          </w:tcPr>
          <w:p>
            <w:pPr>
              <w:spacing w:after="20"/>
              <w:jc w:val="right"/>
            </w:pPr>
            <w:r>
              <w:rPr>
                <w:color w:val="1C3A36"/>
                <w:sz w:val="18"/>
              </w:rPr>
              <w:t>3.47</w:t>
            </w:r>
          </w:p>
        </w:tc>
      </w:tr>
      <w:tr>
        <w:tc>
          <w:tcPr>
            <w:tcW w:type="dxa" w:w="3744"/>
          </w:tcPr>
          <w:p>
            <w:pPr>
              <w:spacing w:after="20"/>
            </w:pPr>
            <w:r>
              <w:rPr>
                <w:color w:val="1C3A36"/>
                <w:sz w:val="18"/>
              </w:rPr>
              <w:t>Development margin ±4pts</w:t>
            </w:r>
          </w:p>
        </w:tc>
        <w:tc>
          <w:tcPr>
            <w:tcW w:type="dxa" w:w="1224"/>
          </w:tcPr>
          <w:p>
            <w:pPr>
              <w:spacing w:after="20"/>
              <w:jc w:val="right"/>
            </w:pPr>
            <w:r>
              <w:rPr>
                <w:color w:val="1C3A36"/>
                <w:sz w:val="18"/>
              </w:rPr>
              <w:t>4.10</w:t>
            </w:r>
          </w:p>
        </w:tc>
        <w:tc>
          <w:tcPr>
            <w:tcW w:type="dxa" w:w="1224"/>
          </w:tcPr>
          <w:p>
            <w:pPr>
              <w:spacing w:after="20"/>
              <w:jc w:val="right"/>
            </w:pPr>
            <w:r>
              <w:rPr>
                <w:color w:val="1C3A36"/>
                <w:sz w:val="18"/>
              </w:rPr>
              <w:t>4.31</w:t>
            </w:r>
          </w:p>
        </w:tc>
        <w:tc>
          <w:tcPr>
            <w:tcW w:type="dxa" w:w="1224"/>
          </w:tcPr>
          <w:p>
            <w:pPr>
              <w:spacing w:after="20"/>
              <w:jc w:val="right"/>
            </w:pPr>
            <w:r>
              <w:rPr>
                <w:color w:val="1C3A36"/>
                <w:sz w:val="18"/>
              </w:rPr>
              <w:t>4.51</w:t>
            </w:r>
          </w:p>
        </w:tc>
        <w:tc>
          <w:tcPr>
            <w:tcW w:type="dxa" w:w="1224"/>
          </w:tcPr>
          <w:p>
            <w:pPr>
              <w:spacing w:after="20"/>
              <w:jc w:val="right"/>
            </w:pPr>
            <w:r>
              <w:rPr>
                <w:color w:val="1C3A36"/>
                <w:sz w:val="18"/>
              </w:rPr>
              <w:t>4.72</w:t>
            </w:r>
          </w:p>
        </w:tc>
        <w:tc>
          <w:tcPr>
            <w:tcW w:type="dxa" w:w="1224"/>
          </w:tcPr>
          <w:p>
            <w:pPr>
              <w:spacing w:after="20"/>
              <w:jc w:val="right"/>
            </w:pPr>
            <w:r>
              <w:rPr>
                <w:color w:val="1C3A36"/>
                <w:sz w:val="18"/>
              </w:rPr>
              <w:t>4.93</w:t>
            </w:r>
          </w:p>
        </w:tc>
      </w:tr>
      <w:tr>
        <w:tc>
          <w:tcPr>
            <w:tcW w:type="dxa" w:w="3744"/>
          </w:tcPr>
          <w:p>
            <w:pPr>
              <w:spacing w:after="20"/>
            </w:pPr>
            <w:r>
              <w:rPr>
                <w:color w:val="1C3A36"/>
                <w:sz w:val="18"/>
              </w:rPr>
              <w:t>Conversion rate ±6pts</w:t>
            </w:r>
          </w:p>
        </w:tc>
        <w:tc>
          <w:tcPr>
            <w:tcW w:type="dxa" w:w="1224"/>
          </w:tcPr>
          <w:p>
            <w:pPr>
              <w:spacing w:after="20"/>
              <w:jc w:val="right"/>
            </w:pPr>
            <w:r>
              <w:rPr>
                <w:color w:val="1C3A36"/>
                <w:sz w:val="18"/>
              </w:rPr>
              <w:t>4.12</w:t>
            </w:r>
          </w:p>
        </w:tc>
        <w:tc>
          <w:tcPr>
            <w:tcW w:type="dxa" w:w="1224"/>
          </w:tcPr>
          <w:p>
            <w:pPr>
              <w:spacing w:after="20"/>
              <w:jc w:val="right"/>
            </w:pPr>
            <w:r>
              <w:rPr>
                <w:color w:val="1C3A36"/>
                <w:sz w:val="18"/>
              </w:rPr>
              <w:t>4.33</w:t>
            </w:r>
          </w:p>
        </w:tc>
        <w:tc>
          <w:tcPr>
            <w:tcW w:type="dxa" w:w="1224"/>
          </w:tcPr>
          <w:p>
            <w:pPr>
              <w:spacing w:after="20"/>
              <w:jc w:val="right"/>
            </w:pPr>
            <w:r>
              <w:rPr>
                <w:color w:val="1C3A36"/>
                <w:sz w:val="18"/>
              </w:rPr>
              <w:t>4.51</w:t>
            </w:r>
          </w:p>
        </w:tc>
        <w:tc>
          <w:tcPr>
            <w:tcW w:type="dxa" w:w="1224"/>
          </w:tcPr>
          <w:p>
            <w:pPr>
              <w:spacing w:after="20"/>
              <w:jc w:val="right"/>
            </w:pPr>
            <w:r>
              <w:rPr>
                <w:color w:val="1C3A36"/>
                <w:sz w:val="18"/>
              </w:rPr>
              <w:t>4.67</w:t>
            </w:r>
          </w:p>
        </w:tc>
        <w:tc>
          <w:tcPr>
            <w:tcW w:type="dxa" w:w="1224"/>
          </w:tcPr>
          <w:p>
            <w:pPr>
              <w:spacing w:after="20"/>
              <w:jc w:val="right"/>
            </w:pPr>
            <w:r>
              <w:rPr>
                <w:color w:val="1C3A36"/>
                <w:sz w:val="18"/>
              </w:rPr>
              <w:t>4.80</w:t>
            </w:r>
          </w:p>
        </w:tc>
      </w:tr>
      <w:tr>
        <w:tc>
          <w:tcPr>
            <w:tcW w:type="dxa" w:w="3744"/>
          </w:tcPr>
          <w:p>
            <w:pPr>
              <w:spacing w:after="20"/>
            </w:pPr>
            <w:r>
              <w:rPr>
                <w:color w:val="1C3A36"/>
                <w:sz w:val="18"/>
              </w:rPr>
              <w:t>New sales 50%→150% of base</w:t>
            </w:r>
          </w:p>
        </w:tc>
        <w:tc>
          <w:tcPr>
            <w:tcW w:type="dxa" w:w="1224"/>
          </w:tcPr>
          <w:p>
            <w:pPr>
              <w:spacing w:after="20"/>
              <w:jc w:val="right"/>
            </w:pPr>
            <w:r>
              <w:rPr>
                <w:color w:val="1C3A36"/>
                <w:sz w:val="18"/>
              </w:rPr>
              <w:t>3.53</w:t>
            </w:r>
          </w:p>
        </w:tc>
        <w:tc>
          <w:tcPr>
            <w:tcW w:type="dxa" w:w="1224"/>
          </w:tcPr>
          <w:p>
            <w:pPr>
              <w:spacing w:after="20"/>
              <w:jc w:val="right"/>
            </w:pPr>
            <w:r>
              <w:rPr>
                <w:color w:val="1C3A36"/>
                <w:sz w:val="18"/>
              </w:rPr>
              <w:t>4.02</w:t>
            </w:r>
          </w:p>
        </w:tc>
        <w:tc>
          <w:tcPr>
            <w:tcW w:type="dxa" w:w="1224"/>
          </w:tcPr>
          <w:p>
            <w:pPr>
              <w:spacing w:after="20"/>
              <w:jc w:val="right"/>
            </w:pPr>
            <w:r>
              <w:rPr>
                <w:color w:val="1C3A36"/>
                <w:sz w:val="18"/>
              </w:rPr>
              <w:t>4.51</w:t>
            </w:r>
          </w:p>
        </w:tc>
        <w:tc>
          <w:tcPr>
            <w:tcW w:type="dxa" w:w="1224"/>
          </w:tcPr>
          <w:p>
            <w:pPr>
              <w:spacing w:after="20"/>
              <w:jc w:val="right"/>
            </w:pPr>
            <w:r>
              <w:rPr>
                <w:color w:val="1C3A36"/>
                <w:sz w:val="18"/>
              </w:rPr>
              <w:t>5.00</w:t>
            </w:r>
          </w:p>
        </w:tc>
        <w:tc>
          <w:tcPr>
            <w:tcW w:type="dxa" w:w="1224"/>
          </w:tcPr>
          <w:p>
            <w:pPr>
              <w:spacing w:after="20"/>
              <w:jc w:val="right"/>
            </w:pPr>
            <w:r>
              <w:rPr>
                <w:color w:val="1C3A36"/>
                <w:sz w:val="18"/>
              </w:rPr>
              <w:t>5.49</w:t>
            </w:r>
          </w:p>
        </w:tc>
      </w:tr>
      <w:tr>
        <w:tc>
          <w:tcPr>
            <w:tcW w:type="dxa" w:w="3744"/>
          </w:tcPr>
          <w:p>
            <w:pPr>
              <w:spacing w:after="20"/>
            </w:pPr>
            <w:r>
              <w:rPr>
                <w:color w:val="1C3A36"/>
                <w:sz w:val="18"/>
              </w:rPr>
              <w:t>Working capital ±AED 1bn/yr</w:t>
            </w:r>
          </w:p>
        </w:tc>
        <w:tc>
          <w:tcPr>
            <w:tcW w:type="dxa" w:w="1224"/>
          </w:tcPr>
          <w:p>
            <w:pPr>
              <w:spacing w:after="20"/>
              <w:jc w:val="right"/>
            </w:pPr>
            <w:r>
              <w:rPr>
                <w:color w:val="1C3A36"/>
                <w:sz w:val="18"/>
              </w:rPr>
              <w:t>4.27</w:t>
            </w:r>
          </w:p>
        </w:tc>
        <w:tc>
          <w:tcPr>
            <w:tcW w:type="dxa" w:w="1224"/>
          </w:tcPr>
          <w:p>
            <w:pPr>
              <w:spacing w:after="20"/>
              <w:jc w:val="right"/>
            </w:pPr>
            <w:r>
              <w:rPr>
                <w:color w:val="1C3A36"/>
                <w:sz w:val="18"/>
              </w:rPr>
              <w:t>4.39</w:t>
            </w:r>
          </w:p>
        </w:tc>
        <w:tc>
          <w:tcPr>
            <w:tcW w:type="dxa" w:w="1224"/>
          </w:tcPr>
          <w:p>
            <w:pPr>
              <w:spacing w:after="20"/>
              <w:jc w:val="right"/>
            </w:pPr>
            <w:r>
              <w:rPr>
                <w:color w:val="1C3A36"/>
                <w:sz w:val="18"/>
              </w:rPr>
              <w:t>4.51</w:t>
            </w:r>
          </w:p>
        </w:tc>
        <w:tc>
          <w:tcPr>
            <w:tcW w:type="dxa" w:w="1224"/>
          </w:tcPr>
          <w:p>
            <w:pPr>
              <w:spacing w:after="20"/>
              <w:jc w:val="right"/>
            </w:pPr>
            <w:r>
              <w:rPr>
                <w:color w:val="1C3A36"/>
                <w:sz w:val="18"/>
              </w:rPr>
              <w:t>4.64</w:t>
            </w:r>
          </w:p>
        </w:tc>
        <w:tc>
          <w:tcPr>
            <w:tcW w:type="dxa" w:w="1224"/>
          </w:tcPr>
          <w:p>
            <w:pPr>
              <w:spacing w:after="20"/>
              <w:jc w:val="right"/>
            </w:pPr>
            <w:r>
              <w:rPr>
                <w:color w:val="1C3A36"/>
                <w:sz w:val="18"/>
              </w:rPr>
              <w:t>4.76</w:t>
            </w:r>
          </w:p>
        </w:tc>
      </w:tr>
      <w:tr>
        <w:tc>
          <w:tcPr>
            <w:tcW w:type="dxa" w:w="3744"/>
          </w:tcPr>
          <w:p>
            <w:pPr>
              <w:spacing w:after="20"/>
            </w:pPr>
            <w:r>
              <w:rPr>
                <w:color w:val="1C3A36"/>
                <w:sz w:val="18"/>
              </w:rPr>
              <w:t>Receivable days ±60</w:t>
            </w:r>
          </w:p>
        </w:tc>
        <w:tc>
          <w:tcPr>
            <w:tcW w:type="dxa" w:w="1224"/>
          </w:tcPr>
          <w:p>
            <w:pPr>
              <w:spacing w:after="20"/>
              <w:jc w:val="right"/>
            </w:pPr>
            <w:r>
              <w:rPr>
                <w:color w:val="1C3A36"/>
                <w:sz w:val="18"/>
              </w:rPr>
              <w:t>4.83</w:t>
            </w:r>
          </w:p>
        </w:tc>
        <w:tc>
          <w:tcPr>
            <w:tcW w:type="dxa" w:w="1224"/>
          </w:tcPr>
          <w:p>
            <w:pPr>
              <w:spacing w:after="20"/>
              <w:jc w:val="right"/>
            </w:pPr>
            <w:r>
              <w:rPr>
                <w:color w:val="1C3A36"/>
                <w:sz w:val="18"/>
              </w:rPr>
              <w:t>4.67</w:t>
            </w:r>
          </w:p>
        </w:tc>
        <w:tc>
          <w:tcPr>
            <w:tcW w:type="dxa" w:w="1224"/>
          </w:tcPr>
          <w:p>
            <w:pPr>
              <w:spacing w:after="20"/>
              <w:jc w:val="right"/>
            </w:pPr>
            <w:r>
              <w:rPr>
                <w:color w:val="1C3A36"/>
                <w:sz w:val="18"/>
              </w:rPr>
              <w:t>4.51</w:t>
            </w:r>
          </w:p>
        </w:tc>
        <w:tc>
          <w:tcPr>
            <w:tcW w:type="dxa" w:w="1224"/>
          </w:tcPr>
          <w:p>
            <w:pPr>
              <w:spacing w:after="20"/>
              <w:jc w:val="right"/>
            </w:pPr>
            <w:r>
              <w:rPr>
                <w:color w:val="1C3A36"/>
                <w:sz w:val="18"/>
              </w:rPr>
              <w:t>4.35</w:t>
            </w:r>
          </w:p>
        </w:tc>
        <w:tc>
          <w:tcPr>
            <w:tcW w:type="dxa" w:w="1224"/>
          </w:tcPr>
          <w:p>
            <w:pPr>
              <w:spacing w:after="20"/>
              <w:jc w:val="right"/>
            </w:pPr>
            <w:r>
              <w:rPr>
                <w:color w:val="1C3A36"/>
                <w:sz w:val="18"/>
              </w:rPr>
              <w:t>4.19</w:t>
            </w:r>
          </w:p>
        </w:tc>
      </w:tr>
      <w:tr>
        <w:tc>
          <w:tcPr>
            <w:tcW w:type="dxa" w:w="3744"/>
          </w:tcPr>
          <w:p>
            <w:pPr>
              <w:spacing w:after="20"/>
            </w:pPr>
            <w:r>
              <w:rPr>
                <w:color w:val="1C3A36"/>
                <w:sz w:val="18"/>
              </w:rPr>
              <w:t>Cost of equity +0 → +2pts (own axis: 0 at base)</w:t>
            </w:r>
          </w:p>
        </w:tc>
        <w:tc>
          <w:tcPr>
            <w:tcW w:type="dxa" w:w="1224"/>
          </w:tcPr>
          <w:p>
            <w:pPr>
              <w:spacing w:after="20"/>
              <w:jc w:val="right"/>
            </w:pPr>
            <w:r>
              <w:rPr>
                <w:color w:val="1C3A36"/>
                <w:sz w:val="18"/>
              </w:rPr>
              <w:t>4.51</w:t>
            </w:r>
          </w:p>
        </w:tc>
        <w:tc>
          <w:tcPr>
            <w:tcW w:type="dxa" w:w="1224"/>
          </w:tcPr>
          <w:p>
            <w:pPr>
              <w:spacing w:after="20"/>
              <w:jc w:val="right"/>
            </w:pPr>
            <w:r>
              <w:rPr>
                <w:color w:val="1C3A36"/>
                <w:sz w:val="18"/>
              </w:rPr>
              <w:t>4.26</w:t>
            </w:r>
          </w:p>
        </w:tc>
        <w:tc>
          <w:tcPr>
            <w:tcW w:type="dxa" w:w="1224"/>
          </w:tcPr>
          <w:p>
            <w:pPr>
              <w:spacing w:after="20"/>
              <w:jc w:val="right"/>
            </w:pPr>
            <w:r>
              <w:rPr>
                <w:color w:val="1C3A36"/>
                <w:sz w:val="18"/>
              </w:rPr>
              <w:t>4.03</w:t>
            </w:r>
          </w:p>
        </w:tc>
        <w:tc>
          <w:tcPr>
            <w:tcW w:type="dxa" w:w="1224"/>
          </w:tcPr>
          <w:p>
            <w:pPr>
              <w:spacing w:after="20"/>
              <w:jc w:val="right"/>
            </w:pPr>
            <w:r>
              <w:rPr>
                <w:color w:val="1C3A36"/>
                <w:sz w:val="18"/>
              </w:rPr>
              <w:t>3.82</w:t>
            </w:r>
          </w:p>
        </w:tc>
        <w:tc>
          <w:tcPr>
            <w:tcW w:type="dxa" w:w="1224"/>
          </w:tcPr>
          <w:p>
            <w:pPr>
              <w:spacing w:after="20"/>
              <w:jc w:val="right"/>
            </w:pPr>
            <w:r>
              <w:rPr>
                <w:color w:val="1C3A36"/>
                <w:sz w:val="18"/>
              </w:rPr>
              <w:t>3.64</w:t>
            </w:r>
          </w:p>
        </w:tc>
      </w:tr>
    </w:tbl>
    <w:p>
      <w:pPr>
        <w:spacing w:after="40"/>
      </w:pPr>
    </w:p>
    <w:p>
      <w:pPr>
        <w:spacing w:after="200" w:before="0"/>
      </w:pPr>
      <w:r>
        <w:rPr>
          <w:b w:val="0"/>
          <w:i/>
          <w:color w:val="6E7B77"/>
          <w:sz w:val="17"/>
        </w:rPr>
        <w:t>Each cell is a complete revaluation; scenario driver vectors are published on the Assumptions sheet. Two mechanisms worth naming: a uniform conversion-rate shift raises value (all five years convert more), while pulling conversion forward only in the first period is nearly value-neutral — it drains the backlog that feeds the terminal year; and the receivable-days strip is the priced form of the related-party collection risk.</w:t>
      </w:r>
    </w:p>
    <w:p>
      <w:pPr>
        <w:spacing w:after="120" w:before="280"/>
      </w:pPr>
      <w:r>
        <w:rPr>
          <w:b/>
          <w:i w:val="0"/>
          <w:color w:val="1C3A36"/>
          <w:sz w:val="30"/>
        </w:rPr>
        <w:t>2 · Technical and price structure</w:t>
      </w:r>
    </w:p>
    <w:p>
      <w:pPr>
        <w:spacing w:after="40"/>
        <w:jc w:val="center"/>
      </w:pPr>
      <w:r>
        <w:drawing>
          <wp:inline xmlns:a="http://schemas.openxmlformats.org/drawingml/2006/main" xmlns:pic="http://schemas.openxmlformats.org/drawingml/2006/picture">
            <wp:extent cx="6309360" cy="2463654"/>
            <wp:docPr id="3" name="Picture 3"/>
            <wp:cNvGraphicFramePr>
              <a:graphicFrameLocks noChangeAspect="1"/>
            </wp:cNvGraphicFramePr>
            <a:graphic>
              <a:graphicData uri="http://schemas.openxmlformats.org/drawingml/2006/picture">
                <pic:pic>
                  <pic:nvPicPr>
                    <pic:cNvPr id="0" name="fig3_ma.png"/>
                    <pic:cNvPicPr/>
                  </pic:nvPicPr>
                  <pic:blipFill>
                    <a:blip r:embed="rId11"/>
                    <a:stretch>
                      <a:fillRect/>
                    </a:stretch>
                  </pic:blipFill>
                  <pic:spPr>
                    <a:xfrm>
                      <a:off x="0" y="0"/>
                      <a:ext cx="6309360" cy="2463654"/>
                    </a:xfrm>
                    <a:prstGeom prst="rect"/>
                  </pic:spPr>
                </pic:pic>
              </a:graphicData>
            </a:graphic>
          </wp:inline>
        </w:drawing>
      </w:r>
    </w:p>
    <w:p>
      <w:pPr>
        <w:spacing w:after="200" w:before="0"/>
      </w:pPr>
      <w:r>
        <w:rPr>
          <w:b w:val="0"/>
          <w:i/>
          <w:color w:val="6E7B77"/>
          <w:sz w:val="17"/>
        </w:rPr>
        <w:t>Figure 3 — the last 260 sessions against the 20/50/100/200-day moving averages.</w:t>
      </w:r>
    </w:p>
    <w:p>
      <w:pPr>
        <w:spacing w:after="120" w:before="0"/>
      </w:pPr>
      <w:r>
        <w:rPr>
          <w:b w:val="0"/>
          <w:i w:val="0"/>
          <w:color w:val="1C3A36"/>
          <w:sz w:val="21"/>
        </w:rPr>
        <w:t>The price closed 2.83 below a falling 20-day (2.88), a falling 50-day (2.95) and a falling 200-day (3.21). Momentum is soft: RSI(14) is ~39 and the daily ATR near 0.05 (~1.8%) points to a normal tape. MACD (12·26·9) is below zero but turning up (−0.04 / −0.04 / +0.00). Over the last year it has ranged 2.76–3.82; the last close sits 26% below that high and 3% above that low. (The MACD histogram is +0.002 — marginally positive; "turning up" rests on that computed sign, shown here at full precision.)</w:t>
      </w:r>
    </w:p>
    <w:p>
      <w:pPr>
        <w:spacing w:after="120" w:before="0"/>
      </w:pPr>
      <w:r>
        <w:rPr>
          <w:b w:val="0"/>
          <w:i w:val="0"/>
          <w:color w:val="1C3A36"/>
          <w:sz w:val="21"/>
        </w:rPr>
        <w:t>Trading below the whole moving-average stack, under a falling 200-day. A daily close back above 2.88 would clear the nearest resistance and open the 3.57 zone. A close below 2.76 would break the nearest support and open the 2.40 zone.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336"/>
        <w:gridCol w:w="2016"/>
      </w:tblGrid>
      <w:tr>
        <w:tc>
          <w:tcPr>
            <w:tcW w:type="dxa" w:w="6336"/>
            <w:shd w:val="clear" w:color="auto" w:fill="EAF0EE"/>
          </w:tcPr>
          <w:p>
            <w:pPr>
              <w:spacing w:after="20"/>
            </w:pPr>
            <w:r>
              <w:rPr>
                <w:b/>
                <w:color w:val="1C3A36"/>
                <w:sz w:val="18"/>
              </w:rPr>
              <w:t>Nearest levels (computed from swing-point clusters)</w:t>
            </w:r>
          </w:p>
        </w:tc>
        <w:tc>
          <w:tcPr>
            <w:tcW w:type="dxa" w:w="2016"/>
            <w:shd w:val="clear" w:color="auto" w:fill="EAF0EE"/>
          </w:tcPr>
          <w:p>
            <w:pPr>
              <w:spacing w:after="20"/>
            </w:pPr>
            <w:r>
              <w:rPr>
                <w:b/>
                <w:color w:val="1C3A36"/>
                <w:sz w:val="18"/>
              </w:rPr>
              <w:t>AED</w:t>
            </w:r>
          </w:p>
        </w:tc>
      </w:tr>
      <w:tr>
        <w:tc>
          <w:tcPr>
            <w:tcW w:type="dxa" w:w="6336"/>
          </w:tcPr>
          <w:p>
            <w:pPr>
              <w:spacing w:after="20"/>
            </w:pPr>
            <w:r>
              <w:rPr>
                <w:color w:val="1C3A36"/>
                <w:sz w:val="18"/>
              </w:rPr>
              <w:t>Resistance 3</w:t>
            </w:r>
          </w:p>
        </w:tc>
        <w:tc>
          <w:tcPr>
            <w:tcW w:type="dxa" w:w="2016"/>
          </w:tcPr>
          <w:p>
            <w:pPr>
              <w:spacing w:after="20"/>
              <w:jc w:val="right"/>
            </w:pPr>
            <w:r>
              <w:rPr>
                <w:color w:val="1C3A36"/>
                <w:sz w:val="18"/>
              </w:rPr>
              <w:t>3.57</w:t>
            </w:r>
          </w:p>
        </w:tc>
      </w:tr>
      <w:tr>
        <w:tc>
          <w:tcPr>
            <w:tcW w:type="dxa" w:w="6336"/>
          </w:tcPr>
          <w:p>
            <w:pPr>
              <w:spacing w:after="20"/>
            </w:pPr>
            <w:r>
              <w:rPr>
                <w:color w:val="1C3A36"/>
                <w:sz w:val="18"/>
              </w:rPr>
              <w:t>Resistance 2</w:t>
            </w:r>
          </w:p>
        </w:tc>
        <w:tc>
          <w:tcPr>
            <w:tcW w:type="dxa" w:w="2016"/>
          </w:tcPr>
          <w:p>
            <w:pPr>
              <w:spacing w:after="20"/>
              <w:jc w:val="right"/>
            </w:pPr>
            <w:r>
              <w:rPr>
                <w:color w:val="1C3A36"/>
                <w:sz w:val="18"/>
              </w:rPr>
              <w:t>3.30</w:t>
            </w:r>
          </w:p>
        </w:tc>
      </w:tr>
      <w:tr>
        <w:tc>
          <w:tcPr>
            <w:tcW w:type="dxa" w:w="6336"/>
          </w:tcPr>
          <w:p>
            <w:pPr>
              <w:spacing w:after="20"/>
            </w:pPr>
            <w:r>
              <w:rPr>
                <w:color w:val="1C3A36"/>
                <w:sz w:val="18"/>
              </w:rPr>
              <w:t>Resistance 1 (nearest)</w:t>
            </w:r>
          </w:p>
        </w:tc>
        <w:tc>
          <w:tcPr>
            <w:tcW w:type="dxa" w:w="2016"/>
          </w:tcPr>
          <w:p>
            <w:pPr>
              <w:spacing w:after="20"/>
              <w:jc w:val="right"/>
            </w:pPr>
            <w:r>
              <w:rPr>
                <w:color w:val="1C3A36"/>
                <w:sz w:val="18"/>
              </w:rPr>
              <w:t>2.88</w:t>
            </w:r>
          </w:p>
        </w:tc>
      </w:tr>
      <w:tr>
        <w:tc>
          <w:tcPr>
            <w:tcW w:type="dxa" w:w="6336"/>
            <w:shd w:val="clear" w:color="auto" w:fill="F6F1E6"/>
          </w:tcPr>
          <w:p>
            <w:pPr>
              <w:spacing w:after="20"/>
            </w:pPr>
            <w:r>
              <w:rPr>
                <w:b/>
                <w:color w:val="1C3A36"/>
                <w:sz w:val="18"/>
              </w:rPr>
              <w:t>Last close (7 Aug 2026)</w:t>
            </w:r>
          </w:p>
        </w:tc>
        <w:tc>
          <w:tcPr>
            <w:tcW w:type="dxa" w:w="2016"/>
            <w:shd w:val="clear" w:color="auto" w:fill="F6F1E6"/>
          </w:tcPr>
          <w:p>
            <w:pPr>
              <w:spacing w:after="20"/>
              <w:jc w:val="right"/>
            </w:pPr>
            <w:r>
              <w:rPr>
                <w:b/>
                <w:color w:val="1C3A36"/>
                <w:sz w:val="18"/>
              </w:rPr>
              <w:t>2.83</w:t>
            </w:r>
          </w:p>
        </w:tc>
      </w:tr>
      <w:tr>
        <w:tc>
          <w:tcPr>
            <w:tcW w:type="dxa" w:w="6336"/>
          </w:tcPr>
          <w:p>
            <w:pPr>
              <w:spacing w:after="20"/>
            </w:pPr>
            <w:r>
              <w:rPr>
                <w:color w:val="1C3A36"/>
                <w:sz w:val="18"/>
              </w:rPr>
              <w:t>Support 1 (nearest)</w:t>
            </w:r>
          </w:p>
        </w:tc>
        <w:tc>
          <w:tcPr>
            <w:tcW w:type="dxa" w:w="2016"/>
          </w:tcPr>
          <w:p>
            <w:pPr>
              <w:spacing w:after="20"/>
              <w:jc w:val="right"/>
            </w:pPr>
            <w:r>
              <w:rPr>
                <w:color w:val="1C3A36"/>
                <w:sz w:val="18"/>
              </w:rPr>
              <w:t>2.76</w:t>
            </w:r>
          </w:p>
        </w:tc>
      </w:tr>
      <w:tr>
        <w:tc>
          <w:tcPr>
            <w:tcW w:type="dxa" w:w="6336"/>
          </w:tcPr>
          <w:p>
            <w:pPr>
              <w:spacing w:after="20"/>
            </w:pPr>
            <w:r>
              <w:rPr>
                <w:color w:val="1C3A36"/>
                <w:sz w:val="18"/>
              </w:rPr>
              <w:t>Support 2</w:t>
            </w:r>
          </w:p>
        </w:tc>
        <w:tc>
          <w:tcPr>
            <w:tcW w:type="dxa" w:w="2016"/>
          </w:tcPr>
          <w:p>
            <w:pPr>
              <w:spacing w:after="20"/>
              <w:jc w:val="right"/>
            </w:pPr>
            <w:r>
              <w:rPr>
                <w:color w:val="1C3A36"/>
                <w:sz w:val="18"/>
              </w:rPr>
              <w:t>2.70</w:t>
            </w:r>
          </w:p>
        </w:tc>
      </w:tr>
      <w:tr>
        <w:tc>
          <w:tcPr>
            <w:tcW w:type="dxa" w:w="6336"/>
          </w:tcPr>
          <w:p>
            <w:pPr>
              <w:spacing w:after="20"/>
            </w:pPr>
            <w:r>
              <w:rPr>
                <w:color w:val="1C3A36"/>
                <w:sz w:val="18"/>
              </w:rPr>
              <w:t>Support 3</w:t>
            </w:r>
          </w:p>
        </w:tc>
        <w:tc>
          <w:tcPr>
            <w:tcW w:type="dxa" w:w="2016"/>
          </w:tcPr>
          <w:p>
            <w:pPr>
              <w:spacing w:after="20"/>
              <w:jc w:val="right"/>
            </w:pPr>
            <w:r>
              <w:rPr>
                <w:color w:val="1C3A36"/>
                <w:sz w:val="18"/>
              </w:rPr>
              <w:t>2.40</w:t>
            </w:r>
          </w:p>
        </w:tc>
      </w:tr>
    </w:tbl>
    <w:p>
      <w:pPr>
        <w:spacing w:after="40"/>
      </w:pPr>
    </w:p>
    <w:p>
      <w:pPr>
        <w:spacing w:after="200" w:before="0"/>
      </w:pPr>
      <w:r>
        <w:rPr>
          <w:b w:val="0"/>
          <w:i/>
          <w:color w:val="6E7B77"/>
          <w:sz w:val="17"/>
        </w:rPr>
        <w:t>Levels are recency-weighted swing-point clusters computed from the full price history; the read is computed, not drawn by hand.</w:t>
      </w:r>
    </w:p>
    <w:p>
      <w:pPr>
        <w:spacing w:after="120" w:before="280"/>
      </w:pPr>
      <w:r>
        <w:rPr>
          <w:b/>
          <w:i w:val="0"/>
          <w:color w:val="1C3A36"/>
          <w:sz w:val="30"/>
        </w:rPr>
        <w:t>3 · Probabilistic price map</w:t>
      </w:r>
    </w:p>
    <w:p>
      <w:pPr>
        <w:spacing w:after="120" w:before="0"/>
      </w:pPr>
      <w:r>
        <w:rPr>
          <w:b w:val="0"/>
          <w:i w:val="0"/>
          <w:color w:val="1C3A36"/>
          <w:sz w:val="21"/>
        </w:rPr>
        <w:t>Struck from the 7 August 2026 close of AED 2.83 using a volatility model fitted to this market's panel of ADX/DFM names, drift at the short-term dirham rate (no dividend is paid or proposed — a sourced zero), 50,000 paths. Unchanged from the first edition: the price series and anchor did not change.</w:t>
      </w:r>
    </w:p>
    <w:p>
      <w:pPr>
        <w:spacing w:after="120" w:before="0"/>
      </w:pPr>
      <w:r>
        <w:rPr>
          <w:b w:val="0"/>
          <w:i w:val="0"/>
          <w:color w:val="1C3A36"/>
          <w:sz w:val="21"/>
        </w:rPr>
        <w:t>How much to trust it: tested on 17 non-overlapping three-month windows walked forward over the post-2022 trading regime (earlier windows excluded because the UAE changed its trading week in January 2022 — and, worth stating, part of that history belongs to the smaller predecessor company), the method beat a drift-adjusted random walk by 4.2% on a proper scoring rule, robust across resampling. Coverage runs WIDE: the 80% band contained 94% of outcomes and the 90% band the same 94% — over-coverage, not precision; the bands are, if anything, conservative at this sample size. The forecast percentile of realised prices is statistically indistinguishable from uniform. Calibrated ranges, not promises.</w:t>
      </w:r>
    </w:p>
    <w:p>
      <w:pPr>
        <w:spacing w:after="40"/>
        <w:jc w:val="center"/>
      </w:pPr>
      <w:r>
        <w:drawing>
          <wp:inline xmlns:a="http://schemas.openxmlformats.org/drawingml/2006/main" xmlns:pic="http://schemas.openxmlformats.org/drawingml/2006/picture">
            <wp:extent cx="6309360" cy="2704011"/>
            <wp:docPr id="4" name="Picture 4"/>
            <wp:cNvGraphicFramePr>
              <a:graphicFrameLocks noChangeAspect="1"/>
            </wp:cNvGraphicFramePr>
            <a:graphic>
              <a:graphicData uri="http://schemas.openxmlformats.org/drawingml/2006/picture">
                <pic:pic>
                  <pic:nvPicPr>
                    <pic:cNvPr id="0" name="fig4_fan.png"/>
                    <pic:cNvPicPr/>
                  </pic:nvPicPr>
                  <pic:blipFill>
                    <a:blip r:embed="rId12"/>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4 — the three-month cone: median, central 50% band and 5–95% band.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2664"/>
        <w:gridCol w:w="2664"/>
      </w:tblGrid>
      <w:tr>
        <w:tc>
          <w:tcPr>
            <w:tcW w:type="dxa" w:w="3744"/>
            <w:shd w:val="clear" w:color="auto" w:fill="EAF0EE"/>
          </w:tcPr>
          <w:p>
            <w:pPr>
              <w:spacing w:after="20"/>
            </w:pPr>
            <w:r>
              <w:rPr>
                <w:b/>
                <w:color w:val="1C3A36"/>
                <w:sz w:val="18"/>
              </w:rPr>
            </w:r>
          </w:p>
        </w:tc>
        <w:tc>
          <w:tcPr>
            <w:tcW w:type="dxa" w:w="2664"/>
            <w:shd w:val="clear" w:color="auto" w:fill="EAF0EE"/>
          </w:tcPr>
          <w:p>
            <w:pPr>
              <w:spacing w:after="20"/>
            </w:pPr>
            <w:r>
              <w:rPr>
                <w:b/>
                <w:color w:val="1C3A36"/>
                <w:sz w:val="18"/>
              </w:rPr>
              <w:t>1 month (to 2026-09-07)</w:t>
            </w:r>
          </w:p>
        </w:tc>
        <w:tc>
          <w:tcPr>
            <w:tcW w:type="dxa" w:w="2664"/>
            <w:shd w:val="clear" w:color="auto" w:fill="EAF0EE"/>
          </w:tcPr>
          <w:p>
            <w:pPr>
              <w:spacing w:after="20"/>
            </w:pPr>
            <w:r>
              <w:rPr>
                <w:b/>
                <w:color w:val="1C3A36"/>
                <w:sz w:val="18"/>
              </w:rPr>
              <w:t>3 months (to 2026-11-09)</w:t>
            </w:r>
          </w:p>
        </w:tc>
      </w:tr>
      <w:tr>
        <w:tc>
          <w:tcPr>
            <w:tcW w:type="dxa" w:w="3744"/>
          </w:tcPr>
          <w:p>
            <w:pPr>
              <w:spacing w:after="20"/>
            </w:pPr>
            <w:r>
              <w:rPr>
                <w:color w:val="1C3A36"/>
                <w:sz w:val="18"/>
              </w:rPr>
              <w:t>5th percentile</w:t>
            </w:r>
          </w:p>
        </w:tc>
        <w:tc>
          <w:tcPr>
            <w:tcW w:type="dxa" w:w="2664"/>
          </w:tcPr>
          <w:p>
            <w:pPr>
              <w:spacing w:after="20"/>
              <w:jc w:val="right"/>
            </w:pPr>
            <w:r>
              <w:rPr>
                <w:color w:val="1C3A36"/>
                <w:sz w:val="18"/>
              </w:rPr>
              <w:t>2.54</w:t>
            </w:r>
          </w:p>
        </w:tc>
        <w:tc>
          <w:tcPr>
            <w:tcW w:type="dxa" w:w="2664"/>
          </w:tcPr>
          <w:p>
            <w:pPr>
              <w:spacing w:after="20"/>
              <w:jc w:val="right"/>
            </w:pPr>
            <w:r>
              <w:rPr>
                <w:color w:val="1C3A36"/>
                <w:sz w:val="18"/>
              </w:rPr>
              <w:t>2.32</w:t>
            </w:r>
          </w:p>
        </w:tc>
      </w:tr>
      <w:tr>
        <w:tc>
          <w:tcPr>
            <w:tcW w:type="dxa" w:w="3744"/>
          </w:tcPr>
          <w:p>
            <w:pPr>
              <w:spacing w:after="20"/>
            </w:pPr>
            <w:r>
              <w:rPr>
                <w:color w:val="1C3A36"/>
                <w:sz w:val="18"/>
              </w:rPr>
              <w:t>25th percentile</w:t>
            </w:r>
          </w:p>
        </w:tc>
        <w:tc>
          <w:tcPr>
            <w:tcW w:type="dxa" w:w="2664"/>
          </w:tcPr>
          <w:p>
            <w:pPr>
              <w:spacing w:after="20"/>
              <w:jc w:val="right"/>
            </w:pPr>
            <w:r>
              <w:rPr>
                <w:color w:val="1C3A36"/>
                <w:sz w:val="18"/>
              </w:rPr>
              <w:t>2.72</w:t>
            </w:r>
          </w:p>
        </w:tc>
        <w:tc>
          <w:tcPr>
            <w:tcW w:type="dxa" w:w="2664"/>
          </w:tcPr>
          <w:p>
            <w:pPr>
              <w:spacing w:after="20"/>
              <w:jc w:val="right"/>
            </w:pPr>
            <w:r>
              <w:rPr>
                <w:color w:val="1C3A36"/>
                <w:sz w:val="18"/>
              </w:rPr>
              <w:t>2.64</w:t>
            </w:r>
          </w:p>
        </w:tc>
      </w:tr>
      <w:tr>
        <w:tc>
          <w:tcPr>
            <w:tcW w:type="dxa" w:w="3744"/>
          </w:tcPr>
          <w:p>
            <w:pPr>
              <w:spacing w:after="20"/>
            </w:pPr>
            <w:r>
              <w:rPr>
                <w:color w:val="1C3A36"/>
                <w:sz w:val="18"/>
              </w:rPr>
              <w:t>Median</w:t>
            </w:r>
          </w:p>
        </w:tc>
        <w:tc>
          <w:tcPr>
            <w:tcW w:type="dxa" w:w="2664"/>
          </w:tcPr>
          <w:p>
            <w:pPr>
              <w:spacing w:after="20"/>
              <w:jc w:val="right"/>
            </w:pPr>
            <w:r>
              <w:rPr>
                <w:color w:val="1C3A36"/>
                <w:sz w:val="18"/>
              </w:rPr>
              <w:t>2.84</w:t>
            </w:r>
          </w:p>
        </w:tc>
        <w:tc>
          <w:tcPr>
            <w:tcW w:type="dxa" w:w="2664"/>
          </w:tcPr>
          <w:p>
            <w:pPr>
              <w:spacing w:after="20"/>
              <w:jc w:val="right"/>
            </w:pPr>
            <w:r>
              <w:rPr>
                <w:color w:val="1C3A36"/>
                <w:sz w:val="18"/>
              </w:rPr>
              <w:t>2.86</w:t>
            </w:r>
          </w:p>
        </w:tc>
      </w:tr>
      <w:tr>
        <w:tc>
          <w:tcPr>
            <w:tcW w:type="dxa" w:w="3744"/>
          </w:tcPr>
          <w:p>
            <w:pPr>
              <w:spacing w:after="20"/>
            </w:pPr>
            <w:r>
              <w:rPr>
                <w:color w:val="1C3A36"/>
                <w:sz w:val="18"/>
              </w:rPr>
              <w:t>75th percentile</w:t>
            </w:r>
          </w:p>
        </w:tc>
        <w:tc>
          <w:tcPr>
            <w:tcW w:type="dxa" w:w="2664"/>
          </w:tcPr>
          <w:p>
            <w:pPr>
              <w:spacing w:after="20"/>
              <w:jc w:val="right"/>
            </w:pPr>
            <w:r>
              <w:rPr>
                <w:color w:val="1C3A36"/>
                <w:sz w:val="18"/>
              </w:rPr>
              <w:t>2.96</w:t>
            </w:r>
          </w:p>
        </w:tc>
        <w:tc>
          <w:tcPr>
            <w:tcW w:type="dxa" w:w="2664"/>
          </w:tcPr>
          <w:p>
            <w:pPr>
              <w:spacing w:after="20"/>
              <w:jc w:val="right"/>
            </w:pPr>
            <w:r>
              <w:rPr>
                <w:color w:val="1C3A36"/>
                <w:sz w:val="18"/>
              </w:rPr>
              <w:t>3.09</w:t>
            </w:r>
          </w:p>
        </w:tc>
      </w:tr>
      <w:tr>
        <w:tc>
          <w:tcPr>
            <w:tcW w:type="dxa" w:w="3744"/>
          </w:tcPr>
          <w:p>
            <w:pPr>
              <w:spacing w:after="20"/>
            </w:pPr>
            <w:r>
              <w:rPr>
                <w:color w:val="1C3A36"/>
                <w:sz w:val="18"/>
              </w:rPr>
              <w:t>95th percentile</w:t>
            </w:r>
          </w:p>
        </w:tc>
        <w:tc>
          <w:tcPr>
            <w:tcW w:type="dxa" w:w="2664"/>
          </w:tcPr>
          <w:p>
            <w:pPr>
              <w:spacing w:after="20"/>
              <w:jc w:val="right"/>
            </w:pPr>
            <w:r>
              <w:rPr>
                <w:color w:val="1C3A36"/>
                <w:sz w:val="18"/>
              </w:rPr>
              <w:t>3.17</w:t>
            </w:r>
          </w:p>
        </w:tc>
        <w:tc>
          <w:tcPr>
            <w:tcW w:type="dxa" w:w="2664"/>
          </w:tcPr>
          <w:p>
            <w:pPr>
              <w:spacing w:after="20"/>
              <w:jc w:val="right"/>
            </w:pPr>
            <w:r>
              <w:rPr>
                <w:color w:val="1C3A36"/>
                <w:sz w:val="18"/>
              </w:rPr>
              <w:t>3.52</w:t>
            </w:r>
          </w:p>
        </w:tc>
      </w:tr>
      <w:tr>
        <w:tc>
          <w:tcPr>
            <w:tcW w:type="dxa" w:w="3744"/>
          </w:tcPr>
          <w:p>
            <w:pPr>
              <w:spacing w:after="20"/>
            </w:pPr>
            <w:r>
              <w:rPr>
                <w:color w:val="1C3A36"/>
                <w:sz w:val="18"/>
              </w:rPr>
              <w:t>P(finish above spot)</w:t>
            </w:r>
          </w:p>
        </w:tc>
        <w:tc>
          <w:tcPr>
            <w:tcW w:type="dxa" w:w="2664"/>
          </w:tcPr>
          <w:p>
            <w:pPr>
              <w:spacing w:after="20"/>
              <w:jc w:val="right"/>
            </w:pPr>
            <w:r>
              <w:rPr>
                <w:color w:val="1C3A36"/>
                <w:sz w:val="18"/>
              </w:rPr>
              <w:t>52%</w:t>
            </w:r>
          </w:p>
        </w:tc>
        <w:tc>
          <w:tcPr>
            <w:tcW w:type="dxa" w:w="2664"/>
          </w:tcPr>
          <w:p>
            <w:pPr>
              <w:spacing w:after="20"/>
              <w:jc w:val="right"/>
            </w:pPr>
            <w:r>
              <w:rPr>
                <w:color w:val="1C3A36"/>
                <w:sz w:val="18"/>
              </w:rPr>
              <w:t>53%</w:t>
            </w:r>
          </w:p>
        </w:tc>
      </w:tr>
      <w:tr>
        <w:tc>
          <w:tcPr>
            <w:tcW w:type="dxa" w:w="3744"/>
          </w:tcPr>
          <w:p>
            <w:pPr>
              <w:spacing w:after="20"/>
            </w:pPr>
            <w:r>
              <w:rPr>
                <w:color w:val="1C3A36"/>
                <w:sz w:val="18"/>
              </w:rPr>
              <w:t>P(finish ≥ +10%)</w:t>
            </w:r>
          </w:p>
        </w:tc>
        <w:tc>
          <w:tcPr>
            <w:tcW w:type="dxa" w:w="2664"/>
          </w:tcPr>
          <w:p>
            <w:pPr>
              <w:spacing w:after="20"/>
              <w:jc w:val="right"/>
            </w:pPr>
            <w:r>
              <w:rPr>
                <w:color w:val="1C3A36"/>
                <w:sz w:val="18"/>
              </w:rPr>
              <w:t>8%</w:t>
            </w:r>
          </w:p>
        </w:tc>
        <w:tc>
          <w:tcPr>
            <w:tcW w:type="dxa" w:w="2664"/>
          </w:tcPr>
          <w:p>
            <w:pPr>
              <w:spacing w:after="20"/>
              <w:jc w:val="right"/>
            </w:pPr>
            <w:r>
              <w:rPr>
                <w:color w:val="1C3A36"/>
                <w:sz w:val="18"/>
              </w:rPr>
              <w:t>23%</w:t>
            </w:r>
          </w:p>
        </w:tc>
      </w:tr>
      <w:tr>
        <w:tc>
          <w:tcPr>
            <w:tcW w:type="dxa" w:w="3744"/>
          </w:tcPr>
          <w:p>
            <w:pPr>
              <w:spacing w:after="20"/>
            </w:pPr>
            <w:r>
              <w:rPr>
                <w:color w:val="1C3A36"/>
                <w:sz w:val="18"/>
              </w:rPr>
              <w:t>P(finish ≤ −10%)</w:t>
            </w:r>
          </w:p>
        </w:tc>
        <w:tc>
          <w:tcPr>
            <w:tcW w:type="dxa" w:w="2664"/>
          </w:tcPr>
          <w:p>
            <w:pPr>
              <w:spacing w:after="20"/>
              <w:jc w:val="right"/>
            </w:pPr>
            <w:r>
              <w:rPr>
                <w:color w:val="1C3A36"/>
                <w:sz w:val="18"/>
              </w:rPr>
              <w:t>6%</w:t>
            </w:r>
          </w:p>
        </w:tc>
        <w:tc>
          <w:tcPr>
            <w:tcW w:type="dxa" w:w="2664"/>
          </w:tcPr>
          <w:p>
            <w:pPr>
              <w:spacing w:after="20"/>
              <w:jc w:val="right"/>
            </w:pPr>
            <w:r>
              <w:rPr>
                <w:color w:val="1C3A36"/>
                <w:sz w:val="18"/>
              </w:rPr>
              <w:t>17%</w:t>
            </w:r>
          </w:p>
        </w:tc>
      </w:tr>
      <w:tr>
        <w:tc>
          <w:tcPr>
            <w:tcW w:type="dxa" w:w="3744"/>
          </w:tcPr>
          <w:p>
            <w:pPr>
              <w:spacing w:after="20"/>
            </w:pPr>
            <w:r>
              <w:rPr>
                <w:color w:val="1C3A36"/>
                <w:sz w:val="18"/>
              </w:rPr>
              <w:t>P(touch +5% at any point)</w:t>
            </w:r>
          </w:p>
        </w:tc>
        <w:tc>
          <w:tcPr>
            <w:tcW w:type="dxa" w:w="2664"/>
          </w:tcPr>
          <w:p>
            <w:pPr>
              <w:spacing w:after="20"/>
              <w:jc w:val="right"/>
            </w:pPr>
            <w:r>
              <w:rPr>
                <w:color w:val="1C3A36"/>
                <w:sz w:val="18"/>
              </w:rPr>
              <w:t>39%</w:t>
            </w:r>
          </w:p>
        </w:tc>
        <w:tc>
          <w:tcPr>
            <w:tcW w:type="dxa" w:w="2664"/>
          </w:tcPr>
          <w:p>
            <w:pPr>
              <w:spacing w:after="20"/>
              <w:jc w:val="right"/>
            </w:pPr>
            <w:r>
              <w:rPr>
                <w:color w:val="1C3A36"/>
                <w:sz w:val="18"/>
              </w:rPr>
              <w:t>65%</w:t>
            </w:r>
          </w:p>
        </w:tc>
      </w:tr>
      <w:tr>
        <w:tc>
          <w:tcPr>
            <w:tcW w:type="dxa" w:w="3744"/>
          </w:tcPr>
          <w:p>
            <w:pPr>
              <w:spacing w:after="20"/>
            </w:pPr>
            <w:r>
              <w:rPr>
                <w:color w:val="1C3A36"/>
                <w:sz w:val="18"/>
              </w:rPr>
              <w:t>P(touch −5% at any point)</w:t>
            </w:r>
          </w:p>
        </w:tc>
        <w:tc>
          <w:tcPr>
            <w:tcW w:type="dxa" w:w="2664"/>
          </w:tcPr>
          <w:p>
            <w:pPr>
              <w:spacing w:after="20"/>
              <w:jc w:val="right"/>
            </w:pPr>
            <w:r>
              <w:rPr>
                <w:color w:val="1C3A36"/>
                <w:sz w:val="18"/>
              </w:rPr>
              <w:t>35%</w:t>
            </w:r>
          </w:p>
        </w:tc>
        <w:tc>
          <w:tcPr>
            <w:tcW w:type="dxa" w:w="2664"/>
          </w:tcPr>
          <w:p>
            <w:pPr>
              <w:spacing w:after="20"/>
              <w:jc w:val="right"/>
            </w:pPr>
            <w:r>
              <w:rPr>
                <w:color w:val="1C3A36"/>
                <w:sz w:val="18"/>
              </w:rPr>
              <w:t>59%</w:t>
            </w:r>
          </w:p>
        </w:tc>
      </w:tr>
      <w:tr>
        <w:tc>
          <w:tcPr>
            <w:tcW w:type="dxa" w:w="3744"/>
          </w:tcPr>
          <w:p>
            <w:pPr>
              <w:spacing w:after="20"/>
            </w:pPr>
            <w:r>
              <w:rPr>
                <w:color w:val="1C3A36"/>
                <w:sz w:val="18"/>
              </w:rPr>
              <w:t>P(touch +10% at any point)</w:t>
            </w:r>
          </w:p>
        </w:tc>
        <w:tc>
          <w:tcPr>
            <w:tcW w:type="dxa" w:w="2664"/>
          </w:tcPr>
          <w:p>
            <w:pPr>
              <w:spacing w:after="20"/>
              <w:jc w:val="right"/>
            </w:pPr>
            <w:r>
              <w:rPr>
                <w:color w:val="1C3A36"/>
                <w:sz w:val="18"/>
              </w:rPr>
              <w:t>13%</w:t>
            </w:r>
          </w:p>
        </w:tc>
        <w:tc>
          <w:tcPr>
            <w:tcW w:type="dxa" w:w="2664"/>
          </w:tcPr>
          <w:p>
            <w:pPr>
              <w:spacing w:after="20"/>
              <w:jc w:val="right"/>
            </w:pPr>
            <w:r>
              <w:rPr>
                <w:color w:val="1C3A36"/>
                <w:sz w:val="18"/>
              </w:rPr>
              <w:t>41%</w:t>
            </w:r>
          </w:p>
        </w:tc>
      </w:tr>
      <w:tr>
        <w:tc>
          <w:tcPr>
            <w:tcW w:type="dxa" w:w="3744"/>
          </w:tcPr>
          <w:p>
            <w:pPr>
              <w:spacing w:after="20"/>
            </w:pPr>
            <w:r>
              <w:rPr>
                <w:color w:val="1C3A36"/>
                <w:sz w:val="18"/>
              </w:rPr>
              <w:t>P(touch −10% at any point)</w:t>
            </w:r>
          </w:p>
        </w:tc>
        <w:tc>
          <w:tcPr>
            <w:tcW w:type="dxa" w:w="2664"/>
          </w:tcPr>
          <w:p>
            <w:pPr>
              <w:spacing w:after="20"/>
              <w:jc w:val="right"/>
            </w:pPr>
            <w:r>
              <w:rPr>
                <w:color w:val="1C3A36"/>
                <w:sz w:val="18"/>
              </w:rPr>
              <w:t>9%</w:t>
            </w:r>
          </w:p>
        </w:tc>
        <w:tc>
          <w:tcPr>
            <w:tcW w:type="dxa" w:w="2664"/>
          </w:tcPr>
          <w:p>
            <w:pPr>
              <w:spacing w:after="20"/>
              <w:jc w:val="right"/>
            </w:pPr>
            <w:r>
              <w:rPr>
                <w:color w:val="1C3A36"/>
                <w:sz w:val="18"/>
              </w:rPr>
              <w:t>32%</w:t>
            </w:r>
          </w:p>
        </w:tc>
      </w:tr>
    </w:tbl>
    <w:p>
      <w:pPr>
        <w:spacing w:after="40"/>
      </w:pPr>
    </w:p>
    <w:p>
      <w:pPr>
        <w:spacing w:after="200" w:before="0"/>
      </w:pPr>
      <w:r>
        <w:rPr>
          <w:b w:val="0"/>
          <w:i/>
          <w:color w:val="6E7B77"/>
          <w:sz w:val="17"/>
        </w:rPr>
        <w:t>Calendar-defined windows, settled on the first trading session on or after each date.</w:t>
      </w:r>
    </w:p>
    <w:p>
      <w:pPr>
        <w:spacing w:after="40"/>
        <w:jc w:val="center"/>
      </w:pPr>
      <w:r>
        <w:drawing>
          <wp:inline xmlns:a="http://schemas.openxmlformats.org/drawingml/2006/main" xmlns:pic="http://schemas.openxmlformats.org/drawingml/2006/picture">
            <wp:extent cx="4754880" cy="2377440"/>
            <wp:docPr id="5" name="Picture 5"/>
            <wp:cNvGraphicFramePr>
              <a:graphicFrameLocks noChangeAspect="1"/>
            </wp:cNvGraphicFramePr>
            <a:graphic>
              <a:graphicData uri="http://schemas.openxmlformats.org/drawingml/2006/picture">
                <pic:pic>
                  <pic:nvPicPr>
                    <pic:cNvPr id="0" name="fig5_dist.png"/>
                    <pic:cNvPicPr/>
                  </pic:nvPicPr>
                  <pic:blipFill>
                    <a:blip r:embed="rId13"/>
                    <a:stretch>
                      <a:fillRect/>
                    </a:stretch>
                  </pic:blipFill>
                  <pic:spPr>
                    <a:xfrm>
                      <a:off x="0" y="0"/>
                      <a:ext cx="4754880" cy="2377440"/>
                    </a:xfrm>
                    <a:prstGeom prst="rect"/>
                  </pic:spPr>
                </pic:pic>
              </a:graphicData>
            </a:graphic>
          </wp:inline>
        </w:drawing>
      </w:r>
    </w:p>
    <w:p>
      <w:pPr>
        <w:spacing w:after="200" w:before="0"/>
      </w:pPr>
      <w:r>
        <w:rPr>
          <w:b w:val="0"/>
          <w:i/>
          <w:color w:val="6E7B77"/>
          <w:sz w:val="17"/>
        </w:rPr>
        <w:t>Figure 5 — simulated distribution at one month.</w:t>
      </w:r>
    </w:p>
    <w:p>
      <w:pPr>
        <w:spacing w:after="40"/>
        <w:jc w:val="center"/>
      </w:pPr>
      <w:r>
        <w:drawing>
          <wp:inline xmlns:a="http://schemas.openxmlformats.org/drawingml/2006/main" xmlns:pic="http://schemas.openxmlformats.org/drawingml/2006/picture">
            <wp:extent cx="4754880" cy="2377440"/>
            <wp:docPr id="6" name="Picture 6"/>
            <wp:cNvGraphicFramePr>
              <a:graphicFrameLocks noChangeAspect="1"/>
            </wp:cNvGraphicFramePr>
            <a:graphic>
              <a:graphicData uri="http://schemas.openxmlformats.org/drawingml/2006/picture">
                <pic:pic>
                  <pic:nvPicPr>
                    <pic:cNvPr id="0" name="fig6_dist.png"/>
                    <pic:cNvPicPr/>
                  </pic:nvPicPr>
                  <pic:blipFill>
                    <a:blip r:embed="rId14"/>
                    <a:stretch>
                      <a:fillRect/>
                    </a:stretch>
                  </pic:blipFill>
                  <pic:spPr>
                    <a:xfrm>
                      <a:off x="0" y="0"/>
                      <a:ext cx="4754880" cy="2377440"/>
                    </a:xfrm>
                    <a:prstGeom prst="rect"/>
                  </pic:spPr>
                </pic:pic>
              </a:graphicData>
            </a:graphic>
          </wp:inline>
        </w:drawing>
      </w:r>
    </w:p>
    <w:p>
      <w:pPr>
        <w:spacing w:after="200" w:before="0"/>
      </w:pPr>
      <w:r>
        <w:rPr>
          <w:b w:val="0"/>
          <w:i/>
          <w:color w:val="6E7B77"/>
          <w:sz w:val="17"/>
        </w:rPr>
        <w:t>Figure 6 — simulated distribution at three months.</w:t>
      </w:r>
    </w:p>
    <w:p>
      <w:pPr>
        <w:spacing w:after="120" w:before="280"/>
      </w:pPr>
      <w:r>
        <w:rPr>
          <w:b/>
          <w:i w:val="0"/>
          <w:color w:val="1C3A36"/>
          <w:sz w:val="30"/>
        </w:rPr>
        <w:t>4 · Comparison of the lenses</w:t>
      </w:r>
    </w:p>
    <w:p>
      <w:pPr>
        <w:spacing w:after="120" w:before="0"/>
      </w:pPr>
      <w:r>
        <w:rPr>
          <w:b w:val="0"/>
          <w:i w:val="0"/>
          <w:color w:val="1C3A36"/>
          <w:sz w:val="21"/>
        </w:rPr>
        <w:t>The gap narrowed but did not close. The cash-flow lenses say AED 3.28–5.34 depending on the sales path; the market lenses say AED 1.46–2.24. Three readings, each priced. First: the market is charging for risk. Making the base cash flows worth AED 2.83 requires a cost of equity of 15.3% — 5.0% above the built-up rate: a hard-currency frontier-credit premium on a AA-sovereign's own developer. Materially less absurd than it sounds, given ~85% state ownership, related-party land sales at 67% gross margins, and a receivable book that consumed AED 5.4bn of cash in six months.</w:t>
      </w:r>
    </w:p>
    <w:p>
      <w:pPr>
        <w:spacing w:after="120" w:before="0"/>
      </w:pPr>
      <w:r>
        <w:rPr>
          <w:b w:val="0"/>
          <w:i w:val="0"/>
          <w:color w:val="1C3A36"/>
          <w:sz w:val="21"/>
        </w:rPr>
        <w:t>Second: the market is pricing the run-off stress with a further discount — the stress value of AED 3.28 needs a 14% holding-company-style haircut to land on the price. Third: the market lenses anchor on current multiples while the DCF anchors on the contracted backlog — and 74.2% of the DCF's enterprise value is terminal, which is where scepticism belongs; the working-capital honesty of this revision moved cash out of the explicit window and made that share larger, not smaller. The weighted central of AED 2.98 holds these readings in stated proportions rather than pretending they agree.</w:t>
      </w:r>
    </w:p>
    <w:p>
      <w:pPr>
        <w:spacing w:after="40"/>
        <w:jc w:val="center"/>
      </w:pPr>
      <w:r>
        <w:drawing>
          <wp:inline xmlns:a="http://schemas.openxmlformats.org/drawingml/2006/main" xmlns:pic="http://schemas.openxmlformats.org/drawingml/2006/picture">
            <wp:extent cx="6309360" cy="2276573"/>
            <wp:docPr id="7" name="Picture 7"/>
            <wp:cNvGraphicFramePr>
              <a:graphicFrameLocks noChangeAspect="1"/>
            </wp:cNvGraphicFramePr>
            <a:graphic>
              <a:graphicData uri="http://schemas.openxmlformats.org/drawingml/2006/picture">
                <pic:pic>
                  <pic:nvPicPr>
                    <pic:cNvPr id="0" name="figD1_experts.png"/>
                    <pic:cNvPicPr/>
                  </pic:nvPicPr>
                  <pic:blipFill>
                    <a:blip r:embed="rId15"/>
                    <a:stretch>
                      <a:fillRect/>
                    </a:stretch>
                  </pic:blipFill>
                  <pic:spPr>
                    <a:xfrm>
                      <a:off x="0" y="0"/>
                      <a:ext cx="6309360" cy="2276573"/>
                    </a:xfrm>
                    <a:prstGeom prst="rect"/>
                  </pic:spPr>
                </pic:pic>
              </a:graphicData>
            </a:graphic>
          </wp:inline>
        </w:drawing>
      </w:r>
    </w:p>
    <w:p>
      <w:pPr>
        <w:spacing w:after="200" w:before="0"/>
      </w:pPr>
      <w:r>
        <w:rPr>
          <w:b w:val="0"/>
          <w:i/>
          <w:color w:val="6E7B77"/>
          <w:sz w:val="17"/>
        </w:rPr>
        <w:t>Figure 7 — three expert framings (Appendix C) against the market price.</w:t>
      </w:r>
    </w:p>
    <w:p>
      <w:pPr>
        <w:spacing w:after="120" w:before="280"/>
      </w:pPr>
      <w:r>
        <w:rPr>
          <w:b/>
          <w:i w:val="0"/>
          <w:color w:val="1C3A36"/>
          <w:sz w:val="30"/>
        </w:rPr>
        <w:t>5 · Catalysts</w:t>
      </w:r>
    </w:p>
    <w:p>
      <w:pPr>
        <w:pStyle w:val="ListBullet"/>
        <w:spacing w:after="60"/>
      </w:pPr>
      <w:r>
        <w:rPr>
          <w:b/>
          <w:color w:val="1C3A36"/>
          <w:sz w:val="21"/>
        </w:rPr>
        <w:t>Collections.</w:t>
      </w:r>
      <w:r>
        <w:rPr>
          <w:color w:val="1C3A36"/>
          <w:sz w:val="21"/>
        </w:rPr>
        <w:t xml:space="preserve"> FY2026 results (February 2027): whether H2 shows the receivable build-up collecting — the model requires roughly AED 7.5bn of H2 operating cash inflow on the IFRS basis after H1's AED −3.9bn, and says so.</w:t>
      </w:r>
    </w:p>
    <w:p>
      <w:pPr>
        <w:pStyle w:val="ListBullet"/>
        <w:spacing w:after="60"/>
      </w:pPr>
      <w:r>
        <w:rPr>
          <w:b/>
          <w:color w:val="1C3A36"/>
          <w:sz w:val="21"/>
        </w:rPr>
        <w:t>Related parties.</w:t>
      </w:r>
      <w:r>
        <w:rPr>
          <w:color w:val="1C3A36"/>
          <w:sz w:val="21"/>
        </w:rPr>
        <w:t xml:space="preserve"> Every dirham of the ~AED 10.8bn related-party receivable book (Department of Finance the largest counterparty) collected converts a paper claim into cash — the receivable-days strip in section 1.9 is this risk, priced.</w:t>
      </w:r>
    </w:p>
    <w:p>
      <w:pPr>
        <w:pStyle w:val="ListBullet"/>
        <w:spacing w:after="60"/>
      </w:pPr>
      <w:r>
        <w:rPr>
          <w:b/>
          <w:color w:val="1C3A36"/>
          <w:sz w:val="21"/>
        </w:rPr>
        <w:t>Egypt.</w:t>
      </w:r>
      <w:r>
        <w:rPr>
          <w:color w:val="1C3A36"/>
          <w:sz w:val="21"/>
        </w:rPr>
        <w:t xml:space="preserve"> Ras El Hekma phase-1 delivery milestones and further precinct launches.</w:t>
      </w:r>
    </w:p>
    <w:p>
      <w:pPr>
        <w:pStyle w:val="ListBullet"/>
        <w:spacing w:after="60"/>
      </w:pPr>
      <w:r>
        <w:rPr>
          <w:b/>
          <w:color w:val="1C3A36"/>
          <w:sz w:val="21"/>
        </w:rPr>
        <w:t>Capital returns.</w:t>
      </w:r>
      <w:r>
        <w:rPr>
          <w:color w:val="1C3A36"/>
          <w:sz w:val="21"/>
        </w:rPr>
        <w:t xml:space="preserve"> A maiden dividend policy would force the market to price the cash flows as owner earnings; none has been announced.</w:t>
      </w:r>
    </w:p>
    <w:p>
      <w:pPr>
        <w:pStyle w:val="ListBullet"/>
        <w:spacing w:after="60"/>
      </w:pPr>
      <w:r>
        <w:rPr>
          <w:b/>
          <w:color w:val="1C3A36"/>
          <w:sz w:val="21"/>
        </w:rPr>
        <w:t>Float.</w:t>
      </w:r>
      <w:r>
        <w:rPr>
          <w:color w:val="1C3A36"/>
          <w:sz w:val="21"/>
        </w:rPr>
        <w:t xml:space="preserve"> Any placement widening the ~15% free float changes the relative lens directly.</w:t>
      </w:r>
    </w:p>
    <w:p>
      <w:pPr>
        <w:pStyle w:val="ListBullet"/>
        <w:spacing w:after="60"/>
      </w:pPr>
      <w:r>
        <w:rPr>
          <w:b/>
          <w:color w:val="1C3A36"/>
          <w:sz w:val="21"/>
        </w:rPr>
        <w:t>Rates.</w:t>
      </w:r>
      <w:r>
        <w:rPr>
          <w:color w:val="1C3A36"/>
          <w:sz w:val="21"/>
        </w:rPr>
        <w:t xml:space="preserve"> The dirham imports US policy: each cut lowers the discount rate and mortgage friction.</w:t>
      </w:r>
    </w:p>
    <w:p>
      <w:pPr>
        <w:spacing w:after="120" w:before="280"/>
      </w:pPr>
      <w:r>
        <w:rPr>
          <w:b/>
          <w:i w:val="0"/>
          <w:color w:val="1C3A36"/>
          <w:sz w:val="30"/>
        </w:rPr>
        <w:t>6 · Reading the probability zones</w:t>
      </w:r>
    </w:p>
    <w:p>
      <w:pPr>
        <w:spacing w:after="120" w:before="0"/>
      </w:pPr>
      <w:r>
        <w:rPr>
          <w:b w:val="0"/>
          <w:i w:val="0"/>
          <w:color w:val="1C3A36"/>
          <w:sz w:val="21"/>
        </w:rPr>
        <w:t>The three-month map says: a two-in-three chance the price sits between AED 2.64 and 3.09 on 2026-11-09; 59% odds that AED 2.69 trades at some point (just above the 2.70 support); 65% odds that AED 2.97 trades — just ABOVE the nearest resistance at 2.88, so a touch of it would already be a breakout signal. A reader holding this study's fundamental view should not expect the map to confirm it inside a quarter: the map is calibrated to realised volatility, not to the study's opinion, and a +5% revaluation is a multi-year event, visible first in collections, margins and the dividend decision.</w:t>
      </w:r>
    </w:p>
    <w:p>
      <w:pPr>
        <w:spacing w:after="120" w:before="280"/>
      </w:pPr>
      <w:r>
        <w:rPr>
          <w:b/>
          <w:i w:val="0"/>
          <w:color w:val="1C3A36"/>
          <w:sz w:val="30"/>
        </w:rPr>
        <w:t>7 · Caveats — what would change our mind</w:t>
      </w:r>
    </w:p>
    <w:p>
      <w:pPr>
        <w:pStyle w:val="ListBullet"/>
        <w:spacing w:after="60"/>
      </w:pPr>
      <w:r>
        <w:rPr>
          <w:b/>
          <w:color w:val="1C3A36"/>
          <w:sz w:val="21"/>
        </w:rPr>
        <w:t>Related-party pricing.</w:t>
      </w:r>
      <w:r>
        <w:rPr>
          <w:color w:val="1C3A36"/>
          <w:sz w:val="21"/>
        </w:rPr>
        <w:t xml:space="preserve"> More than half of FY2025 land-sale profit came from related-party transactions at a 67% gross margin; arms-length repricing would cut the margin path and every cash-flow lens. Expert 1's land mark-up is set at exactly half that margin for this reason.</w:t>
      </w:r>
    </w:p>
    <w:p>
      <w:pPr>
        <w:pStyle w:val="ListBullet"/>
        <w:spacing w:after="60"/>
      </w:pPr>
      <w:r>
        <w:rPr>
          <w:b/>
          <w:color w:val="1C3A36"/>
          <w:sz w:val="21"/>
        </w:rPr>
        <w:t>Collections.</w:t>
      </w:r>
      <w:r>
        <w:rPr>
          <w:color w:val="1C3A36"/>
          <w:sz w:val="21"/>
        </w:rPr>
        <w:t xml:space="preserve"> H1-2026 consumed AED 3.9bn of operating cash into receivables. The component build now absorbs cash through FY2028; if receivable days do not fall from 440 as assumed, each 30 days is about AED 0.16 per share (section 1.9).</w:t>
      </w:r>
    </w:p>
    <w:p>
      <w:pPr>
        <w:pStyle w:val="ListBullet"/>
        <w:spacing w:after="60"/>
      </w:pPr>
      <w:r>
        <w:rPr>
          <w:b/>
          <w:color w:val="1C3A36"/>
          <w:sz w:val="21"/>
        </w:rPr>
        <w:t>Short clean history.</w:t>
      </w:r>
      <w:r>
        <w:rPr>
          <w:color w:val="1C3A36"/>
          <w:sz w:val="21"/>
        </w:rPr>
        <w:t xml:space="preserve"> FY2024 is a perimeter break and FY2023 belongs to a smaller predecessor: exactly two audited years of the modern group exist. Every trend read off this history carries that caveat.</w:t>
      </w:r>
    </w:p>
    <w:p>
      <w:pPr>
        <w:pStyle w:val="ListBullet"/>
        <w:spacing w:after="60"/>
      </w:pPr>
      <w:r>
        <w:rPr>
          <w:b/>
          <w:color w:val="1C3A36"/>
          <w:sz w:val="21"/>
        </w:rPr>
        <w:t>Beta.</w:t>
      </w:r>
      <w:r>
        <w:rPr>
          <w:color w:val="1C3A36"/>
          <w:sz w:val="21"/>
        </w:rPr>
        <w:t xml:space="preserve"> Beta is now regressed against the exchange's official index rather than a self-built stand-in, which raised it to 1.28 and cut the central. Two limits remain: the fit is loose (R² 0.09 over five years), and the shorter windows read higher still — 1.80 over three years would take the central to about AED 3.47 on the cash-flow lens. A rising beta is the live risk to this valuation.</w:t>
      </w:r>
    </w:p>
    <w:p>
      <w:pPr>
        <w:pStyle w:val="ListBullet"/>
        <w:spacing w:after="60"/>
      </w:pPr>
      <w:r>
        <w:rPr>
          <w:b/>
          <w:color w:val="1C3A36"/>
          <w:sz w:val="21"/>
        </w:rPr>
        <w:t>Terminal weight.</w:t>
      </w:r>
      <w:r>
        <w:rPr>
          <w:color w:val="1C3A36"/>
          <w:sz w:val="21"/>
        </w:rPr>
        <w:t xml:space="preserve"> 74.2% of the DCF's enterprise value is terminal. At the terminal return of 8.5% the block assumes the land bank converts to recognised profit; at FY2025's clean achieved 6.1% the terminal value falls by roughly a sixth and the DCF by about a tenth.</w:t>
      </w:r>
    </w:p>
    <w:p>
      <w:pPr>
        <w:pStyle w:val="ListBullet"/>
        <w:spacing w:after="60"/>
      </w:pPr>
      <w:r>
        <w:rPr>
          <w:b/>
          <w:color w:val="1C3A36"/>
          <w:sz w:val="21"/>
        </w:rPr>
        <w:t>Liquidity.</w:t>
      </w:r>
      <w:r>
        <w:rPr>
          <w:color w:val="1C3A36"/>
          <w:sz w:val="21"/>
        </w:rPr>
        <w:t xml:space="preserve"> The probability map is fitted to a market panel more liquid than MODON's float; thin trading can gap.</w:t>
      </w:r>
    </w:p>
    <w:p>
      <w:pPr>
        <w:spacing w:after="120" w:before="280"/>
      </w:pPr>
      <w:r>
        <w:rPr>
          <w:b/>
          <w:i w:val="0"/>
          <w:color w:val="1C3A36"/>
          <w:sz w:val="30"/>
        </w:rPr>
        <w:t>Appendix A · Financial statements</w:t>
      </w:r>
    </w:p>
    <w:p>
      <w:pPr>
        <w:spacing w:after="80" w:before="200"/>
      </w:pPr>
      <w:r>
        <w:rPr>
          <w:b/>
          <w:i w:val="0"/>
          <w:color w:val="1C3A36"/>
          <w:sz w:val="24"/>
        </w:rPr>
        <w:t>A.1 · Income statement — audited years, H1-2026 actual, forecast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893"/>
        <w:gridCol w:w="893"/>
        <w:gridCol w:w="893"/>
        <w:gridCol w:w="893"/>
        <w:gridCol w:w="864"/>
        <w:gridCol w:w="864"/>
        <w:gridCol w:w="864"/>
        <w:gridCol w:w="864"/>
        <w:gridCol w:w="864"/>
      </w:tblGrid>
      <w:tr>
        <w:tc>
          <w:tcPr>
            <w:tcW w:type="dxa" w:w="2160"/>
            <w:shd w:val="clear" w:color="auto" w:fill="EAF0EE"/>
          </w:tcPr>
          <w:p>
            <w:pPr>
              <w:spacing w:after="20"/>
            </w:pPr>
            <w:r>
              <w:rPr>
                <w:b/>
                <w:color w:val="1C3A36"/>
                <w:sz w:val="15"/>
              </w:rPr>
              <w:t>AED mn</w:t>
            </w:r>
          </w:p>
        </w:tc>
        <w:tc>
          <w:tcPr>
            <w:tcW w:type="dxa" w:w="893"/>
            <w:shd w:val="clear" w:color="auto" w:fill="EAF0EE"/>
          </w:tcPr>
          <w:p>
            <w:pPr>
              <w:spacing w:after="20"/>
            </w:pPr>
            <w:r>
              <w:rPr>
                <w:b/>
                <w:color w:val="1C3A36"/>
                <w:sz w:val="15"/>
              </w:rPr>
              <w:t>FY2023*</w:t>
            </w:r>
          </w:p>
        </w:tc>
        <w:tc>
          <w:tcPr>
            <w:tcW w:type="dxa" w:w="893"/>
            <w:shd w:val="clear" w:color="auto" w:fill="EAF0EE"/>
          </w:tcPr>
          <w:p>
            <w:pPr>
              <w:spacing w:after="20"/>
            </w:pPr>
            <w:r>
              <w:rPr>
                <w:b/>
                <w:color w:val="1C3A36"/>
                <w:sz w:val="15"/>
              </w:rPr>
              <w:t>FY2024**</w:t>
            </w:r>
          </w:p>
        </w:tc>
        <w:tc>
          <w:tcPr>
            <w:tcW w:type="dxa" w:w="893"/>
            <w:shd w:val="clear" w:color="auto" w:fill="EAF0EE"/>
          </w:tcPr>
          <w:p>
            <w:pPr>
              <w:spacing w:after="20"/>
            </w:pPr>
            <w:r>
              <w:rPr>
                <w:b/>
                <w:color w:val="1C3A36"/>
                <w:sz w:val="15"/>
              </w:rPr>
              <w:t>FY2025</w:t>
            </w:r>
          </w:p>
        </w:tc>
        <w:tc>
          <w:tcPr>
            <w:tcW w:type="dxa" w:w="893"/>
            <w:shd w:val="clear" w:color="auto" w:fill="EAF0EE"/>
          </w:tcPr>
          <w:p>
            <w:pPr>
              <w:spacing w:after="20"/>
            </w:pPr>
            <w:r>
              <w:rPr>
                <w:b/>
                <w:color w:val="1C3A36"/>
                <w:sz w:val="15"/>
              </w:rPr>
              <w:t>H1-26A</w:t>
            </w:r>
          </w:p>
        </w:tc>
        <w:tc>
          <w:tcPr>
            <w:tcW w:type="dxa" w:w="864"/>
            <w:shd w:val="clear" w:color="auto" w:fill="EAF0EE"/>
          </w:tcPr>
          <w:p>
            <w:pPr>
              <w:spacing w:after="20"/>
            </w:pPr>
            <w:r>
              <w:rPr>
                <w:b/>
                <w:color w:val="1C3A36"/>
                <w:sz w:val="15"/>
              </w:rPr>
              <w:t>H2-26E</w:t>
            </w:r>
          </w:p>
        </w:tc>
        <w:tc>
          <w:tcPr>
            <w:tcW w:type="dxa" w:w="864"/>
            <w:shd w:val="clear" w:color="auto" w:fill="EAF0EE"/>
          </w:tcPr>
          <w:p>
            <w:pPr>
              <w:spacing w:after="20"/>
            </w:pPr>
            <w:r>
              <w:rPr>
                <w:b/>
                <w:color w:val="1C3A36"/>
                <w:sz w:val="15"/>
              </w:rPr>
              <w:t>FY27E</w:t>
            </w:r>
          </w:p>
        </w:tc>
        <w:tc>
          <w:tcPr>
            <w:tcW w:type="dxa" w:w="864"/>
            <w:shd w:val="clear" w:color="auto" w:fill="EAF0EE"/>
          </w:tcPr>
          <w:p>
            <w:pPr>
              <w:spacing w:after="20"/>
            </w:pPr>
            <w:r>
              <w:rPr>
                <w:b/>
                <w:color w:val="1C3A36"/>
                <w:sz w:val="15"/>
              </w:rPr>
              <w:t>FY28E</w:t>
            </w:r>
          </w:p>
        </w:tc>
        <w:tc>
          <w:tcPr>
            <w:tcW w:type="dxa" w:w="864"/>
            <w:shd w:val="clear" w:color="auto" w:fill="EAF0EE"/>
          </w:tcPr>
          <w:p>
            <w:pPr>
              <w:spacing w:after="20"/>
            </w:pPr>
            <w:r>
              <w:rPr>
                <w:b/>
                <w:color w:val="1C3A36"/>
                <w:sz w:val="15"/>
              </w:rPr>
              <w:t>FY29E</w:t>
            </w:r>
          </w:p>
        </w:tc>
        <w:tc>
          <w:tcPr>
            <w:tcW w:type="dxa" w:w="864"/>
            <w:shd w:val="clear" w:color="auto" w:fill="EAF0EE"/>
          </w:tcPr>
          <w:p>
            <w:pPr>
              <w:spacing w:after="20"/>
            </w:pPr>
            <w:r>
              <w:rPr>
                <w:b/>
                <w:color w:val="1C3A36"/>
                <w:sz w:val="15"/>
              </w:rPr>
              <w:t>FY30E</w:t>
            </w:r>
          </w:p>
        </w:tc>
      </w:tr>
      <w:tr>
        <w:tc>
          <w:tcPr>
            <w:tcW w:type="dxa" w:w="2160"/>
          </w:tcPr>
          <w:p>
            <w:pPr>
              <w:spacing w:after="20"/>
            </w:pPr>
            <w:r>
              <w:rPr>
                <w:color w:val="1C3A36"/>
                <w:sz w:val="15"/>
              </w:rPr>
              <w:t>Revenue</w:t>
            </w:r>
          </w:p>
        </w:tc>
        <w:tc>
          <w:tcPr>
            <w:tcW w:type="dxa" w:w="893"/>
          </w:tcPr>
          <w:p>
            <w:pPr>
              <w:spacing w:after="20"/>
              <w:jc w:val="right"/>
            </w:pPr>
            <w:r>
              <w:rPr>
                <w:color w:val="1C3A36"/>
                <w:sz w:val="15"/>
              </w:rPr>
              <w:t>994</w:t>
            </w:r>
          </w:p>
        </w:tc>
        <w:tc>
          <w:tcPr>
            <w:tcW w:type="dxa" w:w="893"/>
          </w:tcPr>
          <w:p>
            <w:pPr>
              <w:spacing w:after="20"/>
              <w:jc w:val="right"/>
            </w:pPr>
            <w:r>
              <w:rPr>
                <w:color w:val="1C3A36"/>
                <w:sz w:val="15"/>
              </w:rPr>
              <w:t>6,511</w:t>
            </w:r>
          </w:p>
        </w:tc>
        <w:tc>
          <w:tcPr>
            <w:tcW w:type="dxa" w:w="893"/>
          </w:tcPr>
          <w:p>
            <w:pPr>
              <w:spacing w:after="20"/>
              <w:jc w:val="right"/>
            </w:pPr>
            <w:r>
              <w:rPr>
                <w:color w:val="1C3A36"/>
                <w:sz w:val="15"/>
              </w:rPr>
              <w:t>13,829</w:t>
            </w:r>
          </w:p>
        </w:tc>
        <w:tc>
          <w:tcPr>
            <w:tcW w:type="dxa" w:w="893"/>
          </w:tcPr>
          <w:p>
            <w:pPr>
              <w:spacing w:after="20"/>
              <w:jc w:val="right"/>
            </w:pPr>
            <w:r>
              <w:rPr>
                <w:color w:val="1C3A36"/>
                <w:sz w:val="15"/>
              </w:rPr>
              <w:t>9,188</w:t>
            </w:r>
          </w:p>
        </w:tc>
        <w:tc>
          <w:tcPr>
            <w:tcW w:type="dxa" w:w="864"/>
          </w:tcPr>
          <w:p>
            <w:pPr>
              <w:spacing w:after="20"/>
              <w:jc w:val="right"/>
            </w:pPr>
            <w:r>
              <w:rPr>
                <w:color w:val="1C3A36"/>
                <w:sz w:val="15"/>
              </w:rPr>
              <w:t>11,046</w:t>
            </w:r>
          </w:p>
        </w:tc>
        <w:tc>
          <w:tcPr>
            <w:tcW w:type="dxa" w:w="864"/>
          </w:tcPr>
          <w:p>
            <w:pPr>
              <w:spacing w:after="20"/>
              <w:jc w:val="right"/>
            </w:pPr>
            <w:r>
              <w:rPr>
                <w:color w:val="1C3A36"/>
                <w:sz w:val="15"/>
              </w:rPr>
              <w:t>26,019</w:t>
            </w:r>
          </w:p>
        </w:tc>
        <w:tc>
          <w:tcPr>
            <w:tcW w:type="dxa" w:w="864"/>
          </w:tcPr>
          <w:p>
            <w:pPr>
              <w:spacing w:after="20"/>
              <w:jc w:val="right"/>
            </w:pPr>
            <w:r>
              <w:rPr>
                <w:color w:val="1C3A36"/>
                <w:sz w:val="15"/>
              </w:rPr>
              <w:t>32,007</w:t>
            </w:r>
          </w:p>
        </w:tc>
        <w:tc>
          <w:tcPr>
            <w:tcW w:type="dxa" w:w="864"/>
          </w:tcPr>
          <w:p>
            <w:pPr>
              <w:spacing w:after="20"/>
              <w:jc w:val="right"/>
            </w:pPr>
            <w:r>
              <w:rPr>
                <w:color w:val="1C3A36"/>
                <w:sz w:val="15"/>
              </w:rPr>
              <w:t>34,928</w:t>
            </w:r>
          </w:p>
        </w:tc>
        <w:tc>
          <w:tcPr>
            <w:tcW w:type="dxa" w:w="864"/>
          </w:tcPr>
          <w:p>
            <w:pPr>
              <w:spacing w:after="20"/>
              <w:jc w:val="right"/>
            </w:pPr>
            <w:r>
              <w:rPr>
                <w:color w:val="1C3A36"/>
                <w:sz w:val="15"/>
              </w:rPr>
              <w:t>36,189</w:t>
            </w:r>
          </w:p>
        </w:tc>
      </w:tr>
      <w:tr>
        <w:tc>
          <w:tcPr>
            <w:tcW w:type="dxa" w:w="2160"/>
          </w:tcPr>
          <w:p>
            <w:pPr>
              <w:spacing w:after="20"/>
            </w:pPr>
            <w:r>
              <w:rPr>
                <w:color w:val="1C3A36"/>
                <w:sz w:val="15"/>
              </w:rPr>
              <w:t>Gross profit</w:t>
            </w:r>
          </w:p>
        </w:tc>
        <w:tc>
          <w:tcPr>
            <w:tcW w:type="dxa" w:w="893"/>
          </w:tcPr>
          <w:p>
            <w:pPr>
              <w:spacing w:after="20"/>
              <w:jc w:val="right"/>
            </w:pPr>
            <w:r>
              <w:rPr>
                <w:color w:val="1C3A36"/>
                <w:sz w:val="15"/>
              </w:rPr>
              <w:t>600</w:t>
            </w:r>
          </w:p>
        </w:tc>
        <w:tc>
          <w:tcPr>
            <w:tcW w:type="dxa" w:w="893"/>
          </w:tcPr>
          <w:p>
            <w:pPr>
              <w:spacing w:after="20"/>
              <w:jc w:val="right"/>
            </w:pPr>
            <w:r>
              <w:rPr>
                <w:color w:val="1C3A36"/>
                <w:sz w:val="15"/>
              </w:rPr>
              <w:t>2,317</w:t>
            </w:r>
          </w:p>
        </w:tc>
        <w:tc>
          <w:tcPr>
            <w:tcW w:type="dxa" w:w="893"/>
          </w:tcPr>
          <w:p>
            <w:pPr>
              <w:spacing w:after="20"/>
              <w:jc w:val="right"/>
            </w:pPr>
            <w:r>
              <w:rPr>
                <w:color w:val="1C3A36"/>
                <w:sz w:val="15"/>
              </w:rPr>
              <w:t>5,025</w:t>
            </w:r>
          </w:p>
        </w:tc>
        <w:tc>
          <w:tcPr>
            <w:tcW w:type="dxa" w:w="893"/>
          </w:tcPr>
          <w:p>
            <w:pPr>
              <w:spacing w:after="20"/>
              <w:jc w:val="right"/>
            </w:pPr>
            <w:r>
              <w:rPr>
                <w:color w:val="1C3A36"/>
                <w:sz w:val="15"/>
              </w:rPr>
              <w:t>3,201</w:t>
            </w:r>
          </w:p>
        </w:tc>
        <w:tc>
          <w:tcPr>
            <w:tcW w:type="dxa" w:w="864"/>
          </w:tcPr>
          <w:p>
            <w:pPr>
              <w:spacing w:after="20"/>
              <w:jc w:val="right"/>
            </w:pPr>
            <w:r>
              <w:rPr>
                <w:color w:val="1C3A36"/>
                <w:sz w:val="15"/>
              </w:rPr>
              <w:t>4,165</w:t>
            </w:r>
          </w:p>
        </w:tc>
        <w:tc>
          <w:tcPr>
            <w:tcW w:type="dxa" w:w="864"/>
          </w:tcPr>
          <w:p>
            <w:pPr>
              <w:spacing w:after="20"/>
              <w:jc w:val="right"/>
            </w:pPr>
            <w:r>
              <w:rPr>
                <w:color w:val="1C3A36"/>
                <w:sz w:val="15"/>
              </w:rPr>
              <w:t>9,619</w:t>
            </w:r>
          </w:p>
        </w:tc>
        <w:tc>
          <w:tcPr>
            <w:tcW w:type="dxa" w:w="864"/>
          </w:tcPr>
          <w:p>
            <w:pPr>
              <w:spacing w:after="20"/>
              <w:jc w:val="right"/>
            </w:pPr>
            <w:r>
              <w:rPr>
                <w:color w:val="1C3A36"/>
                <w:sz w:val="15"/>
              </w:rPr>
              <w:t>11,784</w:t>
            </w:r>
          </w:p>
        </w:tc>
        <w:tc>
          <w:tcPr>
            <w:tcW w:type="dxa" w:w="864"/>
          </w:tcPr>
          <w:p>
            <w:pPr>
              <w:spacing w:after="20"/>
              <w:jc w:val="right"/>
            </w:pPr>
            <w:r>
              <w:rPr>
                <w:color w:val="1C3A36"/>
                <w:sz w:val="15"/>
              </w:rPr>
              <w:t>12,807</w:t>
            </w:r>
          </w:p>
        </w:tc>
        <w:tc>
          <w:tcPr>
            <w:tcW w:type="dxa" w:w="864"/>
          </w:tcPr>
          <w:p>
            <w:pPr>
              <w:spacing w:after="20"/>
              <w:jc w:val="right"/>
            </w:pPr>
            <w:r>
              <w:rPr>
                <w:color w:val="1C3A36"/>
                <w:sz w:val="15"/>
              </w:rPr>
              <w:t>13,143</w:t>
            </w:r>
          </w:p>
        </w:tc>
      </w:tr>
      <w:tr>
        <w:tc>
          <w:tcPr>
            <w:tcW w:type="dxa" w:w="2160"/>
          </w:tcPr>
          <w:p>
            <w:pPr>
              <w:spacing w:after="20"/>
            </w:pPr>
            <w:r>
              <w:rPr>
                <w:color w:val="1C3A36"/>
                <w:sz w:val="15"/>
              </w:rPr>
              <w:t>EBITDA (house basis)</w:t>
            </w:r>
          </w:p>
        </w:tc>
        <w:tc>
          <w:tcPr>
            <w:tcW w:type="dxa" w:w="893"/>
          </w:tcPr>
          <w:p>
            <w:pPr>
              <w:spacing w:after="20"/>
              <w:jc w:val="right"/>
            </w:pPr>
            <w:r>
              <w:rPr>
                <w:color w:val="1C3A36"/>
                <w:sz w:val="15"/>
              </w:rPr>
              <w:t>673</w:t>
            </w:r>
          </w:p>
        </w:tc>
        <w:tc>
          <w:tcPr>
            <w:tcW w:type="dxa" w:w="893"/>
          </w:tcPr>
          <w:p>
            <w:pPr>
              <w:spacing w:after="20"/>
              <w:jc w:val="right"/>
            </w:pPr>
            <w:r>
              <w:rPr>
                <w:color w:val="1C3A36"/>
                <w:sz w:val="15"/>
              </w:rPr>
              <w:t>9,795</w:t>
            </w:r>
          </w:p>
        </w:tc>
        <w:tc>
          <w:tcPr>
            <w:tcW w:type="dxa" w:w="893"/>
          </w:tcPr>
          <w:p>
            <w:pPr>
              <w:spacing w:after="20"/>
              <w:jc w:val="right"/>
            </w:pPr>
            <w:r>
              <w:rPr>
                <w:color w:val="1C3A36"/>
                <w:sz w:val="15"/>
              </w:rPr>
              <w:t>4,896</w:t>
            </w:r>
          </w:p>
        </w:tc>
        <w:tc>
          <w:tcPr>
            <w:tcW w:type="dxa" w:w="893"/>
          </w:tcPr>
          <w:p>
            <w:pPr>
              <w:spacing w:after="20"/>
              <w:jc w:val="right"/>
            </w:pPr>
            <w:r>
              <w:rPr>
                <w:color w:val="1C3A36"/>
                <w:sz w:val="15"/>
              </w:rPr>
              <w:t>—</w:t>
            </w:r>
          </w:p>
        </w:tc>
        <w:tc>
          <w:tcPr>
            <w:tcW w:type="dxa" w:w="864"/>
          </w:tcPr>
          <w:p>
            <w:pPr>
              <w:spacing w:after="20"/>
              <w:jc w:val="right"/>
            </w:pPr>
            <w:r>
              <w:rPr>
                <w:color w:val="1C3A36"/>
                <w:sz w:val="15"/>
              </w:rPr>
              <w:t>3,481</w:t>
            </w:r>
          </w:p>
        </w:tc>
        <w:tc>
          <w:tcPr>
            <w:tcW w:type="dxa" w:w="864"/>
          </w:tcPr>
          <w:p>
            <w:pPr>
              <w:spacing w:after="20"/>
              <w:jc w:val="right"/>
            </w:pPr>
            <w:r>
              <w:rPr>
                <w:color w:val="1C3A36"/>
                <w:sz w:val="15"/>
              </w:rPr>
              <w:t>7,734</w:t>
            </w:r>
          </w:p>
        </w:tc>
        <w:tc>
          <w:tcPr>
            <w:tcW w:type="dxa" w:w="864"/>
          </w:tcPr>
          <w:p>
            <w:pPr>
              <w:spacing w:after="20"/>
              <w:jc w:val="right"/>
            </w:pPr>
            <w:r>
              <w:rPr>
                <w:color w:val="1C3A36"/>
                <w:sz w:val="15"/>
              </w:rPr>
              <w:t>9,361</w:t>
            </w:r>
          </w:p>
        </w:tc>
        <w:tc>
          <w:tcPr>
            <w:tcW w:type="dxa" w:w="864"/>
          </w:tcPr>
          <w:p>
            <w:pPr>
              <w:spacing w:after="20"/>
              <w:jc w:val="right"/>
            </w:pPr>
            <w:r>
              <w:rPr>
                <w:color w:val="1C3A36"/>
                <w:sz w:val="15"/>
              </w:rPr>
              <w:t>10,149</w:t>
            </w:r>
          </w:p>
        </w:tc>
        <w:tc>
          <w:tcPr>
            <w:tcW w:type="dxa" w:w="864"/>
          </w:tcPr>
          <w:p>
            <w:pPr>
              <w:spacing w:after="20"/>
              <w:jc w:val="right"/>
            </w:pPr>
            <w:r>
              <w:rPr>
                <w:color w:val="1C3A36"/>
                <w:sz w:val="15"/>
              </w:rPr>
              <w:t>10,462</w:t>
            </w:r>
          </w:p>
        </w:tc>
      </w:tr>
      <w:tr>
        <w:tc>
          <w:tcPr>
            <w:tcW w:type="dxa" w:w="2160"/>
          </w:tcPr>
          <w:p>
            <w:pPr>
              <w:spacing w:after="20"/>
            </w:pPr>
            <w:r>
              <w:rPr>
                <w:color w:val="1C3A36"/>
                <w:sz w:val="15"/>
              </w:rPr>
              <w:t>Depreciation &amp; amortisation</w:t>
            </w:r>
          </w:p>
        </w:tc>
        <w:tc>
          <w:tcPr>
            <w:tcW w:type="dxa" w:w="893"/>
          </w:tcPr>
          <w:p>
            <w:pPr>
              <w:spacing w:after="20"/>
              <w:jc w:val="right"/>
            </w:pPr>
            <w:r>
              <w:rPr>
                <w:color w:val="1C3A36"/>
                <w:sz w:val="15"/>
              </w:rPr>
              <w:t>28</w:t>
            </w:r>
          </w:p>
        </w:tc>
        <w:tc>
          <w:tcPr>
            <w:tcW w:type="dxa" w:w="893"/>
          </w:tcPr>
          <w:p>
            <w:pPr>
              <w:spacing w:after="20"/>
              <w:jc w:val="right"/>
            </w:pPr>
            <w:r>
              <w:rPr>
                <w:color w:val="1C3A36"/>
                <w:sz w:val="15"/>
              </w:rPr>
              <w:t>265</w:t>
            </w:r>
          </w:p>
        </w:tc>
        <w:tc>
          <w:tcPr>
            <w:tcW w:type="dxa" w:w="893"/>
          </w:tcPr>
          <w:p>
            <w:pPr>
              <w:spacing w:after="20"/>
              <w:jc w:val="right"/>
            </w:pPr>
            <w:r>
              <w:rPr>
                <w:color w:val="1C3A36"/>
                <w:sz w:val="15"/>
              </w:rPr>
              <w:t>610</w:t>
            </w:r>
          </w:p>
        </w:tc>
        <w:tc>
          <w:tcPr>
            <w:tcW w:type="dxa" w:w="893"/>
          </w:tcPr>
          <w:p>
            <w:pPr>
              <w:spacing w:after="20"/>
              <w:jc w:val="right"/>
            </w:pPr>
            <w:r>
              <w:rPr>
                <w:color w:val="1C3A36"/>
                <w:sz w:val="15"/>
              </w:rPr>
              <w:t>—</w:t>
            </w:r>
          </w:p>
        </w:tc>
        <w:tc>
          <w:tcPr>
            <w:tcW w:type="dxa" w:w="864"/>
          </w:tcPr>
          <w:p>
            <w:pPr>
              <w:spacing w:after="20"/>
              <w:jc w:val="right"/>
            </w:pPr>
            <w:r>
              <w:rPr>
                <w:color w:val="1C3A36"/>
                <w:sz w:val="15"/>
              </w:rPr>
              <w:t>341</w:t>
            </w:r>
          </w:p>
        </w:tc>
        <w:tc>
          <w:tcPr>
            <w:tcW w:type="dxa" w:w="864"/>
          </w:tcPr>
          <w:p>
            <w:pPr>
              <w:spacing w:after="20"/>
              <w:jc w:val="right"/>
            </w:pPr>
            <w:r>
              <w:rPr>
                <w:color w:val="1C3A36"/>
                <w:sz w:val="15"/>
              </w:rPr>
              <w:t>709</w:t>
            </w:r>
          </w:p>
        </w:tc>
        <w:tc>
          <w:tcPr>
            <w:tcW w:type="dxa" w:w="864"/>
          </w:tcPr>
          <w:p>
            <w:pPr>
              <w:spacing w:after="20"/>
              <w:jc w:val="right"/>
            </w:pPr>
            <w:r>
              <w:rPr>
                <w:color w:val="1C3A36"/>
                <w:sz w:val="15"/>
              </w:rPr>
              <w:t>736</w:t>
            </w:r>
          </w:p>
        </w:tc>
        <w:tc>
          <w:tcPr>
            <w:tcW w:type="dxa" w:w="864"/>
          </w:tcPr>
          <w:p>
            <w:pPr>
              <w:spacing w:after="20"/>
              <w:jc w:val="right"/>
            </w:pPr>
            <w:r>
              <w:rPr>
                <w:color w:val="1C3A36"/>
                <w:sz w:val="15"/>
              </w:rPr>
              <w:t>765</w:t>
            </w:r>
          </w:p>
        </w:tc>
        <w:tc>
          <w:tcPr>
            <w:tcW w:type="dxa" w:w="864"/>
          </w:tcPr>
          <w:p>
            <w:pPr>
              <w:spacing w:after="20"/>
              <w:jc w:val="right"/>
            </w:pPr>
            <w:r>
              <w:rPr>
                <w:color w:val="1C3A36"/>
                <w:sz w:val="15"/>
              </w:rPr>
              <w:t>794</w:t>
            </w:r>
          </w:p>
        </w:tc>
      </w:tr>
      <w:tr>
        <w:tc>
          <w:tcPr>
            <w:tcW w:type="dxa" w:w="2160"/>
          </w:tcPr>
          <w:p>
            <w:pPr>
              <w:spacing w:after="20"/>
            </w:pPr>
            <w:r>
              <w:rPr>
                <w:color w:val="1C3A36"/>
                <w:sz w:val="15"/>
              </w:rPr>
              <w:t>EBIT</w:t>
            </w:r>
          </w:p>
        </w:tc>
        <w:tc>
          <w:tcPr>
            <w:tcW w:type="dxa" w:w="893"/>
          </w:tcPr>
          <w:p>
            <w:pPr>
              <w:spacing w:after="20"/>
              <w:jc w:val="right"/>
            </w:pPr>
            <w:r>
              <w:rPr>
                <w:color w:val="1C3A36"/>
                <w:sz w:val="15"/>
              </w:rPr>
              <w:t>646</w:t>
            </w:r>
          </w:p>
        </w:tc>
        <w:tc>
          <w:tcPr>
            <w:tcW w:type="dxa" w:w="893"/>
          </w:tcPr>
          <w:p>
            <w:pPr>
              <w:spacing w:after="20"/>
              <w:jc w:val="right"/>
            </w:pPr>
            <w:r>
              <w:rPr>
                <w:color w:val="1C3A36"/>
                <w:sz w:val="15"/>
              </w:rPr>
              <w:t>9,530</w:t>
            </w:r>
          </w:p>
        </w:tc>
        <w:tc>
          <w:tcPr>
            <w:tcW w:type="dxa" w:w="893"/>
          </w:tcPr>
          <w:p>
            <w:pPr>
              <w:spacing w:after="20"/>
              <w:jc w:val="right"/>
            </w:pPr>
            <w:r>
              <w:rPr>
                <w:color w:val="1C3A36"/>
                <w:sz w:val="15"/>
              </w:rPr>
              <w:t>4,285</w:t>
            </w:r>
          </w:p>
        </w:tc>
        <w:tc>
          <w:tcPr>
            <w:tcW w:type="dxa" w:w="893"/>
          </w:tcPr>
          <w:p>
            <w:pPr>
              <w:spacing w:after="20"/>
              <w:jc w:val="right"/>
            </w:pPr>
            <w:r>
              <w:rPr>
                <w:color w:val="1C3A36"/>
                <w:sz w:val="15"/>
              </w:rPr>
              <w:t>—</w:t>
            </w:r>
          </w:p>
        </w:tc>
        <w:tc>
          <w:tcPr>
            <w:tcW w:type="dxa" w:w="864"/>
          </w:tcPr>
          <w:p>
            <w:pPr>
              <w:spacing w:after="20"/>
              <w:jc w:val="right"/>
            </w:pPr>
            <w:r>
              <w:rPr>
                <w:color w:val="1C3A36"/>
                <w:sz w:val="15"/>
              </w:rPr>
              <w:t>3,140</w:t>
            </w:r>
          </w:p>
        </w:tc>
        <w:tc>
          <w:tcPr>
            <w:tcW w:type="dxa" w:w="864"/>
          </w:tcPr>
          <w:p>
            <w:pPr>
              <w:spacing w:after="20"/>
              <w:jc w:val="right"/>
            </w:pPr>
            <w:r>
              <w:rPr>
                <w:color w:val="1C3A36"/>
                <w:sz w:val="15"/>
              </w:rPr>
              <w:t>7,026</w:t>
            </w:r>
          </w:p>
        </w:tc>
        <w:tc>
          <w:tcPr>
            <w:tcW w:type="dxa" w:w="864"/>
          </w:tcPr>
          <w:p>
            <w:pPr>
              <w:spacing w:after="20"/>
              <w:jc w:val="right"/>
            </w:pPr>
            <w:r>
              <w:rPr>
                <w:color w:val="1C3A36"/>
                <w:sz w:val="15"/>
              </w:rPr>
              <w:t>8,625</w:t>
            </w:r>
          </w:p>
        </w:tc>
        <w:tc>
          <w:tcPr>
            <w:tcW w:type="dxa" w:w="864"/>
          </w:tcPr>
          <w:p>
            <w:pPr>
              <w:spacing w:after="20"/>
              <w:jc w:val="right"/>
            </w:pPr>
            <w:r>
              <w:rPr>
                <w:color w:val="1C3A36"/>
                <w:sz w:val="15"/>
              </w:rPr>
              <w:t>9,384</w:t>
            </w:r>
          </w:p>
        </w:tc>
        <w:tc>
          <w:tcPr>
            <w:tcW w:type="dxa" w:w="864"/>
          </w:tcPr>
          <w:p>
            <w:pPr>
              <w:spacing w:after="20"/>
              <w:jc w:val="right"/>
            </w:pPr>
            <w:r>
              <w:rPr>
                <w:color w:val="1C3A36"/>
                <w:sz w:val="15"/>
              </w:rPr>
              <w:t>9,668</w:t>
            </w:r>
          </w:p>
        </w:tc>
      </w:tr>
      <w:tr>
        <w:tc>
          <w:tcPr>
            <w:tcW w:type="dxa" w:w="2160"/>
          </w:tcPr>
          <w:p>
            <w:pPr>
              <w:spacing w:after="20"/>
            </w:pPr>
            <w:r>
              <w:rPr>
                <w:color w:val="1C3A36"/>
                <w:sz w:val="15"/>
              </w:rPr>
              <w:t>Net finance result</w:t>
            </w:r>
          </w:p>
        </w:tc>
        <w:tc>
          <w:tcPr>
            <w:tcW w:type="dxa" w:w="893"/>
          </w:tcPr>
          <w:p>
            <w:pPr>
              <w:spacing w:after="20"/>
              <w:jc w:val="right"/>
            </w:pPr>
            <w:r>
              <w:rPr>
                <w:color w:val="1C3A36"/>
                <w:sz w:val="15"/>
              </w:rPr>
              <w:t>9</w:t>
            </w:r>
          </w:p>
        </w:tc>
        <w:tc>
          <w:tcPr>
            <w:tcW w:type="dxa" w:w="893"/>
          </w:tcPr>
          <w:p>
            <w:pPr>
              <w:spacing w:after="20"/>
              <w:jc w:val="right"/>
            </w:pPr>
            <w:r>
              <w:rPr>
                <w:color w:val="1C3A36"/>
                <w:sz w:val="15"/>
              </w:rPr>
              <w:t>-157</w:t>
            </w:r>
          </w:p>
        </w:tc>
        <w:tc>
          <w:tcPr>
            <w:tcW w:type="dxa" w:w="893"/>
          </w:tcPr>
          <w:p>
            <w:pPr>
              <w:spacing w:after="20"/>
              <w:jc w:val="right"/>
            </w:pPr>
            <w:r>
              <w:rPr>
                <w:color w:val="1C3A36"/>
                <w:sz w:val="15"/>
              </w:rPr>
              <w:t>-127</w:t>
            </w:r>
          </w:p>
        </w:tc>
        <w:tc>
          <w:tcPr>
            <w:tcW w:type="dxa" w:w="893"/>
          </w:tcPr>
          <w:p>
            <w:pPr>
              <w:spacing w:after="20"/>
              <w:jc w:val="right"/>
            </w:pPr>
            <w:r>
              <w:rPr>
                <w:color w:val="1C3A36"/>
                <w:sz w:val="15"/>
              </w:rPr>
              <w:t>—</w:t>
            </w:r>
          </w:p>
        </w:tc>
        <w:tc>
          <w:tcPr>
            <w:tcW w:type="dxa" w:w="864"/>
          </w:tcPr>
          <w:p>
            <w:pPr>
              <w:spacing w:after="20"/>
              <w:jc w:val="right"/>
            </w:pPr>
            <w:r>
              <w:rPr>
                <w:color w:val="1C3A36"/>
                <w:sz w:val="15"/>
              </w:rPr>
              <w:t>-69</w:t>
            </w:r>
          </w:p>
        </w:tc>
        <w:tc>
          <w:tcPr>
            <w:tcW w:type="dxa" w:w="864"/>
          </w:tcPr>
          <w:p>
            <w:pPr>
              <w:spacing w:after="20"/>
              <w:jc w:val="right"/>
            </w:pPr>
            <w:r>
              <w:rPr>
                <w:color w:val="1C3A36"/>
                <w:sz w:val="15"/>
              </w:rPr>
              <w:t>-91</w:t>
            </w:r>
          </w:p>
        </w:tc>
        <w:tc>
          <w:tcPr>
            <w:tcW w:type="dxa" w:w="864"/>
          </w:tcPr>
          <w:p>
            <w:pPr>
              <w:spacing w:after="20"/>
              <w:jc w:val="right"/>
            </w:pPr>
            <w:r>
              <w:rPr>
                <w:color w:val="1C3A36"/>
                <w:sz w:val="15"/>
              </w:rPr>
              <w:t>-1</w:t>
            </w:r>
          </w:p>
        </w:tc>
        <w:tc>
          <w:tcPr>
            <w:tcW w:type="dxa" w:w="864"/>
          </w:tcPr>
          <w:p>
            <w:pPr>
              <w:spacing w:after="20"/>
              <w:jc w:val="right"/>
            </w:pPr>
            <w:r>
              <w:rPr>
                <w:color w:val="1C3A36"/>
                <w:sz w:val="15"/>
              </w:rPr>
              <w:t>189</w:t>
            </w:r>
          </w:p>
        </w:tc>
        <w:tc>
          <w:tcPr>
            <w:tcW w:type="dxa" w:w="864"/>
          </w:tcPr>
          <w:p>
            <w:pPr>
              <w:spacing w:after="20"/>
              <w:jc w:val="right"/>
            </w:pPr>
            <w:r>
              <w:rPr>
                <w:color w:val="1C3A36"/>
                <w:sz w:val="15"/>
              </w:rPr>
              <w:t>469</w:t>
            </w:r>
          </w:p>
        </w:tc>
      </w:tr>
      <w:tr>
        <w:tc>
          <w:tcPr>
            <w:tcW w:type="dxa" w:w="2160"/>
          </w:tcPr>
          <w:p>
            <w:pPr>
              <w:spacing w:after="20"/>
            </w:pPr>
            <w:r>
              <w:rPr>
                <w:color w:val="1C3A36"/>
                <w:sz w:val="15"/>
              </w:rPr>
              <w:t>Associates &amp; joint ventures</w:t>
            </w:r>
          </w:p>
        </w:tc>
        <w:tc>
          <w:tcPr>
            <w:tcW w:type="dxa" w:w="893"/>
          </w:tcPr>
          <w:p>
            <w:pPr>
              <w:spacing w:after="20"/>
              <w:jc w:val="right"/>
            </w:pPr>
            <w:r>
              <w:rPr>
                <w:color w:val="1C3A36"/>
                <w:sz w:val="15"/>
              </w:rPr>
              <w:t>-1</w:t>
            </w:r>
          </w:p>
        </w:tc>
        <w:tc>
          <w:tcPr>
            <w:tcW w:type="dxa" w:w="893"/>
          </w:tcPr>
          <w:p>
            <w:pPr>
              <w:spacing w:after="20"/>
              <w:jc w:val="right"/>
            </w:pPr>
            <w:r>
              <w:rPr>
                <w:color w:val="1C3A36"/>
                <w:sz w:val="15"/>
              </w:rPr>
              <w:t>115</w:t>
            </w:r>
          </w:p>
        </w:tc>
        <w:tc>
          <w:tcPr>
            <w:tcW w:type="dxa" w:w="893"/>
          </w:tcPr>
          <w:p>
            <w:pPr>
              <w:spacing w:after="20"/>
              <w:jc w:val="right"/>
            </w:pPr>
            <w:r>
              <w:rPr>
                <w:color w:val="1C3A36"/>
                <w:sz w:val="15"/>
              </w:rPr>
              <w:t>264</w:t>
            </w:r>
          </w:p>
        </w:tc>
        <w:tc>
          <w:tcPr>
            <w:tcW w:type="dxa" w:w="893"/>
          </w:tcPr>
          <w:p>
            <w:pPr>
              <w:spacing w:after="20"/>
              <w:jc w:val="right"/>
            </w:pPr>
            <w:r>
              <w:rPr>
                <w:color w:val="1C3A36"/>
                <w:sz w:val="15"/>
              </w:rPr>
              <w:t>—</w:t>
            </w:r>
          </w:p>
        </w:tc>
        <w:tc>
          <w:tcPr>
            <w:tcW w:type="dxa" w:w="864"/>
          </w:tcPr>
          <w:p>
            <w:pPr>
              <w:spacing w:after="20"/>
              <w:jc w:val="right"/>
            </w:pPr>
            <w:r>
              <w:rPr>
                <w:color w:val="1C3A36"/>
                <w:sz w:val="15"/>
              </w:rPr>
              <w:t>95</w:t>
            </w:r>
          </w:p>
        </w:tc>
        <w:tc>
          <w:tcPr>
            <w:tcW w:type="dxa" w:w="864"/>
          </w:tcPr>
          <w:p>
            <w:pPr>
              <w:spacing w:after="20"/>
              <w:jc w:val="right"/>
            </w:pPr>
            <w:r>
              <w:rPr>
                <w:color w:val="1C3A36"/>
                <w:sz w:val="15"/>
              </w:rPr>
              <w:t>210</w:t>
            </w:r>
          </w:p>
        </w:tc>
        <w:tc>
          <w:tcPr>
            <w:tcW w:type="dxa" w:w="864"/>
          </w:tcPr>
          <w:p>
            <w:pPr>
              <w:spacing w:after="20"/>
              <w:jc w:val="right"/>
            </w:pPr>
            <w:r>
              <w:rPr>
                <w:color w:val="1C3A36"/>
                <w:sz w:val="15"/>
              </w:rPr>
              <w:t>227</w:t>
            </w:r>
          </w:p>
        </w:tc>
        <w:tc>
          <w:tcPr>
            <w:tcW w:type="dxa" w:w="864"/>
          </w:tcPr>
          <w:p>
            <w:pPr>
              <w:spacing w:after="20"/>
              <w:jc w:val="right"/>
            </w:pPr>
            <w:r>
              <w:rPr>
                <w:color w:val="1C3A36"/>
                <w:sz w:val="15"/>
              </w:rPr>
              <w:t>245</w:t>
            </w:r>
          </w:p>
        </w:tc>
        <w:tc>
          <w:tcPr>
            <w:tcW w:type="dxa" w:w="864"/>
          </w:tcPr>
          <w:p>
            <w:pPr>
              <w:spacing w:after="20"/>
              <w:jc w:val="right"/>
            </w:pPr>
            <w:r>
              <w:rPr>
                <w:color w:val="1C3A36"/>
                <w:sz w:val="15"/>
              </w:rPr>
              <w:t>264</w:t>
            </w:r>
          </w:p>
        </w:tc>
      </w:tr>
      <w:tr>
        <w:tc>
          <w:tcPr>
            <w:tcW w:type="dxa" w:w="2160"/>
          </w:tcPr>
          <w:p>
            <w:pPr>
              <w:spacing w:after="20"/>
            </w:pPr>
            <w:r>
              <w:rPr>
                <w:color w:val="1C3A36"/>
                <w:sz w:val="15"/>
              </w:rPr>
              <w:t>Profit before tax</w:t>
            </w:r>
          </w:p>
        </w:tc>
        <w:tc>
          <w:tcPr>
            <w:tcW w:type="dxa" w:w="893"/>
          </w:tcPr>
          <w:p>
            <w:pPr>
              <w:spacing w:after="20"/>
              <w:jc w:val="right"/>
            </w:pPr>
            <w:r>
              <w:rPr>
                <w:color w:val="1C3A36"/>
                <w:sz w:val="15"/>
              </w:rPr>
              <w:t>653</w:t>
            </w:r>
          </w:p>
        </w:tc>
        <w:tc>
          <w:tcPr>
            <w:tcW w:type="dxa" w:w="893"/>
          </w:tcPr>
          <w:p>
            <w:pPr>
              <w:spacing w:after="20"/>
              <w:jc w:val="right"/>
            </w:pPr>
            <w:r>
              <w:rPr>
                <w:color w:val="1C3A36"/>
                <w:sz w:val="15"/>
              </w:rPr>
              <w:t>9,488</w:t>
            </w:r>
          </w:p>
        </w:tc>
        <w:tc>
          <w:tcPr>
            <w:tcW w:type="dxa" w:w="893"/>
          </w:tcPr>
          <w:p>
            <w:pPr>
              <w:spacing w:after="20"/>
              <w:jc w:val="right"/>
            </w:pPr>
            <w:r>
              <w:rPr>
                <w:color w:val="1C3A36"/>
                <w:sz w:val="15"/>
              </w:rPr>
              <w:t>4,421</w:t>
            </w:r>
          </w:p>
        </w:tc>
        <w:tc>
          <w:tcPr>
            <w:tcW w:type="dxa" w:w="893"/>
          </w:tcPr>
          <w:p>
            <w:pPr>
              <w:spacing w:after="20"/>
              <w:jc w:val="right"/>
            </w:pPr>
            <w:r>
              <w:rPr>
                <w:color w:val="1C3A36"/>
                <w:sz w:val="15"/>
              </w:rPr>
              <w:t>2,601</w:t>
            </w:r>
          </w:p>
        </w:tc>
        <w:tc>
          <w:tcPr>
            <w:tcW w:type="dxa" w:w="864"/>
          </w:tcPr>
          <w:p>
            <w:pPr>
              <w:spacing w:after="20"/>
              <w:jc w:val="right"/>
            </w:pPr>
            <w:r>
              <w:rPr>
                <w:color w:val="1C3A36"/>
                <w:sz w:val="15"/>
              </w:rPr>
              <w:t>3,166</w:t>
            </w:r>
          </w:p>
        </w:tc>
        <w:tc>
          <w:tcPr>
            <w:tcW w:type="dxa" w:w="864"/>
          </w:tcPr>
          <w:p>
            <w:pPr>
              <w:spacing w:after="20"/>
              <w:jc w:val="right"/>
            </w:pPr>
            <w:r>
              <w:rPr>
                <w:color w:val="1C3A36"/>
                <w:sz w:val="15"/>
              </w:rPr>
              <w:t>7,144</w:t>
            </w:r>
          </w:p>
        </w:tc>
        <w:tc>
          <w:tcPr>
            <w:tcW w:type="dxa" w:w="864"/>
          </w:tcPr>
          <w:p>
            <w:pPr>
              <w:spacing w:after="20"/>
              <w:jc w:val="right"/>
            </w:pPr>
            <w:r>
              <w:rPr>
                <w:color w:val="1C3A36"/>
                <w:sz w:val="15"/>
              </w:rPr>
              <w:t>8,851</w:t>
            </w:r>
          </w:p>
        </w:tc>
        <w:tc>
          <w:tcPr>
            <w:tcW w:type="dxa" w:w="864"/>
          </w:tcPr>
          <w:p>
            <w:pPr>
              <w:spacing w:after="20"/>
              <w:jc w:val="right"/>
            </w:pPr>
            <w:r>
              <w:rPr>
                <w:color w:val="1C3A36"/>
                <w:sz w:val="15"/>
              </w:rPr>
              <w:t>9,818</w:t>
            </w:r>
          </w:p>
        </w:tc>
        <w:tc>
          <w:tcPr>
            <w:tcW w:type="dxa" w:w="864"/>
          </w:tcPr>
          <w:p>
            <w:pPr>
              <w:spacing w:after="20"/>
              <w:jc w:val="right"/>
            </w:pPr>
            <w:r>
              <w:rPr>
                <w:color w:val="1C3A36"/>
                <w:sz w:val="15"/>
              </w:rPr>
              <w:t>10,401</w:t>
            </w:r>
          </w:p>
        </w:tc>
      </w:tr>
      <w:tr>
        <w:tc>
          <w:tcPr>
            <w:tcW w:type="dxa" w:w="2160"/>
          </w:tcPr>
          <w:p>
            <w:pPr>
              <w:spacing w:after="20"/>
            </w:pPr>
            <w:r>
              <w:rPr>
                <w:color w:val="1C3A36"/>
                <w:sz w:val="15"/>
              </w:rPr>
              <w:t>Income tax</w:t>
            </w:r>
          </w:p>
        </w:tc>
        <w:tc>
          <w:tcPr>
            <w:tcW w:type="dxa" w:w="893"/>
          </w:tcPr>
          <w:p>
            <w:pPr>
              <w:spacing w:after="20"/>
              <w:jc w:val="right"/>
            </w:pPr>
            <w:r>
              <w:rPr>
                <w:color w:val="1C3A36"/>
                <w:sz w:val="15"/>
              </w:rPr>
              <w:t>-80</w:t>
            </w:r>
          </w:p>
        </w:tc>
        <w:tc>
          <w:tcPr>
            <w:tcW w:type="dxa" w:w="893"/>
          </w:tcPr>
          <w:p>
            <w:pPr>
              <w:spacing w:after="20"/>
              <w:jc w:val="right"/>
            </w:pPr>
            <w:r>
              <w:rPr>
                <w:color w:val="1C3A36"/>
                <w:sz w:val="15"/>
              </w:rPr>
              <w:t>-99</w:t>
            </w:r>
          </w:p>
        </w:tc>
        <w:tc>
          <w:tcPr>
            <w:tcW w:type="dxa" w:w="893"/>
          </w:tcPr>
          <w:p>
            <w:pPr>
              <w:spacing w:after="20"/>
              <w:jc w:val="right"/>
            </w:pPr>
            <w:r>
              <w:rPr>
                <w:color w:val="1C3A36"/>
                <w:sz w:val="15"/>
              </w:rPr>
              <w:t>-495</w:t>
            </w:r>
          </w:p>
        </w:tc>
        <w:tc>
          <w:tcPr>
            <w:tcW w:type="dxa" w:w="893"/>
          </w:tcPr>
          <w:p>
            <w:pPr>
              <w:spacing w:after="20"/>
              <w:jc w:val="right"/>
            </w:pPr>
            <w:r>
              <w:rPr>
                <w:color w:val="1C3A36"/>
                <w:sz w:val="15"/>
              </w:rPr>
              <w:t>-401</w:t>
            </w:r>
          </w:p>
        </w:tc>
        <w:tc>
          <w:tcPr>
            <w:tcW w:type="dxa" w:w="864"/>
          </w:tcPr>
          <w:p>
            <w:pPr>
              <w:spacing w:after="20"/>
              <w:jc w:val="right"/>
            </w:pPr>
            <w:r>
              <w:rPr>
                <w:color w:val="1C3A36"/>
                <w:sz w:val="15"/>
              </w:rPr>
              <w:t>-491</w:t>
            </w:r>
          </w:p>
        </w:tc>
        <w:tc>
          <w:tcPr>
            <w:tcW w:type="dxa" w:w="864"/>
          </w:tcPr>
          <w:p>
            <w:pPr>
              <w:spacing w:after="20"/>
              <w:jc w:val="right"/>
            </w:pPr>
            <w:r>
              <w:rPr>
                <w:color w:val="1C3A36"/>
                <w:sz w:val="15"/>
              </w:rPr>
              <w:t>-1,107</w:t>
            </w:r>
          </w:p>
        </w:tc>
        <w:tc>
          <w:tcPr>
            <w:tcW w:type="dxa" w:w="864"/>
          </w:tcPr>
          <w:p>
            <w:pPr>
              <w:spacing w:after="20"/>
              <w:jc w:val="right"/>
            </w:pPr>
            <w:r>
              <w:rPr>
                <w:color w:val="1C3A36"/>
                <w:sz w:val="15"/>
              </w:rPr>
              <w:t>-1,372</w:t>
            </w:r>
          </w:p>
        </w:tc>
        <w:tc>
          <w:tcPr>
            <w:tcW w:type="dxa" w:w="864"/>
          </w:tcPr>
          <w:p>
            <w:pPr>
              <w:spacing w:after="20"/>
              <w:jc w:val="right"/>
            </w:pPr>
            <w:r>
              <w:rPr>
                <w:color w:val="1C3A36"/>
                <w:sz w:val="15"/>
              </w:rPr>
              <w:t>-1,522</w:t>
            </w:r>
          </w:p>
        </w:tc>
        <w:tc>
          <w:tcPr>
            <w:tcW w:type="dxa" w:w="864"/>
          </w:tcPr>
          <w:p>
            <w:pPr>
              <w:spacing w:after="20"/>
              <w:jc w:val="right"/>
            </w:pPr>
            <w:r>
              <w:rPr>
                <w:color w:val="1C3A36"/>
                <w:sz w:val="15"/>
              </w:rPr>
              <w:t>-1,612</w:t>
            </w:r>
          </w:p>
        </w:tc>
      </w:tr>
      <w:tr>
        <w:tc>
          <w:tcPr>
            <w:tcW w:type="dxa" w:w="2160"/>
            <w:shd w:val="clear" w:color="auto" w:fill="F6F1E6"/>
          </w:tcPr>
          <w:p>
            <w:pPr>
              <w:spacing w:after="20"/>
            </w:pPr>
            <w:r>
              <w:rPr>
                <w:b/>
                <w:color w:val="1C3A36"/>
                <w:sz w:val="15"/>
              </w:rPr>
              <w:t>Profit for the period</w:t>
            </w:r>
          </w:p>
        </w:tc>
        <w:tc>
          <w:tcPr>
            <w:tcW w:type="dxa" w:w="893"/>
            <w:shd w:val="clear" w:color="auto" w:fill="F6F1E6"/>
          </w:tcPr>
          <w:p>
            <w:pPr>
              <w:spacing w:after="20"/>
              <w:jc w:val="right"/>
            </w:pPr>
            <w:r>
              <w:rPr>
                <w:b/>
                <w:color w:val="1C3A36"/>
                <w:sz w:val="15"/>
              </w:rPr>
              <w:t>574</w:t>
            </w:r>
          </w:p>
        </w:tc>
        <w:tc>
          <w:tcPr>
            <w:tcW w:type="dxa" w:w="893"/>
            <w:shd w:val="clear" w:color="auto" w:fill="F6F1E6"/>
          </w:tcPr>
          <w:p>
            <w:pPr>
              <w:spacing w:after="20"/>
              <w:jc w:val="right"/>
            </w:pPr>
            <w:r>
              <w:rPr>
                <w:b/>
                <w:color w:val="1C3A36"/>
                <w:sz w:val="15"/>
              </w:rPr>
              <w:t>9,389</w:t>
            </w:r>
          </w:p>
        </w:tc>
        <w:tc>
          <w:tcPr>
            <w:tcW w:type="dxa" w:w="893"/>
            <w:shd w:val="clear" w:color="auto" w:fill="F6F1E6"/>
          </w:tcPr>
          <w:p>
            <w:pPr>
              <w:spacing w:after="20"/>
              <w:jc w:val="right"/>
            </w:pPr>
            <w:r>
              <w:rPr>
                <w:b/>
                <w:color w:val="1C3A36"/>
                <w:sz w:val="15"/>
              </w:rPr>
              <w:t>3,926</w:t>
            </w:r>
          </w:p>
        </w:tc>
        <w:tc>
          <w:tcPr>
            <w:tcW w:type="dxa" w:w="893"/>
            <w:shd w:val="clear" w:color="auto" w:fill="F6F1E6"/>
          </w:tcPr>
          <w:p>
            <w:pPr>
              <w:spacing w:after="20"/>
              <w:jc w:val="right"/>
            </w:pPr>
            <w:r>
              <w:rPr>
                <w:b/>
                <w:color w:val="1C3A36"/>
                <w:sz w:val="15"/>
              </w:rPr>
              <w:t>2,202</w:t>
            </w:r>
          </w:p>
        </w:tc>
        <w:tc>
          <w:tcPr>
            <w:tcW w:type="dxa" w:w="864"/>
            <w:shd w:val="clear" w:color="auto" w:fill="F6F1E6"/>
          </w:tcPr>
          <w:p>
            <w:pPr>
              <w:spacing w:after="20"/>
              <w:jc w:val="right"/>
            </w:pPr>
            <w:r>
              <w:rPr>
                <w:b/>
                <w:color w:val="1C3A36"/>
                <w:sz w:val="15"/>
              </w:rPr>
              <w:t>2,676</w:t>
            </w:r>
          </w:p>
        </w:tc>
        <w:tc>
          <w:tcPr>
            <w:tcW w:type="dxa" w:w="864"/>
            <w:shd w:val="clear" w:color="auto" w:fill="F6F1E6"/>
          </w:tcPr>
          <w:p>
            <w:pPr>
              <w:spacing w:after="20"/>
              <w:jc w:val="right"/>
            </w:pPr>
            <w:r>
              <w:rPr>
                <w:b/>
                <w:color w:val="1C3A36"/>
                <w:sz w:val="15"/>
              </w:rPr>
              <w:t>6,037</w:t>
            </w:r>
          </w:p>
        </w:tc>
        <w:tc>
          <w:tcPr>
            <w:tcW w:type="dxa" w:w="864"/>
            <w:shd w:val="clear" w:color="auto" w:fill="F6F1E6"/>
          </w:tcPr>
          <w:p>
            <w:pPr>
              <w:spacing w:after="20"/>
              <w:jc w:val="right"/>
            </w:pPr>
            <w:r>
              <w:rPr>
                <w:b/>
                <w:color w:val="1C3A36"/>
                <w:sz w:val="15"/>
              </w:rPr>
              <w:t>7,479</w:t>
            </w:r>
          </w:p>
        </w:tc>
        <w:tc>
          <w:tcPr>
            <w:tcW w:type="dxa" w:w="864"/>
            <w:shd w:val="clear" w:color="auto" w:fill="F6F1E6"/>
          </w:tcPr>
          <w:p>
            <w:pPr>
              <w:spacing w:after="20"/>
              <w:jc w:val="right"/>
            </w:pPr>
            <w:r>
              <w:rPr>
                <w:b/>
                <w:color w:val="1C3A36"/>
                <w:sz w:val="15"/>
              </w:rPr>
              <w:t>8,296</w:t>
            </w:r>
          </w:p>
        </w:tc>
        <w:tc>
          <w:tcPr>
            <w:tcW w:type="dxa" w:w="864"/>
            <w:shd w:val="clear" w:color="auto" w:fill="F6F1E6"/>
          </w:tcPr>
          <w:p>
            <w:pPr>
              <w:spacing w:after="20"/>
              <w:jc w:val="right"/>
            </w:pPr>
            <w:r>
              <w:rPr>
                <w:b/>
                <w:color w:val="1C3A36"/>
                <w:sz w:val="15"/>
              </w:rPr>
              <w:t>8,789</w:t>
            </w:r>
          </w:p>
        </w:tc>
      </w:tr>
      <w:tr>
        <w:tc>
          <w:tcPr>
            <w:tcW w:type="dxa" w:w="2160"/>
          </w:tcPr>
          <w:p>
            <w:pPr>
              <w:spacing w:after="20"/>
            </w:pPr>
            <w:r>
              <w:rPr>
                <w:color w:val="1C3A36"/>
                <w:sz w:val="15"/>
              </w:rPr>
              <w:t>Attributable to owners</w:t>
            </w:r>
          </w:p>
        </w:tc>
        <w:tc>
          <w:tcPr>
            <w:tcW w:type="dxa" w:w="893"/>
          </w:tcPr>
          <w:p>
            <w:pPr>
              <w:spacing w:after="20"/>
              <w:jc w:val="right"/>
            </w:pPr>
            <w:r>
              <w:rPr>
                <w:color w:val="1C3A36"/>
                <w:sz w:val="15"/>
              </w:rPr>
              <w:t>461</w:t>
            </w:r>
          </w:p>
        </w:tc>
        <w:tc>
          <w:tcPr>
            <w:tcW w:type="dxa" w:w="893"/>
          </w:tcPr>
          <w:p>
            <w:pPr>
              <w:spacing w:after="20"/>
              <w:jc w:val="right"/>
            </w:pPr>
            <w:r>
              <w:rPr>
                <w:color w:val="1C3A36"/>
                <w:sz w:val="15"/>
              </w:rPr>
              <w:t>9,423</w:t>
            </w:r>
          </w:p>
        </w:tc>
        <w:tc>
          <w:tcPr>
            <w:tcW w:type="dxa" w:w="893"/>
          </w:tcPr>
          <w:p>
            <w:pPr>
              <w:spacing w:after="20"/>
              <w:jc w:val="right"/>
            </w:pPr>
            <w:r>
              <w:rPr>
                <w:color w:val="1C3A36"/>
                <w:sz w:val="15"/>
              </w:rPr>
              <w:t>4,020</w:t>
            </w:r>
          </w:p>
        </w:tc>
        <w:tc>
          <w:tcPr>
            <w:tcW w:type="dxa" w:w="893"/>
          </w:tcPr>
          <w:p>
            <w:pPr>
              <w:spacing w:after="20"/>
              <w:jc w:val="right"/>
            </w:pPr>
            <w:r>
              <w:rPr>
                <w:color w:val="1C3A36"/>
                <w:sz w:val="15"/>
              </w:rPr>
              <w:t>2,163</w:t>
            </w:r>
          </w:p>
        </w:tc>
        <w:tc>
          <w:tcPr>
            <w:tcW w:type="dxa" w:w="864"/>
          </w:tcPr>
          <w:p>
            <w:pPr>
              <w:spacing w:after="20"/>
              <w:jc w:val="right"/>
            </w:pPr>
            <w:r>
              <w:rPr>
                <w:color w:val="1C3A36"/>
                <w:sz w:val="15"/>
              </w:rPr>
              <w:t>2,622</w:t>
            </w:r>
          </w:p>
        </w:tc>
        <w:tc>
          <w:tcPr>
            <w:tcW w:type="dxa" w:w="864"/>
          </w:tcPr>
          <w:p>
            <w:pPr>
              <w:spacing w:after="20"/>
              <w:jc w:val="right"/>
            </w:pPr>
            <w:r>
              <w:rPr>
                <w:color w:val="1C3A36"/>
                <w:sz w:val="15"/>
              </w:rPr>
              <w:t>5,916</w:t>
            </w:r>
          </w:p>
        </w:tc>
        <w:tc>
          <w:tcPr>
            <w:tcW w:type="dxa" w:w="864"/>
          </w:tcPr>
          <w:p>
            <w:pPr>
              <w:spacing w:after="20"/>
              <w:jc w:val="right"/>
            </w:pPr>
            <w:r>
              <w:rPr>
                <w:color w:val="1C3A36"/>
                <w:sz w:val="15"/>
              </w:rPr>
              <w:t>7,329</w:t>
            </w:r>
          </w:p>
        </w:tc>
        <w:tc>
          <w:tcPr>
            <w:tcW w:type="dxa" w:w="864"/>
          </w:tcPr>
          <w:p>
            <w:pPr>
              <w:spacing w:after="20"/>
              <w:jc w:val="right"/>
            </w:pPr>
            <w:r>
              <w:rPr>
                <w:color w:val="1C3A36"/>
                <w:sz w:val="15"/>
              </w:rPr>
              <w:t>8,130</w:t>
            </w:r>
          </w:p>
        </w:tc>
        <w:tc>
          <w:tcPr>
            <w:tcW w:type="dxa" w:w="864"/>
          </w:tcPr>
          <w:p>
            <w:pPr>
              <w:spacing w:after="20"/>
              <w:jc w:val="right"/>
            </w:pPr>
            <w:r>
              <w:rPr>
                <w:color w:val="1C3A36"/>
                <w:sz w:val="15"/>
              </w:rPr>
              <w:t>8,613</w:t>
            </w:r>
          </w:p>
        </w:tc>
      </w:tr>
    </w:tbl>
    <w:p>
      <w:pPr>
        <w:spacing w:after="40"/>
      </w:pPr>
    </w:p>
    <w:p>
      <w:pPr>
        <w:spacing w:after="200" w:before="0"/>
      </w:pPr>
      <w:r>
        <w:rPr>
          <w:b w:val="0"/>
          <w:i/>
          <w:color w:val="6E7B77"/>
          <w:sz w:val="17"/>
        </w:rPr>
        <w:t>* Q Holding perimeter. ** Includes the AED 9,192mn bargain gain (ex-gain profit AED 197mn); the FY2024 EBITDA of 9,795 shown here is dominated by it — house basis, labelled, dual-framed. "Profit before tax" includes small discontinued items, as presented. FY2026E full year = H1 actual + the H2-26E stub.</w:t>
      </w:r>
    </w:p>
    <w:p>
      <w:pPr>
        <w:spacing w:after="80" w:before="200"/>
      </w:pPr>
      <w:r>
        <w:rPr>
          <w:b/>
          <w:i w:val="0"/>
          <w:color w:val="1C3A36"/>
          <w:sz w:val="24"/>
        </w:rPr>
        <w:t>A.2 · Balance sheet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90"/>
        <w:gridCol w:w="979"/>
        <w:gridCol w:w="979"/>
        <w:gridCol w:w="979"/>
        <w:gridCol w:w="893"/>
        <w:gridCol w:w="893"/>
        <w:gridCol w:w="893"/>
        <w:gridCol w:w="893"/>
        <w:gridCol w:w="893"/>
      </w:tblGrid>
      <w:tr>
        <w:tc>
          <w:tcPr>
            <w:tcW w:type="dxa" w:w="2390"/>
            <w:shd w:val="clear" w:color="auto" w:fill="EAF0EE"/>
          </w:tcPr>
          <w:p>
            <w:pPr>
              <w:spacing w:after="20"/>
            </w:pPr>
            <w:r>
              <w:rPr>
                <w:b/>
                <w:color w:val="1C3A36"/>
                <w:sz w:val="15"/>
              </w:rPr>
              <w:t>AED mn</w:t>
            </w:r>
          </w:p>
        </w:tc>
        <w:tc>
          <w:tcPr>
            <w:tcW w:type="dxa" w:w="979"/>
            <w:shd w:val="clear" w:color="auto" w:fill="EAF0EE"/>
          </w:tcPr>
          <w:p>
            <w:pPr>
              <w:spacing w:after="20"/>
            </w:pPr>
            <w:r>
              <w:rPr>
                <w:b/>
                <w:color w:val="1C3A36"/>
                <w:sz w:val="15"/>
              </w:rPr>
              <w:t>FY2024</w:t>
            </w:r>
          </w:p>
        </w:tc>
        <w:tc>
          <w:tcPr>
            <w:tcW w:type="dxa" w:w="979"/>
            <w:shd w:val="clear" w:color="auto" w:fill="EAF0EE"/>
          </w:tcPr>
          <w:p>
            <w:pPr>
              <w:spacing w:after="20"/>
            </w:pPr>
            <w:r>
              <w:rPr>
                <w:b/>
                <w:color w:val="1C3A36"/>
                <w:sz w:val="15"/>
              </w:rPr>
              <w:t>FY2025</w:t>
            </w:r>
          </w:p>
        </w:tc>
        <w:tc>
          <w:tcPr>
            <w:tcW w:type="dxa" w:w="979"/>
            <w:shd w:val="clear" w:color="auto" w:fill="EAF0EE"/>
          </w:tcPr>
          <w:p>
            <w:pPr>
              <w:spacing w:after="20"/>
            </w:pPr>
            <w:r>
              <w:rPr>
                <w:b/>
                <w:color w:val="1C3A36"/>
                <w:sz w:val="15"/>
              </w:rPr>
              <w:t>30-Jun-26A</w:t>
            </w:r>
          </w:p>
        </w:tc>
        <w:tc>
          <w:tcPr>
            <w:tcW w:type="dxa" w:w="893"/>
            <w:shd w:val="clear" w:color="auto" w:fill="EAF0EE"/>
          </w:tcPr>
          <w:p>
            <w:pPr>
              <w:spacing w:after="20"/>
            </w:pPr>
            <w:r>
              <w:rPr>
                <w:b/>
                <w:color w:val="1C3A36"/>
                <w:sz w:val="15"/>
              </w:rPr>
              <w:t>H2-26E</w:t>
            </w:r>
          </w:p>
        </w:tc>
        <w:tc>
          <w:tcPr>
            <w:tcW w:type="dxa" w:w="893"/>
            <w:shd w:val="clear" w:color="auto" w:fill="EAF0EE"/>
          </w:tcPr>
          <w:p>
            <w:pPr>
              <w:spacing w:after="20"/>
            </w:pPr>
            <w:r>
              <w:rPr>
                <w:b/>
                <w:color w:val="1C3A36"/>
                <w:sz w:val="15"/>
              </w:rPr>
              <w:t>FY27E</w:t>
            </w:r>
          </w:p>
        </w:tc>
        <w:tc>
          <w:tcPr>
            <w:tcW w:type="dxa" w:w="893"/>
            <w:shd w:val="clear" w:color="auto" w:fill="EAF0EE"/>
          </w:tcPr>
          <w:p>
            <w:pPr>
              <w:spacing w:after="20"/>
            </w:pPr>
            <w:r>
              <w:rPr>
                <w:b/>
                <w:color w:val="1C3A36"/>
                <w:sz w:val="15"/>
              </w:rPr>
              <w:t>FY28E</w:t>
            </w:r>
          </w:p>
        </w:tc>
        <w:tc>
          <w:tcPr>
            <w:tcW w:type="dxa" w:w="893"/>
            <w:shd w:val="clear" w:color="auto" w:fill="EAF0EE"/>
          </w:tcPr>
          <w:p>
            <w:pPr>
              <w:spacing w:after="20"/>
            </w:pPr>
            <w:r>
              <w:rPr>
                <w:b/>
                <w:color w:val="1C3A36"/>
                <w:sz w:val="15"/>
              </w:rPr>
              <w:t>FY29E</w:t>
            </w:r>
          </w:p>
        </w:tc>
        <w:tc>
          <w:tcPr>
            <w:tcW w:type="dxa" w:w="893"/>
            <w:shd w:val="clear" w:color="auto" w:fill="EAF0EE"/>
          </w:tcPr>
          <w:p>
            <w:pPr>
              <w:spacing w:after="20"/>
            </w:pPr>
            <w:r>
              <w:rPr>
                <w:b/>
                <w:color w:val="1C3A36"/>
                <w:sz w:val="15"/>
              </w:rPr>
              <w:t>FY30E</w:t>
            </w:r>
          </w:p>
        </w:tc>
      </w:tr>
      <w:tr>
        <w:tc>
          <w:tcPr>
            <w:tcW w:type="dxa" w:w="2390"/>
          </w:tcPr>
          <w:p>
            <w:pPr>
              <w:spacing w:after="20"/>
            </w:pPr>
            <w:r>
              <w:rPr>
                <w:color w:val="1C3A36"/>
                <w:sz w:val="15"/>
              </w:rPr>
              <w:t>Receivables incl. related-party</w:t>
            </w:r>
          </w:p>
        </w:tc>
        <w:tc>
          <w:tcPr>
            <w:tcW w:type="dxa" w:w="979"/>
          </w:tcPr>
          <w:p>
            <w:pPr>
              <w:spacing w:after="20"/>
              <w:jc w:val="right"/>
            </w:pPr>
            <w:r>
              <w:rPr>
                <w:color w:val="1C3A36"/>
                <w:sz w:val="15"/>
              </w:rPr>
              <w:t>12,844</w:t>
            </w:r>
          </w:p>
        </w:tc>
        <w:tc>
          <w:tcPr>
            <w:tcW w:type="dxa" w:w="979"/>
          </w:tcPr>
          <w:p>
            <w:pPr>
              <w:spacing w:after="20"/>
              <w:jc w:val="right"/>
            </w:pPr>
            <w:r>
              <w:rPr>
                <w:color w:val="1C3A36"/>
                <w:sz w:val="15"/>
              </w:rPr>
              <w:t>16,635</w:t>
            </w:r>
          </w:p>
        </w:tc>
        <w:tc>
          <w:tcPr>
            <w:tcW w:type="dxa" w:w="979"/>
          </w:tcPr>
          <w:p>
            <w:pPr>
              <w:spacing w:after="20"/>
              <w:jc w:val="right"/>
            </w:pPr>
            <w:r>
              <w:rPr>
                <w:color w:val="1C3A36"/>
                <w:sz w:val="15"/>
              </w:rPr>
              <w:t>22,156</w:t>
            </w:r>
          </w:p>
        </w:tc>
        <w:tc>
          <w:tcPr>
            <w:tcW w:type="dxa" w:w="893"/>
          </w:tcPr>
          <w:p>
            <w:pPr>
              <w:spacing w:after="20"/>
              <w:jc w:val="right"/>
            </w:pPr>
            <w:r>
              <w:rPr>
                <w:color w:val="1C3A36"/>
                <w:sz w:val="15"/>
              </w:rPr>
              <w:t>24,392</w:t>
            </w:r>
          </w:p>
        </w:tc>
        <w:tc>
          <w:tcPr>
            <w:tcW w:type="dxa" w:w="893"/>
          </w:tcPr>
          <w:p>
            <w:pPr>
              <w:spacing w:after="20"/>
              <w:jc w:val="right"/>
            </w:pPr>
            <w:r>
              <w:rPr>
                <w:color w:val="1C3A36"/>
                <w:sz w:val="15"/>
              </w:rPr>
              <w:t>30,653</w:t>
            </w:r>
          </w:p>
        </w:tc>
        <w:tc>
          <w:tcPr>
            <w:tcW w:type="dxa" w:w="893"/>
          </w:tcPr>
          <w:p>
            <w:pPr>
              <w:spacing w:after="20"/>
              <w:jc w:val="right"/>
            </w:pPr>
            <w:r>
              <w:rPr>
                <w:color w:val="1C3A36"/>
                <w:sz w:val="15"/>
              </w:rPr>
              <w:t>35,953</w:t>
            </w:r>
          </w:p>
        </w:tc>
        <w:tc>
          <w:tcPr>
            <w:tcW w:type="dxa" w:w="893"/>
          </w:tcPr>
          <w:p>
            <w:pPr>
              <w:spacing w:after="20"/>
              <w:jc w:val="right"/>
            </w:pPr>
            <w:r>
              <w:rPr>
                <w:color w:val="1C3A36"/>
                <w:sz w:val="15"/>
              </w:rPr>
              <w:t>37,320</w:t>
            </w:r>
          </w:p>
        </w:tc>
        <w:tc>
          <w:tcPr>
            <w:tcW w:type="dxa" w:w="893"/>
          </w:tcPr>
          <w:p>
            <w:pPr>
              <w:spacing w:after="20"/>
              <w:jc w:val="right"/>
            </w:pPr>
            <w:r>
              <w:rPr>
                <w:color w:val="1C3A36"/>
                <w:sz w:val="15"/>
              </w:rPr>
              <w:t>36,684</w:t>
            </w:r>
          </w:p>
        </w:tc>
      </w:tr>
      <w:tr>
        <w:tc>
          <w:tcPr>
            <w:tcW w:type="dxa" w:w="2390"/>
          </w:tcPr>
          <w:p>
            <w:pPr>
              <w:spacing w:after="20"/>
            </w:pPr>
            <w:r>
              <w:rPr>
                <w:color w:val="1C3A36"/>
                <w:sz w:val="15"/>
              </w:rPr>
              <w:t>Inventories + development WIP</w:t>
            </w:r>
          </w:p>
        </w:tc>
        <w:tc>
          <w:tcPr>
            <w:tcW w:type="dxa" w:w="979"/>
          </w:tcPr>
          <w:p>
            <w:pPr>
              <w:spacing w:after="20"/>
              <w:jc w:val="right"/>
            </w:pPr>
            <w:r>
              <w:rPr>
                <w:color w:val="1C3A36"/>
                <w:sz w:val="15"/>
              </w:rPr>
              <w:t>32,048</w:t>
            </w:r>
          </w:p>
        </w:tc>
        <w:tc>
          <w:tcPr>
            <w:tcW w:type="dxa" w:w="979"/>
          </w:tcPr>
          <w:p>
            <w:pPr>
              <w:spacing w:after="20"/>
              <w:jc w:val="right"/>
            </w:pPr>
            <w:r>
              <w:rPr>
                <w:color w:val="1C3A36"/>
                <w:sz w:val="15"/>
              </w:rPr>
              <w:t>33,409</w:t>
            </w:r>
          </w:p>
        </w:tc>
        <w:tc>
          <w:tcPr>
            <w:tcW w:type="dxa" w:w="979"/>
          </w:tcPr>
          <w:p>
            <w:pPr>
              <w:spacing w:after="20"/>
              <w:jc w:val="right"/>
            </w:pPr>
            <w:r>
              <w:rPr>
                <w:color w:val="1C3A36"/>
                <w:sz w:val="15"/>
              </w:rPr>
              <w:t>34,087</w:t>
            </w:r>
          </w:p>
        </w:tc>
        <w:tc>
          <w:tcPr>
            <w:tcW w:type="dxa" w:w="893"/>
          </w:tcPr>
          <w:p>
            <w:pPr>
              <w:spacing w:after="20"/>
              <w:jc w:val="right"/>
            </w:pPr>
            <w:r>
              <w:rPr>
                <w:color w:val="1C3A36"/>
                <w:sz w:val="15"/>
              </w:rPr>
              <w:t>34,435</w:t>
            </w:r>
          </w:p>
        </w:tc>
        <w:tc>
          <w:tcPr>
            <w:tcW w:type="dxa" w:w="893"/>
          </w:tcPr>
          <w:p>
            <w:pPr>
              <w:spacing w:after="20"/>
              <w:jc w:val="right"/>
            </w:pPr>
            <w:r>
              <w:rPr>
                <w:color w:val="1C3A36"/>
                <w:sz w:val="15"/>
              </w:rPr>
              <w:t>35,239</w:t>
            </w:r>
          </w:p>
        </w:tc>
        <w:tc>
          <w:tcPr>
            <w:tcW w:type="dxa" w:w="893"/>
          </w:tcPr>
          <w:p>
            <w:pPr>
              <w:spacing w:after="20"/>
              <w:jc w:val="right"/>
            </w:pPr>
            <w:r>
              <w:rPr>
                <w:color w:val="1C3A36"/>
                <w:sz w:val="15"/>
              </w:rPr>
              <w:t>34,923</w:t>
            </w:r>
          </w:p>
        </w:tc>
        <w:tc>
          <w:tcPr>
            <w:tcW w:type="dxa" w:w="893"/>
          </w:tcPr>
          <w:p>
            <w:pPr>
              <w:spacing w:after="20"/>
              <w:jc w:val="right"/>
            </w:pPr>
            <w:r>
              <w:rPr>
                <w:color w:val="1C3A36"/>
                <w:sz w:val="15"/>
              </w:rPr>
              <w:t>33,972</w:t>
            </w:r>
          </w:p>
        </w:tc>
        <w:tc>
          <w:tcPr>
            <w:tcW w:type="dxa" w:w="893"/>
          </w:tcPr>
          <w:p>
            <w:pPr>
              <w:spacing w:after="20"/>
              <w:jc w:val="right"/>
            </w:pPr>
            <w:r>
              <w:rPr>
                <w:color w:val="1C3A36"/>
                <w:sz w:val="15"/>
              </w:rPr>
              <w:t>32,687</w:t>
            </w:r>
          </w:p>
        </w:tc>
      </w:tr>
      <w:tr>
        <w:tc>
          <w:tcPr>
            <w:tcW w:type="dxa" w:w="2390"/>
          </w:tcPr>
          <w:p>
            <w:pPr>
              <w:spacing w:after="20"/>
            </w:pPr>
            <w:r>
              <w:rPr>
                <w:color w:val="1C3A36"/>
                <w:sz w:val="15"/>
              </w:rPr>
              <w:t>Payables incl. advances + related-party</w:t>
            </w:r>
          </w:p>
        </w:tc>
        <w:tc>
          <w:tcPr>
            <w:tcW w:type="dxa" w:w="979"/>
          </w:tcPr>
          <w:p>
            <w:pPr>
              <w:spacing w:after="20"/>
              <w:jc w:val="right"/>
            </w:pPr>
            <w:r>
              <w:rPr>
                <w:color w:val="1C3A36"/>
                <w:sz w:val="15"/>
              </w:rPr>
              <w:t>18,030</w:t>
            </w:r>
          </w:p>
        </w:tc>
        <w:tc>
          <w:tcPr>
            <w:tcW w:type="dxa" w:w="979"/>
          </w:tcPr>
          <w:p>
            <w:pPr>
              <w:spacing w:after="20"/>
              <w:jc w:val="right"/>
            </w:pPr>
            <w:r>
              <w:rPr>
                <w:color w:val="1C3A36"/>
                <w:sz w:val="15"/>
              </w:rPr>
              <w:t>23,102</w:t>
            </w:r>
          </w:p>
        </w:tc>
        <w:tc>
          <w:tcPr>
            <w:tcW w:type="dxa" w:w="979"/>
          </w:tcPr>
          <w:p>
            <w:pPr>
              <w:spacing w:after="20"/>
              <w:jc w:val="right"/>
            </w:pPr>
            <w:r>
              <w:rPr>
                <w:color w:val="1C3A36"/>
                <w:sz w:val="15"/>
              </w:rPr>
              <w:t>22,289</w:t>
            </w:r>
          </w:p>
        </w:tc>
        <w:tc>
          <w:tcPr>
            <w:tcW w:type="dxa" w:w="893"/>
          </w:tcPr>
          <w:p>
            <w:pPr>
              <w:spacing w:after="20"/>
              <w:jc w:val="right"/>
            </w:pPr>
            <w:r>
              <w:rPr>
                <w:color w:val="1C3A36"/>
                <w:sz w:val="15"/>
              </w:rPr>
              <w:t>23,935</w:t>
            </w:r>
          </w:p>
        </w:tc>
        <w:tc>
          <w:tcPr>
            <w:tcW w:type="dxa" w:w="893"/>
          </w:tcPr>
          <w:p>
            <w:pPr>
              <w:spacing w:after="20"/>
              <w:jc w:val="right"/>
            </w:pPr>
            <w:r>
              <w:rPr>
                <w:color w:val="1C3A36"/>
                <w:sz w:val="15"/>
              </w:rPr>
              <w:t>27,881</w:t>
            </w:r>
          </w:p>
        </w:tc>
        <w:tc>
          <w:tcPr>
            <w:tcW w:type="dxa" w:w="893"/>
          </w:tcPr>
          <w:p>
            <w:pPr>
              <w:spacing w:after="20"/>
              <w:jc w:val="right"/>
            </w:pPr>
            <w:r>
              <w:rPr>
                <w:color w:val="1C3A36"/>
                <w:sz w:val="15"/>
              </w:rPr>
              <w:t>31,346</w:t>
            </w:r>
          </w:p>
        </w:tc>
        <w:tc>
          <w:tcPr>
            <w:tcW w:type="dxa" w:w="893"/>
          </w:tcPr>
          <w:p>
            <w:pPr>
              <w:spacing w:after="20"/>
              <w:jc w:val="right"/>
            </w:pPr>
            <w:r>
              <w:rPr>
                <w:color w:val="1C3A36"/>
                <w:sz w:val="15"/>
              </w:rPr>
              <w:t>32,075</w:t>
            </w:r>
          </w:p>
        </w:tc>
        <w:tc>
          <w:tcPr>
            <w:tcW w:type="dxa" w:w="893"/>
          </w:tcPr>
          <w:p>
            <w:pPr>
              <w:spacing w:after="20"/>
              <w:jc w:val="right"/>
            </w:pPr>
            <w:r>
              <w:rPr>
                <w:color w:val="1C3A36"/>
                <w:sz w:val="15"/>
              </w:rPr>
              <w:t>32,263</w:t>
            </w:r>
          </w:p>
        </w:tc>
      </w:tr>
      <w:tr>
        <w:tc>
          <w:tcPr>
            <w:tcW w:type="dxa" w:w="2390"/>
          </w:tcPr>
          <w:p>
            <w:pPr>
              <w:spacing w:after="20"/>
            </w:pPr>
            <w:r>
              <w:rPr>
                <w:color w:val="1C3A36"/>
                <w:sz w:val="15"/>
              </w:rPr>
              <w:t>Net working capital</w:t>
            </w:r>
          </w:p>
        </w:tc>
        <w:tc>
          <w:tcPr>
            <w:tcW w:type="dxa" w:w="979"/>
          </w:tcPr>
          <w:p>
            <w:pPr>
              <w:spacing w:after="20"/>
              <w:jc w:val="right"/>
            </w:pPr>
            <w:r>
              <w:rPr>
                <w:color w:val="1C3A36"/>
                <w:sz w:val="15"/>
              </w:rPr>
              <w:t>26,862</w:t>
            </w:r>
          </w:p>
        </w:tc>
        <w:tc>
          <w:tcPr>
            <w:tcW w:type="dxa" w:w="979"/>
          </w:tcPr>
          <w:p>
            <w:pPr>
              <w:spacing w:after="20"/>
              <w:jc w:val="right"/>
            </w:pPr>
            <w:r>
              <w:rPr>
                <w:color w:val="1C3A36"/>
                <w:sz w:val="15"/>
              </w:rPr>
              <w:t>26,943</w:t>
            </w:r>
          </w:p>
        </w:tc>
        <w:tc>
          <w:tcPr>
            <w:tcW w:type="dxa" w:w="979"/>
          </w:tcPr>
          <w:p>
            <w:pPr>
              <w:spacing w:after="20"/>
              <w:jc w:val="right"/>
            </w:pPr>
            <w:r>
              <w:rPr>
                <w:color w:val="1C3A36"/>
                <w:sz w:val="15"/>
              </w:rPr>
              <w:t>33,954</w:t>
            </w:r>
          </w:p>
        </w:tc>
        <w:tc>
          <w:tcPr>
            <w:tcW w:type="dxa" w:w="893"/>
          </w:tcPr>
          <w:p>
            <w:pPr>
              <w:spacing w:after="20"/>
              <w:jc w:val="right"/>
            </w:pPr>
            <w:r>
              <w:rPr>
                <w:color w:val="1C3A36"/>
                <w:sz w:val="15"/>
              </w:rPr>
              <w:t>34,892</w:t>
            </w:r>
          </w:p>
        </w:tc>
        <w:tc>
          <w:tcPr>
            <w:tcW w:type="dxa" w:w="893"/>
          </w:tcPr>
          <w:p>
            <w:pPr>
              <w:spacing w:after="20"/>
              <w:jc w:val="right"/>
            </w:pPr>
            <w:r>
              <w:rPr>
                <w:color w:val="1C3A36"/>
                <w:sz w:val="15"/>
              </w:rPr>
              <w:t>38,010</w:t>
            </w:r>
          </w:p>
        </w:tc>
        <w:tc>
          <w:tcPr>
            <w:tcW w:type="dxa" w:w="893"/>
          </w:tcPr>
          <w:p>
            <w:pPr>
              <w:spacing w:after="20"/>
              <w:jc w:val="right"/>
            </w:pPr>
            <w:r>
              <w:rPr>
                <w:color w:val="1C3A36"/>
                <w:sz w:val="15"/>
              </w:rPr>
              <w:t>39,530</w:t>
            </w:r>
          </w:p>
        </w:tc>
        <w:tc>
          <w:tcPr>
            <w:tcW w:type="dxa" w:w="893"/>
          </w:tcPr>
          <w:p>
            <w:pPr>
              <w:spacing w:after="20"/>
              <w:jc w:val="right"/>
            </w:pPr>
            <w:r>
              <w:rPr>
                <w:color w:val="1C3A36"/>
                <w:sz w:val="15"/>
              </w:rPr>
              <w:t>39,217</w:t>
            </w:r>
          </w:p>
        </w:tc>
        <w:tc>
          <w:tcPr>
            <w:tcW w:type="dxa" w:w="893"/>
          </w:tcPr>
          <w:p>
            <w:pPr>
              <w:spacing w:after="20"/>
              <w:jc w:val="right"/>
            </w:pPr>
            <w:r>
              <w:rPr>
                <w:color w:val="1C3A36"/>
                <w:sz w:val="15"/>
              </w:rPr>
              <w:t>37,108</w:t>
            </w:r>
          </w:p>
        </w:tc>
      </w:tr>
      <w:tr>
        <w:tc>
          <w:tcPr>
            <w:tcW w:type="dxa" w:w="2390"/>
          </w:tcPr>
          <w:p>
            <w:pPr>
              <w:spacing w:after="20"/>
            </w:pPr>
            <w:r>
              <w:rPr>
                <w:color w:val="1C3A36"/>
                <w:sz w:val="15"/>
              </w:rPr>
              <w:t>Cash and bank balances</w:t>
            </w:r>
          </w:p>
        </w:tc>
        <w:tc>
          <w:tcPr>
            <w:tcW w:type="dxa" w:w="979"/>
          </w:tcPr>
          <w:p>
            <w:pPr>
              <w:spacing w:after="20"/>
              <w:jc w:val="right"/>
            </w:pPr>
            <w:r>
              <w:rPr>
                <w:color w:val="1C3A36"/>
                <w:sz w:val="15"/>
              </w:rPr>
              <w:t>7,010</w:t>
            </w:r>
          </w:p>
        </w:tc>
        <w:tc>
          <w:tcPr>
            <w:tcW w:type="dxa" w:w="979"/>
          </w:tcPr>
          <w:p>
            <w:pPr>
              <w:spacing w:after="20"/>
              <w:jc w:val="right"/>
            </w:pPr>
            <w:r>
              <w:rPr>
                <w:color w:val="1C3A36"/>
                <w:sz w:val="15"/>
              </w:rPr>
              <w:t>12,642</w:t>
            </w:r>
          </w:p>
        </w:tc>
        <w:tc>
          <w:tcPr>
            <w:tcW w:type="dxa" w:w="979"/>
          </w:tcPr>
          <w:p>
            <w:pPr>
              <w:spacing w:after="20"/>
              <w:jc w:val="right"/>
            </w:pPr>
            <w:r>
              <w:rPr>
                <w:color w:val="1C3A36"/>
                <w:sz w:val="15"/>
              </w:rPr>
              <w:t>12,303</w:t>
            </w:r>
          </w:p>
        </w:tc>
        <w:tc>
          <w:tcPr>
            <w:tcW w:type="dxa" w:w="893"/>
          </w:tcPr>
          <w:p>
            <w:pPr>
              <w:spacing w:after="20"/>
              <w:jc w:val="right"/>
            </w:pPr>
            <w:r>
              <w:rPr>
                <w:color w:val="1C3A36"/>
                <w:sz w:val="15"/>
              </w:rPr>
              <w:t>14,345</w:t>
            </w:r>
          </w:p>
        </w:tc>
        <w:tc>
          <w:tcPr>
            <w:tcW w:type="dxa" w:w="893"/>
          </w:tcPr>
          <w:p>
            <w:pPr>
              <w:spacing w:after="20"/>
              <w:jc w:val="right"/>
            </w:pPr>
            <w:r>
              <w:rPr>
                <w:color w:val="1C3A36"/>
                <w:sz w:val="15"/>
              </w:rPr>
              <w:t>16,462</w:t>
            </w:r>
          </w:p>
        </w:tc>
        <w:tc>
          <w:tcPr>
            <w:tcW w:type="dxa" w:w="893"/>
          </w:tcPr>
          <w:p>
            <w:pPr>
              <w:spacing w:after="20"/>
              <w:jc w:val="right"/>
            </w:pPr>
            <w:r>
              <w:rPr>
                <w:color w:val="1C3A36"/>
                <w:sz w:val="15"/>
              </w:rPr>
              <w:t>20,581</w:t>
            </w:r>
          </w:p>
        </w:tc>
        <w:tc>
          <w:tcPr>
            <w:tcW w:type="dxa" w:w="893"/>
          </w:tcPr>
          <w:p>
            <w:pPr>
              <w:spacing w:after="20"/>
              <w:jc w:val="right"/>
            </w:pPr>
            <w:r>
              <w:rPr>
                <w:color w:val="1C3A36"/>
                <w:sz w:val="15"/>
              </w:rPr>
              <w:t>27,210</w:t>
            </w:r>
          </w:p>
        </w:tc>
        <w:tc>
          <w:tcPr>
            <w:tcW w:type="dxa" w:w="893"/>
          </w:tcPr>
          <w:p>
            <w:pPr>
              <w:spacing w:after="20"/>
              <w:jc w:val="right"/>
            </w:pPr>
            <w:r>
              <w:rPr>
                <w:color w:val="1C3A36"/>
                <w:sz w:val="15"/>
              </w:rPr>
              <w:t>36,089</w:t>
            </w:r>
          </w:p>
        </w:tc>
      </w:tr>
      <w:tr>
        <w:tc>
          <w:tcPr>
            <w:tcW w:type="dxa" w:w="2390"/>
          </w:tcPr>
          <w:p>
            <w:pPr>
              <w:spacing w:after="20"/>
            </w:pPr>
            <w:r>
              <w:rPr>
                <w:color w:val="1C3A36"/>
                <w:sz w:val="15"/>
              </w:rPr>
              <w:t>Debt incl. related-party loan</w:t>
            </w:r>
          </w:p>
        </w:tc>
        <w:tc>
          <w:tcPr>
            <w:tcW w:type="dxa" w:w="979"/>
          </w:tcPr>
          <w:p>
            <w:pPr>
              <w:spacing w:after="20"/>
              <w:jc w:val="right"/>
            </w:pPr>
            <w:r>
              <w:rPr>
                <w:color w:val="1C3A36"/>
                <w:sz w:val="15"/>
              </w:rPr>
              <w:t>5,364</w:t>
            </w:r>
          </w:p>
        </w:tc>
        <w:tc>
          <w:tcPr>
            <w:tcW w:type="dxa" w:w="979"/>
          </w:tcPr>
          <w:p>
            <w:pPr>
              <w:spacing w:after="20"/>
              <w:jc w:val="right"/>
            </w:pPr>
            <w:r>
              <w:rPr>
                <w:color w:val="1C3A36"/>
                <w:sz w:val="15"/>
              </w:rPr>
              <w:t>6,789</w:t>
            </w:r>
          </w:p>
        </w:tc>
        <w:tc>
          <w:tcPr>
            <w:tcW w:type="dxa" w:w="979"/>
          </w:tcPr>
          <w:p>
            <w:pPr>
              <w:spacing w:after="20"/>
              <w:jc w:val="right"/>
            </w:pPr>
            <w:r>
              <w:rPr>
                <w:color w:val="1C3A36"/>
                <w:sz w:val="15"/>
              </w:rPr>
              <w:t>9,542</w:t>
            </w:r>
          </w:p>
        </w:tc>
        <w:tc>
          <w:tcPr>
            <w:tcW w:type="dxa" w:w="893"/>
          </w:tcPr>
          <w:p>
            <w:pPr>
              <w:spacing w:after="20"/>
              <w:jc w:val="right"/>
            </w:pPr>
            <w:r>
              <w:rPr>
                <w:color w:val="1C3A36"/>
                <w:sz w:val="15"/>
              </w:rPr>
              <w:t>10,300</w:t>
            </w:r>
          </w:p>
        </w:tc>
        <w:tc>
          <w:tcPr>
            <w:tcW w:type="dxa" w:w="893"/>
          </w:tcPr>
          <w:p>
            <w:pPr>
              <w:spacing w:after="20"/>
              <w:jc w:val="right"/>
            </w:pPr>
            <w:r>
              <w:rPr>
                <w:color w:val="1C3A36"/>
                <w:sz w:val="15"/>
              </w:rPr>
              <w:t>10,500</w:t>
            </w:r>
          </w:p>
        </w:tc>
        <w:tc>
          <w:tcPr>
            <w:tcW w:type="dxa" w:w="893"/>
          </w:tcPr>
          <w:p>
            <w:pPr>
              <w:spacing w:after="20"/>
              <w:jc w:val="right"/>
            </w:pPr>
            <w:r>
              <w:rPr>
                <w:color w:val="1C3A36"/>
                <w:sz w:val="15"/>
              </w:rPr>
              <w:t>9,700</w:t>
            </w:r>
          </w:p>
        </w:tc>
        <w:tc>
          <w:tcPr>
            <w:tcW w:type="dxa" w:w="893"/>
          </w:tcPr>
          <w:p>
            <w:pPr>
              <w:spacing w:after="20"/>
              <w:jc w:val="right"/>
            </w:pPr>
            <w:r>
              <w:rPr>
                <w:color w:val="1C3A36"/>
                <w:sz w:val="15"/>
              </w:rPr>
              <w:t>8,800</w:t>
            </w:r>
          </w:p>
        </w:tc>
        <w:tc>
          <w:tcPr>
            <w:tcW w:type="dxa" w:w="893"/>
          </w:tcPr>
          <w:p>
            <w:pPr>
              <w:spacing w:after="20"/>
              <w:jc w:val="right"/>
            </w:pPr>
            <w:r>
              <w:rPr>
                <w:color w:val="1C3A36"/>
                <w:sz w:val="15"/>
              </w:rPr>
              <w:t>7,900</w:t>
            </w:r>
          </w:p>
        </w:tc>
      </w:tr>
      <w:tr>
        <w:tc>
          <w:tcPr>
            <w:tcW w:type="dxa" w:w="2390"/>
            <w:shd w:val="clear" w:color="auto" w:fill="F6F1E6"/>
          </w:tcPr>
          <w:p>
            <w:pPr>
              <w:spacing w:after="20"/>
            </w:pPr>
            <w:r>
              <w:rPr>
                <w:b/>
                <w:color w:val="1C3A36"/>
                <w:sz w:val="15"/>
              </w:rPr>
              <w:t>Net debt (− = net cash)</w:t>
            </w:r>
          </w:p>
        </w:tc>
        <w:tc>
          <w:tcPr>
            <w:tcW w:type="dxa" w:w="979"/>
            <w:shd w:val="clear" w:color="auto" w:fill="F6F1E6"/>
          </w:tcPr>
          <w:p>
            <w:pPr>
              <w:spacing w:after="20"/>
              <w:jc w:val="right"/>
            </w:pPr>
            <w:r>
              <w:rPr>
                <w:b/>
                <w:color w:val="1C3A36"/>
                <w:sz w:val="15"/>
              </w:rPr>
              <w:t>-1,646</w:t>
            </w:r>
          </w:p>
        </w:tc>
        <w:tc>
          <w:tcPr>
            <w:tcW w:type="dxa" w:w="979"/>
            <w:shd w:val="clear" w:color="auto" w:fill="F6F1E6"/>
          </w:tcPr>
          <w:p>
            <w:pPr>
              <w:spacing w:after="20"/>
              <w:jc w:val="right"/>
            </w:pPr>
            <w:r>
              <w:rPr>
                <w:b/>
                <w:color w:val="1C3A36"/>
                <w:sz w:val="15"/>
              </w:rPr>
              <w:t>-5,853</w:t>
            </w:r>
          </w:p>
        </w:tc>
        <w:tc>
          <w:tcPr>
            <w:tcW w:type="dxa" w:w="979"/>
            <w:shd w:val="clear" w:color="auto" w:fill="F6F1E6"/>
          </w:tcPr>
          <w:p>
            <w:pPr>
              <w:spacing w:after="20"/>
              <w:jc w:val="right"/>
            </w:pPr>
            <w:r>
              <w:rPr>
                <w:b/>
                <w:color w:val="1C3A36"/>
                <w:sz w:val="15"/>
              </w:rPr>
              <w:t>-2,762</w:t>
            </w:r>
          </w:p>
        </w:tc>
        <w:tc>
          <w:tcPr>
            <w:tcW w:type="dxa" w:w="893"/>
            <w:shd w:val="clear" w:color="auto" w:fill="F6F1E6"/>
          </w:tcPr>
          <w:p>
            <w:pPr>
              <w:spacing w:after="20"/>
              <w:jc w:val="right"/>
            </w:pPr>
            <w:r>
              <w:rPr>
                <w:b/>
                <w:color w:val="1C3A36"/>
                <w:sz w:val="15"/>
              </w:rPr>
              <w:t>-4,045</w:t>
            </w:r>
          </w:p>
        </w:tc>
        <w:tc>
          <w:tcPr>
            <w:tcW w:type="dxa" w:w="893"/>
            <w:shd w:val="clear" w:color="auto" w:fill="F6F1E6"/>
          </w:tcPr>
          <w:p>
            <w:pPr>
              <w:spacing w:after="20"/>
              <w:jc w:val="right"/>
            </w:pPr>
            <w:r>
              <w:rPr>
                <w:b/>
                <w:color w:val="1C3A36"/>
                <w:sz w:val="15"/>
              </w:rPr>
              <w:t>-5,962</w:t>
            </w:r>
          </w:p>
        </w:tc>
        <w:tc>
          <w:tcPr>
            <w:tcW w:type="dxa" w:w="893"/>
            <w:shd w:val="clear" w:color="auto" w:fill="F6F1E6"/>
          </w:tcPr>
          <w:p>
            <w:pPr>
              <w:spacing w:after="20"/>
              <w:jc w:val="right"/>
            </w:pPr>
            <w:r>
              <w:rPr>
                <w:b/>
                <w:color w:val="1C3A36"/>
                <w:sz w:val="15"/>
              </w:rPr>
              <w:t>-10,881</w:t>
            </w:r>
          </w:p>
        </w:tc>
        <w:tc>
          <w:tcPr>
            <w:tcW w:type="dxa" w:w="893"/>
            <w:shd w:val="clear" w:color="auto" w:fill="F6F1E6"/>
          </w:tcPr>
          <w:p>
            <w:pPr>
              <w:spacing w:after="20"/>
              <w:jc w:val="right"/>
            </w:pPr>
            <w:r>
              <w:rPr>
                <w:b/>
                <w:color w:val="1C3A36"/>
                <w:sz w:val="15"/>
              </w:rPr>
              <w:t>-18,410</w:t>
            </w:r>
          </w:p>
        </w:tc>
        <w:tc>
          <w:tcPr>
            <w:tcW w:type="dxa" w:w="893"/>
            <w:shd w:val="clear" w:color="auto" w:fill="F6F1E6"/>
          </w:tcPr>
          <w:p>
            <w:pPr>
              <w:spacing w:after="20"/>
              <w:jc w:val="right"/>
            </w:pPr>
            <w:r>
              <w:rPr>
                <w:b/>
                <w:color w:val="1C3A36"/>
                <w:sz w:val="15"/>
              </w:rPr>
              <w:t>-28,189</w:t>
            </w:r>
          </w:p>
        </w:tc>
      </w:tr>
      <w:tr>
        <w:tc>
          <w:tcPr>
            <w:tcW w:type="dxa" w:w="2390"/>
          </w:tcPr>
          <w:p>
            <w:pPr>
              <w:spacing w:after="20"/>
            </w:pPr>
            <w:r>
              <w:rPr>
                <w:color w:val="1C3A36"/>
                <w:sz w:val="15"/>
              </w:rPr>
              <w:t>Equity attributable to owners</w:t>
            </w:r>
          </w:p>
        </w:tc>
        <w:tc>
          <w:tcPr>
            <w:tcW w:type="dxa" w:w="979"/>
          </w:tcPr>
          <w:p>
            <w:pPr>
              <w:spacing w:after="20"/>
              <w:jc w:val="right"/>
            </w:pPr>
            <w:r>
              <w:rPr>
                <w:color w:val="1C3A36"/>
                <w:sz w:val="15"/>
              </w:rPr>
              <w:t>49,676</w:t>
            </w:r>
          </w:p>
        </w:tc>
        <w:tc>
          <w:tcPr>
            <w:tcW w:type="dxa" w:w="979"/>
          </w:tcPr>
          <w:p>
            <w:pPr>
              <w:spacing w:after="20"/>
              <w:jc w:val="right"/>
            </w:pPr>
            <w:r>
              <w:rPr>
                <w:color w:val="1C3A36"/>
                <w:sz w:val="15"/>
              </w:rPr>
              <w:t>53,903</w:t>
            </w:r>
          </w:p>
        </w:tc>
        <w:tc>
          <w:tcPr>
            <w:tcW w:type="dxa" w:w="979"/>
          </w:tcPr>
          <w:p>
            <w:pPr>
              <w:spacing w:after="20"/>
              <w:jc w:val="right"/>
            </w:pPr>
            <w:r>
              <w:rPr>
                <w:color w:val="1C3A36"/>
                <w:sz w:val="15"/>
              </w:rPr>
              <w:t>56,397</w:t>
            </w:r>
          </w:p>
        </w:tc>
        <w:tc>
          <w:tcPr>
            <w:tcW w:type="dxa" w:w="893"/>
          </w:tcPr>
          <w:p>
            <w:pPr>
              <w:spacing w:after="20"/>
              <w:jc w:val="right"/>
            </w:pPr>
            <w:r>
              <w:rPr>
                <w:color w:val="1C3A36"/>
                <w:sz w:val="15"/>
              </w:rPr>
              <w:t>59,019</w:t>
            </w:r>
          </w:p>
        </w:tc>
        <w:tc>
          <w:tcPr>
            <w:tcW w:type="dxa" w:w="893"/>
          </w:tcPr>
          <w:p>
            <w:pPr>
              <w:spacing w:after="20"/>
              <w:jc w:val="right"/>
            </w:pPr>
            <w:r>
              <w:rPr>
                <w:color w:val="1C3A36"/>
                <w:sz w:val="15"/>
              </w:rPr>
              <w:t>64,935</w:t>
            </w:r>
          </w:p>
        </w:tc>
        <w:tc>
          <w:tcPr>
            <w:tcW w:type="dxa" w:w="893"/>
          </w:tcPr>
          <w:p>
            <w:pPr>
              <w:spacing w:after="20"/>
              <w:jc w:val="right"/>
            </w:pPr>
            <w:r>
              <w:rPr>
                <w:color w:val="1C3A36"/>
                <w:sz w:val="15"/>
              </w:rPr>
              <w:t>72,264</w:t>
            </w:r>
          </w:p>
        </w:tc>
        <w:tc>
          <w:tcPr>
            <w:tcW w:type="dxa" w:w="893"/>
          </w:tcPr>
          <w:p>
            <w:pPr>
              <w:spacing w:after="20"/>
              <w:jc w:val="right"/>
            </w:pPr>
            <w:r>
              <w:rPr>
                <w:color w:val="1C3A36"/>
                <w:sz w:val="15"/>
              </w:rPr>
              <w:t>80,394</w:t>
            </w:r>
          </w:p>
        </w:tc>
        <w:tc>
          <w:tcPr>
            <w:tcW w:type="dxa" w:w="893"/>
          </w:tcPr>
          <w:p>
            <w:pPr>
              <w:spacing w:after="20"/>
              <w:jc w:val="right"/>
            </w:pPr>
            <w:r>
              <w:rPr>
                <w:color w:val="1C3A36"/>
                <w:sz w:val="15"/>
              </w:rPr>
              <w:t>89,007</w:t>
            </w:r>
          </w:p>
        </w:tc>
      </w:tr>
    </w:tbl>
    <w:p>
      <w:pPr>
        <w:spacing w:after="40"/>
      </w:pPr>
    </w:p>
    <w:p>
      <w:pPr>
        <w:spacing w:after="200" w:before="0"/>
      </w:pPr>
      <w:r>
        <w:rPr>
          <w:b w:val="0"/>
          <w:i/>
          <w:color w:val="6E7B77"/>
          <w:sz w:val="17"/>
        </w:rPr>
        <w:t>Forecast columns roll only the lines the model drives; asset lines it does not forecast are left to the workbook. FY2023 (Q Holding perimeter) appears in A.1; its balance sheet is in the workbook.</w:t>
      </w:r>
    </w:p>
    <w:p>
      <w:pPr>
        <w:spacing w:after="80" w:before="200"/>
      </w:pPr>
      <w:r>
        <w:rPr>
          <w:b/>
          <w:i w:val="0"/>
          <w:color w:val="1C3A36"/>
          <w:sz w:val="24"/>
        </w:rPr>
        <w:t>A.3 · Cash-flow markers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09"/>
        <w:gridCol w:w="893"/>
        <w:gridCol w:w="893"/>
        <w:gridCol w:w="893"/>
        <w:gridCol w:w="864"/>
        <w:gridCol w:w="864"/>
        <w:gridCol w:w="864"/>
        <w:gridCol w:w="864"/>
        <w:gridCol w:w="864"/>
      </w:tblGrid>
      <w:tr>
        <w:tc>
          <w:tcPr>
            <w:tcW w:type="dxa" w:w="2909"/>
            <w:shd w:val="clear" w:color="auto" w:fill="EAF0EE"/>
          </w:tcPr>
          <w:p>
            <w:pPr>
              <w:spacing w:after="20"/>
            </w:pPr>
            <w:r>
              <w:rPr>
                <w:b/>
                <w:color w:val="1C3A36"/>
                <w:sz w:val="16"/>
              </w:rPr>
              <w:t>AED mn</w:t>
            </w:r>
          </w:p>
        </w:tc>
        <w:tc>
          <w:tcPr>
            <w:tcW w:type="dxa" w:w="893"/>
            <w:shd w:val="clear" w:color="auto" w:fill="EAF0EE"/>
          </w:tcPr>
          <w:p>
            <w:pPr>
              <w:spacing w:after="20"/>
            </w:pPr>
            <w:r>
              <w:rPr>
                <w:b/>
                <w:color w:val="1C3A36"/>
                <w:sz w:val="16"/>
              </w:rPr>
              <w:t>FY2024A</w:t>
            </w:r>
          </w:p>
        </w:tc>
        <w:tc>
          <w:tcPr>
            <w:tcW w:type="dxa" w:w="893"/>
            <w:shd w:val="clear" w:color="auto" w:fill="EAF0EE"/>
          </w:tcPr>
          <w:p>
            <w:pPr>
              <w:spacing w:after="20"/>
            </w:pPr>
            <w:r>
              <w:rPr>
                <w:b/>
                <w:color w:val="1C3A36"/>
                <w:sz w:val="16"/>
              </w:rPr>
              <w:t>FY2025A</w:t>
            </w:r>
          </w:p>
        </w:tc>
        <w:tc>
          <w:tcPr>
            <w:tcW w:type="dxa" w:w="893"/>
            <w:shd w:val="clear" w:color="auto" w:fill="EAF0EE"/>
          </w:tcPr>
          <w:p>
            <w:pPr>
              <w:spacing w:after="20"/>
            </w:pPr>
            <w:r>
              <w:rPr>
                <w:b/>
                <w:color w:val="1C3A36"/>
                <w:sz w:val="16"/>
              </w:rPr>
              <w:t>H1-26A</w:t>
            </w:r>
          </w:p>
        </w:tc>
        <w:tc>
          <w:tcPr>
            <w:tcW w:type="dxa" w:w="864"/>
            <w:shd w:val="clear" w:color="auto" w:fill="EAF0EE"/>
          </w:tcPr>
          <w:p>
            <w:pPr>
              <w:spacing w:after="20"/>
            </w:pPr>
            <w:r>
              <w:rPr>
                <w:b/>
                <w:color w:val="1C3A36"/>
                <w:sz w:val="16"/>
              </w:rPr>
              <w:t>H2-26E</w:t>
            </w:r>
          </w:p>
        </w:tc>
        <w:tc>
          <w:tcPr>
            <w:tcW w:type="dxa" w:w="864"/>
            <w:shd w:val="clear" w:color="auto" w:fill="EAF0EE"/>
          </w:tcPr>
          <w:p>
            <w:pPr>
              <w:spacing w:after="20"/>
            </w:pPr>
            <w:r>
              <w:rPr>
                <w:b/>
                <w:color w:val="1C3A36"/>
                <w:sz w:val="16"/>
              </w:rPr>
              <w:t>FY27E</w:t>
            </w:r>
          </w:p>
        </w:tc>
        <w:tc>
          <w:tcPr>
            <w:tcW w:type="dxa" w:w="864"/>
            <w:shd w:val="clear" w:color="auto" w:fill="EAF0EE"/>
          </w:tcPr>
          <w:p>
            <w:pPr>
              <w:spacing w:after="20"/>
            </w:pPr>
            <w:r>
              <w:rPr>
                <w:b/>
                <w:color w:val="1C3A36"/>
                <w:sz w:val="16"/>
              </w:rPr>
              <w:t>FY28E</w:t>
            </w:r>
          </w:p>
        </w:tc>
        <w:tc>
          <w:tcPr>
            <w:tcW w:type="dxa" w:w="864"/>
            <w:shd w:val="clear" w:color="auto" w:fill="EAF0EE"/>
          </w:tcPr>
          <w:p>
            <w:pPr>
              <w:spacing w:after="20"/>
            </w:pPr>
            <w:r>
              <w:rPr>
                <w:b/>
                <w:color w:val="1C3A36"/>
                <w:sz w:val="16"/>
              </w:rPr>
              <w:t>FY29E</w:t>
            </w:r>
          </w:p>
        </w:tc>
        <w:tc>
          <w:tcPr>
            <w:tcW w:type="dxa" w:w="864"/>
            <w:shd w:val="clear" w:color="auto" w:fill="EAF0EE"/>
          </w:tcPr>
          <w:p>
            <w:pPr>
              <w:spacing w:after="20"/>
            </w:pPr>
            <w:r>
              <w:rPr>
                <w:b/>
                <w:color w:val="1C3A36"/>
                <w:sz w:val="16"/>
              </w:rPr>
              <w:t>FY30E</w:t>
            </w:r>
          </w:p>
        </w:tc>
      </w:tr>
      <w:tr>
        <w:tc>
          <w:tcPr>
            <w:tcW w:type="dxa" w:w="2909"/>
          </w:tcPr>
          <w:p>
            <w:pPr>
              <w:spacing w:after="20"/>
            </w:pPr>
            <w:r>
              <w:rPr>
                <w:color w:val="1C3A36"/>
                <w:sz w:val="16"/>
              </w:rPr>
              <w:t>IFRS operating cash flow (audited/reviewed)</w:t>
            </w:r>
          </w:p>
        </w:tc>
        <w:tc>
          <w:tcPr>
            <w:tcW w:type="dxa" w:w="893"/>
          </w:tcPr>
          <w:p>
            <w:pPr>
              <w:spacing w:after="20"/>
              <w:jc w:val="right"/>
            </w:pPr>
            <w:r>
              <w:rPr>
                <w:color w:val="1C3A36"/>
                <w:sz w:val="16"/>
              </w:rPr>
              <w:t>3,231</w:t>
            </w:r>
          </w:p>
        </w:tc>
        <w:tc>
          <w:tcPr>
            <w:tcW w:type="dxa" w:w="893"/>
          </w:tcPr>
          <w:p>
            <w:pPr>
              <w:spacing w:after="20"/>
              <w:jc w:val="right"/>
            </w:pPr>
            <w:r>
              <w:rPr>
                <w:color w:val="1C3A36"/>
                <w:sz w:val="16"/>
              </w:rPr>
              <w:t>3,860</w:t>
            </w:r>
          </w:p>
        </w:tc>
        <w:tc>
          <w:tcPr>
            <w:tcW w:type="dxa" w:w="893"/>
          </w:tcPr>
          <w:p>
            <w:pPr>
              <w:spacing w:after="20"/>
              <w:jc w:val="right"/>
            </w:pPr>
            <w:r>
              <w:rPr>
                <w:color w:val="1C3A36"/>
                <w:sz w:val="16"/>
              </w:rPr>
              <w:t>-3,921</w:t>
            </w:r>
          </w:p>
        </w:tc>
        <w:tc>
          <w:tcPr>
            <w:tcW w:type="dxa" w:w="864"/>
          </w:tcPr>
          <w:p>
            <w:pPr>
              <w:spacing w:after="20"/>
              <w:jc w:val="right"/>
            </w:pPr>
            <w:r>
              <w:rPr>
                <w:color w:val="1C3A36"/>
                <w:sz w:val="16"/>
              </w:rPr>
              <w:t>—</w:t>
            </w:r>
          </w:p>
        </w:tc>
        <w:tc>
          <w:tcPr>
            <w:tcW w:type="dxa" w:w="864"/>
          </w:tcPr>
          <w:p>
            <w:pPr>
              <w:spacing w:after="20"/>
              <w:jc w:val="right"/>
            </w:pPr>
            <w:r>
              <w:rPr>
                <w:color w:val="1C3A36"/>
                <w:sz w:val="16"/>
              </w:rPr>
              <w:t>—</w:t>
            </w:r>
          </w:p>
        </w:tc>
        <w:tc>
          <w:tcPr>
            <w:tcW w:type="dxa" w:w="864"/>
          </w:tcPr>
          <w:p>
            <w:pPr>
              <w:spacing w:after="20"/>
              <w:jc w:val="right"/>
            </w:pPr>
            <w:r>
              <w:rPr>
                <w:color w:val="1C3A36"/>
                <w:sz w:val="16"/>
              </w:rPr>
              <w:t>—</w:t>
            </w:r>
          </w:p>
        </w:tc>
        <w:tc>
          <w:tcPr>
            <w:tcW w:type="dxa" w:w="864"/>
          </w:tcPr>
          <w:p>
            <w:pPr>
              <w:spacing w:after="20"/>
              <w:jc w:val="right"/>
            </w:pPr>
            <w:r>
              <w:rPr>
                <w:color w:val="1C3A36"/>
                <w:sz w:val="16"/>
              </w:rPr>
              <w:t>—</w:t>
            </w:r>
          </w:p>
        </w:tc>
        <w:tc>
          <w:tcPr>
            <w:tcW w:type="dxa" w:w="864"/>
          </w:tcPr>
          <w:p>
            <w:pPr>
              <w:spacing w:after="20"/>
              <w:jc w:val="right"/>
            </w:pPr>
            <w:r>
              <w:rPr>
                <w:color w:val="1C3A36"/>
                <w:sz w:val="16"/>
              </w:rPr>
              <w:t>—</w:t>
            </w:r>
          </w:p>
        </w:tc>
      </w:tr>
      <w:tr>
        <w:tc>
          <w:tcPr>
            <w:tcW w:type="dxa" w:w="2909"/>
          </w:tcPr>
          <w:p>
            <w:pPr>
              <w:spacing w:after="20"/>
            </w:pPr>
            <w:r>
              <w:rPr>
                <w:color w:val="1C3A36"/>
                <w:sz w:val="16"/>
              </w:rPr>
              <w:t>Model construct: NOPAT + D&amp;A − ΔWC (a DIFFERENT measure — pre-interest, model tax)</w:t>
            </w:r>
          </w:p>
        </w:tc>
        <w:tc>
          <w:tcPr>
            <w:tcW w:type="dxa" w:w="893"/>
          </w:tcPr>
          <w:p>
            <w:pPr>
              <w:spacing w:after="20"/>
              <w:jc w:val="right"/>
            </w:pPr>
            <w:r>
              <w:rPr>
                <w:color w:val="1C3A36"/>
                <w:sz w:val="16"/>
              </w:rPr>
              <w:t>—</w:t>
            </w:r>
          </w:p>
        </w:tc>
        <w:tc>
          <w:tcPr>
            <w:tcW w:type="dxa" w:w="893"/>
          </w:tcPr>
          <w:p>
            <w:pPr>
              <w:spacing w:after="20"/>
              <w:jc w:val="right"/>
            </w:pPr>
            <w:r>
              <w:rPr>
                <w:color w:val="1C3A36"/>
                <w:sz w:val="16"/>
              </w:rPr>
              <w:t>—</w:t>
            </w:r>
          </w:p>
        </w:tc>
        <w:tc>
          <w:tcPr>
            <w:tcW w:type="dxa" w:w="893"/>
          </w:tcPr>
          <w:p>
            <w:pPr>
              <w:spacing w:after="20"/>
              <w:jc w:val="right"/>
            </w:pPr>
            <w:r>
              <w:rPr>
                <w:color w:val="1C3A36"/>
                <w:sz w:val="16"/>
              </w:rPr>
              <w:t>—</w:t>
            </w:r>
          </w:p>
        </w:tc>
        <w:tc>
          <w:tcPr>
            <w:tcW w:type="dxa" w:w="864"/>
          </w:tcPr>
          <w:p>
            <w:pPr>
              <w:spacing w:after="20"/>
              <w:jc w:val="right"/>
            </w:pPr>
            <w:r>
              <w:rPr>
                <w:color w:val="1C3A36"/>
                <w:sz w:val="16"/>
              </w:rPr>
              <w:t>2,057</w:t>
            </w:r>
          </w:p>
        </w:tc>
        <w:tc>
          <w:tcPr>
            <w:tcW w:type="dxa" w:w="864"/>
          </w:tcPr>
          <w:p>
            <w:pPr>
              <w:spacing w:after="20"/>
              <w:jc w:val="right"/>
            </w:pPr>
            <w:r>
              <w:rPr>
                <w:color w:val="1C3A36"/>
                <w:sz w:val="16"/>
              </w:rPr>
              <w:t>3,527</w:t>
            </w:r>
          </w:p>
        </w:tc>
        <w:tc>
          <w:tcPr>
            <w:tcW w:type="dxa" w:w="864"/>
          </w:tcPr>
          <w:p>
            <w:pPr>
              <w:spacing w:after="20"/>
              <w:jc w:val="right"/>
            </w:pPr>
            <w:r>
              <w:rPr>
                <w:color w:val="1C3A36"/>
                <w:sz w:val="16"/>
              </w:rPr>
              <w:t>6,505</w:t>
            </w:r>
          </w:p>
        </w:tc>
        <w:tc>
          <w:tcPr>
            <w:tcW w:type="dxa" w:w="864"/>
          </w:tcPr>
          <w:p>
            <w:pPr>
              <w:spacing w:after="20"/>
              <w:jc w:val="right"/>
            </w:pPr>
            <w:r>
              <w:rPr>
                <w:color w:val="1C3A36"/>
                <w:sz w:val="16"/>
              </w:rPr>
              <w:t>9,008</w:t>
            </w:r>
          </w:p>
        </w:tc>
        <w:tc>
          <w:tcPr>
            <w:tcW w:type="dxa" w:w="864"/>
          </w:tcPr>
          <w:p>
            <w:pPr>
              <w:spacing w:after="20"/>
              <w:jc w:val="right"/>
            </w:pPr>
            <w:r>
              <w:rPr>
                <w:color w:val="1C3A36"/>
                <w:sz w:val="16"/>
              </w:rPr>
              <w:t>11,073</w:t>
            </w:r>
          </w:p>
        </w:tc>
      </w:tr>
      <w:tr>
        <w:tc>
          <w:tcPr>
            <w:tcW w:type="dxa" w:w="2909"/>
          </w:tcPr>
          <w:p>
            <w:pPr>
              <w:spacing w:after="20"/>
            </w:pPr>
            <w:r>
              <w:rPr>
                <w:color w:val="1C3A36"/>
                <w:sz w:val="16"/>
              </w:rPr>
              <w:t>Capital expenditure</w:t>
            </w:r>
          </w:p>
        </w:tc>
        <w:tc>
          <w:tcPr>
            <w:tcW w:type="dxa" w:w="893"/>
          </w:tcPr>
          <w:p>
            <w:pPr>
              <w:spacing w:after="20"/>
              <w:jc w:val="right"/>
            </w:pPr>
            <w:r>
              <w:rPr>
                <w:color w:val="1C3A36"/>
                <w:sz w:val="16"/>
              </w:rPr>
              <w:t>1,247</w:t>
            </w:r>
          </w:p>
        </w:tc>
        <w:tc>
          <w:tcPr>
            <w:tcW w:type="dxa" w:w="893"/>
          </w:tcPr>
          <w:p>
            <w:pPr>
              <w:spacing w:after="20"/>
              <w:jc w:val="right"/>
            </w:pPr>
            <w:r>
              <w:rPr>
                <w:color w:val="1C3A36"/>
                <w:sz w:val="16"/>
              </w:rPr>
              <w:t>1,261</w:t>
            </w:r>
          </w:p>
        </w:tc>
        <w:tc>
          <w:tcPr>
            <w:tcW w:type="dxa" w:w="893"/>
          </w:tcPr>
          <w:p>
            <w:pPr>
              <w:spacing w:after="20"/>
              <w:jc w:val="right"/>
            </w:pPr>
            <w:r>
              <w:rPr>
                <w:color w:val="1C3A36"/>
                <w:sz w:val="16"/>
              </w:rPr>
              <w:t>312</w:t>
            </w:r>
          </w:p>
        </w:tc>
        <w:tc>
          <w:tcPr>
            <w:tcW w:type="dxa" w:w="864"/>
          </w:tcPr>
          <w:p>
            <w:pPr>
              <w:spacing w:after="20"/>
              <w:jc w:val="right"/>
            </w:pPr>
            <w:r>
              <w:rPr>
                <w:color w:val="1C3A36"/>
                <w:sz w:val="16"/>
              </w:rPr>
              <w:t>700</w:t>
            </w:r>
          </w:p>
        </w:tc>
        <w:tc>
          <w:tcPr>
            <w:tcW w:type="dxa" w:w="864"/>
          </w:tcPr>
          <w:p>
            <w:pPr>
              <w:spacing w:after="20"/>
              <w:jc w:val="right"/>
            </w:pPr>
            <w:r>
              <w:rPr>
                <w:color w:val="1C3A36"/>
                <w:sz w:val="16"/>
              </w:rPr>
              <w:t>1,500</w:t>
            </w:r>
          </w:p>
        </w:tc>
        <w:tc>
          <w:tcPr>
            <w:tcW w:type="dxa" w:w="864"/>
          </w:tcPr>
          <w:p>
            <w:pPr>
              <w:spacing w:after="20"/>
              <w:jc w:val="right"/>
            </w:pPr>
            <w:r>
              <w:rPr>
                <w:color w:val="1C3A36"/>
                <w:sz w:val="16"/>
              </w:rPr>
              <w:t>1,550</w:t>
            </w:r>
          </w:p>
        </w:tc>
        <w:tc>
          <w:tcPr>
            <w:tcW w:type="dxa" w:w="864"/>
          </w:tcPr>
          <w:p>
            <w:pPr>
              <w:spacing w:after="20"/>
              <w:jc w:val="right"/>
            </w:pPr>
            <w:r>
              <w:rPr>
                <w:color w:val="1C3A36"/>
                <w:sz w:val="16"/>
              </w:rPr>
              <w:t>1,600</w:t>
            </w:r>
          </w:p>
        </w:tc>
        <w:tc>
          <w:tcPr>
            <w:tcW w:type="dxa" w:w="864"/>
          </w:tcPr>
          <w:p>
            <w:pPr>
              <w:spacing w:after="20"/>
              <w:jc w:val="right"/>
            </w:pPr>
            <w:r>
              <w:rPr>
                <w:color w:val="1C3A36"/>
                <w:sz w:val="16"/>
              </w:rPr>
              <w:t>1,650</w:t>
            </w:r>
          </w:p>
        </w:tc>
      </w:tr>
      <w:tr>
        <w:tc>
          <w:tcPr>
            <w:tcW w:type="dxa" w:w="2909"/>
          </w:tcPr>
          <w:p>
            <w:pPr>
              <w:spacing w:after="20"/>
            </w:pPr>
            <w:r>
              <w:rPr>
                <w:color w:val="1C3A36"/>
                <w:sz w:val="16"/>
              </w:rPr>
              <w:t>Free cash flow to firm</w:t>
            </w:r>
          </w:p>
        </w:tc>
        <w:tc>
          <w:tcPr>
            <w:tcW w:type="dxa" w:w="893"/>
          </w:tcPr>
          <w:p>
            <w:pPr>
              <w:spacing w:after="20"/>
              <w:jc w:val="right"/>
            </w:pPr>
            <w:r>
              <w:rPr>
                <w:color w:val="1C3A36"/>
                <w:sz w:val="16"/>
              </w:rPr>
              <w:t>—</w:t>
            </w:r>
          </w:p>
        </w:tc>
        <w:tc>
          <w:tcPr>
            <w:tcW w:type="dxa" w:w="893"/>
          </w:tcPr>
          <w:p>
            <w:pPr>
              <w:spacing w:after="20"/>
              <w:jc w:val="right"/>
            </w:pPr>
            <w:r>
              <w:rPr>
                <w:color w:val="1C3A36"/>
                <w:sz w:val="16"/>
              </w:rPr>
              <w:t>—</w:t>
            </w:r>
          </w:p>
        </w:tc>
        <w:tc>
          <w:tcPr>
            <w:tcW w:type="dxa" w:w="893"/>
          </w:tcPr>
          <w:p>
            <w:pPr>
              <w:spacing w:after="20"/>
              <w:jc w:val="right"/>
            </w:pPr>
            <w:r>
              <w:rPr>
                <w:color w:val="1C3A36"/>
                <w:sz w:val="16"/>
              </w:rPr>
              <w:t>—</w:t>
            </w:r>
          </w:p>
        </w:tc>
        <w:tc>
          <w:tcPr>
            <w:tcW w:type="dxa" w:w="864"/>
          </w:tcPr>
          <w:p>
            <w:pPr>
              <w:spacing w:after="20"/>
              <w:jc w:val="right"/>
            </w:pPr>
            <w:r>
              <w:rPr>
                <w:color w:val="1C3A36"/>
                <w:sz w:val="16"/>
              </w:rPr>
              <w:t>1,357</w:t>
            </w:r>
          </w:p>
        </w:tc>
        <w:tc>
          <w:tcPr>
            <w:tcW w:type="dxa" w:w="864"/>
          </w:tcPr>
          <w:p>
            <w:pPr>
              <w:spacing w:after="20"/>
              <w:jc w:val="right"/>
            </w:pPr>
            <w:r>
              <w:rPr>
                <w:color w:val="1C3A36"/>
                <w:sz w:val="16"/>
              </w:rPr>
              <w:t>2,027</w:t>
            </w:r>
          </w:p>
        </w:tc>
        <w:tc>
          <w:tcPr>
            <w:tcW w:type="dxa" w:w="864"/>
          </w:tcPr>
          <w:p>
            <w:pPr>
              <w:spacing w:after="20"/>
              <w:jc w:val="right"/>
            </w:pPr>
            <w:r>
              <w:rPr>
                <w:color w:val="1C3A36"/>
                <w:sz w:val="16"/>
              </w:rPr>
              <w:t>4,955</w:t>
            </w:r>
          </w:p>
        </w:tc>
        <w:tc>
          <w:tcPr>
            <w:tcW w:type="dxa" w:w="864"/>
          </w:tcPr>
          <w:p>
            <w:pPr>
              <w:spacing w:after="20"/>
              <w:jc w:val="right"/>
            </w:pPr>
            <w:r>
              <w:rPr>
                <w:color w:val="1C3A36"/>
                <w:sz w:val="16"/>
              </w:rPr>
              <w:t>7,408</w:t>
            </w:r>
          </w:p>
        </w:tc>
        <w:tc>
          <w:tcPr>
            <w:tcW w:type="dxa" w:w="864"/>
          </w:tcPr>
          <w:p>
            <w:pPr>
              <w:spacing w:after="20"/>
              <w:jc w:val="right"/>
            </w:pPr>
            <w:r>
              <w:rPr>
                <w:color w:val="1C3A36"/>
                <w:sz w:val="16"/>
              </w:rPr>
              <w:t>9,423</w:t>
            </w:r>
          </w:p>
        </w:tc>
      </w:tr>
    </w:tbl>
    <w:p>
      <w:pPr>
        <w:spacing w:after="40"/>
      </w:pPr>
    </w:p>
    <w:p>
      <w:pPr>
        <w:spacing w:after="200" w:before="0"/>
      </w:pPr>
      <w:r>
        <w:rPr>
          <w:b w:val="0"/>
          <w:i/>
          <w:color w:val="6E7B77"/>
          <w:sz w:val="17"/>
        </w:rPr>
        <w:t>The two operating rows are different measures and are no longer presented as one series (an audit finding). The model's FY2026 implies roughly AED 5,978mn of H2 operating inflow on the IFRS basis after H1's outflow — stated in section 5 as the thing to watch.</w:t>
      </w:r>
    </w:p>
    <w:p>
      <w:pPr>
        <w:spacing w:after="120" w:before="280"/>
      </w:pPr>
      <w:r>
        <w:rPr>
          <w:b/>
          <w:i w:val="0"/>
          <w:color w:val="1C3A36"/>
          <w:sz w:val="30"/>
        </w:rPr>
        <w:t>Appendix B · Peers, risks and research register</w:t>
      </w:r>
    </w:p>
    <w:p>
      <w:pPr>
        <w:spacing w:after="80" w:before="200"/>
      </w:pPr>
      <w:r>
        <w:rPr>
          <w:b/>
          <w:i w:val="0"/>
          <w:color w:val="1C3A36"/>
          <w:sz w:val="24"/>
        </w:rPr>
        <w:t>B.1 · Peer set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45"/>
        <w:gridCol w:w="893"/>
        <w:gridCol w:w="1440"/>
        <w:gridCol w:w="1843"/>
        <w:gridCol w:w="1584"/>
        <w:gridCol w:w="2232"/>
      </w:tblGrid>
      <w:tr>
        <w:tc>
          <w:tcPr>
            <w:tcW w:type="dxa" w:w="2045"/>
            <w:shd w:val="clear" w:color="auto" w:fill="EAF0EE"/>
          </w:tcPr>
          <w:p>
            <w:pPr>
              <w:spacing w:after="20"/>
            </w:pPr>
            <w:r>
              <w:rPr>
                <w:b/>
                <w:color w:val="1C3A36"/>
                <w:sz w:val="17"/>
              </w:rPr>
              <w:t>Company</w:t>
            </w:r>
          </w:p>
        </w:tc>
        <w:tc>
          <w:tcPr>
            <w:tcW w:type="dxa" w:w="893"/>
            <w:shd w:val="clear" w:color="auto" w:fill="EAF0EE"/>
          </w:tcPr>
          <w:p>
            <w:pPr>
              <w:spacing w:after="20"/>
            </w:pPr>
            <w:r>
              <w:rPr>
                <w:b/>
                <w:color w:val="1C3A36"/>
                <w:sz w:val="17"/>
              </w:rPr>
              <w:t>Market</w:t>
            </w:r>
          </w:p>
        </w:tc>
        <w:tc>
          <w:tcPr>
            <w:tcW w:type="dxa" w:w="1440"/>
            <w:shd w:val="clear" w:color="auto" w:fill="EAF0EE"/>
          </w:tcPr>
          <w:p>
            <w:pPr>
              <w:spacing w:after="20"/>
            </w:pPr>
            <w:r>
              <w:rPr>
                <w:b/>
                <w:color w:val="1C3A36"/>
                <w:sz w:val="17"/>
              </w:rPr>
              <w:t>FY2025 revenue</w:t>
            </w:r>
          </w:p>
        </w:tc>
        <w:tc>
          <w:tcPr>
            <w:tcW w:type="dxa" w:w="1843"/>
            <w:shd w:val="clear" w:color="auto" w:fill="EAF0EE"/>
          </w:tcPr>
          <w:p>
            <w:pPr>
              <w:spacing w:after="20"/>
            </w:pPr>
            <w:r>
              <w:rPr>
                <w:b/>
                <w:color w:val="1C3A36"/>
                <w:sz w:val="17"/>
              </w:rPr>
              <w:t>FY2025 attributable NP</w:t>
            </w:r>
          </w:p>
        </w:tc>
        <w:tc>
          <w:tcPr>
            <w:tcW w:type="dxa" w:w="1584"/>
            <w:shd w:val="clear" w:color="auto" w:fill="EAF0EE"/>
          </w:tcPr>
          <w:p>
            <w:pPr>
              <w:spacing w:after="20"/>
            </w:pPr>
            <w:r>
              <w:rPr>
                <w:b/>
                <w:color w:val="1C3A36"/>
                <w:sz w:val="17"/>
              </w:rPr>
              <w:t>Trailing P/E (attr.)</w:t>
            </w:r>
          </w:p>
        </w:tc>
        <w:tc>
          <w:tcPr>
            <w:tcW w:type="dxa" w:w="2232"/>
            <w:shd w:val="clear" w:color="auto" w:fill="EAF0EE"/>
          </w:tcPr>
          <w:p>
            <w:pPr>
              <w:spacing w:after="20"/>
            </w:pPr>
            <w:r>
              <w:rPr>
                <w:b/>
                <w:color w:val="1C3A36"/>
                <w:sz w:val="17"/>
              </w:rPr>
              <w:t>Backlog (own disclosure, dated)</w:t>
            </w:r>
          </w:p>
        </w:tc>
      </w:tr>
      <w:tr>
        <w:tc>
          <w:tcPr>
            <w:tcW w:type="dxa" w:w="2045"/>
          </w:tcPr>
          <w:p>
            <w:pPr>
              <w:spacing w:after="20"/>
            </w:pPr>
            <w:r>
              <w:rPr>
                <w:color w:val="1C3A36"/>
                <w:sz w:val="17"/>
              </w:rPr>
              <w:t>Aldar Properties</w:t>
            </w:r>
          </w:p>
        </w:tc>
        <w:tc>
          <w:tcPr>
            <w:tcW w:type="dxa" w:w="893"/>
          </w:tcPr>
          <w:p>
            <w:pPr>
              <w:spacing w:after="20"/>
              <w:jc w:val="right"/>
            </w:pPr>
            <w:r>
              <w:rPr>
                <w:color w:val="1C3A36"/>
                <w:sz w:val="17"/>
              </w:rPr>
              <w:t>ADX</w:t>
            </w:r>
          </w:p>
        </w:tc>
        <w:tc>
          <w:tcPr>
            <w:tcW w:type="dxa" w:w="1440"/>
          </w:tcPr>
          <w:p>
            <w:pPr>
              <w:spacing w:after="20"/>
              <w:jc w:val="right"/>
            </w:pPr>
            <w:r>
              <w:rPr>
                <w:color w:val="1C3A36"/>
                <w:sz w:val="17"/>
              </w:rPr>
              <w:t>33,800</w:t>
            </w:r>
          </w:p>
        </w:tc>
        <w:tc>
          <w:tcPr>
            <w:tcW w:type="dxa" w:w="1843"/>
          </w:tcPr>
          <w:p>
            <w:pPr>
              <w:spacing w:after="20"/>
              <w:jc w:val="right"/>
            </w:pPr>
            <w:r>
              <w:rPr>
                <w:color w:val="1C3A36"/>
                <w:sz w:val="17"/>
              </w:rPr>
              <w:t>7,548</w:t>
            </w:r>
          </w:p>
        </w:tc>
        <w:tc>
          <w:tcPr>
            <w:tcW w:type="dxa" w:w="1584"/>
          </w:tcPr>
          <w:p>
            <w:pPr>
              <w:spacing w:after="20"/>
              <w:jc w:val="right"/>
            </w:pPr>
            <w:r>
              <w:rPr>
                <w:color w:val="1C3A36"/>
                <w:sz w:val="17"/>
              </w:rPr>
              <w:t>8.10x</w:t>
            </w:r>
          </w:p>
        </w:tc>
        <w:tc>
          <w:tcPr>
            <w:tcW w:type="dxa" w:w="2232"/>
          </w:tcPr>
          <w:p>
            <w:pPr>
              <w:spacing w:after="20"/>
              <w:jc w:val="right"/>
            </w:pPr>
            <w:r>
              <w:rPr>
                <w:color w:val="1C3A36"/>
                <w:sz w:val="17"/>
              </w:rPr>
              <w:t>71,700 (FY25 dev.)</w:t>
            </w:r>
          </w:p>
        </w:tc>
      </w:tr>
      <w:tr>
        <w:tc>
          <w:tcPr>
            <w:tcW w:type="dxa" w:w="2045"/>
          </w:tcPr>
          <w:p>
            <w:pPr>
              <w:spacing w:after="20"/>
            </w:pPr>
            <w:r>
              <w:rPr>
                <w:color w:val="1C3A36"/>
                <w:sz w:val="17"/>
              </w:rPr>
              <w:t>Emaar Properties</w:t>
            </w:r>
          </w:p>
        </w:tc>
        <w:tc>
          <w:tcPr>
            <w:tcW w:type="dxa" w:w="893"/>
          </w:tcPr>
          <w:p>
            <w:pPr>
              <w:spacing w:after="20"/>
              <w:jc w:val="right"/>
            </w:pPr>
            <w:r>
              <w:rPr>
                <w:color w:val="1C3A36"/>
                <w:sz w:val="17"/>
              </w:rPr>
              <w:t>DFM</w:t>
            </w:r>
          </w:p>
        </w:tc>
        <w:tc>
          <w:tcPr>
            <w:tcW w:type="dxa" w:w="1440"/>
          </w:tcPr>
          <w:p>
            <w:pPr>
              <w:spacing w:after="20"/>
              <w:jc w:val="right"/>
            </w:pPr>
            <w:r>
              <w:rPr>
                <w:color w:val="1C3A36"/>
                <w:sz w:val="17"/>
              </w:rPr>
              <w:t>49,600</w:t>
            </w:r>
          </w:p>
        </w:tc>
        <w:tc>
          <w:tcPr>
            <w:tcW w:type="dxa" w:w="1843"/>
          </w:tcPr>
          <w:p>
            <w:pPr>
              <w:spacing w:after="20"/>
              <w:jc w:val="right"/>
            </w:pPr>
            <w:r>
              <w:rPr>
                <w:color w:val="1C3A36"/>
                <w:sz w:val="17"/>
              </w:rPr>
              <w:t>17,599</w:t>
            </w:r>
          </w:p>
        </w:tc>
        <w:tc>
          <w:tcPr>
            <w:tcW w:type="dxa" w:w="1584"/>
          </w:tcPr>
          <w:p>
            <w:pPr>
              <w:spacing w:after="20"/>
              <w:jc w:val="right"/>
            </w:pPr>
            <w:r>
              <w:rPr>
                <w:color w:val="1C3A36"/>
                <w:sz w:val="17"/>
              </w:rPr>
              <w:t>5.78x</w:t>
            </w:r>
          </w:p>
        </w:tc>
        <w:tc>
          <w:tcPr>
            <w:tcW w:type="dxa" w:w="2232"/>
          </w:tcPr>
          <w:p>
            <w:pPr>
              <w:spacing w:after="20"/>
              <w:jc w:val="right"/>
            </w:pPr>
            <w:r>
              <w:rPr>
                <w:color w:val="1C3A36"/>
                <w:sz w:val="17"/>
              </w:rPr>
              <w:t>155,000 (FY25 group)</w:t>
            </w:r>
          </w:p>
        </w:tc>
      </w:tr>
      <w:tr>
        <w:tc>
          <w:tcPr>
            <w:tcW w:type="dxa" w:w="2045"/>
          </w:tcPr>
          <w:p>
            <w:pPr>
              <w:spacing w:after="20"/>
            </w:pPr>
            <w:r>
              <w:rPr>
                <w:color w:val="1C3A36"/>
                <w:sz w:val="17"/>
              </w:rPr>
              <w:t>Emaar Development</w:t>
            </w:r>
          </w:p>
        </w:tc>
        <w:tc>
          <w:tcPr>
            <w:tcW w:type="dxa" w:w="893"/>
          </w:tcPr>
          <w:p>
            <w:pPr>
              <w:spacing w:after="20"/>
              <w:jc w:val="right"/>
            </w:pPr>
            <w:r>
              <w:rPr>
                <w:color w:val="1C3A36"/>
                <w:sz w:val="17"/>
              </w:rPr>
              <w:t>DFM</w:t>
            </w:r>
          </w:p>
        </w:tc>
        <w:tc>
          <w:tcPr>
            <w:tcW w:type="dxa" w:w="1440"/>
          </w:tcPr>
          <w:p>
            <w:pPr>
              <w:spacing w:after="20"/>
              <w:jc w:val="right"/>
            </w:pPr>
            <w:r>
              <w:rPr>
                <w:color w:val="1C3A36"/>
                <w:sz w:val="17"/>
              </w:rPr>
              <w:t>27,490</w:t>
            </w:r>
          </w:p>
        </w:tc>
        <w:tc>
          <w:tcPr>
            <w:tcW w:type="dxa" w:w="1843"/>
          </w:tcPr>
          <w:p>
            <w:pPr>
              <w:spacing w:after="20"/>
              <w:jc w:val="right"/>
            </w:pPr>
            <w:r>
              <w:rPr>
                <w:color w:val="1C3A36"/>
                <w:sz w:val="17"/>
              </w:rPr>
              <w:t>11,316</w:t>
            </w:r>
          </w:p>
        </w:tc>
        <w:tc>
          <w:tcPr>
            <w:tcW w:type="dxa" w:w="1584"/>
          </w:tcPr>
          <w:p>
            <w:pPr>
              <w:spacing w:after="20"/>
              <w:jc w:val="right"/>
            </w:pPr>
            <w:r>
              <w:rPr>
                <w:color w:val="1C3A36"/>
                <w:sz w:val="17"/>
              </w:rPr>
              <w:t>4.73x</w:t>
            </w:r>
          </w:p>
        </w:tc>
        <w:tc>
          <w:tcPr>
            <w:tcW w:type="dxa" w:w="2232"/>
          </w:tcPr>
          <w:p>
            <w:pPr>
              <w:spacing w:after="20"/>
              <w:jc w:val="right"/>
            </w:pPr>
            <w:r>
              <w:rPr>
                <w:color w:val="1C3A36"/>
                <w:sz w:val="17"/>
              </w:rPr>
              <w:t>125,200 (FY25)</w:t>
            </w:r>
          </w:p>
        </w:tc>
      </w:tr>
      <w:tr>
        <w:tc>
          <w:tcPr>
            <w:tcW w:type="dxa" w:w="2045"/>
            <w:shd w:val="clear" w:color="auto" w:fill="F6F1E6"/>
          </w:tcPr>
          <w:p>
            <w:pPr>
              <w:spacing w:after="20"/>
            </w:pPr>
            <w:r>
              <w:rPr>
                <w:b/>
                <w:color w:val="1C3A36"/>
                <w:sz w:val="17"/>
              </w:rPr>
              <w:t>Modon Holding</w:t>
            </w:r>
          </w:p>
        </w:tc>
        <w:tc>
          <w:tcPr>
            <w:tcW w:type="dxa" w:w="893"/>
            <w:shd w:val="clear" w:color="auto" w:fill="F6F1E6"/>
          </w:tcPr>
          <w:p>
            <w:pPr>
              <w:spacing w:after="20"/>
              <w:jc w:val="right"/>
            </w:pPr>
            <w:r>
              <w:rPr>
                <w:b/>
                <w:color w:val="1C3A36"/>
                <w:sz w:val="17"/>
              </w:rPr>
              <w:t>ADX</w:t>
            </w:r>
          </w:p>
        </w:tc>
        <w:tc>
          <w:tcPr>
            <w:tcW w:type="dxa" w:w="1440"/>
            <w:shd w:val="clear" w:color="auto" w:fill="F6F1E6"/>
          </w:tcPr>
          <w:p>
            <w:pPr>
              <w:spacing w:after="20"/>
              <w:jc w:val="right"/>
            </w:pPr>
            <w:r>
              <w:rPr>
                <w:b/>
                <w:color w:val="1C3A36"/>
                <w:sz w:val="17"/>
              </w:rPr>
              <w:t>13,829</w:t>
            </w:r>
          </w:p>
        </w:tc>
        <w:tc>
          <w:tcPr>
            <w:tcW w:type="dxa" w:w="1843"/>
            <w:shd w:val="clear" w:color="auto" w:fill="F6F1E6"/>
          </w:tcPr>
          <w:p>
            <w:pPr>
              <w:spacing w:after="20"/>
              <w:jc w:val="right"/>
            </w:pPr>
            <w:r>
              <w:rPr>
                <w:b/>
                <w:color w:val="1C3A36"/>
                <w:sz w:val="17"/>
              </w:rPr>
              <w:t>4,020</w:t>
            </w:r>
          </w:p>
        </w:tc>
        <w:tc>
          <w:tcPr>
            <w:tcW w:type="dxa" w:w="1584"/>
            <w:shd w:val="clear" w:color="auto" w:fill="F6F1E6"/>
          </w:tcPr>
          <w:p>
            <w:pPr>
              <w:spacing w:after="20"/>
              <w:jc w:val="right"/>
            </w:pPr>
            <w:r>
              <w:rPr>
                <w:b/>
                <w:color w:val="1C3A36"/>
                <w:sz w:val="17"/>
              </w:rPr>
              <w:t>11.51x</w:t>
            </w:r>
          </w:p>
        </w:tc>
        <w:tc>
          <w:tcPr>
            <w:tcW w:type="dxa" w:w="2232"/>
            <w:shd w:val="clear" w:color="auto" w:fill="F6F1E6"/>
          </w:tcPr>
          <w:p>
            <w:pPr>
              <w:spacing w:after="20"/>
              <w:jc w:val="right"/>
            </w:pPr>
            <w:r>
              <w:rPr>
                <w:b/>
                <w:color w:val="1C3A36"/>
                <w:sz w:val="17"/>
              </w:rPr>
              <w:t>65,400 (30-Jun-26 group)</w:t>
            </w:r>
          </w:p>
        </w:tc>
      </w:tr>
    </w:tbl>
    <w:p>
      <w:pPr>
        <w:spacing w:after="40"/>
      </w:pPr>
    </w:p>
    <w:p>
      <w:pPr>
        <w:spacing w:after="200" w:before="0"/>
      </w:pPr>
      <w:r>
        <w:rPr>
          <w:b w:val="0"/>
          <w:i/>
          <w:color w:val="6E7B77"/>
          <w:sz w:val="17"/>
        </w:rPr>
        <w:t>AED mn; one attributable basis; every backlog labelled with its object and date. Peer figures from the peers' own audited filings and releases; prices 7-Aug-2026.</w:t>
      </w:r>
    </w:p>
    <w:p>
      <w:pPr>
        <w:spacing w:after="80" w:before="200"/>
      </w:pPr>
      <w:r>
        <w:rPr>
          <w:b/>
          <w:i w:val="0"/>
          <w:color w:val="1C3A36"/>
          <w:sz w:val="24"/>
        </w:rPr>
        <w:t>B.2 ·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96"/>
        <w:gridCol w:w="3096"/>
        <w:gridCol w:w="3672"/>
      </w:tblGrid>
      <w:tr>
        <w:tc>
          <w:tcPr>
            <w:tcW w:type="dxa" w:w="3096"/>
            <w:shd w:val="clear" w:color="auto" w:fill="EAF0EE"/>
          </w:tcPr>
          <w:p>
            <w:pPr>
              <w:spacing w:after="20"/>
            </w:pPr>
            <w:r>
              <w:rPr>
                <w:b/>
                <w:color w:val="1C3A36"/>
                <w:sz w:val="17"/>
              </w:rPr>
              <w:t>Risk</w:t>
            </w:r>
          </w:p>
        </w:tc>
        <w:tc>
          <w:tcPr>
            <w:tcW w:type="dxa" w:w="3096"/>
            <w:shd w:val="clear" w:color="auto" w:fill="EAF0EE"/>
          </w:tcPr>
          <w:p>
            <w:pPr>
              <w:spacing w:after="20"/>
            </w:pPr>
            <w:r>
              <w:rPr>
                <w:b/>
                <w:color w:val="1C3A36"/>
                <w:sz w:val="17"/>
              </w:rPr>
              <w:t>Where it bites</w:t>
            </w:r>
          </w:p>
        </w:tc>
        <w:tc>
          <w:tcPr>
            <w:tcW w:type="dxa" w:w="3672"/>
            <w:shd w:val="clear" w:color="auto" w:fill="EAF0EE"/>
          </w:tcPr>
          <w:p>
            <w:pPr>
              <w:spacing w:after="20"/>
            </w:pPr>
            <w:r>
              <w:rPr>
                <w:b/>
                <w:color w:val="1C3A36"/>
                <w:sz w:val="17"/>
              </w:rPr>
              <w:t>How it is priced here</w:t>
            </w:r>
          </w:p>
        </w:tc>
      </w:tr>
      <w:tr>
        <w:tc>
          <w:tcPr>
            <w:tcW w:type="dxa" w:w="3096"/>
          </w:tcPr>
          <w:p>
            <w:pPr>
              <w:spacing w:after="20"/>
            </w:pPr>
            <w:r>
              <w:rPr>
                <w:color w:val="1C3A36"/>
                <w:sz w:val="17"/>
              </w:rPr>
              <w:t>Related-party sales concentration and pricing</w:t>
            </w:r>
          </w:p>
        </w:tc>
        <w:tc>
          <w:tcPr>
            <w:tcW w:type="dxa" w:w="3096"/>
          </w:tcPr>
          <w:p>
            <w:pPr>
              <w:spacing w:after="20"/>
              <w:jc w:val="right"/>
            </w:pPr>
            <w:r>
              <w:rPr>
                <w:color w:val="1C3A36"/>
                <w:sz w:val="17"/>
              </w:rPr>
              <w:t>development margin, receivables</w:t>
            </w:r>
          </w:p>
        </w:tc>
        <w:tc>
          <w:tcPr>
            <w:tcW w:type="dxa" w:w="3672"/>
          </w:tcPr>
          <w:p>
            <w:pPr>
              <w:spacing w:after="20"/>
              <w:jc w:val="right"/>
            </w:pPr>
            <w:r>
              <w:rPr>
                <w:color w:val="1C3A36"/>
                <w:sz w:val="17"/>
              </w:rPr>
              <w:t>margin glide; Expert 2 haircut; margin and receivable-day strips</w:t>
            </w:r>
          </w:p>
        </w:tc>
      </w:tr>
      <w:tr>
        <w:tc>
          <w:tcPr>
            <w:tcW w:type="dxa" w:w="3096"/>
          </w:tcPr>
          <w:p>
            <w:pPr>
              <w:spacing w:after="20"/>
            </w:pPr>
            <w:r>
              <w:rPr>
                <w:color w:val="1C3A36"/>
                <w:sz w:val="17"/>
              </w:rPr>
              <w:t>Receivable collection timing</w:t>
            </w:r>
          </w:p>
        </w:tc>
        <w:tc>
          <w:tcPr>
            <w:tcW w:type="dxa" w:w="3096"/>
          </w:tcPr>
          <w:p>
            <w:pPr>
              <w:spacing w:after="20"/>
              <w:jc w:val="right"/>
            </w:pPr>
            <w:r>
              <w:rPr>
                <w:color w:val="1C3A36"/>
                <w:sz w:val="17"/>
              </w:rPr>
              <w:t>working capital</w:t>
            </w:r>
          </w:p>
        </w:tc>
        <w:tc>
          <w:tcPr>
            <w:tcW w:type="dxa" w:w="3672"/>
          </w:tcPr>
          <w:p>
            <w:pPr>
              <w:spacing w:after="20"/>
              <w:jc w:val="right"/>
            </w:pPr>
            <w:r>
              <w:rPr>
                <w:color w:val="1C3A36"/>
                <w:sz w:val="17"/>
              </w:rPr>
              <w:t>component build absorbs through FY2028; ±60-day strip</w:t>
            </w:r>
          </w:p>
        </w:tc>
      </w:tr>
      <w:tr>
        <w:tc>
          <w:tcPr>
            <w:tcW w:type="dxa" w:w="3096"/>
          </w:tcPr>
          <w:p>
            <w:pPr>
              <w:spacing w:after="20"/>
            </w:pPr>
            <w:r>
              <w:rPr>
                <w:color w:val="1C3A36"/>
                <w:sz w:val="17"/>
              </w:rPr>
              <w:t>Abu Dhabi residential cycle turns</w:t>
            </w:r>
          </w:p>
        </w:tc>
        <w:tc>
          <w:tcPr>
            <w:tcW w:type="dxa" w:w="3096"/>
          </w:tcPr>
          <w:p>
            <w:pPr>
              <w:spacing w:after="20"/>
              <w:jc w:val="right"/>
            </w:pPr>
            <w:r>
              <w:rPr>
                <w:color w:val="1C3A36"/>
                <w:sz w:val="17"/>
              </w:rPr>
              <w:t>new sales, pricing</w:t>
            </w:r>
          </w:p>
        </w:tc>
        <w:tc>
          <w:tcPr>
            <w:tcW w:type="dxa" w:w="3672"/>
          </w:tcPr>
          <w:p>
            <w:pPr>
              <w:spacing w:after="20"/>
              <w:jc w:val="right"/>
            </w:pPr>
            <w:r>
              <w:rPr>
                <w:color w:val="1C3A36"/>
                <w:sz w:val="17"/>
              </w:rPr>
              <w:t>run-off stress priced in full (section 1.7)</w:t>
            </w:r>
          </w:p>
        </w:tc>
      </w:tr>
      <w:tr>
        <w:tc>
          <w:tcPr>
            <w:tcW w:type="dxa" w:w="3096"/>
          </w:tcPr>
          <w:p>
            <w:pPr>
              <w:spacing w:after="20"/>
            </w:pPr>
            <w:r>
              <w:rPr>
                <w:color w:val="1C3A36"/>
                <w:sz w:val="17"/>
              </w:rPr>
              <w:t>Egypt macro and FX on Ras El Hekma</w:t>
            </w:r>
          </w:p>
        </w:tc>
        <w:tc>
          <w:tcPr>
            <w:tcW w:type="dxa" w:w="3096"/>
          </w:tcPr>
          <w:p>
            <w:pPr>
              <w:spacing w:after="20"/>
              <w:jc w:val="right"/>
            </w:pPr>
            <w:r>
              <w:rPr>
                <w:color w:val="1C3A36"/>
                <w:sz w:val="17"/>
              </w:rPr>
              <w:t>international leg</w:t>
            </w:r>
          </w:p>
        </w:tc>
        <w:tc>
          <w:tcPr>
            <w:tcW w:type="dxa" w:w="3672"/>
          </w:tcPr>
          <w:p>
            <w:pPr>
              <w:spacing w:after="20"/>
              <w:jc w:val="right"/>
            </w:pPr>
            <w:r>
              <w:rPr>
                <w:color w:val="1C3A36"/>
                <w:sz w:val="17"/>
              </w:rPr>
              <w:t>Egypt-premium stress: AED 3.64 per share</w:t>
            </w:r>
          </w:p>
        </w:tc>
      </w:tr>
      <w:tr>
        <w:tc>
          <w:tcPr>
            <w:tcW w:type="dxa" w:w="3096"/>
          </w:tcPr>
          <w:p>
            <w:pPr>
              <w:spacing w:after="20"/>
            </w:pPr>
            <w:r>
              <w:rPr>
                <w:color w:val="1C3A36"/>
                <w:sz w:val="17"/>
              </w:rPr>
              <w:t>Rates higher for longer</w:t>
            </w:r>
          </w:p>
        </w:tc>
        <w:tc>
          <w:tcPr>
            <w:tcW w:type="dxa" w:w="3096"/>
          </w:tcPr>
          <w:p>
            <w:pPr>
              <w:spacing w:after="20"/>
              <w:jc w:val="right"/>
            </w:pPr>
            <w:r>
              <w:rPr>
                <w:color w:val="1C3A36"/>
                <w:sz w:val="17"/>
              </w:rPr>
              <w:t>discount rate, demand</w:t>
            </w:r>
          </w:p>
        </w:tc>
        <w:tc>
          <w:tcPr>
            <w:tcW w:type="dxa" w:w="3672"/>
          </w:tcPr>
          <w:p>
            <w:pPr>
              <w:spacing w:after="20"/>
              <w:jc w:val="right"/>
            </w:pPr>
            <w:r>
              <w:rPr>
                <w:color w:val="1C3A36"/>
                <w:sz w:val="17"/>
              </w:rPr>
              <w:t>+2pt cost-of-equity strip</w:t>
            </w:r>
          </w:p>
        </w:tc>
      </w:tr>
      <w:tr>
        <w:tc>
          <w:tcPr>
            <w:tcW w:type="dxa" w:w="3096"/>
          </w:tcPr>
          <w:p>
            <w:pPr>
              <w:spacing w:after="20"/>
            </w:pPr>
            <w:r>
              <w:rPr>
                <w:color w:val="1C3A36"/>
                <w:sz w:val="17"/>
              </w:rPr>
              <w:t>Free float and index exclusion</w:t>
            </w:r>
          </w:p>
        </w:tc>
        <w:tc>
          <w:tcPr>
            <w:tcW w:type="dxa" w:w="3096"/>
          </w:tcPr>
          <w:p>
            <w:pPr>
              <w:spacing w:after="20"/>
              <w:jc w:val="right"/>
            </w:pPr>
            <w:r>
              <w:rPr>
                <w:color w:val="1C3A36"/>
                <w:sz w:val="17"/>
              </w:rPr>
              <w:t>the multiple, not the cash</w:t>
            </w:r>
          </w:p>
        </w:tc>
        <w:tc>
          <w:tcPr>
            <w:tcW w:type="dxa" w:w="3672"/>
          </w:tcPr>
          <w:p>
            <w:pPr>
              <w:spacing w:after="20"/>
              <w:jc w:val="right"/>
            </w:pPr>
            <w:r>
              <w:rPr>
                <w:color w:val="1C3A36"/>
                <w:sz w:val="17"/>
              </w:rPr>
              <w:t>60% weight on market lenses IS the discount; no second haircut</w:t>
            </w:r>
          </w:p>
        </w:tc>
      </w:tr>
      <w:tr>
        <w:tc>
          <w:tcPr>
            <w:tcW w:type="dxa" w:w="3096"/>
          </w:tcPr>
          <w:p>
            <w:pPr>
              <w:spacing w:after="20"/>
            </w:pPr>
            <w:r>
              <w:rPr>
                <w:color w:val="1C3A36"/>
                <w:sz w:val="17"/>
              </w:rPr>
              <w:t>Execution at masterplan scale</w:t>
            </w:r>
          </w:p>
        </w:tc>
        <w:tc>
          <w:tcPr>
            <w:tcW w:type="dxa" w:w="3096"/>
          </w:tcPr>
          <w:p>
            <w:pPr>
              <w:spacing w:after="20"/>
              <w:jc w:val="right"/>
            </w:pPr>
            <w:r>
              <w:rPr>
                <w:color w:val="1C3A36"/>
                <w:sz w:val="17"/>
              </w:rPr>
              <w:t>capex, delivery cadence</w:t>
            </w:r>
          </w:p>
        </w:tc>
        <w:tc>
          <w:tcPr>
            <w:tcW w:type="dxa" w:w="3672"/>
          </w:tcPr>
          <w:p>
            <w:pPr>
              <w:spacing w:after="20"/>
              <w:jc w:val="right"/>
            </w:pPr>
            <w:r>
              <w:rPr>
                <w:color w:val="1C3A36"/>
                <w:sz w:val="17"/>
              </w:rPr>
              <w:t>conversion strip; the terminal return held below the model's own path</w:t>
            </w:r>
          </w:p>
        </w:tc>
      </w:tr>
    </w:tbl>
    <w:p>
      <w:pPr>
        <w:spacing w:after="40"/>
      </w:pPr>
    </w:p>
    <w:p>
      <w:pPr>
        <w:spacing w:after="80" w:before="200"/>
      </w:pPr>
      <w:r>
        <w:rPr>
          <w:b/>
          <w:i w:val="0"/>
          <w:color w:val="1C3A36"/>
          <w:sz w:val="24"/>
        </w:rPr>
        <w:t>B.3 · Research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080"/>
        <w:gridCol w:w="5328"/>
        <w:gridCol w:w="2520"/>
        <w:gridCol w:w="1080"/>
      </w:tblGrid>
      <w:tr>
        <w:tc>
          <w:tcPr>
            <w:tcW w:type="dxa" w:w="1080"/>
            <w:shd w:val="clear" w:color="auto" w:fill="EAF0EE"/>
          </w:tcPr>
          <w:p>
            <w:pPr>
              <w:spacing w:after="20"/>
            </w:pPr>
            <w:r>
              <w:rPr>
                <w:b/>
                <w:color w:val="1C3A36"/>
                <w:sz w:val="15"/>
              </w:rPr>
              <w:t>Area</w:t>
            </w:r>
          </w:p>
        </w:tc>
        <w:tc>
          <w:tcPr>
            <w:tcW w:type="dxa" w:w="5328"/>
            <w:shd w:val="clear" w:color="auto" w:fill="EAF0EE"/>
          </w:tcPr>
          <w:p>
            <w:pPr>
              <w:spacing w:after="20"/>
            </w:pPr>
            <w:r>
              <w:rPr>
                <w:b/>
                <w:color w:val="1C3A36"/>
                <w:sz w:val="15"/>
              </w:rPr>
              <w:t>What was established</w:t>
            </w:r>
          </w:p>
        </w:tc>
        <w:tc>
          <w:tcPr>
            <w:tcW w:type="dxa" w:w="2520"/>
            <w:shd w:val="clear" w:color="auto" w:fill="EAF0EE"/>
          </w:tcPr>
          <w:p>
            <w:pPr>
              <w:spacing w:after="20"/>
            </w:pPr>
            <w:r>
              <w:rPr>
                <w:b/>
                <w:color w:val="1C3A36"/>
                <w:sz w:val="15"/>
              </w:rPr>
              <w:t>Source</w:t>
            </w:r>
          </w:p>
        </w:tc>
        <w:tc>
          <w:tcPr>
            <w:tcW w:type="dxa" w:w="1080"/>
            <w:shd w:val="clear" w:color="auto" w:fill="EAF0EE"/>
          </w:tcPr>
          <w:p>
            <w:pPr>
              <w:spacing w:after="20"/>
            </w:pPr>
            <w:r>
              <w:rPr>
                <w:b/>
                <w:color w:val="1C3A36"/>
                <w:sz w:val="15"/>
              </w:rPr>
              <w:t>Date</w:t>
            </w:r>
          </w:p>
        </w:tc>
      </w:tr>
      <w:tr>
        <w:tc>
          <w:tcPr>
            <w:tcW w:type="dxa" w:w="1080"/>
          </w:tcPr>
          <w:p>
            <w:pPr>
              <w:spacing w:after="20"/>
            </w:pPr>
            <w:r>
              <w:rPr>
                <w:color w:val="1C3A36"/>
                <w:sz w:val="15"/>
              </w:rPr>
              <w:t>Global</w:t>
            </w:r>
          </w:p>
        </w:tc>
        <w:tc>
          <w:tcPr>
            <w:tcW w:type="dxa" w:w="5328"/>
          </w:tcPr>
          <w:p>
            <w:pPr>
              <w:spacing w:after="20"/>
              <w:jc w:val="right"/>
            </w:pPr>
            <w:r>
              <w:rPr>
                <w:color w:val="1C3A36"/>
                <w:sz w:val="15"/>
              </w:rPr>
              <w:t>AED is hard-pegged to the USD; CBUAE Base Rate 3.65%, held since 17-Jun-2026, tracks the Fed. The July-2026 AED sovereign auction printed just 4bp over comparable US Treasuries</w:t>
            </w:r>
          </w:p>
        </w:tc>
        <w:tc>
          <w:tcPr>
            <w:tcW w:type="dxa" w:w="2520"/>
          </w:tcPr>
          <w:p>
            <w:pPr>
              <w:spacing w:after="20"/>
              <w:jc w:val="right"/>
            </w:pPr>
            <w:r>
              <w:rPr>
                <w:color w:val="1C3A36"/>
                <w:sz w:val="15"/>
              </w:rPr>
              <w:t>CBUAE Base Rate (house monetary-policy calendar); UAE MoF/CBUAE July-2026 T-Bond auction (WAM)</w:t>
            </w:r>
          </w:p>
        </w:tc>
        <w:tc>
          <w:tcPr>
            <w:tcW w:type="dxa" w:w="1080"/>
          </w:tcPr>
          <w:p>
            <w:pPr>
              <w:spacing w:after="20"/>
              <w:jc w:val="right"/>
            </w:pPr>
            <w:r>
              <w:rPr>
                <w:color w:val="1C3A36"/>
                <w:sz w:val="15"/>
              </w:rPr>
              <w:t>2026-07-30</w:t>
            </w:r>
          </w:p>
        </w:tc>
      </w:tr>
      <w:tr>
        <w:tc>
          <w:tcPr>
            <w:tcW w:type="dxa" w:w="1080"/>
          </w:tcPr>
          <w:p>
            <w:pPr>
              <w:spacing w:after="20"/>
            </w:pPr>
            <w:r>
              <w:rPr>
                <w:color w:val="1C3A36"/>
                <w:sz w:val="15"/>
              </w:rPr>
              <w:t>Global</w:t>
            </w:r>
          </w:p>
        </w:tc>
        <w:tc>
          <w:tcPr>
            <w:tcW w:type="dxa" w:w="5328"/>
          </w:tcPr>
          <w:p>
            <w:pPr>
              <w:spacing w:after="20"/>
              <w:jc w:val="right"/>
            </w:pPr>
            <w:r>
              <w:rPr>
                <w:color w:val="1C3A36"/>
                <w:sz w:val="15"/>
              </w:rPr>
              <w:t>UAE tender price inflation ~3.3% in 2025, forecast ~2.7-4.5% for 2026 (Turner &amp; Townsend UAEMI 2025), with a post-conflict hawkish tail (one QS house sees 6-9%) as fuel/freight/insurance feed through; materials ~60% of baseline cost</w:t>
            </w:r>
          </w:p>
        </w:tc>
        <w:tc>
          <w:tcPr>
            <w:tcW w:type="dxa" w:w="2520"/>
          </w:tcPr>
          <w:p>
            <w:pPr>
              <w:spacing w:after="20"/>
              <w:jc w:val="right"/>
            </w:pPr>
            <w:r>
              <w:rPr>
                <w:color w:val="1C3A36"/>
                <w:sz w:val="15"/>
              </w:rPr>
              <w:t>Turner &amp; Townsend UAE Market Intelligence 2025; MEED/Currie &amp; Brown 2026 forecasts</w:t>
            </w:r>
          </w:p>
        </w:tc>
        <w:tc>
          <w:tcPr>
            <w:tcW w:type="dxa" w:w="1080"/>
          </w:tcPr>
          <w:p>
            <w:pPr>
              <w:spacing w:after="20"/>
              <w:jc w:val="right"/>
            </w:pPr>
            <w:r>
              <w:rPr>
                <w:color w:val="1C3A36"/>
                <w:sz w:val="15"/>
              </w:rPr>
              <w:t>2026-07-01</w:t>
            </w:r>
          </w:p>
        </w:tc>
      </w:tr>
      <w:tr>
        <w:tc>
          <w:tcPr>
            <w:tcW w:type="dxa" w:w="1080"/>
          </w:tcPr>
          <w:p>
            <w:pPr>
              <w:spacing w:after="20"/>
            </w:pPr>
            <w:r>
              <w:rPr>
                <w:color w:val="1C3A36"/>
                <w:sz w:val="15"/>
              </w:rPr>
              <w:t>Global</w:t>
            </w:r>
          </w:p>
        </w:tc>
        <w:tc>
          <w:tcPr>
            <w:tcW w:type="dxa" w:w="5328"/>
          </w:tcPr>
          <w:p>
            <w:pPr>
              <w:spacing w:after="20"/>
              <w:jc w:val="right"/>
            </w:pPr>
            <w:r>
              <w:rPr>
                <w:color w:val="1C3A36"/>
                <w:sz w:val="15"/>
              </w:rPr>
              <w:t>Cross-border capital is the marginal buyer of Abu Dhabi residential: foreign buyers drove 62% of the y/y growth in residential sales value in 2025, and Modon booked AED 6.6bn of international sales (Egypt+Spain+JV) across 2,115 units in 2025</w:t>
            </w:r>
          </w:p>
        </w:tc>
        <w:tc>
          <w:tcPr>
            <w:tcW w:type="dxa" w:w="2520"/>
          </w:tcPr>
          <w:p>
            <w:pPr>
              <w:spacing w:after="20"/>
              <w:jc w:val="right"/>
            </w:pPr>
            <w:r>
              <w:rPr>
                <w:color w:val="1C3A36"/>
                <w:sz w:val="15"/>
              </w:rPr>
              <w:t>ADREC Abu Dhabi Real Estate Market Report 2025; Modon Annual Report 2025</w:t>
            </w:r>
          </w:p>
        </w:tc>
        <w:tc>
          <w:tcPr>
            <w:tcW w:type="dxa" w:w="1080"/>
          </w:tcPr>
          <w:p>
            <w:pPr>
              <w:spacing w:after="20"/>
              <w:jc w:val="right"/>
            </w:pPr>
            <w:r>
              <w:rPr>
                <w:color w:val="1C3A36"/>
                <w:sz w:val="15"/>
              </w:rPr>
              <w:t>2026-01-31</w:t>
            </w:r>
          </w:p>
        </w:tc>
      </w:tr>
      <w:tr>
        <w:tc>
          <w:tcPr>
            <w:tcW w:type="dxa" w:w="1080"/>
          </w:tcPr>
          <w:p>
            <w:pPr>
              <w:spacing w:after="20"/>
            </w:pPr>
            <w:r>
              <w:rPr>
                <w:color w:val="1C3A36"/>
                <w:sz w:val="15"/>
              </w:rPr>
              <w:t>Global</w:t>
            </w:r>
          </w:p>
        </w:tc>
        <w:tc>
          <w:tcPr>
            <w:tcW w:type="dxa" w:w="5328"/>
          </w:tcPr>
          <w:p>
            <w:pPr>
              <w:spacing w:after="20"/>
              <w:jc w:val="right"/>
            </w:pPr>
            <w:r>
              <w:rPr>
                <w:color w:val="1C3A36"/>
                <w:sz w:val="15"/>
              </w:rPr>
              <w:t>Negative search — nothing found (UAE sanctions exposure real estate; Modon supply chain disruption; construction materials import restrictions UAE 2026)</w:t>
            </w:r>
          </w:p>
        </w:tc>
        <w:tc>
          <w:tcPr>
            <w:tcW w:type="dxa" w:w="2520"/>
          </w:tcPr>
          <w:p>
            <w:pPr>
              <w:spacing w:after="20"/>
              <w:jc w:val="right"/>
            </w:pPr>
            <w:r>
              <w:rPr>
                <w:color w:val="1C3A36"/>
                <w:sz w:val="15"/>
              </w:rPr>
              <w:t>negative search</w:t>
            </w:r>
          </w:p>
        </w:tc>
        <w:tc>
          <w:tcPr>
            <w:tcW w:type="dxa" w:w="1080"/>
          </w:tcPr>
          <w:p>
            <w:pPr>
              <w:spacing w:after="20"/>
              <w:jc w:val="right"/>
            </w:pPr>
            <w:r>
              <w:rPr>
                <w:color w:val="1C3A36"/>
                <w:sz w:val="15"/>
              </w:rPr>
              <w:t>2026-08-09</w:t>
            </w:r>
          </w:p>
        </w:tc>
      </w:tr>
      <w:tr>
        <w:tc>
          <w:tcPr>
            <w:tcW w:type="dxa" w:w="1080"/>
          </w:tcPr>
          <w:p>
            <w:pPr>
              <w:spacing w:after="20"/>
            </w:pPr>
            <w:r>
              <w:rPr>
                <w:color w:val="1C3A36"/>
                <w:sz w:val="15"/>
              </w:rPr>
              <w:t>Country</w:t>
            </w:r>
          </w:p>
        </w:tc>
        <w:tc>
          <w:tcPr>
            <w:tcW w:type="dxa" w:w="5328"/>
          </w:tcPr>
          <w:p>
            <w:pPr>
              <w:spacing w:after="20"/>
              <w:jc w:val="right"/>
            </w:pPr>
            <w:r>
              <w:rPr>
                <w:color w:val="1C3A36"/>
                <w:sz w:val="15"/>
              </w:rPr>
              <w:t>UAE rated Aa2 (Damodaran Jan-2026: adjusted default spread 0.42%, CRP 0.64%, total ERP 4.87%); AED T-Bond maturing Jan-2031 auctioned at 4.48% YTM in July-2026; EIBOR 3M 3.66% / 6M 3.71% (31-Mar-2026); AED peg unquestioned</w:t>
            </w:r>
          </w:p>
        </w:tc>
        <w:tc>
          <w:tcPr>
            <w:tcW w:type="dxa" w:w="2520"/>
          </w:tcPr>
          <w:p>
            <w:pPr>
              <w:spacing w:after="20"/>
              <w:jc w:val="right"/>
            </w:pPr>
            <w:r>
              <w:rPr>
                <w:color w:val="1C3A36"/>
                <w:sz w:val="15"/>
              </w:rPr>
              <w:t>Damodaran ctryprem (Jan-2026); UAE MoF July-2026 auction via WAM; CBUAE EIBOR fixings</w:t>
            </w:r>
          </w:p>
        </w:tc>
        <w:tc>
          <w:tcPr>
            <w:tcW w:type="dxa" w:w="1080"/>
          </w:tcPr>
          <w:p>
            <w:pPr>
              <w:spacing w:after="20"/>
              <w:jc w:val="right"/>
            </w:pPr>
            <w:r>
              <w:rPr>
                <w:color w:val="1C3A36"/>
                <w:sz w:val="15"/>
              </w:rPr>
              <w:t>2026-07-30</w:t>
            </w:r>
          </w:p>
        </w:tc>
      </w:tr>
      <w:tr>
        <w:tc>
          <w:tcPr>
            <w:tcW w:type="dxa" w:w="1080"/>
          </w:tcPr>
          <w:p>
            <w:pPr>
              <w:spacing w:after="20"/>
            </w:pPr>
            <w:r>
              <w:rPr>
                <w:color w:val="1C3A36"/>
                <w:sz w:val="15"/>
              </w:rPr>
              <w:t>Country</w:t>
            </w:r>
          </w:p>
        </w:tc>
        <w:tc>
          <w:tcPr>
            <w:tcW w:type="dxa" w:w="5328"/>
          </w:tcPr>
          <w:p>
            <w:pPr>
              <w:spacing w:after="20"/>
              <w:jc w:val="right"/>
            </w:pPr>
            <w:r>
              <w:rPr>
                <w:color w:val="1C3A36"/>
                <w:sz w:val="15"/>
              </w:rPr>
              <w:t>UAE corporate tax 9% from 2023; Domestic Minimum Top-up Tax (15%) effective 2025 for large groups — Modon's FY2025 charge includes AED 350.4mn of DMTT, and its disclosed effective-rate range is 9%-23.5% across jurisdictions</w:t>
            </w:r>
          </w:p>
        </w:tc>
        <w:tc>
          <w:tcPr>
            <w:tcW w:type="dxa" w:w="2520"/>
          </w:tcPr>
          <w:p>
            <w:pPr>
              <w:spacing w:after="20"/>
              <w:jc w:val="right"/>
            </w:pPr>
            <w:r>
              <w:rPr>
                <w:color w:val="1C3A36"/>
                <w:sz w:val="15"/>
              </w:rPr>
              <w:t>Income tax note 11, audited FY2025 consolidated financial statements</w:t>
            </w:r>
          </w:p>
        </w:tc>
        <w:tc>
          <w:tcPr>
            <w:tcW w:type="dxa" w:w="1080"/>
          </w:tcPr>
          <w:p>
            <w:pPr>
              <w:spacing w:after="20"/>
              <w:jc w:val="right"/>
            </w:pPr>
            <w:r>
              <w:rPr>
                <w:color w:val="1C3A36"/>
                <w:sz w:val="15"/>
              </w:rPr>
              <w:t>2026-02-18</w:t>
            </w:r>
          </w:p>
        </w:tc>
      </w:tr>
      <w:tr>
        <w:tc>
          <w:tcPr>
            <w:tcW w:type="dxa" w:w="1080"/>
          </w:tcPr>
          <w:p>
            <w:pPr>
              <w:spacing w:after="20"/>
            </w:pPr>
            <w:r>
              <w:rPr>
                <w:color w:val="1C3A36"/>
                <w:sz w:val="15"/>
              </w:rPr>
              <w:t>Country</w:t>
            </w:r>
          </w:p>
        </w:tc>
        <w:tc>
          <w:tcPr>
            <w:tcW w:type="dxa" w:w="5328"/>
          </w:tcPr>
          <w:p>
            <w:pPr>
              <w:spacing w:after="20"/>
              <w:jc w:val="right"/>
            </w:pPr>
            <w:r>
              <w:rPr>
                <w:color w:val="1C3A36"/>
                <w:sz w:val="15"/>
              </w:rPr>
              <w:t>Abu Dhabi government consolidation: on 30-Oct-2025 IHC and ADQ sold their entire stakes to L'imad Holding Company PJSC, wholly owned by the Abu Dhabi Government — Modon is now a majority government-owned entity under IAS 24, embedded in the emirate's development agenda</w:t>
            </w:r>
          </w:p>
        </w:tc>
        <w:tc>
          <w:tcPr>
            <w:tcW w:type="dxa" w:w="2520"/>
          </w:tcPr>
          <w:p>
            <w:pPr>
              <w:spacing w:after="20"/>
              <w:jc w:val="right"/>
            </w:pPr>
            <w:r>
              <w:rPr>
                <w:color w:val="1C3A36"/>
                <w:sz w:val="15"/>
              </w:rPr>
              <w:t>Note 1 / note 30, audited FY2025 consolidated financial statements</w:t>
            </w:r>
          </w:p>
        </w:tc>
        <w:tc>
          <w:tcPr>
            <w:tcW w:type="dxa" w:w="1080"/>
          </w:tcPr>
          <w:p>
            <w:pPr>
              <w:spacing w:after="20"/>
              <w:jc w:val="right"/>
            </w:pPr>
            <w:r>
              <w:rPr>
                <w:color w:val="1C3A36"/>
                <w:sz w:val="15"/>
              </w:rPr>
              <w:t>2026-02-18</w:t>
            </w:r>
          </w:p>
        </w:tc>
      </w:tr>
      <w:tr>
        <w:tc>
          <w:tcPr>
            <w:tcW w:type="dxa" w:w="1080"/>
          </w:tcPr>
          <w:p>
            <w:pPr>
              <w:spacing w:after="20"/>
            </w:pPr>
            <w:r>
              <w:rPr>
                <w:color w:val="1C3A36"/>
                <w:sz w:val="15"/>
              </w:rPr>
              <w:t>Country</w:t>
            </w:r>
          </w:p>
        </w:tc>
        <w:tc>
          <w:tcPr>
            <w:tcW w:type="dxa" w:w="5328"/>
          </w:tcPr>
          <w:p>
            <w:pPr>
              <w:spacing w:after="20"/>
              <w:jc w:val="right"/>
            </w:pPr>
            <w:r>
              <w:rPr>
                <w:color w:val="1C3A36"/>
                <w:sz w:val="15"/>
              </w:rPr>
              <w:t>Negative search — nothing found (FTSE ADX General Index daily history: stooq (^adx), Yahoo FADGI.FGI / FADX15.FGI (1 point only), investing.com SSR table (~1 month) and api.investing.com (403), TradingEconomics chart API (proxy 502), WSJ/MarketWatch michelangelo (unknown instrument), apigateway.adx.ae + www.adx.ae (Cloudflare challenge))</w:t>
            </w:r>
          </w:p>
        </w:tc>
        <w:tc>
          <w:tcPr>
            <w:tcW w:type="dxa" w:w="2520"/>
          </w:tcPr>
          <w:p>
            <w:pPr>
              <w:spacing w:after="20"/>
              <w:jc w:val="right"/>
            </w:pPr>
            <w:r>
              <w:rPr>
                <w:color w:val="1C3A36"/>
                <w:sz w:val="15"/>
              </w:rPr>
              <w:t>negative search</w:t>
            </w:r>
          </w:p>
        </w:tc>
        <w:tc>
          <w:tcPr>
            <w:tcW w:type="dxa" w:w="1080"/>
          </w:tcPr>
          <w:p>
            <w:pPr>
              <w:spacing w:after="20"/>
              <w:jc w:val="right"/>
            </w:pPr>
            <w:r>
              <w:rPr>
                <w:color w:val="1C3A36"/>
                <w:sz w:val="15"/>
              </w:rPr>
              <w:t>2026-08-09</w:t>
            </w:r>
          </w:p>
        </w:tc>
      </w:tr>
      <w:tr>
        <w:tc>
          <w:tcPr>
            <w:tcW w:type="dxa" w:w="1080"/>
          </w:tcPr>
          <w:p>
            <w:pPr>
              <w:spacing w:after="20"/>
            </w:pPr>
            <w:r>
              <w:rPr>
                <w:color w:val="1C3A36"/>
                <w:sz w:val="15"/>
              </w:rPr>
              <w:t>Industry</w:t>
            </w:r>
          </w:p>
        </w:tc>
        <w:tc>
          <w:tcPr>
            <w:tcW w:type="dxa" w:w="5328"/>
          </w:tcPr>
          <w:p>
            <w:pPr>
              <w:spacing w:after="20"/>
              <w:jc w:val="right"/>
            </w:pPr>
            <w:r>
              <w:rPr>
                <w:color w:val="1C3A36"/>
                <w:sz w:val="15"/>
              </w:rPr>
              <w:t>Abu Dhabi 2025: AED 142bn total real-estate transactions (+44% y/y) on 42,814 deals (+52%); residential sales AED 76bn (+67%); off-plan 71% of residential transactions; 56 new projects launched</w:t>
            </w:r>
          </w:p>
        </w:tc>
        <w:tc>
          <w:tcPr>
            <w:tcW w:type="dxa" w:w="2520"/>
          </w:tcPr>
          <w:p>
            <w:pPr>
              <w:spacing w:after="20"/>
              <w:jc w:val="right"/>
            </w:pPr>
            <w:r>
              <w:rPr>
                <w:color w:val="1C3A36"/>
                <w:sz w:val="15"/>
              </w:rPr>
              <w:t>ADREC (Abu Dhabi Real Estate Centre) 2025 market report</w:t>
            </w:r>
          </w:p>
        </w:tc>
        <w:tc>
          <w:tcPr>
            <w:tcW w:type="dxa" w:w="1080"/>
          </w:tcPr>
          <w:p>
            <w:pPr>
              <w:spacing w:after="20"/>
              <w:jc w:val="right"/>
            </w:pPr>
            <w:r>
              <w:rPr>
                <w:color w:val="1C3A36"/>
                <w:sz w:val="15"/>
              </w:rPr>
              <w:t>2026-01-31</w:t>
            </w:r>
          </w:p>
        </w:tc>
      </w:tr>
      <w:tr>
        <w:tc>
          <w:tcPr>
            <w:tcW w:type="dxa" w:w="1080"/>
          </w:tcPr>
          <w:p>
            <w:pPr>
              <w:spacing w:after="20"/>
            </w:pPr>
            <w:r>
              <w:rPr>
                <w:color w:val="1C3A36"/>
                <w:sz w:val="15"/>
              </w:rPr>
              <w:t>Industry</w:t>
            </w:r>
          </w:p>
        </w:tc>
        <w:tc>
          <w:tcPr>
            <w:tcW w:type="dxa" w:w="5328"/>
          </w:tcPr>
          <w:p>
            <w:pPr>
              <w:spacing w:after="20"/>
              <w:jc w:val="right"/>
            </w:pPr>
            <w:r>
              <w:rPr>
                <w:color w:val="1C3A36"/>
                <w:sz w:val="15"/>
              </w:rPr>
              <w:t>Residential price momentum is buyer-led and cash-led: 87% of residential sales value registered as cash in 2025, with foreign buyers driving 62% of growth; Modon's blended realised price was AED 7.02mn/unit in Abu Dhabi (29.8bn/4,243 units) vs AED 3.12mn/unit internationally (6.6bn/2,115 units)</w:t>
            </w:r>
          </w:p>
        </w:tc>
        <w:tc>
          <w:tcPr>
            <w:tcW w:type="dxa" w:w="2520"/>
          </w:tcPr>
          <w:p>
            <w:pPr>
              <w:spacing w:after="20"/>
              <w:jc w:val="right"/>
            </w:pPr>
            <w:r>
              <w:rPr>
                <w:color w:val="1C3A36"/>
                <w:sz w:val="15"/>
              </w:rPr>
              <w:t>ADREC 2025 report; Modon Annual Report 2025 sales disclosures</w:t>
            </w:r>
          </w:p>
        </w:tc>
        <w:tc>
          <w:tcPr>
            <w:tcW w:type="dxa" w:w="1080"/>
          </w:tcPr>
          <w:p>
            <w:pPr>
              <w:spacing w:after="20"/>
              <w:jc w:val="right"/>
            </w:pPr>
            <w:r>
              <w:rPr>
                <w:color w:val="1C3A36"/>
                <w:sz w:val="15"/>
              </w:rPr>
              <w:t>2026-01-31</w:t>
            </w:r>
          </w:p>
        </w:tc>
      </w:tr>
      <w:tr>
        <w:tc>
          <w:tcPr>
            <w:tcW w:type="dxa" w:w="1080"/>
          </w:tcPr>
          <w:p>
            <w:pPr>
              <w:spacing w:after="20"/>
            </w:pPr>
            <w:r>
              <w:rPr>
                <w:color w:val="1C3A36"/>
                <w:sz w:val="15"/>
              </w:rPr>
              <w:t>Industry</w:t>
            </w:r>
          </w:p>
        </w:tc>
        <w:tc>
          <w:tcPr>
            <w:tcW w:type="dxa" w:w="5328"/>
          </w:tcPr>
          <w:p>
            <w:pPr>
              <w:spacing w:after="20"/>
              <w:jc w:val="right"/>
            </w:pPr>
            <w:r>
              <w:rPr>
                <w:color w:val="1C3A36"/>
                <w:sz w:val="15"/>
              </w:rPr>
              <w:t>Abu Dhabi development remains a near-duopoly of Aldar and Modon at masterplan scale, with Bloom Holding, Reportage and Q Properties-era mid-tier players below; Dubai majors (Emaar, Emaar Development) compete for the same international buyer but not on Abu Dhabi land</w:t>
            </w:r>
          </w:p>
        </w:tc>
        <w:tc>
          <w:tcPr>
            <w:tcW w:type="dxa" w:w="2520"/>
          </w:tcPr>
          <w:p>
            <w:pPr>
              <w:spacing w:after="20"/>
              <w:jc w:val="right"/>
            </w:pPr>
            <w:r>
              <w:rPr>
                <w:color w:val="1C3A36"/>
                <w:sz w:val="15"/>
              </w:rPr>
              <w:t>ADREC 2025 report; company disclosures</w:t>
            </w:r>
          </w:p>
        </w:tc>
        <w:tc>
          <w:tcPr>
            <w:tcW w:type="dxa" w:w="1080"/>
          </w:tcPr>
          <w:p>
            <w:pPr>
              <w:spacing w:after="20"/>
              <w:jc w:val="right"/>
            </w:pPr>
            <w:r>
              <w:rPr>
                <w:color w:val="1C3A36"/>
                <w:sz w:val="15"/>
              </w:rPr>
              <w:t>2026-01-31</w:t>
            </w:r>
          </w:p>
        </w:tc>
      </w:tr>
      <w:tr>
        <w:tc>
          <w:tcPr>
            <w:tcW w:type="dxa" w:w="1080"/>
          </w:tcPr>
          <w:p>
            <w:pPr>
              <w:spacing w:after="20"/>
            </w:pPr>
            <w:r>
              <w:rPr>
                <w:color w:val="1C3A36"/>
                <w:sz w:val="15"/>
              </w:rPr>
              <w:t>Industry</w:t>
            </w:r>
          </w:p>
        </w:tc>
        <w:tc>
          <w:tcPr>
            <w:tcW w:type="dxa" w:w="5328"/>
          </w:tcPr>
          <w:p>
            <w:pPr>
              <w:spacing w:after="20"/>
              <w:jc w:val="right"/>
            </w:pPr>
            <w:r>
              <w:rPr>
                <w:color w:val="1C3A36"/>
                <w:sz w:val="15"/>
              </w:rPr>
              <w:t>Negative search — nothing found (modular construction disruption UAE developer margins; proptech substitution of exhibition venues (virtual events share post-2024))</w:t>
            </w:r>
          </w:p>
        </w:tc>
        <w:tc>
          <w:tcPr>
            <w:tcW w:type="dxa" w:w="2520"/>
          </w:tcPr>
          <w:p>
            <w:pPr>
              <w:spacing w:after="20"/>
              <w:jc w:val="right"/>
            </w:pPr>
            <w:r>
              <w:rPr>
                <w:color w:val="1C3A36"/>
                <w:sz w:val="15"/>
              </w:rPr>
              <w:t>negative search</w:t>
            </w:r>
          </w:p>
        </w:tc>
        <w:tc>
          <w:tcPr>
            <w:tcW w:type="dxa" w:w="1080"/>
          </w:tcPr>
          <w:p>
            <w:pPr>
              <w:spacing w:after="20"/>
              <w:jc w:val="right"/>
            </w:pPr>
            <w:r>
              <w:rPr>
                <w:color w:val="1C3A36"/>
                <w:sz w:val="15"/>
              </w:rPr>
              <w:t>2026-08-09</w:t>
            </w:r>
          </w:p>
        </w:tc>
      </w:tr>
      <w:tr>
        <w:tc>
          <w:tcPr>
            <w:tcW w:type="dxa" w:w="1080"/>
          </w:tcPr>
          <w:p>
            <w:pPr>
              <w:spacing w:after="20"/>
            </w:pPr>
            <w:r>
              <w:rPr>
                <w:color w:val="1C3A36"/>
                <w:sz w:val="15"/>
              </w:rPr>
              <w:t>Industry</w:t>
            </w:r>
          </w:p>
        </w:tc>
        <w:tc>
          <w:tcPr>
            <w:tcW w:type="dxa" w:w="5328"/>
          </w:tcPr>
          <w:p>
            <w:pPr>
              <w:spacing w:after="20"/>
              <w:jc w:val="right"/>
            </w:pPr>
            <w:r>
              <w:rPr>
                <w:color w:val="1C3A36"/>
                <w:sz w:val="15"/>
              </w:rPr>
              <w:t>Aldar FY2025: revenue AED 33.8bn (+47%), net profit 8.8bn (+36%), EBITDA 11.2bn, group sales 40.6bn, backlog AED 66.5bn Aldar-led (167bn incl. government projects). Emaar FY2025: property sales 80.4bn (+16%), revenue 49.6bn (+40%), backlog 155bn. Emaar Development: UAE sales 71.1bn, backlog 134.3bn</w:t>
            </w:r>
          </w:p>
        </w:tc>
        <w:tc>
          <w:tcPr>
            <w:tcW w:type="dxa" w:w="2520"/>
          </w:tcPr>
          <w:p>
            <w:pPr>
              <w:spacing w:after="20"/>
              <w:jc w:val="right"/>
            </w:pPr>
            <w:r>
              <w:rPr>
                <w:color w:val="1C3A36"/>
                <w:sz w:val="15"/>
              </w:rPr>
              <w:t>Aldar Q4-FY25 earnings release (aldar.com); Emaar FY2025 press release (emaar.com)</w:t>
            </w:r>
          </w:p>
        </w:tc>
        <w:tc>
          <w:tcPr>
            <w:tcW w:type="dxa" w:w="1080"/>
          </w:tcPr>
          <w:p>
            <w:pPr>
              <w:spacing w:after="20"/>
              <w:jc w:val="right"/>
            </w:pPr>
            <w:r>
              <w:rPr>
                <w:color w:val="1C3A36"/>
                <w:sz w:val="15"/>
              </w:rPr>
              <w:t>2026-02-09</w:t>
            </w:r>
          </w:p>
        </w:tc>
      </w:tr>
      <w:tr>
        <w:tc>
          <w:tcPr>
            <w:tcW w:type="dxa" w:w="1080"/>
          </w:tcPr>
          <w:p>
            <w:pPr>
              <w:spacing w:after="20"/>
            </w:pPr>
            <w:r>
              <w:rPr>
                <w:color w:val="1C3A36"/>
                <w:sz w:val="15"/>
              </w:rPr>
              <w:t>Company</w:t>
            </w:r>
          </w:p>
        </w:tc>
        <w:tc>
          <w:tcPr>
            <w:tcW w:type="dxa" w:w="5328"/>
          </w:tcPr>
          <w:p>
            <w:pPr>
              <w:spacing w:after="20"/>
              <w:jc w:val="right"/>
            </w:pPr>
            <w:r>
              <w:rPr>
                <w:color w:val="1C3A36"/>
                <w:sz w:val="15"/>
              </w:rPr>
              <w:t>Masterplan pipeline: Hudayriyat Island &gt;50mn sqm gross land, 40,000 planned units; Ras El Hekma (Egypt) 170.8mn sqm with Modon lead developer on the 56mn sqm phase 1, 500,000+ planned units, first precinct (Wadi Yemm) launched at AED 5.8bn across 2,109 units; La Zagaleta (Spain) land sales continuing</w:t>
            </w:r>
          </w:p>
        </w:tc>
        <w:tc>
          <w:tcPr>
            <w:tcW w:type="dxa" w:w="2520"/>
          </w:tcPr>
          <w:p>
            <w:pPr>
              <w:spacing w:after="20"/>
              <w:jc w:val="right"/>
            </w:pPr>
            <w:r>
              <w:rPr>
                <w:color w:val="1C3A36"/>
                <w:sz w:val="15"/>
              </w:rPr>
              <w:t>Modon Annual Report 2025 (masterplan disclosures)</w:t>
            </w:r>
          </w:p>
        </w:tc>
        <w:tc>
          <w:tcPr>
            <w:tcW w:type="dxa" w:w="1080"/>
          </w:tcPr>
          <w:p>
            <w:pPr>
              <w:spacing w:after="20"/>
              <w:jc w:val="right"/>
            </w:pPr>
            <w:r>
              <w:rPr>
                <w:color w:val="1C3A36"/>
                <w:sz w:val="15"/>
              </w:rPr>
              <w:t>2026-03-31</w:t>
            </w:r>
          </w:p>
        </w:tc>
      </w:tr>
      <w:tr>
        <w:tc>
          <w:tcPr>
            <w:tcW w:type="dxa" w:w="1080"/>
          </w:tcPr>
          <w:p>
            <w:pPr>
              <w:spacing w:after="20"/>
            </w:pPr>
            <w:r>
              <w:rPr>
                <w:color w:val="1C3A36"/>
                <w:sz w:val="15"/>
              </w:rPr>
              <w:t>Company</w:t>
            </w:r>
          </w:p>
        </w:tc>
        <w:tc>
          <w:tcPr>
            <w:tcW w:type="dxa" w:w="5328"/>
          </w:tcPr>
          <w:p>
            <w:pPr>
              <w:spacing w:after="20"/>
              <w:jc w:val="right"/>
            </w:pPr>
            <w:r>
              <w:rPr>
                <w:color w:val="1C3A36"/>
                <w:sz w:val="15"/>
              </w:rPr>
              <w:t>H1-2026 reviewed interims: revenue AED 9,188mn (+40% y/y), gross profit 3,201mn, PBT 2,601mn, profit 2,202mn; development backlog converting on schedule; loans and borrowings 8,542mn (+66% since Dec-2025) as construction accelerates</w:t>
            </w:r>
          </w:p>
        </w:tc>
        <w:tc>
          <w:tcPr>
            <w:tcW w:type="dxa" w:w="2520"/>
          </w:tcPr>
          <w:p>
            <w:pPr>
              <w:spacing w:after="20"/>
              <w:jc w:val="right"/>
            </w:pPr>
            <w:r>
              <w:rPr>
                <w:color w:val="1C3A36"/>
                <w:sz w:val="15"/>
              </w:rPr>
              <w:t>Interim condensed consolidated financial statements, 30-Jun-2026 (reviewed)</w:t>
            </w:r>
          </w:p>
        </w:tc>
        <w:tc>
          <w:tcPr>
            <w:tcW w:type="dxa" w:w="1080"/>
          </w:tcPr>
          <w:p>
            <w:pPr>
              <w:spacing w:after="20"/>
              <w:jc w:val="right"/>
            </w:pPr>
            <w:r>
              <w:rPr>
                <w:color w:val="1C3A36"/>
                <w:sz w:val="15"/>
              </w:rPr>
              <w:t>2026-08-07</w:t>
            </w:r>
          </w:p>
        </w:tc>
      </w:tr>
      <w:tr>
        <w:tc>
          <w:tcPr>
            <w:tcW w:type="dxa" w:w="1080"/>
          </w:tcPr>
          <w:p>
            <w:pPr>
              <w:spacing w:after="20"/>
            </w:pPr>
            <w:r>
              <w:rPr>
                <w:color w:val="1C3A36"/>
                <w:sz w:val="15"/>
              </w:rPr>
              <w:t>Company</w:t>
            </w:r>
          </w:p>
        </w:tc>
        <w:tc>
          <w:tcPr>
            <w:tcW w:type="dxa" w:w="5328"/>
          </w:tcPr>
          <w:p>
            <w:pPr>
              <w:spacing w:after="20"/>
              <w:jc w:val="right"/>
            </w:pPr>
            <w:r>
              <w:rPr>
                <w:color w:val="1C3A36"/>
                <w:sz w:val="15"/>
              </w:rPr>
              <w:t>FY2025 results release: revenue backlog AED 46.0bn (93% development sales), adjusted EBITDA 4.9bn (35.2% margin), net cash 1.8bn on the company's own definition (available cash incl. qualifying escrow, less total debt incl. the related-party loan); real-estate sales 36.3bn across 6,358 units; hospitality 7,137 keys at 71% occupancy; AIM occupancy 97%; 896 events, 6.3mn visitors</w:t>
            </w:r>
          </w:p>
        </w:tc>
        <w:tc>
          <w:tcPr>
            <w:tcW w:type="dxa" w:w="2520"/>
          </w:tcPr>
          <w:p>
            <w:pPr>
              <w:spacing w:after="20"/>
              <w:jc w:val="right"/>
            </w:pPr>
            <w:r>
              <w:rPr>
                <w:color w:val="1C3A36"/>
                <w:sz w:val="15"/>
              </w:rPr>
              <w:t>Modon FY2025 results announcement, modon.com media centre, 18-Feb-2026</w:t>
            </w:r>
          </w:p>
        </w:tc>
        <w:tc>
          <w:tcPr>
            <w:tcW w:type="dxa" w:w="1080"/>
          </w:tcPr>
          <w:p>
            <w:pPr>
              <w:spacing w:after="20"/>
              <w:jc w:val="right"/>
            </w:pPr>
            <w:r>
              <w:rPr>
                <w:color w:val="1C3A36"/>
                <w:sz w:val="15"/>
              </w:rPr>
              <w:t>2026-02-18</w:t>
            </w:r>
          </w:p>
        </w:tc>
      </w:tr>
      <w:tr>
        <w:tc>
          <w:tcPr>
            <w:tcW w:type="dxa" w:w="1080"/>
          </w:tcPr>
          <w:p>
            <w:pPr>
              <w:spacing w:after="20"/>
            </w:pPr>
            <w:r>
              <w:rPr>
                <w:color w:val="1C3A36"/>
                <w:sz w:val="15"/>
              </w:rPr>
              <w:t>Company</w:t>
            </w:r>
          </w:p>
        </w:tc>
        <w:tc>
          <w:tcPr>
            <w:tcW w:type="dxa" w:w="5328"/>
          </w:tcPr>
          <w:p>
            <w:pPr>
              <w:spacing w:after="20"/>
              <w:jc w:val="right"/>
            </w:pPr>
            <w:r>
              <w:rPr>
                <w:color w:val="1C3A36"/>
                <w:sz w:val="15"/>
              </w:rPr>
              <w:t>FY2024 is a perimeter break: the Modon Properties/ADNEC combination entered via share issues of AED 27.4bn and a bargain-purchase gain of AED 9,192mn; FY2024 reported profit 9,389mn falls to ~0.2bn excluding the one-off (company's own framing). FY2023 and earlier are the Q Holding perimeter</w:t>
            </w:r>
          </w:p>
        </w:tc>
        <w:tc>
          <w:tcPr>
            <w:tcW w:type="dxa" w:w="2520"/>
          </w:tcPr>
          <w:p>
            <w:pPr>
              <w:spacing w:after="20"/>
              <w:jc w:val="right"/>
            </w:pPr>
            <w:r>
              <w:rPr>
                <w:color w:val="1C3A36"/>
                <w:sz w:val="15"/>
              </w:rPr>
              <w:t>Note 4 business combinations, audited FY2025/FY2024 statements; FY2025 results release</w:t>
            </w:r>
          </w:p>
        </w:tc>
        <w:tc>
          <w:tcPr>
            <w:tcW w:type="dxa" w:w="1080"/>
          </w:tcPr>
          <w:p>
            <w:pPr>
              <w:spacing w:after="20"/>
              <w:jc w:val="right"/>
            </w:pPr>
            <w:r>
              <w:rPr>
                <w:color w:val="1C3A36"/>
                <w:sz w:val="15"/>
              </w:rPr>
              <w:t>2026-02-18</w:t>
            </w:r>
          </w:p>
        </w:tc>
      </w:tr>
      <w:tr>
        <w:tc>
          <w:tcPr>
            <w:tcW w:type="dxa" w:w="1080"/>
          </w:tcPr>
          <w:p>
            <w:pPr>
              <w:spacing w:after="20"/>
            </w:pPr>
            <w:r>
              <w:rPr>
                <w:color w:val="1C3A36"/>
                <w:sz w:val="15"/>
              </w:rPr>
              <w:t>Company</w:t>
            </w:r>
          </w:p>
        </w:tc>
        <w:tc>
          <w:tcPr>
            <w:tcW w:type="dxa" w:w="5328"/>
          </w:tcPr>
          <w:p>
            <w:pPr>
              <w:spacing w:after="20"/>
              <w:jc w:val="right"/>
            </w:pPr>
            <w:r>
              <w:rPr>
                <w:color w:val="1C3A36"/>
                <w:sz w:val="15"/>
              </w:rPr>
              <w:t>Named transaction: on 30-Oct-2025 IHC and ADQ disposed of their entire shareholding to L'imad Holding Company PJSC (wholly owned by the Abu Dhabi Government); the FY2025 results release states an 84.75% L'imad stake</w:t>
            </w:r>
          </w:p>
        </w:tc>
        <w:tc>
          <w:tcPr>
            <w:tcW w:type="dxa" w:w="2520"/>
          </w:tcPr>
          <w:p>
            <w:pPr>
              <w:spacing w:after="20"/>
              <w:jc w:val="right"/>
            </w:pPr>
            <w:r>
              <w:rPr>
                <w:color w:val="1C3A36"/>
                <w:sz w:val="15"/>
              </w:rPr>
              <w:t>Note 1, audited FY2025 consolidated financial statements; FY2025 results release</w:t>
            </w:r>
          </w:p>
        </w:tc>
        <w:tc>
          <w:tcPr>
            <w:tcW w:type="dxa" w:w="1080"/>
          </w:tcPr>
          <w:p>
            <w:pPr>
              <w:spacing w:after="20"/>
              <w:jc w:val="right"/>
            </w:pPr>
            <w:r>
              <w:rPr>
                <w:color w:val="1C3A36"/>
                <w:sz w:val="15"/>
              </w:rPr>
              <w:t>2026-02-18</w:t>
            </w:r>
          </w:p>
        </w:tc>
      </w:tr>
      <w:tr>
        <w:tc>
          <w:tcPr>
            <w:tcW w:type="dxa" w:w="1080"/>
          </w:tcPr>
          <w:p>
            <w:pPr>
              <w:spacing w:after="20"/>
            </w:pPr>
            <w:r>
              <w:rPr>
                <w:color w:val="1C3A36"/>
                <w:sz w:val="15"/>
              </w:rPr>
              <w:t>Company</w:t>
            </w:r>
          </w:p>
        </w:tc>
        <w:tc>
          <w:tcPr>
            <w:tcW w:type="dxa" w:w="5328"/>
          </w:tcPr>
          <w:p>
            <w:pPr>
              <w:spacing w:after="20"/>
              <w:jc w:val="right"/>
            </w:pPr>
            <w:r>
              <w:rPr>
                <w:color w:val="1C3A36"/>
                <w:sz w:val="15"/>
              </w:rPr>
              <w:t>No dividend paid to owners in FY2024 or FY2025 (statements of changes in equity show only an AED 243mn NCI dividend in 2025) and none proposed with FY2025 results; no buyback; Group CFO signature changed between the FY2025 filing (Bill O'Regan) and the H1-2026 interim (Matt Matharu)</w:t>
            </w:r>
          </w:p>
        </w:tc>
        <w:tc>
          <w:tcPr>
            <w:tcW w:type="dxa" w:w="2520"/>
          </w:tcPr>
          <w:p>
            <w:pPr>
              <w:spacing w:after="20"/>
              <w:jc w:val="right"/>
            </w:pPr>
            <w:r>
              <w:rPr>
                <w:color w:val="1C3A36"/>
                <w:sz w:val="15"/>
              </w:rPr>
              <w:t>Audited FY2025 statements; H1-2026 interim; FY2025 results release</w:t>
            </w:r>
          </w:p>
        </w:tc>
        <w:tc>
          <w:tcPr>
            <w:tcW w:type="dxa" w:w="1080"/>
          </w:tcPr>
          <w:p>
            <w:pPr>
              <w:spacing w:after="20"/>
              <w:jc w:val="right"/>
            </w:pPr>
            <w:r>
              <w:rPr>
                <w:color w:val="1C3A36"/>
                <w:sz w:val="15"/>
              </w:rPr>
              <w:t>2026-08-07</w:t>
            </w:r>
          </w:p>
        </w:tc>
      </w:tr>
      <w:tr>
        <w:tc>
          <w:tcPr>
            <w:tcW w:type="dxa" w:w="1080"/>
          </w:tcPr>
          <w:p>
            <w:pPr>
              <w:spacing w:after="20"/>
            </w:pPr>
            <w:r>
              <w:rPr>
                <w:color w:val="1C3A36"/>
                <w:sz w:val="15"/>
              </w:rPr>
              <w:t>Company</w:t>
            </w:r>
          </w:p>
        </w:tc>
        <w:tc>
          <w:tcPr>
            <w:tcW w:type="dxa" w:w="5328"/>
          </w:tcPr>
          <w:p>
            <w:pPr>
              <w:spacing w:after="20"/>
              <w:jc w:val="right"/>
            </w:pPr>
            <w:r>
              <w:rPr>
                <w:color w:val="1C3A36"/>
                <w:sz w:val="15"/>
              </w:rPr>
              <w:t>Four audited fiscal years assembled from the company's own filings: FY2025 (Modon, audited, signed 18-Feb-2026), FY2024 (comparatives in the FY2025 filing + the scanned FY2024 original), FY2023 and FY2022 (Q Holding filings). H1-2026 reviewed interim on top. All retrieved directly from modon.com/investor-relations</w:t>
            </w:r>
          </w:p>
        </w:tc>
        <w:tc>
          <w:tcPr>
            <w:tcW w:type="dxa" w:w="2520"/>
          </w:tcPr>
          <w:p>
            <w:pPr>
              <w:spacing w:after="20"/>
              <w:jc w:val="right"/>
            </w:pPr>
            <w:r>
              <w:rPr>
                <w:color w:val="1C3A36"/>
                <w:sz w:val="15"/>
              </w:rPr>
              <w:t>Audited consolidated financial statements FY2022-FY2025; H1-2026 interim</w:t>
            </w:r>
          </w:p>
        </w:tc>
        <w:tc>
          <w:tcPr>
            <w:tcW w:type="dxa" w:w="1080"/>
          </w:tcPr>
          <w:p>
            <w:pPr>
              <w:spacing w:after="20"/>
              <w:jc w:val="right"/>
            </w:pPr>
            <w:r>
              <w:rPr>
                <w:color w:val="1C3A36"/>
                <w:sz w:val="15"/>
              </w:rPr>
              <w:t>2026-02-18</w:t>
            </w:r>
          </w:p>
        </w:tc>
      </w:tr>
      <w:tr>
        <w:tc>
          <w:tcPr>
            <w:tcW w:type="dxa" w:w="1080"/>
          </w:tcPr>
          <w:p>
            <w:pPr>
              <w:spacing w:after="20"/>
            </w:pPr>
            <w:r>
              <w:rPr>
                <w:color w:val="1C3A36"/>
                <w:sz w:val="15"/>
              </w:rPr>
              <w:t>Company</w:t>
            </w:r>
          </w:p>
        </w:tc>
        <w:tc>
          <w:tcPr>
            <w:tcW w:type="dxa" w:w="5328"/>
          </w:tcPr>
          <w:p>
            <w:pPr>
              <w:spacing w:after="20"/>
              <w:jc w:val="right"/>
            </w:pPr>
            <w:r>
              <w:rPr>
                <w:color w:val="1C3A36"/>
                <w:sz w:val="15"/>
              </w:rPr>
              <w:t>FY2023 audited consolidated financial statements (Q Holding PSC perimeter): revenue AED 994mn, profit 574mn, total assets 21.3bn</w:t>
            </w:r>
          </w:p>
        </w:tc>
        <w:tc>
          <w:tcPr>
            <w:tcW w:type="dxa" w:w="2520"/>
          </w:tcPr>
          <w:p>
            <w:pPr>
              <w:spacing w:after="20"/>
              <w:jc w:val="right"/>
            </w:pPr>
            <w:r>
              <w:rPr>
                <w:color w:val="1C3A36"/>
                <w:sz w:val="15"/>
              </w:rPr>
              <w:t>Audited FY2023 consolidated financial statements (Q Holding PSC)</w:t>
            </w:r>
          </w:p>
        </w:tc>
        <w:tc>
          <w:tcPr>
            <w:tcW w:type="dxa" w:w="1080"/>
          </w:tcPr>
          <w:p>
            <w:pPr>
              <w:spacing w:after="20"/>
              <w:jc w:val="right"/>
            </w:pPr>
            <w:r>
              <w:rPr>
                <w:color w:val="1C3A36"/>
                <w:sz w:val="15"/>
              </w:rPr>
              <w:t>2024-02-15</w:t>
            </w:r>
          </w:p>
        </w:tc>
      </w:tr>
      <w:tr>
        <w:tc>
          <w:tcPr>
            <w:tcW w:type="dxa" w:w="1080"/>
          </w:tcPr>
          <w:p>
            <w:pPr>
              <w:spacing w:after="20"/>
            </w:pPr>
            <w:r>
              <w:rPr>
                <w:color w:val="1C3A36"/>
                <w:sz w:val="15"/>
              </w:rPr>
              <w:t>Company</w:t>
            </w:r>
          </w:p>
        </w:tc>
        <w:tc>
          <w:tcPr>
            <w:tcW w:type="dxa" w:w="5328"/>
          </w:tcPr>
          <w:p>
            <w:pPr>
              <w:spacing w:after="20"/>
              <w:jc w:val="right"/>
            </w:pPr>
            <w:r>
              <w:rPr>
                <w:color w:val="1C3A36"/>
                <w:sz w:val="15"/>
              </w:rPr>
              <w:t>FY2022 audited figures via the FY2023 filing's comparative column: revenue AED 720mn, profit 823mn, total assets 19.5bn</w:t>
            </w:r>
          </w:p>
        </w:tc>
        <w:tc>
          <w:tcPr>
            <w:tcW w:type="dxa" w:w="2520"/>
          </w:tcPr>
          <w:p>
            <w:pPr>
              <w:spacing w:after="20"/>
              <w:jc w:val="right"/>
            </w:pPr>
            <w:r>
              <w:rPr>
                <w:color w:val="1C3A36"/>
                <w:sz w:val="15"/>
              </w:rPr>
              <w:t>Audited FY2023 consolidated financial statements, FY2022 comparatives</w:t>
            </w:r>
          </w:p>
        </w:tc>
        <w:tc>
          <w:tcPr>
            <w:tcW w:type="dxa" w:w="1080"/>
          </w:tcPr>
          <w:p>
            <w:pPr>
              <w:spacing w:after="20"/>
              <w:jc w:val="right"/>
            </w:pPr>
            <w:r>
              <w:rPr>
                <w:color w:val="1C3A36"/>
                <w:sz w:val="15"/>
              </w:rPr>
              <w:t>2024-02-15</w:t>
            </w:r>
          </w:p>
        </w:tc>
      </w:tr>
      <w:tr>
        <w:tc>
          <w:tcPr>
            <w:tcW w:type="dxa" w:w="1080"/>
          </w:tcPr>
          <w:p>
            <w:pPr>
              <w:spacing w:after="20"/>
            </w:pPr>
            <w:r>
              <w:rPr>
                <w:color w:val="1C3A36"/>
                <w:sz w:val="15"/>
              </w:rPr>
              <w:t>Company</w:t>
            </w:r>
          </w:p>
        </w:tc>
        <w:tc>
          <w:tcPr>
            <w:tcW w:type="dxa" w:w="5328"/>
          </w:tcPr>
          <w:p>
            <w:pPr>
              <w:spacing w:after="20"/>
              <w:jc w:val="right"/>
            </w:pPr>
            <w:r>
              <w:rPr>
                <w:color w:val="1C3A36"/>
                <w:sz w:val="15"/>
              </w:rPr>
              <w:t>H1-2026 results release (29-Jul-2026): revenue backlog AED 65.4bn (doubling y/y, +42% vs FY2025), 95% development; H1 real-estate sales AED 26bn incl. 23bn Abu Dhabi (Hudayriyat Golf Estates AED 13bn within days); net debt AED 912mn on the company definition with AED 8.6bn unrestricted cash; adjusted EBITDA AED 3.0bn (32.6%); hospitality 3,613 keys across 16 owned/operated/JV hotels. (added at revision 2 after external audit)</w:t>
            </w:r>
          </w:p>
        </w:tc>
        <w:tc>
          <w:tcPr>
            <w:tcW w:type="dxa" w:w="2520"/>
          </w:tcPr>
          <w:p>
            <w:pPr>
              <w:spacing w:after="20"/>
              <w:jc w:val="right"/>
            </w:pPr>
            <w:r>
              <w:rPr>
                <w:color w:val="1C3A36"/>
                <w:sz w:val="15"/>
              </w:rPr>
              <w:t>Modon H1-2026 results announcement, modon.com media centre, 29-Jul-2026</w:t>
            </w:r>
          </w:p>
        </w:tc>
        <w:tc>
          <w:tcPr>
            <w:tcW w:type="dxa" w:w="1080"/>
          </w:tcPr>
          <w:p>
            <w:pPr>
              <w:spacing w:after="20"/>
              <w:jc w:val="right"/>
            </w:pPr>
            <w:r>
              <w:rPr>
                <w:color w:val="1C3A36"/>
                <w:sz w:val="15"/>
              </w:rPr>
              <w:t>2026-07-29</w:t>
            </w:r>
          </w:p>
        </w:tc>
      </w:tr>
      <w:tr>
        <w:tc>
          <w:tcPr>
            <w:tcW w:type="dxa" w:w="1080"/>
          </w:tcPr>
          <w:p>
            <w:pPr>
              <w:spacing w:after="20"/>
            </w:pPr>
            <w:r>
              <w:rPr>
                <w:color w:val="1C3A36"/>
                <w:sz w:val="15"/>
              </w:rPr>
              <w:t>Industry</w:t>
            </w:r>
          </w:p>
        </w:tc>
        <w:tc>
          <w:tcPr>
            <w:tcW w:type="dxa" w:w="5328"/>
          </w:tcPr>
          <w:p>
            <w:pPr>
              <w:spacing w:after="20"/>
              <w:jc w:val="right"/>
            </w:pPr>
            <w:r>
              <w:rPr>
                <w:color w:val="1C3A36"/>
                <w:sz w:val="15"/>
              </w:rPr>
              <w:t>TIER 1 — own-stock weekly regression vs the stock's OWN local index, the official FTSE ADX General (3,884 sessions, 02-Jan-2011 to 24-Jul-2026, screened for data quality before use: 249.7 rows/yr on ADX's own calendar, zero moves beyond the +/-15% constituent limit, zero repairs). Beta 1.278 (5y, SE 0.258, R2 0.089, n 255, clears the usability test) is adopted as the longest window clearing the gate; 3y 1.800 (R2 0.258), 2y 1.581 (R2 0.306) both read HIGHER. The retired revision-2 proxy (equal-weight composite of the 19 house UAE names) re-run on the same weeks reads 1.118 at 5y - it under-read at every window because the official index is 1.30x less volatile than the composite (11.5% vs 14.9% annualised) at a similar correlation (0.298 vs 0.343). Damodaran EM industry route stays rejected as primary (RE Development unlevered 0.45 dominated by highly-levered Chinese developers, D/E 1.97); retained as a lower-bound cross-check (relevered 0.56-0.59)</w:t>
            </w:r>
          </w:p>
        </w:tc>
        <w:tc>
          <w:tcPr>
            <w:tcW w:type="dxa" w:w="2520"/>
          </w:tcPr>
          <w:p>
            <w:pPr>
              <w:spacing w:after="20"/>
              <w:jc w:val="right"/>
            </w:pPr>
            <w:r>
              <w:rPr>
                <w:color w:val="1C3A36"/>
                <w:sz w:val="15"/>
              </w:rPr>
              <w:t>Official FTSE ADX General daily history (requester-supplied, 10-Aug-2026); house regression beta_official.py; Damodaran betaemerg.xls (07-Jan-2026)</w:t>
            </w:r>
          </w:p>
        </w:tc>
        <w:tc>
          <w:tcPr>
            <w:tcW w:type="dxa" w:w="1080"/>
          </w:tcPr>
          <w:p>
            <w:pPr>
              <w:spacing w:after="20"/>
              <w:jc w:val="right"/>
            </w:pPr>
            <w:r>
              <w:rPr>
                <w:color w:val="1C3A36"/>
                <w:sz w:val="15"/>
              </w:rPr>
              <w:t>2026-08-10</w:t>
            </w:r>
          </w:p>
        </w:tc>
      </w:tr>
    </w:tbl>
    <w:p>
      <w:pPr>
        <w:spacing w:after="40"/>
      </w:pPr>
    </w:p>
    <w:p>
      <w:pPr>
        <w:spacing w:after="200" w:before="0"/>
      </w:pPr>
      <w:r>
        <w:rPr>
          <w:b w:val="0"/>
          <w:i/>
          <w:color w:val="6E7B77"/>
          <w:sz w:val="17"/>
        </w:rPr>
        <w:t>Every claim the model rests on, with source and date. The companion bibliography carries the full input-by-input register — now including the corrections adopted from the external audits, each marked.</w:t>
      </w:r>
    </w:p>
    <w:p>
      <w:pPr>
        <w:spacing w:after="120" w:before="280"/>
      </w:pPr>
      <w:r>
        <w:rPr>
          <w:b/>
          <w:i w:val="0"/>
          <w:color w:val="1C3A36"/>
          <w:sz w:val="30"/>
        </w:rPr>
        <w:t>Appendix C · Three experts, worked in full</w:t>
      </w:r>
    </w:p>
    <w:p>
      <w:pPr>
        <w:spacing w:after="120" w:before="0"/>
      </w:pPr>
      <w:r>
        <w:rPr>
          <w:b w:val="0"/>
          <w:i w:val="0"/>
          <w:color w:val="1C3A36"/>
          <w:sz w:val="21"/>
        </w:rPr>
        <w:t>Three framings, each taken to a number by a different method, with stated blind spots and falsifiers. Labelled Expert 1, 2 and 3. Expert 2 builds on the study's own run-off scenario — a derived framing with an independent overlay, labelled as such, not a third independent view.</w:t>
      </w:r>
    </w:p>
    <w:p>
      <w:pPr>
        <w:spacing w:after="80" w:before="200"/>
      </w:pPr>
      <w:r>
        <w:rPr>
          <w:b/>
          <w:i w:val="0"/>
          <w:color w:val="1C3A36"/>
          <w:sz w:val="24"/>
        </w:rPr>
        <w:t>C.1 · Expert 1 — the asset value (revalued net assets)</w:t>
      </w:r>
    </w:p>
    <w:p>
      <w:pPr>
        <w:spacing w:after="120" w:before="0"/>
      </w:pPr>
      <w:r>
        <w:rPr>
          <w:b w:val="0"/>
          <w:i w:val="0"/>
          <w:color w:val="1C3A36"/>
          <w:sz w:val="21"/>
        </w:rPr>
        <w:t>Worldview: a developer is a warehouse of land bought below market. Works when the land is carried far below realisable value; fails when the buyer of first resort is a related party whose price is the appraisal.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768"/>
        <w:gridCol w:w="2160"/>
      </w:tblGrid>
      <w:tr>
        <w:tc>
          <w:tcPr>
            <w:tcW w:type="dxa" w:w="6768"/>
            <w:shd w:val="clear" w:color="auto" w:fill="EAF0EE"/>
          </w:tcPr>
          <w:p>
            <w:pPr>
              <w:spacing w:after="20"/>
            </w:pPr>
            <w:r>
              <w:rPr>
                <w:b/>
                <w:color w:val="1C3A36"/>
                <w:sz w:val="18"/>
              </w:rPr>
              <w:t>Line</w:t>
            </w:r>
          </w:p>
        </w:tc>
        <w:tc>
          <w:tcPr>
            <w:tcW w:type="dxa" w:w="2160"/>
            <w:shd w:val="clear" w:color="auto" w:fill="EAF0EE"/>
          </w:tcPr>
          <w:p>
            <w:pPr>
              <w:spacing w:after="20"/>
            </w:pPr>
            <w:r>
              <w:rPr>
                <w:b/>
                <w:color w:val="1C3A36"/>
                <w:sz w:val="18"/>
              </w:rPr>
              <w:t>AED mn</w:t>
            </w:r>
          </w:p>
        </w:tc>
      </w:tr>
      <w:tr>
        <w:tc>
          <w:tcPr>
            <w:tcW w:type="dxa" w:w="6768"/>
          </w:tcPr>
          <w:p>
            <w:pPr>
              <w:spacing w:after="20"/>
            </w:pPr>
            <w:r>
              <w:rPr>
                <w:color w:val="1C3A36"/>
                <w:sz w:val="18"/>
              </w:rPr>
              <w:t>Attributable equity, 30 Jun 2026 (reviewed)</w:t>
            </w:r>
          </w:p>
        </w:tc>
        <w:tc>
          <w:tcPr>
            <w:tcW w:type="dxa" w:w="2160"/>
          </w:tcPr>
          <w:p>
            <w:pPr>
              <w:spacing w:after="20"/>
              <w:jc w:val="right"/>
            </w:pPr>
            <w:r>
              <w:rPr>
                <w:color w:val="1C3A36"/>
                <w:sz w:val="18"/>
              </w:rPr>
              <w:t>56,397</w:t>
            </w:r>
          </w:p>
        </w:tc>
      </w:tr>
      <w:tr>
        <w:tc>
          <w:tcPr>
            <w:tcW w:type="dxa" w:w="6768"/>
          </w:tcPr>
          <w:p>
            <w:pPr>
              <w:spacing w:after="20"/>
            </w:pPr>
            <w:r>
              <w:rPr>
                <w:color w:val="1C3A36"/>
                <w:sz w:val="18"/>
              </w:rPr>
              <w:t>Land bank at cost (land plots within inventories, FY2025 note)</w:t>
            </w:r>
          </w:p>
        </w:tc>
        <w:tc>
          <w:tcPr>
            <w:tcW w:type="dxa" w:w="2160"/>
          </w:tcPr>
          <w:p>
            <w:pPr>
              <w:spacing w:after="20"/>
              <w:jc w:val="right"/>
            </w:pPr>
            <w:r>
              <w:rPr>
                <w:color w:val="1C3A36"/>
                <w:sz w:val="18"/>
              </w:rPr>
              <w:t>26,611</w:t>
            </w:r>
          </w:p>
        </w:tc>
      </w:tr>
      <w:tr>
        <w:tc>
          <w:tcPr>
            <w:tcW w:type="dxa" w:w="6768"/>
          </w:tcPr>
          <w:p>
            <w:pPr>
              <w:spacing w:after="20"/>
            </w:pPr>
            <w:r>
              <w:rPr>
                <w:color w:val="1C3A36"/>
                <w:sz w:val="18"/>
              </w:rPr>
              <w:t>Mark-up: 33.7% — EXACTLY half the realised 67.4% related-party land-sale margin (the first edition said "half" but applied 35%; aligned)</w:t>
            </w:r>
          </w:p>
        </w:tc>
        <w:tc>
          <w:tcPr>
            <w:tcW w:type="dxa" w:w="2160"/>
          </w:tcPr>
          <w:p>
            <w:pPr>
              <w:spacing w:after="20"/>
              <w:jc w:val="right"/>
            </w:pPr>
            <w:r>
              <w:rPr>
                <w:color w:val="1C3A36"/>
                <w:sz w:val="18"/>
              </w:rPr>
              <w:t>8,968</w:t>
            </w:r>
          </w:p>
        </w:tc>
      </w:tr>
      <w:tr>
        <w:tc>
          <w:tcPr>
            <w:tcW w:type="dxa" w:w="6768"/>
          </w:tcPr>
          <w:p>
            <w:pPr>
              <w:spacing w:after="20"/>
            </w:pPr>
            <w:r>
              <w:rPr>
                <w:color w:val="1C3A36"/>
                <w:sz w:val="18"/>
              </w:rPr>
              <w:t>Work-in-progress mark-up: 15% on AED 6,488mn</w:t>
            </w:r>
          </w:p>
        </w:tc>
        <w:tc>
          <w:tcPr>
            <w:tcW w:type="dxa" w:w="2160"/>
          </w:tcPr>
          <w:p>
            <w:pPr>
              <w:spacing w:after="20"/>
              <w:jc w:val="right"/>
            </w:pPr>
            <w:r>
              <w:rPr>
                <w:color w:val="1C3A36"/>
                <w:sz w:val="18"/>
              </w:rPr>
              <w:t>973</w:t>
            </w:r>
          </w:p>
        </w:tc>
      </w:tr>
      <w:tr>
        <w:tc>
          <w:tcPr>
            <w:tcW w:type="dxa" w:w="6768"/>
            <w:shd w:val="clear" w:color="auto" w:fill="F6F1E6"/>
          </w:tcPr>
          <w:p>
            <w:pPr>
              <w:spacing w:after="20"/>
            </w:pPr>
            <w:r>
              <w:rPr>
                <w:b/>
                <w:color w:val="1C3A36"/>
                <w:sz w:val="18"/>
              </w:rPr>
              <w:t>Revalued net asset value</w:t>
            </w:r>
          </w:p>
        </w:tc>
        <w:tc>
          <w:tcPr>
            <w:tcW w:type="dxa" w:w="2160"/>
            <w:shd w:val="clear" w:color="auto" w:fill="F6F1E6"/>
          </w:tcPr>
          <w:p>
            <w:pPr>
              <w:spacing w:after="20"/>
              <w:jc w:val="right"/>
            </w:pPr>
            <w:r>
              <w:rPr>
                <w:b/>
                <w:color w:val="1C3A36"/>
                <w:sz w:val="18"/>
              </w:rPr>
              <w:t>66,338</w:t>
            </w:r>
          </w:p>
        </w:tc>
      </w:tr>
      <w:tr>
        <w:tc>
          <w:tcPr>
            <w:tcW w:type="dxa" w:w="6768"/>
          </w:tcPr>
          <w:p>
            <w:pPr>
              <w:spacing w:after="20"/>
            </w:pPr>
            <w:r>
              <w:rPr>
                <w:color w:val="1C3A36"/>
                <w:sz w:val="18"/>
              </w:rPr>
              <w:t>Per share (16,347mn shares)</w:t>
            </w:r>
          </w:p>
        </w:tc>
        <w:tc>
          <w:tcPr>
            <w:tcW w:type="dxa" w:w="2160"/>
          </w:tcPr>
          <w:p>
            <w:pPr>
              <w:spacing w:after="20"/>
              <w:jc w:val="right"/>
            </w:pPr>
            <w:r>
              <w:rPr>
                <w:color w:val="1C3A36"/>
                <w:sz w:val="18"/>
              </w:rPr>
              <w:t>4.06</w:t>
            </w:r>
          </w:p>
        </w:tc>
      </w:tr>
      <w:tr>
        <w:tc>
          <w:tcPr>
            <w:tcW w:type="dxa" w:w="6768"/>
          </w:tcPr>
          <w:p>
            <w:pPr>
              <w:spacing w:after="20"/>
            </w:pPr>
            <w:r>
              <w:rPr>
                <w:color w:val="1C3A36"/>
                <w:sz w:val="18"/>
              </w:rPr>
              <w:t>Range: appraisal haircut 15% to premium 12%</w:t>
            </w:r>
          </w:p>
        </w:tc>
        <w:tc>
          <w:tcPr>
            <w:tcW w:type="dxa" w:w="2160"/>
          </w:tcPr>
          <w:p>
            <w:pPr>
              <w:spacing w:after="20"/>
              <w:jc w:val="right"/>
            </w:pPr>
            <w:r>
              <w:rPr>
                <w:color w:val="1C3A36"/>
                <w:sz w:val="18"/>
              </w:rPr>
              <w:t>3.45–4.55</w:t>
            </w:r>
          </w:p>
        </w:tc>
      </w:tr>
    </w:tbl>
    <w:p>
      <w:pPr>
        <w:spacing w:after="40"/>
      </w:pPr>
    </w:p>
    <w:p>
      <w:pPr>
        <w:spacing w:after="120" w:before="0"/>
      </w:pPr>
      <w:r>
        <w:rPr>
          <w:b w:val="0"/>
          <w:i w:val="0"/>
          <w:color w:val="1C3A36"/>
          <w:sz w:val="21"/>
        </w:rPr>
        <w:t>Named sensitivity: each 10 points of land mark-up is AED 0.16 per share. Falsifier: two consecutive halves of arms-length land sales clearing below 20% gross margin collapses the mark-up toward zero and this value toward book (AED 3.45).</w:t>
      </w:r>
    </w:p>
    <w:p>
      <w:pPr>
        <w:spacing w:after="80" w:before="200"/>
      </w:pPr>
      <w:r>
        <w:rPr>
          <w:b/>
          <w:i w:val="0"/>
          <w:color w:val="1C3A36"/>
          <w:sz w:val="24"/>
        </w:rPr>
        <w:t>C.2 · Expert 2 — owner cash flow on the run-off stress (derived framing)</w:t>
      </w:r>
    </w:p>
    <w:p>
      <w:pPr>
        <w:spacing w:after="120" w:before="0"/>
      </w:pPr>
      <w:r>
        <w:rPr>
          <w:b w:val="0"/>
          <w:i w:val="0"/>
          <w:color w:val="1C3A36"/>
          <w:sz w:val="21"/>
        </w:rPr>
        <w:t>Worldview: value only the cash an owner could take out if no new story arrives; treat affiliate receivables as impaired until collected. Works at cycle tops; structurally blind to compounding growth.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768"/>
        <w:gridCol w:w="2304"/>
      </w:tblGrid>
      <w:tr>
        <w:tc>
          <w:tcPr>
            <w:tcW w:type="dxa" w:w="6768"/>
            <w:shd w:val="clear" w:color="auto" w:fill="EAF0EE"/>
          </w:tcPr>
          <w:p>
            <w:pPr>
              <w:spacing w:after="20"/>
            </w:pPr>
            <w:r>
              <w:rPr>
                <w:b/>
                <w:color w:val="1C3A36"/>
                <w:sz w:val="18"/>
              </w:rPr>
              <w:t>Line</w:t>
            </w:r>
          </w:p>
        </w:tc>
        <w:tc>
          <w:tcPr>
            <w:tcW w:type="dxa" w:w="2304"/>
            <w:shd w:val="clear" w:color="auto" w:fill="EAF0EE"/>
          </w:tcPr>
          <w:p>
            <w:pPr>
              <w:spacing w:after="20"/>
            </w:pPr>
            <w:r>
              <w:rPr>
                <w:b/>
                <w:color w:val="1C3A36"/>
                <w:sz w:val="18"/>
              </w:rPr>
              <w:t>Value</w:t>
            </w:r>
          </w:p>
        </w:tc>
      </w:tr>
      <w:tr>
        <w:tc>
          <w:tcPr>
            <w:tcW w:type="dxa" w:w="6768"/>
          </w:tcPr>
          <w:p>
            <w:pPr>
              <w:spacing w:after="20"/>
            </w:pPr>
            <w:r>
              <w:rPr>
                <w:color w:val="1C3A36"/>
                <w:sz w:val="18"/>
              </w:rPr>
              <w:t>Run-off stress DCF (the study's own scenario)</w:t>
            </w:r>
          </w:p>
        </w:tc>
        <w:tc>
          <w:tcPr>
            <w:tcW w:type="dxa" w:w="2304"/>
          </w:tcPr>
          <w:p>
            <w:pPr>
              <w:spacing w:after="20"/>
              <w:jc w:val="right"/>
            </w:pPr>
            <w:r>
              <w:rPr>
                <w:color w:val="1C3A36"/>
                <w:sz w:val="18"/>
              </w:rPr>
              <w:t>AED 3.28/sh</w:t>
            </w:r>
          </w:p>
        </w:tc>
      </w:tr>
      <w:tr>
        <w:tc>
          <w:tcPr>
            <w:tcW w:type="dxa" w:w="6768"/>
          </w:tcPr>
          <w:p>
            <w:pPr>
              <w:spacing w:after="20"/>
            </w:pPr>
            <w:r>
              <w:rPr>
                <w:color w:val="1C3A36"/>
                <w:sz w:val="18"/>
              </w:rPr>
              <w:t>Related-party receivable book, 30 Jun 2026</w:t>
            </w:r>
          </w:p>
        </w:tc>
        <w:tc>
          <w:tcPr>
            <w:tcW w:type="dxa" w:w="2304"/>
          </w:tcPr>
          <w:p>
            <w:pPr>
              <w:spacing w:after="20"/>
              <w:jc w:val="right"/>
            </w:pPr>
            <w:r>
              <w:rPr>
                <w:color w:val="1C3A36"/>
                <w:sz w:val="18"/>
              </w:rPr>
              <w:t>AED 10,756mn</w:t>
            </w:r>
          </w:p>
        </w:tc>
      </w:tr>
      <w:tr>
        <w:tc>
          <w:tcPr>
            <w:tcW w:type="dxa" w:w="6768"/>
          </w:tcPr>
          <w:p>
            <w:pPr>
              <w:spacing w:after="20"/>
            </w:pPr>
            <w:r>
              <w:rPr>
                <w:color w:val="1C3A36"/>
                <w:sz w:val="18"/>
              </w:rPr>
              <w:t>Haircut: 25% for timing and collection</w:t>
            </w:r>
          </w:p>
        </w:tc>
        <w:tc>
          <w:tcPr>
            <w:tcW w:type="dxa" w:w="2304"/>
          </w:tcPr>
          <w:p>
            <w:pPr>
              <w:spacing w:after="20"/>
              <w:jc w:val="right"/>
            </w:pPr>
            <w:r>
              <w:rPr>
                <w:color w:val="1C3A36"/>
                <w:sz w:val="18"/>
              </w:rPr>
              <w:t>− AED 0.16/sh</w:t>
            </w:r>
          </w:p>
        </w:tc>
      </w:tr>
      <w:tr>
        <w:tc>
          <w:tcPr>
            <w:tcW w:type="dxa" w:w="6768"/>
            <w:shd w:val="clear" w:color="auto" w:fill="F6F1E6"/>
          </w:tcPr>
          <w:p>
            <w:pPr>
              <w:spacing w:after="20"/>
            </w:pPr>
            <w:r>
              <w:rPr>
                <w:b/>
                <w:color w:val="1C3A36"/>
                <w:sz w:val="18"/>
              </w:rPr>
              <w:t>Expert 2 value</w:t>
            </w:r>
          </w:p>
        </w:tc>
        <w:tc>
          <w:tcPr>
            <w:tcW w:type="dxa" w:w="2304"/>
            <w:shd w:val="clear" w:color="auto" w:fill="F6F1E6"/>
          </w:tcPr>
          <w:p>
            <w:pPr>
              <w:spacing w:after="20"/>
              <w:jc w:val="right"/>
            </w:pPr>
            <w:r>
              <w:rPr>
                <w:b/>
                <w:color w:val="1C3A36"/>
                <w:sz w:val="18"/>
              </w:rPr>
              <w:t>AED 3.12/sh</w:t>
            </w:r>
          </w:p>
        </w:tc>
      </w:tr>
      <w:tr>
        <w:tc>
          <w:tcPr>
            <w:tcW w:type="dxa" w:w="6768"/>
          </w:tcPr>
          <w:p>
            <w:pPr>
              <w:spacing w:after="20"/>
            </w:pPr>
            <w:r>
              <w:rPr>
                <w:color w:val="1C3A36"/>
                <w:sz w:val="18"/>
              </w:rPr>
              <w:t>Range: deeper haircut, to the base DCF less 5%</w:t>
            </w:r>
          </w:p>
        </w:tc>
        <w:tc>
          <w:tcPr>
            <w:tcW w:type="dxa" w:w="2304"/>
          </w:tcPr>
          <w:p>
            <w:pPr>
              <w:spacing w:after="20"/>
              <w:jc w:val="right"/>
            </w:pPr>
            <w:r>
              <w:rPr>
                <w:color w:val="1C3A36"/>
                <w:sz w:val="18"/>
              </w:rPr>
              <w:t>2.49–4.29</w:t>
            </w:r>
          </w:p>
        </w:tc>
      </w:tr>
    </w:tbl>
    <w:p>
      <w:pPr>
        <w:spacing w:after="40"/>
      </w:pPr>
    </w:p>
    <w:p>
      <w:pPr>
        <w:spacing w:after="120" w:before="0"/>
      </w:pPr>
      <w:r>
        <w:rPr>
          <w:b w:val="0"/>
          <w:i w:val="0"/>
          <w:color w:val="1C3A36"/>
          <w:sz w:val="21"/>
        </w:rPr>
        <w:t>Named sensitivity: each 10 points of haircut is AED 0.07 per share. Falsifier: the Department-of-Finance receivable collecting on schedule through FY2026 removes the haircut and moves this expert to AED 3.28.</w:t>
      </w:r>
    </w:p>
    <w:p>
      <w:pPr>
        <w:spacing w:after="80" w:before="200"/>
      </w:pPr>
      <w:r>
        <w:rPr>
          <w:b/>
          <w:i w:val="0"/>
          <w:color w:val="1C3A36"/>
          <w:sz w:val="24"/>
        </w:rPr>
        <w:t>C.3 · Expert 3 — the market pricer</w:t>
      </w:r>
    </w:p>
    <w:p>
      <w:pPr>
        <w:spacing w:after="120" w:before="0"/>
      </w:pPr>
      <w:r>
        <w:rPr>
          <w:b w:val="0"/>
          <w:i w:val="0"/>
          <w:color w:val="1C3A36"/>
          <w:sz w:val="21"/>
        </w:rPr>
        <w:t>Worldview: the peer multiple is the verdict of everyone else's money. Works when the peer set is deep; prices inflections only after the fact.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768"/>
        <w:gridCol w:w="2304"/>
      </w:tblGrid>
      <w:tr>
        <w:tc>
          <w:tcPr>
            <w:tcW w:type="dxa" w:w="6768"/>
            <w:shd w:val="clear" w:color="auto" w:fill="EAF0EE"/>
          </w:tcPr>
          <w:p>
            <w:pPr>
              <w:spacing w:after="20"/>
            </w:pPr>
            <w:r>
              <w:rPr>
                <w:b/>
                <w:color w:val="1C3A36"/>
                <w:sz w:val="18"/>
              </w:rPr>
              <w:t>Line</w:t>
            </w:r>
          </w:p>
        </w:tc>
        <w:tc>
          <w:tcPr>
            <w:tcW w:type="dxa" w:w="2304"/>
            <w:shd w:val="clear" w:color="auto" w:fill="EAF0EE"/>
          </w:tcPr>
          <w:p>
            <w:pPr>
              <w:spacing w:after="20"/>
            </w:pPr>
            <w:r>
              <w:rPr>
                <w:b/>
                <w:color w:val="1C3A36"/>
                <w:sz w:val="18"/>
              </w:rPr>
              <w:t>Value</w:t>
            </w:r>
          </w:p>
        </w:tc>
      </w:tr>
      <w:tr>
        <w:tc>
          <w:tcPr>
            <w:tcW w:type="dxa" w:w="6768"/>
          </w:tcPr>
          <w:p>
            <w:pPr>
              <w:spacing w:after="20"/>
            </w:pPr>
            <w:r>
              <w:rPr>
                <w:color w:val="1C3A36"/>
                <w:sz w:val="18"/>
              </w:rPr>
              <w:t>FY2026E attributable profit (H1 actual + H2 model)</w:t>
            </w:r>
          </w:p>
        </w:tc>
        <w:tc>
          <w:tcPr>
            <w:tcW w:type="dxa" w:w="2304"/>
          </w:tcPr>
          <w:p>
            <w:pPr>
              <w:spacing w:after="20"/>
              <w:jc w:val="right"/>
            </w:pPr>
            <w:r>
              <w:rPr>
                <w:color w:val="1C3A36"/>
                <w:sz w:val="18"/>
              </w:rPr>
              <w:t>AED 4,785mn</w:t>
            </w:r>
          </w:p>
        </w:tc>
      </w:tr>
      <w:tr>
        <w:tc>
          <w:tcPr>
            <w:tcW w:type="dxa" w:w="6768"/>
          </w:tcPr>
          <w:p>
            <w:pPr>
              <w:spacing w:after="20"/>
            </w:pPr>
            <w:r>
              <w:rPr>
                <w:color w:val="1C3A36"/>
                <w:sz w:val="18"/>
              </w:rPr>
              <w:t>Multiple: 6.2x — the arithmetic MEAN of the rebuilt attributable peer set (4.73/5.78/8.10; the first edition claimed "centre" but used 6.5x)</w:t>
            </w:r>
          </w:p>
        </w:tc>
        <w:tc>
          <w:tcPr>
            <w:tcW w:type="dxa" w:w="2304"/>
          </w:tcPr>
          <w:p>
            <w:pPr>
              <w:spacing w:after="20"/>
              <w:jc w:val="right"/>
            </w:pPr>
            <w:r>
              <w:rPr>
                <w:color w:val="1C3A36"/>
                <w:sz w:val="18"/>
              </w:rPr>
            </w:r>
          </w:p>
        </w:tc>
      </w:tr>
      <w:tr>
        <w:tc>
          <w:tcPr>
            <w:tcW w:type="dxa" w:w="6768"/>
          </w:tcPr>
          <w:p>
            <w:pPr>
              <w:spacing w:after="20"/>
            </w:pPr>
            <w:r>
              <w:rPr>
                <w:color w:val="1C3A36"/>
                <w:sz w:val="18"/>
              </w:rPr>
              <w:t>Implied equity value</w:t>
            </w:r>
          </w:p>
        </w:tc>
        <w:tc>
          <w:tcPr>
            <w:tcW w:type="dxa" w:w="2304"/>
          </w:tcPr>
          <w:p>
            <w:pPr>
              <w:spacing w:after="20"/>
              <w:jc w:val="right"/>
            </w:pPr>
            <w:r>
              <w:rPr>
                <w:color w:val="1C3A36"/>
                <w:sz w:val="18"/>
              </w:rPr>
              <w:t>AED 29,668mn</w:t>
            </w:r>
          </w:p>
        </w:tc>
      </w:tr>
      <w:tr>
        <w:tc>
          <w:tcPr>
            <w:tcW w:type="dxa" w:w="6768"/>
            <w:shd w:val="clear" w:color="auto" w:fill="F6F1E6"/>
          </w:tcPr>
          <w:p>
            <w:pPr>
              <w:spacing w:after="20"/>
            </w:pPr>
            <w:r>
              <w:rPr>
                <w:b/>
                <w:color w:val="1C3A36"/>
                <w:sz w:val="18"/>
              </w:rPr>
              <w:t>Per share</w:t>
            </w:r>
          </w:p>
        </w:tc>
        <w:tc>
          <w:tcPr>
            <w:tcW w:type="dxa" w:w="2304"/>
            <w:shd w:val="clear" w:color="auto" w:fill="F6F1E6"/>
          </w:tcPr>
          <w:p>
            <w:pPr>
              <w:spacing w:after="20"/>
              <w:jc w:val="right"/>
            </w:pPr>
            <w:r>
              <w:rPr>
                <w:b/>
                <w:color w:val="1C3A36"/>
                <w:sz w:val="18"/>
              </w:rPr>
              <w:t>AED 1.81</w:t>
            </w:r>
          </w:p>
        </w:tc>
      </w:tr>
      <w:tr>
        <w:tc>
          <w:tcPr>
            <w:tcW w:type="dxa" w:w="6768"/>
          </w:tcPr>
          <w:p>
            <w:pPr>
              <w:spacing w:after="20"/>
            </w:pPr>
            <w:r>
              <w:rPr>
                <w:color w:val="1C3A36"/>
                <w:sz w:val="18"/>
              </w:rPr>
              <w:t>Range: trough 4.73x to leader 8.10x</w:t>
            </w:r>
          </w:p>
        </w:tc>
        <w:tc>
          <w:tcPr>
            <w:tcW w:type="dxa" w:w="2304"/>
          </w:tcPr>
          <w:p>
            <w:pPr>
              <w:spacing w:after="20"/>
              <w:jc w:val="right"/>
            </w:pPr>
            <w:r>
              <w:rPr>
                <w:color w:val="1C3A36"/>
                <w:sz w:val="18"/>
              </w:rPr>
              <w:t>1.38–2.37</w:t>
            </w:r>
          </w:p>
        </w:tc>
      </w:tr>
    </w:tbl>
    <w:p>
      <w:pPr>
        <w:spacing w:after="40"/>
      </w:pPr>
    </w:p>
    <w:p>
      <w:pPr>
        <w:spacing w:after="120" w:before="0"/>
      </w:pPr>
      <w:r>
        <w:rPr>
          <w:b w:val="0"/>
          <w:i w:val="0"/>
          <w:color w:val="1C3A36"/>
          <w:sz w:val="21"/>
        </w:rPr>
        <w:t>Named sensitivity: each turn of P/E is AED 0.29 per share. Falsifier: a dividend policy plus a float above 25% would justify migrating toward the cash-flow lenses.</w:t>
      </w:r>
    </w:p>
    <w:p>
      <w:pPr>
        <w:spacing w:after="80" w:before="200"/>
      </w:pPr>
      <w:r>
        <w:rPr>
          <w:b/>
          <w:i w:val="0"/>
          <w:color w:val="1C3A36"/>
          <w:sz w:val="24"/>
        </w:rPr>
        <w:t>C.4 · Cross-examination</w:t>
      </w:r>
    </w:p>
    <w:p>
      <w:pPr>
        <w:pStyle w:val="ListBullet"/>
        <w:spacing w:after="60"/>
      </w:pPr>
      <w:r>
        <w:rPr>
          <w:color w:val="1C3A36"/>
          <w:sz w:val="21"/>
        </w:rPr>
        <w:t xml:space="preserve"> Expert 1 to Expert 2: your haircut double-counts — the run-off already starves the related-party channel. Expert 2 concedes in part: the haircut stays on the stock of receivables, not the flow. Sustained in part.</w:t>
      </w:r>
    </w:p>
    <w:p>
      <w:pPr>
        <w:pStyle w:val="ListBullet"/>
        <w:spacing w:after="60"/>
      </w:pPr>
      <w:r>
        <w:rPr>
          <w:color w:val="1C3A36"/>
          <w:sz w:val="21"/>
        </w:rPr>
        <w:t xml:space="preserve"> Expert 2 to Expert 1: your mark-up is circular — the margin you halve was set by related-party sales. Expert 1 concedes the circularity; the falsifier (arms-length clearing prices within two reporting periods) is the test. Acknowledged.</w:t>
      </w:r>
    </w:p>
    <w:p>
      <w:pPr>
        <w:pStyle w:val="ListBullet"/>
        <w:spacing w:after="60"/>
      </w:pPr>
      <w:r>
        <w:rPr>
          <w:color w:val="1C3A36"/>
          <w:sz w:val="21"/>
        </w:rPr>
        <w:t xml:space="preserve"> Expert 3 to both: the shares trade at 11.5x attributable earnings against a leader at 8.1x — the market has voted. Experts 1 and 2 reject the inference: a 15% float is not a verdict but the absence of one. Rejected, reason stated.</w:t>
      </w:r>
    </w:p>
    <w:p>
      <w:pPr>
        <w:spacing w:after="80" w:before="200"/>
      </w:pPr>
      <w:r>
        <w:rPr>
          <w:b/>
          <w:i w:val="0"/>
          <w:color w:val="1C3A36"/>
          <w:sz w:val="24"/>
        </w:rPr>
        <w:t>C.5 · Three in one room</w:t>
      </w:r>
    </w:p>
    <w:p>
      <w:pPr>
        <w:spacing w:after="120" w:before="0"/>
      </w:pPr>
      <w:r>
        <w:rPr>
          <w:b w:val="0"/>
          <w:i w:val="0"/>
          <w:color w:val="1C3A36"/>
          <w:sz w:val="21"/>
        </w:rPr>
        <w:t>One sentence each. Expert 1: "the land covers the price at AED 4.06." Expert 2: "paid to wait even in run-off — AED 3.12 — if the affiliates pay their bills." Expert 3: "until the float and dividend exist it is worth the peer mean: AED 1.81." Median AED 3.12 — between the study's market lenses and its cash-flow lenses, which is where the disagreement lives.</w:t>
      </w:r>
    </w:p>
    <w:p>
      <w:pPr>
        <w:spacing w:after="80" w:before="200"/>
      </w:pPr>
      <w:r>
        <w:rPr>
          <w:b/>
          <w:i w:val="0"/>
          <w:color w:val="1C3A36"/>
          <w:sz w:val="24"/>
        </w:rPr>
        <w:t>C.6 · Divergence table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1512"/>
        <w:gridCol w:w="1512"/>
        <w:gridCol w:w="1512"/>
        <w:gridCol w:w="3024"/>
      </w:tblGrid>
      <w:tr>
        <w:tc>
          <w:tcPr>
            <w:tcW w:type="dxa" w:w="2304"/>
            <w:shd w:val="clear" w:color="auto" w:fill="EAF0EE"/>
          </w:tcPr>
          <w:p>
            <w:pPr>
              <w:spacing w:after="20"/>
            </w:pPr>
            <w:r>
              <w:rPr>
                <w:b/>
                <w:color w:val="1C3A36"/>
                <w:sz w:val="17"/>
              </w:rPr>
              <w:t>Assumption</w:t>
            </w:r>
          </w:p>
        </w:tc>
        <w:tc>
          <w:tcPr>
            <w:tcW w:type="dxa" w:w="1512"/>
            <w:shd w:val="clear" w:color="auto" w:fill="EAF0EE"/>
          </w:tcPr>
          <w:p>
            <w:pPr>
              <w:spacing w:after="20"/>
            </w:pPr>
            <w:r>
              <w:rPr>
                <w:b/>
                <w:color w:val="1C3A36"/>
                <w:sz w:val="17"/>
              </w:rPr>
              <w:t>Expert 1</w:t>
            </w:r>
          </w:p>
        </w:tc>
        <w:tc>
          <w:tcPr>
            <w:tcW w:type="dxa" w:w="1512"/>
            <w:shd w:val="clear" w:color="auto" w:fill="EAF0EE"/>
          </w:tcPr>
          <w:p>
            <w:pPr>
              <w:spacing w:after="20"/>
            </w:pPr>
            <w:r>
              <w:rPr>
                <w:b/>
                <w:color w:val="1C3A36"/>
                <w:sz w:val="17"/>
              </w:rPr>
              <w:t>Expert 2</w:t>
            </w:r>
          </w:p>
        </w:tc>
        <w:tc>
          <w:tcPr>
            <w:tcW w:type="dxa" w:w="1512"/>
            <w:shd w:val="clear" w:color="auto" w:fill="EAF0EE"/>
          </w:tcPr>
          <w:p>
            <w:pPr>
              <w:spacing w:after="20"/>
            </w:pPr>
            <w:r>
              <w:rPr>
                <w:b/>
                <w:color w:val="1C3A36"/>
                <w:sz w:val="17"/>
              </w:rPr>
              <w:t>Expert 3</w:t>
            </w:r>
          </w:p>
        </w:tc>
        <w:tc>
          <w:tcPr>
            <w:tcW w:type="dxa" w:w="3024"/>
            <w:shd w:val="clear" w:color="auto" w:fill="EAF0EE"/>
          </w:tcPr>
          <w:p>
            <w:pPr>
              <w:spacing w:after="20"/>
            </w:pPr>
            <w:r>
              <w:rPr>
                <w:b/>
                <w:color w:val="1C3A36"/>
                <w:sz w:val="17"/>
              </w:rPr>
              <w:t>Gap it drives</w:t>
            </w:r>
          </w:p>
        </w:tc>
      </w:tr>
      <w:tr>
        <w:tc>
          <w:tcPr>
            <w:tcW w:type="dxa" w:w="2304"/>
          </w:tcPr>
          <w:p>
            <w:pPr>
              <w:spacing w:after="20"/>
            </w:pPr>
            <w:r>
              <w:rPr>
                <w:color w:val="1C3A36"/>
                <w:sz w:val="17"/>
              </w:rPr>
              <w:t>Land bank worth above cost</w:t>
            </w:r>
          </w:p>
        </w:tc>
        <w:tc>
          <w:tcPr>
            <w:tcW w:type="dxa" w:w="1512"/>
          </w:tcPr>
          <w:p>
            <w:pPr>
              <w:spacing w:after="20"/>
              <w:jc w:val="right"/>
            </w:pPr>
            <w:r>
              <w:rPr>
                <w:color w:val="1C3A36"/>
                <w:sz w:val="17"/>
              </w:rPr>
              <w:t>+34%</w:t>
            </w:r>
          </w:p>
        </w:tc>
        <w:tc>
          <w:tcPr>
            <w:tcW w:type="dxa" w:w="1512"/>
          </w:tcPr>
          <w:p>
            <w:pPr>
              <w:spacing w:after="20"/>
              <w:jc w:val="right"/>
            </w:pPr>
            <w:r>
              <w:rPr>
                <w:color w:val="1C3A36"/>
                <w:sz w:val="17"/>
              </w:rPr>
              <w:t>0%</w:t>
            </w:r>
          </w:p>
        </w:tc>
        <w:tc>
          <w:tcPr>
            <w:tcW w:type="dxa" w:w="1512"/>
          </w:tcPr>
          <w:p>
            <w:pPr>
              <w:spacing w:after="20"/>
              <w:jc w:val="right"/>
            </w:pPr>
            <w:r>
              <w:rPr>
                <w:color w:val="1C3A36"/>
                <w:sz w:val="17"/>
              </w:rPr>
              <w:t>ignored</w:t>
            </w:r>
          </w:p>
        </w:tc>
        <w:tc>
          <w:tcPr>
            <w:tcW w:type="dxa" w:w="3024"/>
          </w:tcPr>
          <w:p>
            <w:pPr>
              <w:spacing w:after="20"/>
              <w:jc w:val="right"/>
            </w:pPr>
            <w:r>
              <w:rPr>
                <w:color w:val="1C3A36"/>
                <w:sz w:val="17"/>
              </w:rPr>
              <w:t>AED 0.55/sh</w:t>
            </w:r>
          </w:p>
        </w:tc>
      </w:tr>
      <w:tr>
        <w:tc>
          <w:tcPr>
            <w:tcW w:type="dxa" w:w="2304"/>
          </w:tcPr>
          <w:p>
            <w:pPr>
              <w:spacing w:after="20"/>
            </w:pPr>
            <w:r>
              <w:rPr>
                <w:color w:val="1C3A36"/>
                <w:sz w:val="17"/>
              </w:rPr>
              <w:t>Related-party receivables</w:t>
            </w:r>
          </w:p>
        </w:tc>
        <w:tc>
          <w:tcPr>
            <w:tcW w:type="dxa" w:w="1512"/>
          </w:tcPr>
          <w:p>
            <w:pPr>
              <w:spacing w:after="20"/>
              <w:jc w:val="right"/>
            </w:pPr>
            <w:r>
              <w:rPr>
                <w:color w:val="1C3A36"/>
                <w:sz w:val="17"/>
              </w:rPr>
              <w:t>face value</w:t>
            </w:r>
          </w:p>
        </w:tc>
        <w:tc>
          <w:tcPr>
            <w:tcW w:type="dxa" w:w="1512"/>
          </w:tcPr>
          <w:p>
            <w:pPr>
              <w:spacing w:after="20"/>
              <w:jc w:val="right"/>
            </w:pPr>
            <w:r>
              <w:rPr>
                <w:color w:val="1C3A36"/>
                <w:sz w:val="17"/>
              </w:rPr>
              <w:t>−25%</w:t>
            </w:r>
          </w:p>
        </w:tc>
        <w:tc>
          <w:tcPr>
            <w:tcW w:type="dxa" w:w="1512"/>
          </w:tcPr>
          <w:p>
            <w:pPr>
              <w:spacing w:after="20"/>
              <w:jc w:val="right"/>
            </w:pPr>
            <w:r>
              <w:rPr>
                <w:color w:val="1C3A36"/>
                <w:sz w:val="17"/>
              </w:rPr>
              <w:t>face value</w:t>
            </w:r>
          </w:p>
        </w:tc>
        <w:tc>
          <w:tcPr>
            <w:tcW w:type="dxa" w:w="3024"/>
          </w:tcPr>
          <w:p>
            <w:pPr>
              <w:spacing w:after="20"/>
              <w:jc w:val="right"/>
            </w:pPr>
            <w:r>
              <w:rPr>
                <w:color w:val="1C3A36"/>
                <w:sz w:val="17"/>
              </w:rPr>
              <w:t>AED 0.16/sh</w:t>
            </w:r>
          </w:p>
        </w:tc>
      </w:tr>
      <w:tr>
        <w:tc>
          <w:tcPr>
            <w:tcW w:type="dxa" w:w="2304"/>
          </w:tcPr>
          <w:p>
            <w:pPr>
              <w:spacing w:after="20"/>
            </w:pPr>
            <w:r>
              <w:rPr>
                <w:color w:val="1C3A36"/>
                <w:sz w:val="17"/>
              </w:rPr>
              <w:t>Sales path</w:t>
            </w:r>
          </w:p>
        </w:tc>
        <w:tc>
          <w:tcPr>
            <w:tcW w:type="dxa" w:w="1512"/>
          </w:tcPr>
          <w:p>
            <w:pPr>
              <w:spacing w:after="20"/>
              <w:jc w:val="right"/>
            </w:pPr>
            <w:r>
              <w:rPr>
                <w:color w:val="1C3A36"/>
                <w:sz w:val="17"/>
              </w:rPr>
              <w:t>irrelevant (assets)</w:t>
            </w:r>
          </w:p>
        </w:tc>
        <w:tc>
          <w:tcPr>
            <w:tcW w:type="dxa" w:w="1512"/>
          </w:tcPr>
          <w:p>
            <w:pPr>
              <w:spacing w:after="20"/>
              <w:jc w:val="right"/>
            </w:pPr>
            <w:r>
              <w:rPr>
                <w:color w:val="1C3A36"/>
                <w:sz w:val="17"/>
              </w:rPr>
              <w:t>run-off stress</w:t>
            </w:r>
          </w:p>
        </w:tc>
        <w:tc>
          <w:tcPr>
            <w:tcW w:type="dxa" w:w="1512"/>
          </w:tcPr>
          <w:p>
            <w:pPr>
              <w:spacing w:after="20"/>
              <w:jc w:val="right"/>
            </w:pPr>
            <w:r>
              <w:rPr>
                <w:color w:val="1C3A36"/>
                <w:sz w:val="17"/>
              </w:rPr>
              <w:t>FY2026E only</w:t>
            </w:r>
          </w:p>
        </w:tc>
        <w:tc>
          <w:tcPr>
            <w:tcW w:type="dxa" w:w="3024"/>
          </w:tcPr>
          <w:p>
            <w:pPr>
              <w:spacing w:after="20"/>
              <w:jc w:val="right"/>
            </w:pPr>
            <w:r>
              <w:rPr>
                <w:color w:val="1C3A36"/>
                <w:sz w:val="17"/>
              </w:rPr>
              <w:t>AED 1.23/sh between base and stress</w:t>
            </w:r>
          </w:p>
        </w:tc>
      </w:tr>
      <w:tr>
        <w:tc>
          <w:tcPr>
            <w:tcW w:type="dxa" w:w="2304"/>
          </w:tcPr>
          <w:p>
            <w:pPr>
              <w:spacing w:after="20"/>
            </w:pPr>
            <w:r>
              <w:rPr>
                <w:color w:val="1C3A36"/>
                <w:sz w:val="17"/>
              </w:rPr>
              <w:t>Multiple regime</w:t>
            </w:r>
          </w:p>
        </w:tc>
        <w:tc>
          <w:tcPr>
            <w:tcW w:type="dxa" w:w="1512"/>
          </w:tcPr>
          <w:p>
            <w:pPr>
              <w:spacing w:after="20"/>
              <w:jc w:val="right"/>
            </w:pPr>
            <w:r>
              <w:rPr>
                <w:color w:val="1C3A36"/>
                <w:sz w:val="17"/>
              </w:rPr>
              <w:t>n/a</w:t>
            </w:r>
          </w:p>
        </w:tc>
        <w:tc>
          <w:tcPr>
            <w:tcW w:type="dxa" w:w="1512"/>
          </w:tcPr>
          <w:p>
            <w:pPr>
              <w:spacing w:after="20"/>
              <w:jc w:val="right"/>
            </w:pPr>
            <w:r>
              <w:rPr>
                <w:color w:val="1C3A36"/>
                <w:sz w:val="17"/>
              </w:rPr>
              <w:t>n/a</w:t>
            </w:r>
          </w:p>
        </w:tc>
        <w:tc>
          <w:tcPr>
            <w:tcW w:type="dxa" w:w="1512"/>
          </w:tcPr>
          <w:p>
            <w:pPr>
              <w:spacing w:after="20"/>
              <w:jc w:val="right"/>
            </w:pPr>
            <w:r>
              <w:rPr>
                <w:color w:val="1C3A36"/>
                <w:sz w:val="17"/>
              </w:rPr>
              <w:t>6.2x peer mean</w:t>
            </w:r>
          </w:p>
        </w:tc>
        <w:tc>
          <w:tcPr>
            <w:tcW w:type="dxa" w:w="3024"/>
          </w:tcPr>
          <w:p>
            <w:pPr>
              <w:spacing w:after="20"/>
              <w:jc w:val="right"/>
            </w:pPr>
            <w:r>
              <w:rPr>
                <w:color w:val="1C3A36"/>
                <w:sz w:val="17"/>
              </w:rPr>
              <w:t>AED 0.38/sh vs the study's 7.5x</w:t>
            </w:r>
          </w:p>
        </w:tc>
      </w:tr>
    </w:tbl>
    <w:p>
      <w:pPr>
        <w:spacing w:after="40"/>
      </w:pPr>
    </w:p>
    <w:p>
      <w:pPr>
        <w:spacing w:after="120" w:before="280"/>
      </w:pPr>
      <w:r>
        <w:rPr>
          <w:b/>
          <w:i w:val="0"/>
          <w:color w:val="1C3A36"/>
          <w:sz w:val="30"/>
        </w:rPr>
        <w:t>About this study</w:t>
      </w:r>
    </w:p>
    <w:p>
      <w:pPr>
        <w:spacing w:after="120" w:before="0"/>
      </w:pPr>
      <w:r>
        <w:rPr>
          <w:b w:val="0"/>
          <w:i w:val="0"/>
          <w:color w:val="1C3A36"/>
          <w:sz w:val="21"/>
        </w:rPr>
        <w:t>Revision 2, produced the same day as the first edition after external audits of that edition. Every number in the study, the Excel model and the bibliography comes from one computed model; the delivered workbook is verified cell by cell against it — 617 formula cells reproduce the model exactly, zero unresolvable, zero unchecked — and a driver test on the delivered file confirms 25 drivers reprice the workbook in the asserted direction with no dead inputs (the published scenario-vector rows are display inputs for the pasted engine re-runs and are inert by design, stated on the sheet). The historical record is built exclusively from the company's own audited statements, reviewed interims and results announcements; where a figure is both disclosed and derivable, the disclosed figure is carried. The audits' accepted findings and this study's own re-audit findings are implemented and marked where they appear; their rejected findings are answered with receipts in the build record.</w:t>
      </w:r>
    </w:p>
    <w:p>
      <w:pPr>
        <w:spacing w:after="120" w:before="280"/>
      </w:pPr>
      <w:r>
        <w:rPr>
          <w:b/>
          <w:i w:val="0"/>
          <w:color w:val="1C3A36"/>
          <w:sz w:val="30"/>
        </w:rPr>
        <w:t>Disclosure</w:t>
      </w:r>
    </w:p>
    <w:p>
      <w:pPr>
        <w:spacing w:after="120" w:before="0"/>
      </w:pPr>
      <w:r>
        <w:rPr>
          <w:b w:val="0"/>
          <w:i w:val="0"/>
          <w:color w:val="1C3A36"/>
          <w:sz w:val="18"/>
        </w:rPr>
        <w:t>Educational analysis. Not investment advice, not a recommendation, not an offer. No rating is expressed. The single weighted central is the centre of a stated range of model outputs, not a price target, and the full per-lens ranges are shown wherever it appears. The authors hold no position in MODON. Data as of 9 August 2026; prices as of the 7 August 2026 close. © Testahil 2026.</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