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90" w:type="dxa"/>
          <w:left w:w="160" w:type="dxa"/>
          <w:bottom w:w="90" w:type="dxa"/>
          <w:right w:w="160" w:type="dxa"/>
        </w:tblCellMar>
      </w:tblPr>
      <w:tblGrid>
        <w:gridCol w:w="10080"/>
      </w:tblGrid>
      <w:tr>
        <w:tc>
          <w:tcPr>
            <w:tcW w:type="dxa" w:w="10080"/>
            <w:shd w:val="clear" w:color="auto" w:fill="1C3A36"/>
          </w:tcPr>
          <w:p>
            <w:r>
              <w:rPr>
                <w:b/>
                <w:color w:val="FFFFFF"/>
                <w:sz w:val="22"/>
              </w:rPr>
              <w:t>Testahil · Independent Valuation Study — Educational Analysis</w:t>
            </w:r>
            <w:r>
              <w:rPr>
                <w:color w:val="9FB0AC"/>
                <w:sz w:val="19"/>
              </w:rPr>
              <w:t xml:space="preserve">   Not investment advice</w:t>
            </w:r>
          </w:p>
        </w:tc>
      </w:tr>
    </w:tbl>
    <w:p>
      <w:pPr>
        <w:spacing w:after="0"/>
      </w:pPr>
    </w:p>
    <w:p>
      <w:pPr>
        <w:spacing w:after="20" w:before="120"/>
      </w:pPr>
      <w:r>
        <w:rPr>
          <w:b/>
          <w:i w:val="0"/>
          <w:color w:val="1C3A36"/>
          <w:sz w:val="38"/>
        </w:rPr>
        <w:t>DEWA — Dubai Electricity and Water Authority (PJSC)</w:t>
      </w:r>
    </w:p>
    <w:p>
      <w:pPr>
        <w:spacing w:after="80" w:before="0"/>
      </w:pPr>
      <w:r>
        <w:rPr>
          <w:b w:val="0"/>
          <w:i/>
          <w:color w:val="6E7B77"/>
          <w:sz w:val="20"/>
        </w:rPr>
        <w:t>Fundamental analysis · Technical analysis · Monte Carlo simulation — one integrated read</w:t>
      </w:r>
    </w:p>
    <w:p>
      <w:pPr>
        <w:spacing w:after="160" w:before="0"/>
      </w:pPr>
      <w:r>
        <w:rPr>
          <w:b/>
          <w:i w:val="0"/>
          <w:color w:val="1C3A36"/>
          <w:sz w:val="19"/>
        </w:rPr>
        <w:t xml:space="preserve">Anchor: </w:t>
      </w:r>
      <w:r>
        <w:rPr>
          <w:b w:val="0"/>
          <w:i w:val="0"/>
          <w:color w:val="1C3A36"/>
          <w:sz w:val="19"/>
        </w:rPr>
        <w:t xml:space="preserve">AED 2.79 (10-Jul-2026 close) · 50,000 mn shares · market cap AED 139.5 bn (~US$38.0 bn) · the exclusive electricity and water utility of the Emirate of Dubai — generation (17,979 MW installed, 21.5% clean), transmission and distribution, seawater desalination (555 MIGD), plus consolidated subsidiaries: </w:t>
      </w:r>
      <w:r>
        <w:rPr>
          <w:b/>
          <w:i w:val="0"/>
          <w:color w:val="1C3A36"/>
          <w:sz w:val="19"/>
        </w:rPr>
        <w:t>Empower 80%</w:t>
      </w:r>
      <w:r>
        <w:rPr>
          <w:b w:val="0"/>
          <w:i w:val="0"/>
          <w:color w:val="1C3A36"/>
          <w:sz w:val="19"/>
        </w:rPr>
        <w:t xml:space="preserve"> (district cooling, DFM-listed, bought up from 56% on 10-Feb-2026), </w:t>
      </w:r>
      <w:r>
        <w:rPr>
          <w:b/>
          <w:i w:val="0"/>
          <w:color w:val="1C3A36"/>
          <w:sz w:val="19"/>
        </w:rPr>
        <w:t>Mai Dubai, Digital DEWA / Moro, Etihad ESCO</w:t>
      </w:r>
      <w:r>
        <w:rPr>
          <w:b w:val="0"/>
          <w:i w:val="0"/>
          <w:color w:val="1C3A36"/>
          <w:sz w:val="19"/>
        </w:rPr>
        <w:t xml:space="preserve"> (all 100%) and eight partly-owned IPP/IWP project companies. Reporting currency AED (pegged to USD at 3.6725) · prices and probabilities computed 11-Jul-2026 from the attached daily history · primary lens: the dividend-policy DDM, cross-checked by a full FCFF DCF (framed as a ceiling), relative EV/EBITDA and a justified price-to-book · the swing factor: what the board does with the dividend after the AED 6.2bn-a-year IPO policy window closes in October 2027.</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 xml:space="preserve">READ FIRST — what this document is, and is not. </w:t>
            </w:r>
            <w:r>
              <w:rPr>
                <w:color w:val="1C3A36"/>
                <w:sz w:val="19"/>
              </w:rPr>
              <w:t>This study is a valuation exercise and an expression of analytical opinion, published free of charge for educational purposes: it shows how one research house applies fundamental, technical and probabilistic methods to a listed company, and invites scrutiny of that methodology. It is NOT investment advice, NOT a recommendation or solicitation to buy, sell or hold any security, and NOT directed at the circumstances of any reader. Testahil is not licensed by any securities regulator in any jurisdiction, holds no brokerage or advisory authorisation, manages no money, and accepts no fees or clients. All values are model outputs presented as ranges and distributions because no single number should be relied on.</w:t>
            </w:r>
          </w:p>
          <w:p>
            <w:pPr>
              <w:spacing w:after="100"/>
            </w:pPr>
            <w:r>
              <w:rPr>
                <w:b/>
                <w:color w:val="1C3A36"/>
                <w:sz w:val="19"/>
              </w:rPr>
              <w:t xml:space="preserve">Sources. </w:t>
            </w:r>
            <w:r>
              <w:rPr>
                <w:color w:val="1C3A36"/>
                <w:sz w:val="19"/>
              </w:rPr>
              <w:t>Reported financials are the company’s own disclosure: the FY2025 consolidated financial statements audited by KPMG Lower Gulf (signed 27-Feb-2026), the FY2024 comparatives within them, the Q1-2026 results release (12-May-2026), the Empower stake-transaction announcements (10-Feb-2026), and DEWA’s investor-relations disclosures. Forward-looking inputs — the growth, margin and capex paths, the cost of capital, terminal growth, the dividend-policy scenarios and the Monte-Carlo factor probabilities — are the preparer’s judgments and are flagged throughout.</w:t>
            </w:r>
          </w:p>
          <w:p>
            <w:pPr>
              <w:spacing w:after="100"/>
            </w:pPr>
            <w:r>
              <w:rPr>
                <w:b/>
                <w:color w:val="1C3A36"/>
                <w:sz w:val="19"/>
              </w:rPr>
              <w:t xml:space="preserve">The one-line read. </w:t>
            </w:r>
            <w:r>
              <w:rPr>
                <w:color w:val="1C3A36"/>
                <w:sz w:val="19"/>
              </w:rPr>
              <w:t>Weighted fundamental central AED 3.32 (bear 2.18 / bull 4.92) against spot AED 2.79 — a 19% gap on a ~12-month basis. The genuine 3-month Monte Carlo median is AED 2.81 (+0.6%): the two clocks answer different questions and are never blended.</w:t>
            </w:r>
          </w:p>
          <w:p>
            <w:pPr>
              <w:spacing w:after="100"/>
            </w:pPr>
            <w:r>
              <w:rPr>
                <w:b/>
                <w:color w:val="1C3A36"/>
                <w:sz w:val="19"/>
              </w:rPr>
              <w:t xml:space="preserve">The crux in one sentence. </w:t>
            </w:r>
            <w:r>
              <w:rPr>
                <w:color w:val="1C3A36"/>
                <w:sz w:val="19"/>
              </w:rPr>
              <w:t>Everything turns on what the board does with the dividend after the AED 6.2bn-a-year policy window closes in October 2027 — at spot, the market is paying for that coupon growing about 1.3% forever, below UAE inflation and far below Dubai nominal GDP.</w:t>
            </w:r>
          </w:p>
          <w:p>
            <w:pPr>
              <w:spacing w:after="100"/>
            </w:pPr>
            <w:r>
              <w:rPr>
                <w:b/>
                <w:color w:val="1C3A36"/>
                <w:sz w:val="19"/>
              </w:rPr>
              <w:t xml:space="preserve">Calibration. </w:t>
            </w:r>
            <w:r>
              <w:rPr>
                <w:color w:val="1C3A36"/>
                <w:sz w:val="19"/>
              </w:rPr>
              <w:t>The Monte Carlo engine publishes under the parity tier for DEWA: calibrated and market-panel validated, with no demonstrated single-name edge claimed. Every forecast in this study is registered in the public Calibration Ledger and will be graded when it matures — pass or fail.</w:t>
            </w:r>
          </w:p>
        </w:tc>
      </w:tr>
    </w:tbl>
    <w:p>
      <w:pPr>
        <w:spacing w:after="40"/>
      </w:pPr>
    </w:p>
    <w:p>
      <w:pPr>
        <w:spacing w:after="120" w:before="280"/>
      </w:pPr>
      <w:r>
        <w:rPr>
          <w:b/>
          <w:i w:val="0"/>
          <w:color w:val="1C3A36"/>
          <w:sz w:val="30"/>
        </w:rPr>
        <w:t>The company</w:t>
      </w:r>
    </w:p>
    <w:p>
      <w:pPr>
        <w:spacing w:after="120" w:before="0"/>
      </w:pPr>
      <w:r>
        <w:rPr>
          <w:b w:val="0"/>
          <w:i w:val="0"/>
          <w:color w:val="1C3A36"/>
          <w:sz w:val="21"/>
        </w:rPr>
        <w:t>Dubai Electricity and Water Authority is the exclusive supplier of electricity and water to the Emirate of Dubai — every home, tower, hotel, mall and factory in the city is its customer, 1.33 million accounts and counting, growing 4-5% a year because Dubai grows every year. It generates power (increasingly from the giant Mohammed bin Rashid Al Maktoum Solar Park), desalinates seawater at one of the largest municipal scales anywhere, and owns the wires and pipes that deliver both; its 80%-owned, separately-listed subsidiary Empower does the same job for the chilled water that cools the city’s buildings — the largest district-cooling operator in the world. The Government of Dubai, through the Dubai Investment Fund, still owns 82% of the shares after the April-2022 IPO, and the company was listed explicitly as an income instrument: a policy promising at least AED 6.2 billion a year in dividends for its first five years. It earns a regulated-style return on an enormous asset base — AED 195 billion of plant and infrastructure — behind a legal monopoly, with world-record operating metrics (2% electricity line losses, 4.4% water losses, 0.82 customer-minutes lost a year) that no competitor is permitted to attack. The investment question is almost entirely about one decision: what the dividend becomes once the five-year promise expires in October 2027.</w:t>
      </w:r>
    </w:p>
    <w:p>
      <w:pPr>
        <w:spacing w:after="120" w:before="280"/>
      </w:pPr>
      <w:r>
        <w:rPr>
          <w:b/>
          <w:i w:val="0"/>
          <w:color w:val="1C3A36"/>
          <w:sz w:val="30"/>
        </w:rPr>
        <w:t>DEWA at a glance — how the machine is put together</w:t>
      </w:r>
    </w:p>
    <w:p>
      <w:pPr>
        <w:spacing w:after="120" w:before="0"/>
      </w:pPr>
      <w:r>
        <w:rPr>
          <w:b w:val="0"/>
          <w:i w:val="0"/>
          <w:color w:val="1C3A36"/>
          <w:sz w:val="21"/>
        </w:rPr>
        <w:t>Origins and structure. DEWA was created by decree in 1992 from the merger of the Dubai Electricity Company and the Dubai Water Department, and operated for thirty years as a wholly-government authority before the Government of Dubai sold 18% through an April-2022 IPO at AED 2.48 per share — an offer that drew US$85 billion of demand and 37 times oversubscription, at the time the largest listing the Dubai Financial Market had ever hosted. In 2023 the government’s 82% was transferred to the newly-created Dubai Investment Fund under Law No. (25) of 2023; the ultimate controlling party remains the Government of Dubai. The group generates through a mix of wholly-owned plant and eight partly-owned independent power and water producer (IPP/IWP) companies — Shuaa Energy 1/2/3/4, Noor Energy 1, Hassyan Energy Phase 1 and the two Hassyan Water companies, held at 51-60% with international partners funding the minority share — which is why non-controlling interests appear throughout the accounts and why NCI capital contributions of AED 2.1bn arrived in each of the last two years: the partners pay their share of the build as it happens.</w:t>
      </w:r>
    </w:p>
    <w:p>
      <w:pPr>
        <w:spacing w:after="120" w:before="0"/>
      </w:pPr>
      <w:r>
        <w:rPr>
          <w:b w:val="0"/>
          <w:i w:val="0"/>
          <w:color w:val="1C3A36"/>
          <w:sz w:val="21"/>
        </w:rPr>
        <w:t>Regulation and the tariff. There is no formal RAB-style price control. Retail slab tariffs are set by the Dubai Supreme Council of Energy and have been unchanged since 2011; movements in fuel cost pass through a fuel surcharge measured against a 2010 base year, with over- and under-collections parked in a regulatory deferral account on the balance sheet (AED 699mn credit at FY25) and settled against future tariff decisions. In practice DEWA’s realised return is protected by three things: the pass-through mechanism, a falling fuel bill as the clean-energy share rises, and an owner who collects 82% of every dirham distributed. Moody’s upgraded the credit to A3 (stable) from Baa2 on 30-May-2024, citing the dominant market position, strong credit metrics, a tariff structure that supports healthy cash generation, and liquidity.</w:t>
      </w:r>
    </w:p>
    <w:p>
      <w:pPr>
        <w:spacing w:after="120" w:before="0"/>
      </w:pPr>
      <w:r>
        <w:rPr>
          <w:b w:val="0"/>
          <w:i w:val="0"/>
          <w:color w:val="1C3A36"/>
          <w:sz w:val="21"/>
        </w:rPr>
        <w:t>The listing promise. The IPO prospectus committed to a minimum AED 6.2 billion of dividends a year — AED 0.124 per share — for five years from October 2022, paid semi-annually each April and October. Every instalment has been paid on schedule. That floor expires in October 2027 and the board has said nothing about what follows; section 1.8 prices every branch of that question, because it is the valuation.</w:t>
      </w:r>
    </w:p>
    <w:p>
      <w:pPr>
        <w:spacing w:after="120" w:before="280"/>
      </w:pPr>
      <w:r>
        <w:rPr>
          <w:b/>
          <w:i w:val="0"/>
          <w:color w:val="1C3A36"/>
          <w:sz w:val="30"/>
        </w:rPr>
        <w:t>Q1-2026 update (verified against source, post-anchor)</w:t>
      </w:r>
    </w:p>
    <w:p>
      <w:pPr>
        <w:spacing w:after="120" w:before="0"/>
      </w:pPr>
      <w:r>
        <w:rPr>
          <w:b w:val="0"/>
          <w:i w:val="0"/>
          <w:color w:val="1C3A36"/>
          <w:sz w:val="21"/>
        </w:rPr>
        <w:t>DEWA reported Q1-2026 on 12-May-2026. Revenue reached AED 6,450mn (+8.2% y/y) — the seasonal trough quarter, since cooling load peaks in summer — with EBITDA of AED 2,880mn (+18.4%) and operating profit of AED 1,290mn (+53.6%). Group profit after tax was AED 1,050mn, of which AED 940mn attributable to owners (+89.9% on a soft base); operating cash flow reached AED 3,890mn. Customer accounts crossed 1,347,000 (+5.1% LTM), generation reached 11.09 TWh with 2.06 TWh clean, and desalinated water supplied 37.6 bn imperial gallons. Empower’s own Q1 — its first as an 80% subsidiary — printed revenue +16.8% to AED 631mn and net profit +44% to AED 208mn at a 56.8% EBITDA margin, adding 34,000 refrigeration tons of connected capacity. The FY26E driver set (revenue +7.5%, margin 54.2%) is held below the Q1 run-rate rather than extrapolating a single seasonal quarter.</w:t>
      </w:r>
    </w:p>
    <w:p>
      <w:pPr>
        <w:spacing w:after="120" w:before="280"/>
      </w:pPr>
      <w:r>
        <w:rPr>
          <w:b/>
          <w:i w:val="0"/>
          <w:color w:val="1C3A36"/>
          <w:sz w:val="30"/>
        </w:rPr>
        <w:t>Headline</w:t>
      </w:r>
    </w:p>
    <w:p>
      <w:pPr>
        <w:spacing w:after="120" w:before="0"/>
      </w:pPr>
      <w:r>
        <w:rPr>
          <w:b w:val="0"/>
          <w:i w:val="0"/>
          <w:color w:val="1C3A36"/>
          <w:sz w:val="21"/>
        </w:rPr>
        <w:t>The weighted fundamental central sits at AED 3.32 against a 2.79 spot — about 19% above the market — inside a bear-bull span of 2.18-4.92. The gap is not a secret: the market prices the unresolved post-2027 dividend regime, an 18% free float inside an 82% government holding, and four years of sideways trading since the IPO; the model prices an Aa2-country cost of equity against a legal monopoly that covers its coupon 1.23-1.35 times and carries roughly AED 21bn of unused distribution headroom. The 60-session Monte Carlo is close to flat (median 2.81, +0.6%), because the engine’s price centre is the money-market carry — the fundamental gap never enters the drift.</w:t>
      </w:r>
    </w:p>
    <w:p>
      <w:pPr>
        <w:spacing w:after="120" w:before="280"/>
      </w:pPr>
      <w:r>
        <w:rPr>
          <w:b/>
          <w:i w:val="0"/>
          <w:color w:val="1C3A36"/>
          <w:sz w:val="30"/>
        </w:rPr>
        <w:t>Valuation summary — every read at a glance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80"/>
        <w:gridCol w:w="1680"/>
        <w:gridCol w:w="1680"/>
        <w:gridCol w:w="1680"/>
        <w:gridCol w:w="1680"/>
        <w:gridCol w:w="1680"/>
      </w:tblGrid>
      <w:tr>
        <w:tc>
          <w:tcPr>
            <w:tcW w:type="dxa" w:w="3384"/>
            <w:shd w:val="clear" w:color="auto" w:fill="EAF0EE"/>
          </w:tcPr>
          <w:p>
            <w:pPr>
              <w:spacing w:after="20"/>
            </w:pPr>
            <w:r>
              <w:rPr>
                <w:b/>
                <w:color w:val="1C3A36"/>
                <w:sz w:val="17"/>
              </w:rPr>
              <w:t>Lens</w:t>
            </w:r>
          </w:p>
        </w:tc>
        <w:tc>
          <w:tcPr>
            <w:tcW w:type="dxa" w:w="1037"/>
            <w:shd w:val="clear" w:color="auto" w:fill="EAF0EE"/>
          </w:tcPr>
          <w:p>
            <w:pPr>
              <w:spacing w:after="20"/>
            </w:pPr>
            <w:r>
              <w:rPr>
                <w:b/>
                <w:color w:val="1C3A36"/>
                <w:sz w:val="17"/>
              </w:rPr>
              <w:t>Bear</w:t>
            </w:r>
          </w:p>
        </w:tc>
        <w:tc>
          <w:tcPr>
            <w:tcW w:type="dxa" w:w="1037"/>
            <w:shd w:val="clear" w:color="auto" w:fill="EAF0EE"/>
          </w:tcPr>
          <w:p>
            <w:pPr>
              <w:spacing w:after="20"/>
            </w:pPr>
            <w:r>
              <w:rPr>
                <w:b/>
                <w:color w:val="1C3A36"/>
                <w:sz w:val="17"/>
              </w:rPr>
              <w:t>Base</w:t>
            </w:r>
          </w:p>
        </w:tc>
        <w:tc>
          <w:tcPr>
            <w:tcW w:type="dxa" w:w="1037"/>
            <w:shd w:val="clear" w:color="auto" w:fill="EAF0EE"/>
          </w:tcPr>
          <w:p>
            <w:pPr>
              <w:spacing w:after="20"/>
            </w:pPr>
            <w:r>
              <w:rPr>
                <w:b/>
                <w:color w:val="1C3A36"/>
                <w:sz w:val="17"/>
              </w:rPr>
              <w:t>Bull</w:t>
            </w:r>
          </w:p>
        </w:tc>
        <w:tc>
          <w:tcPr>
            <w:tcW w:type="dxa" w:w="1037"/>
            <w:shd w:val="clear" w:color="auto" w:fill="EAF0EE"/>
          </w:tcPr>
          <w:p>
            <w:pPr>
              <w:spacing w:after="20"/>
            </w:pPr>
            <w:r>
              <w:rPr>
                <w:b/>
                <w:color w:val="1C3A36"/>
                <w:sz w:val="17"/>
              </w:rPr>
              <w:t>Weight</w:t>
            </w:r>
          </w:p>
        </w:tc>
        <w:tc>
          <w:tcPr>
            <w:tcW w:type="dxa" w:w="3384"/>
            <w:shd w:val="clear" w:color="auto" w:fill="EAF0EE"/>
          </w:tcPr>
          <w:p>
            <w:pPr>
              <w:spacing w:after="20"/>
            </w:pPr>
            <w:r>
              <w:rPr>
                <w:b/>
                <w:color w:val="1C3A36"/>
                <w:sz w:val="17"/>
              </w:rPr>
              <w:t>One-line read</w:t>
            </w:r>
          </w:p>
        </w:tc>
      </w:tr>
      <w:tr>
        <w:tc>
          <w:tcPr>
            <w:tcW w:type="dxa" w:w="3384"/>
          </w:tcPr>
          <w:p>
            <w:pPr>
              <w:spacing w:after="20"/>
            </w:pPr>
            <w:r>
              <w:rPr>
                <w:color w:val="1C3A36"/>
                <w:sz w:val="17"/>
              </w:rPr>
              <w:t>§1.1 Dividend-policy DDM (primary)</w:t>
            </w:r>
          </w:p>
        </w:tc>
        <w:tc>
          <w:tcPr>
            <w:tcW w:type="dxa" w:w="1037"/>
          </w:tcPr>
          <w:p>
            <w:pPr>
              <w:spacing w:after="20"/>
              <w:jc w:val="right"/>
            </w:pPr>
            <w:r>
              <w:rPr>
                <w:color w:val="1C3A36"/>
                <w:sz w:val="17"/>
              </w:rPr>
              <w:t>2.09</w:t>
            </w:r>
          </w:p>
        </w:tc>
        <w:tc>
          <w:tcPr>
            <w:tcW w:type="dxa" w:w="1037"/>
          </w:tcPr>
          <w:p>
            <w:pPr>
              <w:spacing w:after="20"/>
              <w:jc w:val="right"/>
            </w:pPr>
            <w:r>
              <w:rPr>
                <w:color w:val="1C3A36"/>
                <w:sz w:val="17"/>
              </w:rPr>
              <w:t>3.83</w:t>
            </w:r>
          </w:p>
        </w:tc>
        <w:tc>
          <w:tcPr>
            <w:tcW w:type="dxa" w:w="1037"/>
          </w:tcPr>
          <w:p>
            <w:pPr>
              <w:spacing w:after="20"/>
              <w:jc w:val="right"/>
            </w:pPr>
            <w:r>
              <w:rPr>
                <w:color w:val="1C3A36"/>
                <w:sz w:val="17"/>
              </w:rPr>
              <w:t>5.90</w:t>
            </w:r>
          </w:p>
        </w:tc>
        <w:tc>
          <w:tcPr>
            <w:tcW w:type="dxa" w:w="1037"/>
          </w:tcPr>
          <w:p>
            <w:pPr>
              <w:spacing w:after="20"/>
              <w:jc w:val="right"/>
            </w:pPr>
            <w:r>
              <w:rPr>
                <w:color w:val="1C3A36"/>
                <w:sz w:val="17"/>
              </w:rPr>
              <w:t>35%</w:t>
            </w:r>
          </w:p>
        </w:tc>
        <w:tc>
          <w:tcPr>
            <w:tcW w:type="dxa" w:w="3384"/>
          </w:tcPr>
          <w:p>
            <w:pPr>
              <w:spacing w:after="20"/>
              <w:jc w:val="right"/>
            </w:pPr>
            <w:r>
              <w:rPr>
                <w:color w:val="1C3A36"/>
                <w:sz w:val="17"/>
              </w:rPr>
              <w:t>the cash a holder actually receives; the policy IS the instrument</w:t>
            </w:r>
          </w:p>
        </w:tc>
      </w:tr>
      <w:tr>
        <w:tc>
          <w:tcPr>
            <w:tcW w:type="dxa" w:w="3384"/>
          </w:tcPr>
          <w:p>
            <w:pPr>
              <w:spacing w:after="20"/>
            </w:pPr>
            <w:r>
              <w:rPr>
                <w:color w:val="1C3A36"/>
                <w:sz w:val="17"/>
              </w:rPr>
              <w:t>§1.2 FCFF DCF (ceiling framing)</w:t>
            </w:r>
          </w:p>
        </w:tc>
        <w:tc>
          <w:tcPr>
            <w:tcW w:type="dxa" w:w="1037"/>
          </w:tcPr>
          <w:p>
            <w:pPr>
              <w:spacing w:after="20"/>
              <w:jc w:val="right"/>
            </w:pPr>
            <w:r>
              <w:rPr>
                <w:color w:val="1C3A36"/>
                <w:sz w:val="17"/>
              </w:rPr>
              <w:t>1.55</w:t>
            </w:r>
          </w:p>
        </w:tc>
        <w:tc>
          <w:tcPr>
            <w:tcW w:type="dxa" w:w="1037"/>
          </w:tcPr>
          <w:p>
            <w:pPr>
              <w:spacing w:after="20"/>
              <w:jc w:val="right"/>
            </w:pPr>
            <w:r>
              <w:rPr>
                <w:color w:val="1C3A36"/>
                <w:sz w:val="17"/>
              </w:rPr>
              <w:t>3.36</w:t>
            </w:r>
          </w:p>
        </w:tc>
        <w:tc>
          <w:tcPr>
            <w:tcW w:type="dxa" w:w="1037"/>
          </w:tcPr>
          <w:p>
            <w:pPr>
              <w:spacing w:after="20"/>
              <w:jc w:val="right"/>
            </w:pPr>
            <w:r>
              <w:rPr>
                <w:color w:val="1C3A36"/>
                <w:sz w:val="17"/>
              </w:rPr>
              <w:t>6.49</w:t>
            </w:r>
          </w:p>
        </w:tc>
        <w:tc>
          <w:tcPr>
            <w:tcW w:type="dxa" w:w="1037"/>
          </w:tcPr>
          <w:p>
            <w:pPr>
              <w:spacing w:after="20"/>
              <w:jc w:val="right"/>
            </w:pPr>
            <w:r>
              <w:rPr>
                <w:color w:val="1C3A36"/>
                <w:sz w:val="17"/>
              </w:rPr>
              <w:t>20%</w:t>
            </w:r>
          </w:p>
        </w:tc>
        <w:tc>
          <w:tcPr>
            <w:tcW w:type="dxa" w:w="3384"/>
          </w:tcPr>
          <w:p>
            <w:pPr>
              <w:spacing w:after="20"/>
              <w:jc w:val="right"/>
            </w:pPr>
            <w:r>
              <w:rPr>
                <w:color w:val="1C3A36"/>
                <w:sz w:val="17"/>
              </w:rPr>
              <w:t>full waterfall shown; TV 86.7% of EV — disclosed, hence a ceiling</w:t>
            </w:r>
          </w:p>
        </w:tc>
      </w:tr>
      <w:tr>
        <w:tc>
          <w:tcPr>
            <w:tcW w:type="dxa" w:w="3384"/>
          </w:tcPr>
          <w:p>
            <w:pPr>
              <w:spacing w:after="20"/>
            </w:pPr>
            <w:r>
              <w:rPr>
                <w:color w:val="1C3A36"/>
                <w:sz w:val="17"/>
              </w:rPr>
              <w:t>§1.3 Relative EV/EBITDA</w:t>
            </w:r>
          </w:p>
        </w:tc>
        <w:tc>
          <w:tcPr>
            <w:tcW w:type="dxa" w:w="1037"/>
          </w:tcPr>
          <w:p>
            <w:pPr>
              <w:spacing w:after="20"/>
              <w:jc w:val="right"/>
            </w:pPr>
            <w:r>
              <w:rPr>
                <w:color w:val="1C3A36"/>
                <w:sz w:val="17"/>
              </w:rPr>
              <w:t>2.55</w:t>
            </w:r>
          </w:p>
        </w:tc>
        <w:tc>
          <w:tcPr>
            <w:tcW w:type="dxa" w:w="1037"/>
          </w:tcPr>
          <w:p>
            <w:pPr>
              <w:spacing w:after="20"/>
              <w:jc w:val="right"/>
            </w:pPr>
            <w:r>
              <w:rPr>
                <w:color w:val="1C3A36"/>
                <w:sz w:val="17"/>
              </w:rPr>
              <w:t>2.93</w:t>
            </w:r>
          </w:p>
        </w:tc>
        <w:tc>
          <w:tcPr>
            <w:tcW w:type="dxa" w:w="1037"/>
          </w:tcPr>
          <w:p>
            <w:pPr>
              <w:spacing w:after="20"/>
              <w:jc w:val="right"/>
            </w:pPr>
            <w:r>
              <w:rPr>
                <w:color w:val="1C3A36"/>
                <w:sz w:val="17"/>
              </w:rPr>
              <w:t>3.31</w:t>
            </w:r>
          </w:p>
        </w:tc>
        <w:tc>
          <w:tcPr>
            <w:tcW w:type="dxa" w:w="1037"/>
          </w:tcPr>
          <w:p>
            <w:pPr>
              <w:spacing w:after="20"/>
              <w:jc w:val="right"/>
            </w:pPr>
            <w:r>
              <w:rPr>
                <w:color w:val="1C3A36"/>
                <w:sz w:val="17"/>
              </w:rPr>
              <w:t>25%</w:t>
            </w:r>
          </w:p>
        </w:tc>
        <w:tc>
          <w:tcPr>
            <w:tcW w:type="dxa" w:w="3384"/>
          </w:tcPr>
          <w:p>
            <w:pPr>
              <w:spacing w:after="20"/>
              <w:jc w:val="right"/>
            </w:pPr>
            <w:r>
              <w:rPr>
                <w:color w:val="1C3A36"/>
                <w:sz w:val="17"/>
              </w:rPr>
              <w:t>9-11x FY26E vs TAQA ~13x, SEC ~11x — a deliberate float discount</w:t>
            </w:r>
          </w:p>
        </w:tc>
      </w:tr>
      <w:tr>
        <w:tc>
          <w:tcPr>
            <w:tcW w:type="dxa" w:w="3384"/>
          </w:tcPr>
          <w:p>
            <w:pPr>
              <w:spacing w:after="20"/>
            </w:pPr>
            <w:r>
              <w:rPr>
                <w:color w:val="1C3A36"/>
                <w:sz w:val="17"/>
              </w:rPr>
              <w:t>§1.4 Justified P/B</w:t>
            </w:r>
          </w:p>
        </w:tc>
        <w:tc>
          <w:tcPr>
            <w:tcW w:type="dxa" w:w="1037"/>
          </w:tcPr>
          <w:p>
            <w:pPr>
              <w:spacing w:after="20"/>
              <w:jc w:val="right"/>
            </w:pPr>
            <w:r>
              <w:rPr>
                <w:color w:val="1C3A36"/>
                <w:sz w:val="17"/>
              </w:rPr>
              <w:t>2.50</w:t>
            </w:r>
          </w:p>
        </w:tc>
        <w:tc>
          <w:tcPr>
            <w:tcW w:type="dxa" w:w="1037"/>
          </w:tcPr>
          <w:p>
            <w:pPr>
              <w:spacing w:after="20"/>
              <w:jc w:val="right"/>
            </w:pPr>
            <w:r>
              <w:rPr>
                <w:color w:val="1C3A36"/>
                <w:sz w:val="17"/>
              </w:rPr>
              <w:t>2.91</w:t>
            </w:r>
          </w:p>
        </w:tc>
        <w:tc>
          <w:tcPr>
            <w:tcW w:type="dxa" w:w="1037"/>
          </w:tcPr>
          <w:p>
            <w:pPr>
              <w:spacing w:after="20"/>
              <w:jc w:val="right"/>
            </w:pPr>
            <w:r>
              <w:rPr>
                <w:color w:val="1C3A36"/>
                <w:sz w:val="17"/>
              </w:rPr>
              <w:t>3.65</w:t>
            </w:r>
          </w:p>
        </w:tc>
        <w:tc>
          <w:tcPr>
            <w:tcW w:type="dxa" w:w="1037"/>
          </w:tcPr>
          <w:p>
            <w:pPr>
              <w:spacing w:after="20"/>
              <w:jc w:val="right"/>
            </w:pPr>
            <w:r>
              <w:rPr>
                <w:color w:val="1C3A36"/>
                <w:sz w:val="17"/>
              </w:rPr>
              <w:t>20%</w:t>
            </w:r>
          </w:p>
        </w:tc>
        <w:tc>
          <w:tcPr>
            <w:tcW w:type="dxa" w:w="3384"/>
          </w:tcPr>
          <w:p>
            <w:pPr>
              <w:spacing w:after="20"/>
              <w:jc w:val="right"/>
            </w:pPr>
            <w:r>
              <w:rPr>
                <w:color w:val="1C3A36"/>
                <w:sz w:val="17"/>
              </w:rPr>
              <w:t>ROE 9.3% vs Ke 6.7% justifies 1.60x book vs 1.53x paid</w:t>
            </w:r>
          </w:p>
        </w:tc>
      </w:tr>
      <w:tr>
        <w:tc>
          <w:tcPr>
            <w:tcW w:type="dxa" w:w="3384"/>
            <w:shd w:val="clear" w:color="auto" w:fill="F6F1E6"/>
          </w:tcPr>
          <w:p>
            <w:pPr>
              <w:spacing w:after="20"/>
            </w:pPr>
            <w:r>
              <w:rPr>
                <w:b/>
                <w:color w:val="1C3A36"/>
                <w:sz w:val="17"/>
              </w:rPr>
              <w:t>Weighted fundamental central</w:t>
            </w:r>
          </w:p>
        </w:tc>
        <w:tc>
          <w:tcPr>
            <w:tcW w:type="dxa" w:w="1037"/>
            <w:shd w:val="clear" w:color="auto" w:fill="F6F1E6"/>
          </w:tcPr>
          <w:p>
            <w:pPr>
              <w:spacing w:after="20"/>
              <w:jc w:val="right"/>
            </w:pPr>
            <w:r>
              <w:rPr>
                <w:b/>
                <w:color w:val="1C3A36"/>
                <w:sz w:val="17"/>
              </w:rPr>
              <w:t>2.18</w:t>
            </w:r>
          </w:p>
        </w:tc>
        <w:tc>
          <w:tcPr>
            <w:tcW w:type="dxa" w:w="1037"/>
            <w:shd w:val="clear" w:color="auto" w:fill="F6F1E6"/>
          </w:tcPr>
          <w:p>
            <w:pPr>
              <w:spacing w:after="20"/>
              <w:jc w:val="right"/>
            </w:pPr>
            <w:r>
              <w:rPr>
                <w:b/>
                <w:color w:val="1C3A36"/>
                <w:sz w:val="17"/>
              </w:rPr>
              <w:t>3.32</w:t>
            </w:r>
          </w:p>
        </w:tc>
        <w:tc>
          <w:tcPr>
            <w:tcW w:type="dxa" w:w="1037"/>
            <w:shd w:val="clear" w:color="auto" w:fill="F6F1E6"/>
          </w:tcPr>
          <w:p>
            <w:pPr>
              <w:spacing w:after="20"/>
              <w:jc w:val="right"/>
            </w:pPr>
            <w:r>
              <w:rPr>
                <w:b/>
                <w:color w:val="1C3A36"/>
                <w:sz w:val="17"/>
              </w:rPr>
              <w:t>4.92</w:t>
            </w:r>
          </w:p>
        </w:tc>
        <w:tc>
          <w:tcPr>
            <w:tcW w:type="dxa" w:w="1037"/>
            <w:shd w:val="clear" w:color="auto" w:fill="F6F1E6"/>
          </w:tcPr>
          <w:p>
            <w:pPr>
              <w:spacing w:after="20"/>
              <w:jc w:val="right"/>
            </w:pPr>
            <w:r>
              <w:rPr>
                <w:b/>
                <w:color w:val="1C3A36"/>
                <w:sz w:val="17"/>
              </w:rPr>
              <w:t>100%</w:t>
            </w:r>
          </w:p>
        </w:tc>
        <w:tc>
          <w:tcPr>
            <w:tcW w:type="dxa" w:w="3384"/>
            <w:shd w:val="clear" w:color="auto" w:fill="F6F1E6"/>
          </w:tcPr>
          <w:p>
            <w:pPr>
              <w:spacing w:after="20"/>
              <w:jc w:val="right"/>
            </w:pPr>
            <w:r>
              <w:rPr>
                <w:b/>
                <w:color w:val="1C3A36"/>
                <w:sz w:val="17"/>
              </w:rPr>
              <w:t>+19% vs spot; the crux is the post-2027 dividend</w:t>
            </w:r>
          </w:p>
        </w:tc>
      </w:tr>
    </w:tbl>
    <w:p>
      <w:pPr>
        <w:spacing w:after="40"/>
      </w:pP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4896"/>
            <w:shd w:val="clear" w:color="auto" w:fill="EAF0EE"/>
          </w:tcPr>
          <w:p>
            <w:pPr>
              <w:spacing w:after="20"/>
            </w:pPr>
            <w:r>
              <w:rPr>
                <w:b/>
                <w:color w:val="1C3A36"/>
                <w:sz w:val="18"/>
              </w:rPr>
              <w:t>Monte Carlo (genuine 3-month)</w:t>
            </w:r>
          </w:p>
        </w:tc>
        <w:tc>
          <w:tcPr>
            <w:tcW w:type="dxa" w:w="5040"/>
            <w:shd w:val="clear" w:color="auto" w:fill="EAF0EE"/>
          </w:tcPr>
          <w:p>
            <w:pPr>
              <w:spacing w:after="20"/>
            </w:pPr>
            <w:r>
              <w:rPr>
                <w:b/>
                <w:color w:val="1C3A36"/>
                <w:sz w:val="18"/>
              </w:rPr>
              <w:t>Value</w:t>
            </w:r>
          </w:p>
        </w:tc>
      </w:tr>
      <w:tr>
        <w:tc>
          <w:tcPr>
            <w:tcW w:type="dxa" w:w="4896"/>
          </w:tcPr>
          <w:p>
            <w:pPr>
              <w:spacing w:after="20"/>
            </w:pPr>
            <w:r>
              <w:rPr>
                <w:color w:val="1C3A36"/>
                <w:sz w:val="18"/>
              </w:rPr>
              <w:t>Median T+60</w:t>
            </w:r>
          </w:p>
        </w:tc>
        <w:tc>
          <w:tcPr>
            <w:tcW w:type="dxa" w:w="5040"/>
          </w:tcPr>
          <w:p>
            <w:pPr>
              <w:spacing w:after="20"/>
              <w:jc w:val="right"/>
            </w:pPr>
            <w:r>
              <w:rPr>
                <w:color w:val="1C3A36"/>
                <w:sz w:val="18"/>
              </w:rPr>
              <w:t>AED 2.81 (+0.6%)</w:t>
            </w:r>
          </w:p>
        </w:tc>
      </w:tr>
      <w:tr>
        <w:tc>
          <w:tcPr>
            <w:tcW w:type="dxa" w:w="4896"/>
          </w:tcPr>
          <w:p>
            <w:pPr>
              <w:spacing w:after="20"/>
            </w:pPr>
            <w:r>
              <w:rPr>
                <w:color w:val="1C3A36"/>
                <w:sz w:val="18"/>
              </w:rPr>
              <w:t>P(close above spot)</w:t>
            </w:r>
          </w:p>
        </w:tc>
        <w:tc>
          <w:tcPr>
            <w:tcW w:type="dxa" w:w="5040"/>
          </w:tcPr>
          <w:p>
            <w:pPr>
              <w:spacing w:after="20"/>
              <w:jc w:val="right"/>
            </w:pPr>
            <w:r>
              <w:rPr>
                <w:color w:val="1C3A36"/>
                <w:sz w:val="18"/>
              </w:rPr>
              <w:t>52.1%</w:t>
            </w:r>
          </w:p>
        </w:tc>
      </w:tr>
      <w:tr>
        <w:tc>
          <w:tcPr>
            <w:tcW w:type="dxa" w:w="4896"/>
          </w:tcPr>
          <w:p>
            <w:pPr>
              <w:spacing w:after="20"/>
            </w:pPr>
            <w:r>
              <w:rPr>
                <w:color w:val="1C3A36"/>
                <w:sz w:val="18"/>
              </w:rPr>
              <w:t>P(≥ +10%) / P(≤ −10%)</w:t>
            </w:r>
          </w:p>
        </w:tc>
        <w:tc>
          <w:tcPr>
            <w:tcW w:type="dxa" w:w="5040"/>
          </w:tcPr>
          <w:p>
            <w:pPr>
              <w:spacing w:after="20"/>
              <w:jc w:val="right"/>
            </w:pPr>
            <w:r>
              <w:rPr>
                <w:color w:val="1C3A36"/>
                <w:sz w:val="18"/>
              </w:rPr>
              <w:t>20.3% / 15.5% — odds 1.31:1</w:t>
            </w:r>
          </w:p>
        </w:tc>
      </w:tr>
      <w:tr>
        <w:tc>
          <w:tcPr>
            <w:tcW w:type="dxa" w:w="4896"/>
          </w:tcPr>
          <w:p>
            <w:pPr>
              <w:spacing w:after="20"/>
            </w:pPr>
            <w:r>
              <w:rPr>
                <w:color w:val="1C3A36"/>
                <w:sz w:val="18"/>
              </w:rPr>
              <w:t>90% band T+60</w:t>
            </w:r>
          </w:p>
        </w:tc>
        <w:tc>
          <w:tcPr>
            <w:tcW w:type="dxa" w:w="5040"/>
          </w:tcPr>
          <w:p>
            <w:pPr>
              <w:spacing w:after="20"/>
              <w:jc w:val="right"/>
            </w:pPr>
            <w:r>
              <w:rPr>
                <w:color w:val="1C3A36"/>
                <w:sz w:val="18"/>
              </w:rPr>
              <w:t>AED 2.33 – 3.39</w:t>
            </w:r>
          </w:p>
        </w:tc>
      </w:tr>
      <w:tr>
        <w:tc>
          <w:tcPr>
            <w:tcW w:type="dxa" w:w="4896"/>
          </w:tcPr>
          <w:p>
            <w:pPr>
              <w:spacing w:after="20"/>
            </w:pPr>
            <w:r>
              <w:rPr>
                <w:color w:val="1C3A36"/>
                <w:sz w:val="18"/>
              </w:rPr>
              <w:t>50% band T+60</w:t>
            </w:r>
          </w:p>
        </w:tc>
        <w:tc>
          <w:tcPr>
            <w:tcW w:type="dxa" w:w="5040"/>
          </w:tcPr>
          <w:p>
            <w:pPr>
              <w:spacing w:after="20"/>
              <w:jc w:val="right"/>
            </w:pPr>
            <w:r>
              <w:rPr>
                <w:color w:val="1C3A36"/>
                <w:sz w:val="18"/>
              </w:rPr>
              <w:t>AED 2.61 – 3.02</w:t>
            </w:r>
          </w:p>
        </w:tc>
      </w:tr>
    </w:tbl>
    <w:p>
      <w:pPr>
        <w:spacing w:after="40"/>
      </w:pPr>
    </w:p>
    <w:p>
      <w:pPr>
        <w:spacing w:after="200" w:before="0"/>
      </w:pPr>
      <w:r>
        <w:rPr>
          <w:b w:val="0"/>
          <w:i/>
          <w:color w:val="6E7B77"/>
          <w:sz w:val="17"/>
        </w:rPr>
        <w:t>Fundamental ranges are a ~12-month basis; the MC band is a genuine 3-month distribution; the DCF bull leg is a multi-year ceiling. Three clocks — never blended, never averaged. The weighted central of 3.32 is the disclosed-weight midpoint of the lens field, always read with the 2.18-4.92 range around it; the football field carries the divergence and §4 reads it.</w:t>
      </w:r>
    </w:p>
    <w:p>
      <w:pPr>
        <w:spacing w:after="40"/>
        <w:jc w:val="center"/>
      </w:pPr>
      <w:r>
        <w:drawing>
          <wp:inline xmlns:a="http://schemas.openxmlformats.org/drawingml/2006/main" xmlns:pic="http://schemas.openxmlformats.org/drawingml/2006/picture">
            <wp:extent cx="6309360" cy="2733113"/>
            <wp:docPr id="1" name="Picture 1"/>
            <wp:cNvGraphicFramePr>
              <a:graphicFrameLocks noChangeAspect="1"/>
            </wp:cNvGraphicFramePr>
            <a:graphic>
              <a:graphicData uri="http://schemas.openxmlformats.org/drawingml/2006/picture">
                <pic:pic>
                  <pic:nvPicPr>
                    <pic:cNvPr id="0" name="f1_field.png"/>
                    <pic:cNvPicPr/>
                  </pic:nvPicPr>
                  <pic:blipFill>
                    <a:blip r:embed="rId9"/>
                    <a:stretch>
                      <a:fillRect/>
                    </a:stretch>
                  </pic:blipFill>
                  <pic:spPr>
                    <a:xfrm>
                      <a:off x="0" y="0"/>
                      <a:ext cx="6309360" cy="2733113"/>
                    </a:xfrm>
                    <a:prstGeom prst="rect"/>
                  </pic:spPr>
                </pic:pic>
              </a:graphicData>
            </a:graphic>
          </wp:inline>
        </w:drawing>
      </w:r>
    </w:p>
    <w:p>
      <w:pPr>
        <w:spacing w:after="200" w:before="0"/>
      </w:pPr>
      <w:r>
        <w:rPr>
          <w:b w:val="0"/>
          <w:i/>
          <w:color w:val="6E7B77"/>
          <w:sz w:val="17"/>
        </w:rPr>
        <w:t>Figure 1. The football field — bear-bull span per lens, brass tick = base, dark line = spot AED 2.79, gold band = the weighted central.</w:t>
      </w:r>
    </w:p>
    <w:p>
      <w:pPr>
        <w:spacing w:after="120" w:before="280"/>
      </w:pPr>
      <w:r>
        <w:rPr>
          <w:b/>
          <w:i w:val="0"/>
          <w:color w:val="1C3A36"/>
          <w:sz w:val="30"/>
        </w:rPr>
        <w:t>Company overview — DEWA at a glance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1944"/>
            <w:shd w:val="clear" w:color="auto" w:fill="EAF0EE"/>
          </w:tcPr>
          <w:p>
            <w:pPr>
              <w:spacing w:after="20"/>
            </w:pPr>
            <w:r>
              <w:rPr>
                <w:b/>
                <w:color w:val="1C3A36"/>
                <w:sz w:val="17"/>
              </w:rPr>
              <w:t>Item</w:t>
            </w:r>
          </w:p>
        </w:tc>
        <w:tc>
          <w:tcPr>
            <w:tcW w:type="dxa" w:w="3384"/>
            <w:shd w:val="clear" w:color="auto" w:fill="EAF0EE"/>
          </w:tcPr>
          <w:p>
            <w:pPr>
              <w:spacing w:after="20"/>
            </w:pPr>
            <w:r>
              <w:rPr>
                <w:b/>
                <w:color w:val="1C3A36"/>
                <w:sz w:val="17"/>
              </w:rPr>
              <w:t>Value</w:t>
            </w:r>
          </w:p>
        </w:tc>
        <w:tc>
          <w:tcPr>
            <w:tcW w:type="dxa" w:w="1800"/>
            <w:shd w:val="clear" w:color="auto" w:fill="EAF0EE"/>
          </w:tcPr>
          <w:p>
            <w:pPr>
              <w:spacing w:after="20"/>
            </w:pPr>
            <w:r>
              <w:rPr>
                <w:b/>
                <w:color w:val="1C3A36"/>
                <w:sz w:val="17"/>
              </w:rPr>
              <w:t>Item</w:t>
            </w:r>
          </w:p>
        </w:tc>
        <w:tc>
          <w:tcPr>
            <w:tcW w:type="dxa" w:w="2952"/>
            <w:shd w:val="clear" w:color="auto" w:fill="EAF0EE"/>
          </w:tcPr>
          <w:p>
            <w:pPr>
              <w:spacing w:after="20"/>
            </w:pPr>
            <w:r>
              <w:rPr>
                <w:b/>
                <w:color w:val="1C3A36"/>
                <w:sz w:val="17"/>
              </w:rPr>
              <w:t>Value</w:t>
            </w:r>
          </w:p>
        </w:tc>
      </w:tr>
      <w:tr>
        <w:tc>
          <w:tcPr>
            <w:tcW w:type="dxa" w:w="1944"/>
          </w:tcPr>
          <w:p>
            <w:pPr>
              <w:spacing w:after="20"/>
            </w:pPr>
            <w:r>
              <w:rPr>
                <w:color w:val="1C3A36"/>
                <w:sz w:val="17"/>
              </w:rPr>
              <w:t>Exchange / ticker</w:t>
            </w:r>
          </w:p>
        </w:tc>
        <w:tc>
          <w:tcPr>
            <w:tcW w:type="dxa" w:w="3384"/>
          </w:tcPr>
          <w:p>
            <w:pPr>
              <w:spacing w:after="20"/>
            </w:pPr>
            <w:r>
              <w:rPr>
                <w:color w:val="1C3A36"/>
                <w:sz w:val="17"/>
              </w:rPr>
              <w:t>DFM : DEWA</w:t>
            </w:r>
          </w:p>
        </w:tc>
        <w:tc>
          <w:tcPr>
            <w:tcW w:type="dxa" w:w="1800"/>
          </w:tcPr>
          <w:p>
            <w:pPr>
              <w:spacing w:after="20"/>
            </w:pPr>
            <w:r>
              <w:rPr>
                <w:color w:val="1C3A36"/>
                <w:sz w:val="17"/>
              </w:rPr>
              <w:t>Spot / 52-wk range</w:t>
            </w:r>
          </w:p>
        </w:tc>
        <w:tc>
          <w:tcPr>
            <w:tcW w:type="dxa" w:w="2952"/>
          </w:tcPr>
          <w:p>
            <w:pPr>
              <w:spacing w:after="20"/>
            </w:pPr>
            <w:r>
              <w:rPr>
                <w:color w:val="1C3A36"/>
                <w:sz w:val="17"/>
              </w:rPr>
              <w:t>2.79 / 2.47–3.15</w:t>
            </w:r>
          </w:p>
        </w:tc>
      </w:tr>
      <w:tr>
        <w:tc>
          <w:tcPr>
            <w:tcW w:type="dxa" w:w="1944"/>
          </w:tcPr>
          <w:p>
            <w:pPr>
              <w:spacing w:after="20"/>
            </w:pPr>
            <w:r>
              <w:rPr>
                <w:color w:val="1C3A36"/>
                <w:sz w:val="17"/>
              </w:rPr>
              <w:t>Shares / market cap</w:t>
            </w:r>
          </w:p>
        </w:tc>
        <w:tc>
          <w:tcPr>
            <w:tcW w:type="dxa" w:w="3384"/>
          </w:tcPr>
          <w:p>
            <w:pPr>
              <w:spacing w:after="20"/>
            </w:pPr>
            <w:r>
              <w:rPr>
                <w:color w:val="1C3A36"/>
                <w:sz w:val="17"/>
              </w:rPr>
              <w:t>50,000 mn / AED 139.5 bn</w:t>
            </w:r>
          </w:p>
        </w:tc>
        <w:tc>
          <w:tcPr>
            <w:tcW w:type="dxa" w:w="1800"/>
          </w:tcPr>
          <w:p>
            <w:pPr>
              <w:spacing w:after="20"/>
            </w:pPr>
            <w:r>
              <w:rPr>
                <w:color w:val="1C3A36"/>
                <w:sz w:val="17"/>
              </w:rPr>
              <w:t>Free float</w:t>
            </w:r>
          </w:p>
        </w:tc>
        <w:tc>
          <w:tcPr>
            <w:tcW w:type="dxa" w:w="2952"/>
          </w:tcPr>
          <w:p>
            <w:pPr>
              <w:spacing w:after="20"/>
            </w:pPr>
            <w:r>
              <w:rPr>
                <w:color w:val="1C3A36"/>
                <w:sz w:val="17"/>
              </w:rPr>
              <w:t>18% (DIF holds 82%)</w:t>
            </w:r>
          </w:p>
        </w:tc>
      </w:tr>
      <w:tr>
        <w:tc>
          <w:tcPr>
            <w:tcW w:type="dxa" w:w="1944"/>
          </w:tcPr>
          <w:p>
            <w:pPr>
              <w:spacing w:after="20"/>
            </w:pPr>
            <w:r>
              <w:rPr>
                <w:color w:val="1C3A36"/>
                <w:sz w:val="17"/>
              </w:rPr>
              <w:t>FY25 revenue / EBITDA</w:t>
            </w:r>
          </w:p>
        </w:tc>
        <w:tc>
          <w:tcPr>
            <w:tcW w:type="dxa" w:w="3384"/>
          </w:tcPr>
          <w:p>
            <w:pPr>
              <w:spacing w:after="20"/>
            </w:pPr>
            <w:r>
              <w:rPr>
                <w:color w:val="1C3A36"/>
                <w:sz w:val="17"/>
              </w:rPr>
              <w:t>AED 32,842 / 17,661 mn engine (17,329 company — dual-framed)</w:t>
            </w:r>
          </w:p>
        </w:tc>
        <w:tc>
          <w:tcPr>
            <w:tcW w:type="dxa" w:w="1800"/>
          </w:tcPr>
          <w:p>
            <w:pPr>
              <w:spacing w:after="20"/>
            </w:pPr>
            <w:r>
              <w:rPr>
                <w:color w:val="1C3A36"/>
                <w:sz w:val="17"/>
              </w:rPr>
              <w:t>FY25 profit (owners)</w:t>
            </w:r>
          </w:p>
        </w:tc>
        <w:tc>
          <w:tcPr>
            <w:tcW w:type="dxa" w:w="2952"/>
          </w:tcPr>
          <w:p>
            <w:pPr>
              <w:spacing w:after="20"/>
            </w:pPr>
            <w:r>
              <w:rPr>
                <w:color w:val="1C3A36"/>
                <w:sz w:val="17"/>
              </w:rPr>
              <w:t>AED 8,347 mn · EPS 0.167</w:t>
            </w:r>
          </w:p>
        </w:tc>
      </w:tr>
      <w:tr>
        <w:tc>
          <w:tcPr>
            <w:tcW w:type="dxa" w:w="1944"/>
          </w:tcPr>
          <w:p>
            <w:pPr>
              <w:spacing w:after="20"/>
            </w:pPr>
            <w:r>
              <w:rPr>
                <w:color w:val="1C3A36"/>
                <w:sz w:val="17"/>
              </w:rPr>
              <w:t>Net debt FY25</w:t>
            </w:r>
          </w:p>
        </w:tc>
        <w:tc>
          <w:tcPr>
            <w:tcW w:type="dxa" w:w="3384"/>
          </w:tcPr>
          <w:p>
            <w:pPr>
              <w:spacing w:after="20"/>
            </w:pPr>
            <w:r>
              <w:rPr>
                <w:color w:val="1C3A36"/>
                <w:sz w:val="17"/>
              </w:rPr>
              <w:t>AED 31,089 mn strict · 36,273 PF post-Empower</w:t>
            </w:r>
          </w:p>
        </w:tc>
        <w:tc>
          <w:tcPr>
            <w:tcW w:type="dxa" w:w="1800"/>
          </w:tcPr>
          <w:p>
            <w:pPr>
              <w:spacing w:after="20"/>
            </w:pPr>
            <w:r>
              <w:rPr>
                <w:color w:val="1C3A36"/>
                <w:sz w:val="17"/>
              </w:rPr>
              <w:t>Rating</w:t>
            </w:r>
          </w:p>
        </w:tc>
        <w:tc>
          <w:tcPr>
            <w:tcW w:type="dxa" w:w="2952"/>
          </w:tcPr>
          <w:p>
            <w:pPr>
              <w:spacing w:after="20"/>
            </w:pPr>
            <w:r>
              <w:rPr>
                <w:color w:val="1C3A36"/>
                <w:sz w:val="17"/>
              </w:rPr>
              <w:t>Moody's A3 stable (from Baa2, 30-May-2024)</w:t>
            </w:r>
          </w:p>
        </w:tc>
      </w:tr>
      <w:tr>
        <w:tc>
          <w:tcPr>
            <w:tcW w:type="dxa" w:w="1944"/>
          </w:tcPr>
          <w:p>
            <w:pPr>
              <w:spacing w:after="20"/>
            </w:pPr>
            <w:r>
              <w:rPr>
                <w:color w:val="1C3A36"/>
                <w:sz w:val="17"/>
              </w:rPr>
              <w:t>DPS policy</w:t>
            </w:r>
          </w:p>
        </w:tc>
        <w:tc>
          <w:tcPr>
            <w:tcW w:type="dxa" w:w="3384"/>
          </w:tcPr>
          <w:p>
            <w:pPr>
              <w:spacing w:after="20"/>
            </w:pPr>
            <w:r>
              <w:rPr>
                <w:color w:val="1C3A36"/>
                <w:sz w:val="17"/>
              </w:rPr>
              <w:t>AED 0.124/yr floor (6.2bn) to Oct-2027; semi-annual</w:t>
            </w:r>
          </w:p>
        </w:tc>
        <w:tc>
          <w:tcPr>
            <w:tcW w:type="dxa" w:w="1800"/>
          </w:tcPr>
          <w:p>
            <w:pPr>
              <w:spacing w:after="20"/>
            </w:pPr>
            <w:r>
              <w:rPr>
                <w:color w:val="1C3A36"/>
                <w:sz w:val="17"/>
              </w:rPr>
              <w:t>Yield at spot</w:t>
            </w:r>
          </w:p>
        </w:tc>
        <w:tc>
          <w:tcPr>
            <w:tcW w:type="dxa" w:w="2952"/>
          </w:tcPr>
          <w:p>
            <w:pPr>
              <w:spacing w:after="20"/>
            </w:pPr>
            <w:r>
              <w:rPr>
                <w:color w:val="1C3A36"/>
                <w:sz w:val="17"/>
              </w:rPr>
              <w:t>4.4%</w:t>
            </w:r>
          </w:p>
        </w:tc>
      </w:tr>
      <w:tr>
        <w:tc>
          <w:tcPr>
            <w:tcW w:type="dxa" w:w="1944"/>
          </w:tcPr>
          <w:p>
            <w:pPr>
              <w:spacing w:after="20"/>
            </w:pPr>
            <w:r>
              <w:rPr>
                <w:color w:val="1C3A36"/>
                <w:sz w:val="17"/>
              </w:rPr>
              <w:t>IPO</w:t>
            </w:r>
          </w:p>
        </w:tc>
        <w:tc>
          <w:tcPr>
            <w:tcW w:type="dxa" w:w="3384"/>
          </w:tcPr>
          <w:p>
            <w:pPr>
              <w:spacing w:after="20"/>
            </w:pPr>
            <w:r>
              <w:rPr>
                <w:color w:val="1C3A36"/>
                <w:sz w:val="17"/>
              </w:rPr>
              <w:t>Apr-2022 at AED 2.48; US$85bn demand, 37x covered</w:t>
            </w:r>
          </w:p>
        </w:tc>
        <w:tc>
          <w:tcPr>
            <w:tcW w:type="dxa" w:w="1800"/>
          </w:tcPr>
          <w:p>
            <w:pPr>
              <w:spacing w:after="20"/>
            </w:pPr>
            <w:r>
              <w:rPr>
                <w:color w:val="1C3A36"/>
                <w:sz w:val="17"/>
              </w:rPr>
              <w:t>Since IPO</w:t>
            </w:r>
          </w:p>
        </w:tc>
        <w:tc>
          <w:tcPr>
            <w:tcW w:type="dxa" w:w="2952"/>
          </w:tcPr>
          <w:p>
            <w:pPr>
              <w:spacing w:after="20"/>
            </w:pPr>
            <w:r>
              <w:rPr>
                <w:color w:val="1C3A36"/>
                <w:sz w:val="17"/>
              </w:rPr>
              <w:t>+276.0% price — the return has been the dividend</w:t>
            </w:r>
          </w:p>
        </w:tc>
      </w:tr>
      <w:tr>
        <w:tc>
          <w:tcPr>
            <w:tcW w:type="dxa" w:w="1944"/>
          </w:tcPr>
          <w:p>
            <w:pPr>
              <w:spacing w:after="20"/>
            </w:pPr>
            <w:r>
              <w:rPr>
                <w:color w:val="1C3A36"/>
                <w:sz w:val="17"/>
              </w:rPr>
              <w:t>Customers</w:t>
            </w:r>
          </w:p>
        </w:tc>
        <w:tc>
          <w:tcPr>
            <w:tcW w:type="dxa" w:w="3384"/>
          </w:tcPr>
          <w:p>
            <w:pPr>
              <w:spacing w:after="20"/>
            </w:pPr>
            <w:r>
              <w:rPr>
                <w:color w:val="1C3A36"/>
                <w:sz w:val="17"/>
              </w:rPr>
              <w:t>1,327,182 (+4.5%); Q1-26 1,347,000</w:t>
            </w:r>
          </w:p>
        </w:tc>
        <w:tc>
          <w:tcPr>
            <w:tcW w:type="dxa" w:w="1800"/>
          </w:tcPr>
          <w:p>
            <w:pPr>
              <w:spacing w:after="20"/>
            </w:pPr>
            <w:r>
              <w:rPr>
                <w:color w:val="1C3A36"/>
                <w:sz w:val="17"/>
              </w:rPr>
              <w:t>Regulator</w:t>
            </w:r>
          </w:p>
        </w:tc>
        <w:tc>
          <w:tcPr>
            <w:tcW w:type="dxa" w:w="2952"/>
          </w:tcPr>
          <w:p>
            <w:pPr>
              <w:spacing w:after="20"/>
            </w:pPr>
            <w:r>
              <w:rPr>
                <w:color w:val="1C3A36"/>
                <w:sz w:val="17"/>
              </w:rPr>
              <w:t>Dubai Supreme Council of Energy; slab tariffs since 2011</w:t>
            </w:r>
          </w:p>
        </w:tc>
      </w:tr>
      <w:tr>
        <w:tc>
          <w:tcPr>
            <w:tcW w:type="dxa" w:w="1944"/>
          </w:tcPr>
          <w:p>
            <w:pPr>
              <w:spacing w:after="20"/>
            </w:pPr>
            <w:r>
              <w:rPr>
                <w:color w:val="1C3A36"/>
                <w:sz w:val="17"/>
              </w:rPr>
              <w:t>Subsidiaries</w:t>
            </w:r>
          </w:p>
        </w:tc>
        <w:tc>
          <w:tcPr>
            <w:tcW w:type="dxa" w:w="3384"/>
          </w:tcPr>
          <w:p>
            <w:pPr>
              <w:spacing w:after="20"/>
            </w:pPr>
            <w:r>
              <w:rPr>
                <w:color w:val="1C3A36"/>
                <w:sz w:val="17"/>
              </w:rPr>
              <w:t>Empower 80% (listed) · Mai Dubai, Digital DEWA/Moro, Etihad ESCO 100%</w:t>
            </w:r>
          </w:p>
        </w:tc>
        <w:tc>
          <w:tcPr>
            <w:tcW w:type="dxa" w:w="1800"/>
          </w:tcPr>
          <w:p>
            <w:pPr>
              <w:spacing w:after="20"/>
            </w:pPr>
            <w:r>
              <w:rPr>
                <w:color w:val="1C3A36"/>
                <w:sz w:val="17"/>
              </w:rPr>
              <w:t>IPP/IWP stakes</w:t>
            </w:r>
          </w:p>
        </w:tc>
        <w:tc>
          <w:tcPr>
            <w:tcW w:type="dxa" w:w="2952"/>
          </w:tcPr>
          <w:p>
            <w:pPr>
              <w:spacing w:after="20"/>
            </w:pPr>
            <w:r>
              <w:rPr>
                <w:color w:val="1C3A36"/>
                <w:sz w:val="17"/>
              </w:rPr>
              <w:t>Shuaa 1-4, Noor 1, Hassyan Energy/Water at 51-60%</w:t>
            </w:r>
          </w:p>
        </w:tc>
      </w:tr>
    </w:tbl>
    <w:p>
      <w:pPr>
        <w:spacing w:after="40"/>
      </w:pPr>
    </w:p>
    <w:p>
      <w:pPr>
        <w:spacing w:after="80" w:before="200"/>
      </w:pPr>
      <w:r>
        <w:rPr>
          <w:b/>
          <w:i w:val="0"/>
          <w:color w:val="1C3A36"/>
          <w:sz w:val="24"/>
        </w:rPr>
        <w:t>Operating footprint — the physical machine (FY25 audited / directors’ report)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2952"/>
            <w:shd w:val="clear" w:color="auto" w:fill="EAF0EE"/>
          </w:tcPr>
          <w:p>
            <w:pPr>
              <w:spacing w:after="20"/>
            </w:pPr>
            <w:r>
              <w:rPr>
                <w:b/>
                <w:color w:val="1C3A36"/>
                <w:sz w:val="17"/>
              </w:rPr>
              <w:t>Metric</w:t>
            </w:r>
          </w:p>
        </w:tc>
        <w:tc>
          <w:tcPr>
            <w:tcW w:type="dxa" w:w="1944"/>
            <w:shd w:val="clear" w:color="auto" w:fill="EAF0EE"/>
          </w:tcPr>
          <w:p>
            <w:pPr>
              <w:spacing w:after="20"/>
            </w:pPr>
            <w:r>
              <w:rPr>
                <w:b/>
                <w:color w:val="1C3A36"/>
                <w:sz w:val="17"/>
              </w:rPr>
              <w:t>FY25</w:t>
            </w:r>
          </w:p>
        </w:tc>
        <w:tc>
          <w:tcPr>
            <w:tcW w:type="dxa" w:w="1008"/>
            <w:shd w:val="clear" w:color="auto" w:fill="EAF0EE"/>
          </w:tcPr>
          <w:p>
            <w:pPr>
              <w:spacing w:after="20"/>
            </w:pPr>
            <w:r>
              <w:rPr>
                <w:b/>
                <w:color w:val="1C3A36"/>
                <w:sz w:val="17"/>
              </w:rPr>
              <w:t>y/y</w:t>
            </w:r>
          </w:p>
        </w:tc>
        <w:tc>
          <w:tcPr>
            <w:tcW w:type="dxa" w:w="4176"/>
            <w:shd w:val="clear" w:color="auto" w:fill="EAF0EE"/>
          </w:tcPr>
          <w:p>
            <w:pPr>
              <w:spacing w:after="20"/>
            </w:pPr>
            <w:r>
              <w:rPr>
                <w:b/>
                <w:color w:val="1C3A36"/>
                <w:sz w:val="17"/>
              </w:rPr>
              <w:t>Note</w:t>
            </w:r>
          </w:p>
        </w:tc>
      </w:tr>
      <w:tr>
        <w:tc>
          <w:tcPr>
            <w:tcW w:type="dxa" w:w="2952"/>
          </w:tcPr>
          <w:p>
            <w:pPr>
              <w:spacing w:after="20"/>
            </w:pPr>
            <w:r>
              <w:rPr>
                <w:color w:val="1C3A36"/>
                <w:sz w:val="17"/>
              </w:rPr>
              <w:t>Installed power capacity</w:t>
            </w:r>
          </w:p>
        </w:tc>
        <w:tc>
          <w:tcPr>
            <w:tcW w:type="dxa" w:w="1944"/>
          </w:tcPr>
          <w:p>
            <w:pPr>
              <w:spacing w:after="20"/>
            </w:pPr>
            <w:r>
              <w:rPr>
                <w:color w:val="1C3A36"/>
                <w:sz w:val="17"/>
              </w:rPr>
              <w:t>17,979 MW</w:t>
            </w:r>
          </w:p>
        </w:tc>
        <w:tc>
          <w:tcPr>
            <w:tcW w:type="dxa" w:w="1008"/>
          </w:tcPr>
          <w:p>
            <w:pPr>
              <w:spacing w:after="20"/>
            </w:pPr>
            <w:r>
              <w:rPr>
                <w:color w:val="1C3A36"/>
                <w:sz w:val="17"/>
              </w:rPr>
              <w:t>+4.7%</w:t>
            </w:r>
          </w:p>
        </w:tc>
        <w:tc>
          <w:tcPr>
            <w:tcW w:type="dxa" w:w="4176"/>
          </w:tcPr>
          <w:p>
            <w:pPr>
              <w:spacing w:after="20"/>
            </w:pPr>
            <w:r>
              <w:rPr>
                <w:color w:val="1C3A36"/>
                <w:sz w:val="17"/>
              </w:rPr>
              <w:t>of which 3,860 MW clean (21.5%)</w:t>
            </w:r>
          </w:p>
        </w:tc>
      </w:tr>
      <w:tr>
        <w:tc>
          <w:tcPr>
            <w:tcW w:type="dxa" w:w="2952"/>
          </w:tcPr>
          <w:p>
            <w:pPr>
              <w:spacing w:after="20"/>
            </w:pPr>
            <w:r>
              <w:rPr>
                <w:color w:val="1C3A36"/>
                <w:sz w:val="17"/>
              </w:rPr>
              <w:t>Power generated</w:t>
            </w:r>
          </w:p>
        </w:tc>
        <w:tc>
          <w:tcPr>
            <w:tcW w:type="dxa" w:w="1944"/>
          </w:tcPr>
          <w:p>
            <w:pPr>
              <w:spacing w:after="20"/>
            </w:pPr>
            <w:r>
              <w:rPr>
                <w:color w:val="1C3A36"/>
                <w:sz w:val="17"/>
              </w:rPr>
              <w:t>62.21 TWh</w:t>
            </w:r>
          </w:p>
        </w:tc>
        <w:tc>
          <w:tcPr>
            <w:tcW w:type="dxa" w:w="1008"/>
          </w:tcPr>
          <w:p>
            <w:pPr>
              <w:spacing w:after="20"/>
            </w:pPr>
            <w:r>
              <w:rPr>
                <w:color w:val="1C3A36"/>
                <w:sz w:val="17"/>
              </w:rPr>
              <w:t>+5.1%</w:t>
            </w:r>
          </w:p>
        </w:tc>
        <w:tc>
          <w:tcPr>
            <w:tcW w:type="dxa" w:w="4176"/>
          </w:tcPr>
          <w:p>
            <w:pPr>
              <w:spacing w:after="20"/>
            </w:pPr>
            <w:r>
              <w:rPr>
                <w:color w:val="1C3A36"/>
                <w:sz w:val="17"/>
              </w:rPr>
              <w:t>clean 10.10 TWh = 16.2% of output (+52.4%)</w:t>
            </w:r>
          </w:p>
        </w:tc>
      </w:tr>
      <w:tr>
        <w:tc>
          <w:tcPr>
            <w:tcW w:type="dxa" w:w="2952"/>
          </w:tcPr>
          <w:p>
            <w:pPr>
              <w:spacing w:after="20"/>
            </w:pPr>
            <w:r>
              <w:rPr>
                <w:color w:val="1C3A36"/>
                <w:sz w:val="17"/>
              </w:rPr>
              <w:t>Peak power demand</w:t>
            </w:r>
          </w:p>
        </w:tc>
        <w:tc>
          <w:tcPr>
            <w:tcW w:type="dxa" w:w="1944"/>
          </w:tcPr>
          <w:p>
            <w:pPr>
              <w:spacing w:after="20"/>
            </w:pPr>
            <w:r>
              <w:rPr>
                <w:color w:val="1C3A36"/>
                <w:sz w:val="17"/>
              </w:rPr>
              <w:t>11.391 GW</w:t>
            </w:r>
          </w:p>
        </w:tc>
        <w:tc>
          <w:tcPr>
            <w:tcW w:type="dxa" w:w="1008"/>
          </w:tcPr>
          <w:p>
            <w:pPr>
              <w:spacing w:after="20"/>
            </w:pPr>
            <w:r>
              <w:rPr>
                <w:color w:val="1C3A36"/>
                <w:sz w:val="17"/>
              </w:rPr>
              <w:t>+5.8%</w:t>
            </w:r>
          </w:p>
        </w:tc>
        <w:tc>
          <w:tcPr>
            <w:tcW w:type="dxa" w:w="4176"/>
          </w:tcPr>
          <w:p>
            <w:pPr>
              <w:spacing w:after="20"/>
            </w:pPr>
            <w:r>
              <w:rPr>
                <w:color w:val="1C3A36"/>
                <w:sz w:val="17"/>
              </w:rPr>
              <w:t>the summer cooling peak — the capacity-planning anchor</w:t>
            </w:r>
          </w:p>
        </w:tc>
      </w:tr>
      <w:tr>
        <w:tc>
          <w:tcPr>
            <w:tcW w:type="dxa" w:w="2952"/>
          </w:tcPr>
          <w:p>
            <w:pPr>
              <w:spacing w:after="20"/>
            </w:pPr>
            <w:r>
              <w:rPr>
                <w:color w:val="1C3A36"/>
                <w:sz w:val="17"/>
              </w:rPr>
              <w:t>Desalination capacity</w:t>
            </w:r>
          </w:p>
        </w:tc>
        <w:tc>
          <w:tcPr>
            <w:tcW w:type="dxa" w:w="1944"/>
          </w:tcPr>
          <w:p>
            <w:pPr>
              <w:spacing w:after="20"/>
            </w:pPr>
            <w:r>
              <w:rPr>
                <w:color w:val="1C3A36"/>
                <w:sz w:val="17"/>
              </w:rPr>
              <w:t>555 MIGD</w:t>
            </w:r>
          </w:p>
        </w:tc>
        <w:tc>
          <w:tcPr>
            <w:tcW w:type="dxa" w:w="1008"/>
          </w:tcPr>
          <w:p>
            <w:pPr>
              <w:spacing w:after="20"/>
            </w:pPr>
            <w:r>
              <w:rPr>
                <w:color w:val="1C3A36"/>
                <w:sz w:val="17"/>
              </w:rPr>
              <w:t>—</w:t>
            </w:r>
          </w:p>
        </w:tc>
        <w:tc>
          <w:tcPr>
            <w:tcW w:type="dxa" w:w="4176"/>
          </w:tcPr>
          <w:p>
            <w:pPr>
              <w:spacing w:after="20"/>
            </w:pPr>
            <w:r>
              <w:rPr>
                <w:color w:val="1C3A36"/>
                <w:sz w:val="17"/>
              </w:rPr>
              <w:t>Hassyan SWRO 180 MIGD in early production</w:t>
            </w:r>
          </w:p>
        </w:tc>
      </w:tr>
      <w:tr>
        <w:tc>
          <w:tcPr>
            <w:tcW w:type="dxa" w:w="2952"/>
          </w:tcPr>
          <w:p>
            <w:pPr>
              <w:spacing w:after="20"/>
            </w:pPr>
            <w:r>
              <w:rPr>
                <w:color w:val="1C3A36"/>
                <w:sz w:val="17"/>
              </w:rPr>
              <w:t>Water demanded</w:t>
            </w:r>
          </w:p>
        </w:tc>
        <w:tc>
          <w:tcPr>
            <w:tcW w:type="dxa" w:w="1944"/>
          </w:tcPr>
          <w:p>
            <w:pPr>
              <w:spacing w:after="20"/>
            </w:pPr>
            <w:r>
              <w:rPr>
                <w:color w:val="1C3A36"/>
                <w:sz w:val="17"/>
              </w:rPr>
              <w:t>161.5 bn IG</w:t>
            </w:r>
          </w:p>
        </w:tc>
        <w:tc>
          <w:tcPr>
            <w:tcW w:type="dxa" w:w="1008"/>
          </w:tcPr>
          <w:p>
            <w:pPr>
              <w:spacing w:after="20"/>
            </w:pPr>
            <w:r>
              <w:rPr>
                <w:color w:val="1C3A36"/>
                <w:sz w:val="17"/>
              </w:rPr>
              <w:t>+6.6%</w:t>
            </w:r>
          </w:p>
        </w:tc>
        <w:tc>
          <w:tcPr>
            <w:tcW w:type="dxa" w:w="4176"/>
          </w:tcPr>
          <w:p>
            <w:pPr>
              <w:spacing w:after="20"/>
            </w:pPr>
            <w:r>
              <w:rPr>
                <w:color w:val="1C3A36"/>
                <w:sz w:val="17"/>
              </w:rPr>
              <w:t>peak day 487 MIGD (from 455)</w:t>
            </w:r>
          </w:p>
        </w:tc>
      </w:tr>
      <w:tr>
        <w:tc>
          <w:tcPr>
            <w:tcW w:type="dxa" w:w="2952"/>
          </w:tcPr>
          <w:p>
            <w:pPr>
              <w:spacing w:after="20"/>
            </w:pPr>
            <w:r>
              <w:rPr>
                <w:color w:val="1C3A36"/>
                <w:sz w:val="17"/>
              </w:rPr>
              <w:t>Customer accounts</w:t>
            </w:r>
          </w:p>
        </w:tc>
        <w:tc>
          <w:tcPr>
            <w:tcW w:type="dxa" w:w="1944"/>
          </w:tcPr>
          <w:p>
            <w:pPr>
              <w:spacing w:after="20"/>
            </w:pPr>
            <w:r>
              <w:rPr>
                <w:color w:val="1C3A36"/>
                <w:sz w:val="17"/>
              </w:rPr>
              <w:t>1,327,182</w:t>
            </w:r>
          </w:p>
        </w:tc>
        <w:tc>
          <w:tcPr>
            <w:tcW w:type="dxa" w:w="1008"/>
          </w:tcPr>
          <w:p>
            <w:pPr>
              <w:spacing w:after="20"/>
            </w:pPr>
            <w:r>
              <w:rPr>
                <w:color w:val="1C3A36"/>
                <w:sz w:val="17"/>
              </w:rPr>
              <w:t>+4.5%</w:t>
            </w:r>
          </w:p>
        </w:tc>
        <w:tc>
          <w:tcPr>
            <w:tcW w:type="dxa" w:w="4176"/>
          </w:tcPr>
          <w:p>
            <w:pPr>
              <w:spacing w:after="20"/>
            </w:pPr>
            <w:r>
              <w:rPr>
                <w:color w:val="1C3A36"/>
                <w:sz w:val="17"/>
              </w:rPr>
              <w:t>~57,000 net adds</w:t>
            </w:r>
          </w:p>
        </w:tc>
      </w:tr>
      <w:tr>
        <w:tc>
          <w:tcPr>
            <w:tcW w:type="dxa" w:w="2952"/>
          </w:tcPr>
          <w:p>
            <w:pPr>
              <w:spacing w:after="20"/>
            </w:pPr>
            <w:r>
              <w:rPr>
                <w:color w:val="1C3A36"/>
                <w:sz w:val="17"/>
              </w:rPr>
              <w:t>Line losses — electricity / water</w:t>
            </w:r>
          </w:p>
        </w:tc>
        <w:tc>
          <w:tcPr>
            <w:tcW w:type="dxa" w:w="1944"/>
          </w:tcPr>
          <w:p>
            <w:pPr>
              <w:spacing w:after="20"/>
            </w:pPr>
            <w:r>
              <w:rPr>
                <w:color w:val="1C3A36"/>
                <w:sz w:val="17"/>
              </w:rPr>
              <w:t>2.0% / 4.4%</w:t>
            </w:r>
          </w:p>
        </w:tc>
        <w:tc>
          <w:tcPr>
            <w:tcW w:type="dxa" w:w="1008"/>
          </w:tcPr>
          <w:p>
            <w:pPr>
              <w:spacing w:after="20"/>
            </w:pPr>
            <w:r>
              <w:rPr>
                <w:color w:val="1C3A36"/>
                <w:sz w:val="17"/>
              </w:rPr>
              <w:t>—</w:t>
            </w:r>
          </w:p>
        </w:tc>
        <w:tc>
          <w:tcPr>
            <w:tcW w:type="dxa" w:w="4176"/>
          </w:tcPr>
          <w:p>
            <w:pPr>
              <w:spacing w:after="20"/>
            </w:pPr>
            <w:r>
              <w:rPr>
                <w:color w:val="1C3A36"/>
                <w:sz w:val="17"/>
              </w:rPr>
              <w:t>world-lowest disclosed; CML 0.82 min/customer/yr</w:t>
            </w:r>
          </w:p>
        </w:tc>
      </w:tr>
      <w:tr>
        <w:tc>
          <w:tcPr>
            <w:tcW w:type="dxa" w:w="2952"/>
          </w:tcPr>
          <w:p>
            <w:pPr>
              <w:spacing w:after="20"/>
            </w:pPr>
            <w:r>
              <w:rPr>
                <w:color w:val="1C3A36"/>
                <w:sz w:val="17"/>
              </w:rPr>
              <w:t>2030 targets</w:t>
            </w:r>
          </w:p>
        </w:tc>
        <w:tc>
          <w:tcPr>
            <w:tcW w:type="dxa" w:w="1944"/>
          </w:tcPr>
          <w:p>
            <w:pPr>
              <w:spacing w:after="20"/>
            </w:pPr>
            <w:r>
              <w:rPr>
                <w:color w:val="1C3A36"/>
                <w:sz w:val="17"/>
              </w:rPr>
              <w:t>&gt;23,000 MW · 735 MIGD</w:t>
            </w:r>
          </w:p>
        </w:tc>
        <w:tc>
          <w:tcPr>
            <w:tcW w:type="dxa" w:w="1008"/>
          </w:tcPr>
          <w:p>
            <w:pPr>
              <w:spacing w:after="20"/>
            </w:pPr>
            <w:r>
              <w:rPr>
                <w:color w:val="1C3A36"/>
                <w:sz w:val="17"/>
              </w:rPr>
              <w:t>—</w:t>
            </w:r>
          </w:p>
        </w:tc>
        <w:tc>
          <w:tcPr>
            <w:tcW w:type="dxa" w:w="4176"/>
          </w:tcPr>
          <w:p>
            <w:pPr>
              <w:spacing w:after="20"/>
            </w:pPr>
            <w:r>
              <w:rPr>
                <w:color w:val="1C3A36"/>
                <w:sz w:val="17"/>
              </w:rPr>
              <w:t>8,300 MW renewable (36.1%); 308 MIGD SWRO</w:t>
            </w:r>
          </w:p>
        </w:tc>
      </w:tr>
    </w:tbl>
    <w:p>
      <w:pPr>
        <w:spacing w:after="40"/>
      </w:pPr>
    </w:p>
    <w:p>
      <w:pPr>
        <w:spacing w:after="200" w:before="0"/>
      </w:pPr>
      <w:r>
        <w:rPr>
          <w:b w:val="0"/>
          <w:i/>
          <w:color w:val="6E7B77"/>
          <w:sz w:val="17"/>
        </w:rPr>
        <w:t>Source: FY25 audited financial statements and directors’ report (KPMG, 27-Feb-2026); Q1-26 results release. The 2030 programme — capacity, renewables share and reverse-osmosis water — is the capex driver behind §1.2 and the execution risk in Appendix B.</w:t>
      </w:r>
    </w:p>
    <w:p>
      <w:pPr>
        <w:spacing w:after="40"/>
        <w:jc w:val="center"/>
      </w:pPr>
      <w:r>
        <w:drawing>
          <wp:inline xmlns:a="http://schemas.openxmlformats.org/drawingml/2006/main" xmlns:pic="http://schemas.openxmlformats.org/drawingml/2006/picture">
            <wp:extent cx="6309360" cy="2342668"/>
            <wp:docPr id="2" name="Picture 2"/>
            <wp:cNvGraphicFramePr>
              <a:graphicFrameLocks noChangeAspect="1"/>
            </wp:cNvGraphicFramePr>
            <a:graphic>
              <a:graphicData uri="http://schemas.openxmlformats.org/drawingml/2006/picture">
                <pic:pic>
                  <pic:nvPicPr>
                    <pic:cNvPr id="0" name="f2_mix.png"/>
                    <pic:cNvPicPr/>
                  </pic:nvPicPr>
                  <pic:blipFill>
                    <a:blip r:embed="rId10"/>
                    <a:stretch>
                      <a:fillRect/>
                    </a:stretch>
                  </pic:blipFill>
                  <pic:spPr>
                    <a:xfrm>
                      <a:off x="0" y="0"/>
                      <a:ext cx="6309360" cy="2342668"/>
                    </a:xfrm>
                    <a:prstGeom prst="rect"/>
                  </pic:spPr>
                </pic:pic>
              </a:graphicData>
            </a:graphic>
          </wp:inline>
        </w:drawing>
      </w:r>
    </w:p>
    <w:p>
      <w:pPr>
        <w:spacing w:after="200" w:before="0"/>
      </w:pPr>
      <w:r>
        <w:rPr>
          <w:b w:val="0"/>
          <w:i/>
          <w:color w:val="6E7B77"/>
          <w:sz w:val="17"/>
        </w:rPr>
        <w:t>Figure 2. Generation and the clean-energy mix, FY23–FY30E — fuel cost per unit falls as the solar share rises; the model carries that through the margin line.</w:t>
      </w:r>
    </w:p>
    <w:p>
      <w:pPr>
        <w:spacing w:after="120" w:before="280"/>
      </w:pPr>
      <w:r>
        <w:rPr>
          <w:b/>
          <w:i w:val="0"/>
          <w:color w:val="1C3A36"/>
          <w:sz w:val="30"/>
        </w:rPr>
        <w:t>1  Fundamental valuation</w:t>
      </w:r>
    </w:p>
    <w:p>
      <w:pPr>
        <w:spacing w:after="120" w:before="0"/>
      </w:pPr>
      <w:r>
        <w:rPr>
          <w:b w:val="0"/>
          <w:i w:val="0"/>
          <w:color w:val="1C3A36"/>
          <w:sz w:val="21"/>
        </w:rPr>
        <w:t>DEWA is an income instrument with a regulated-asset engine behind it, so the primary lens is the dividend itself: the thing the company was listed to pay, the thing 82% of which returns to the owner who sets the policy. The FCFF DCF is shown in full — every line of the waterfall, per our standing rule — but explicitly framed as a ceiling, because 86.7% of its value sits in a terminal claim about post-2030 economics. Two market-family lenses discipline both: a relative EV/EBITDA read against the GCC utility set, and a justified price-to-book that converts the return-on-equity spread into a multiple. The weights are 35 / 20 / 25 / 20. Nothing is blended across methods that answer different questions; each lens carries its own bear-base-bull span, and §1.5 reads the field.</w:t>
      </w:r>
    </w:p>
    <w:p>
      <w:pPr>
        <w:spacing w:after="80" w:before="200"/>
      </w:pPr>
      <w:r>
        <w:rPr>
          <w:b/>
          <w:i w:val="0"/>
          <w:color w:val="1C3A36"/>
          <w:sz w:val="24"/>
        </w:rPr>
        <w:t>1.1  The dividend-policy DDM — the primary lens (35%)</w:t>
      </w:r>
    </w:p>
    <w:p>
      <w:pPr>
        <w:spacing w:after="120" w:before="0"/>
      </w:pPr>
      <w:r>
        <w:rPr>
          <w:b w:val="0"/>
          <w:i w:val="0"/>
          <w:color w:val="1C3A36"/>
          <w:sz w:val="21"/>
        </w:rPr>
        <w:t>The listing promise is AED 6.2bn a year — AED 0.124 per share — through October 2027, paid semi-annually without a miss since the IPO. The base case grows that coupon 5.5% a year for five years (tracking earnings growth with rising payout capacity: the FY26E payout would be only ~65% of attributable earnings) and 3.0% in perpetuity — roughly Dubai’s long-run inflation, well below its nominal GDP trend — discounted at Ke 6.735% (rf 4.30% + β 0.50 × ERP 4.87%, built bottom-up in §1.6). Year by year, in full:</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440"/>
        <w:gridCol w:w="1440"/>
        <w:gridCol w:w="1440"/>
        <w:gridCol w:w="1440"/>
        <w:gridCol w:w="1440"/>
        <w:gridCol w:w="1440"/>
        <w:gridCol w:w="1440"/>
      </w:tblGrid>
      <w:tr>
        <w:tc>
          <w:tcPr>
            <w:tcW w:type="dxa" w:w="2520"/>
            <w:shd w:val="clear" w:color="auto" w:fill="EAF0EE"/>
          </w:tcPr>
          <w:p>
            <w:pPr>
              <w:spacing w:after="20"/>
            </w:pPr>
            <w:r>
              <w:rPr>
                <w:b/>
                <w:color w:val="1C3A36"/>
                <w:sz w:val="17"/>
              </w:rPr>
              <w:t>Base path</w:t>
            </w:r>
          </w:p>
        </w:tc>
        <w:tc>
          <w:tcPr>
            <w:tcW w:type="dxa" w:w="1224"/>
            <w:shd w:val="clear" w:color="auto" w:fill="EAF0EE"/>
          </w:tcPr>
          <w:p>
            <w:pPr>
              <w:spacing w:after="20"/>
            </w:pPr>
            <w:r>
              <w:rPr>
                <w:b/>
                <w:color w:val="1C3A36"/>
                <w:sz w:val="17"/>
              </w:rPr>
              <w:t>Yr 1</w:t>
            </w:r>
          </w:p>
        </w:tc>
        <w:tc>
          <w:tcPr>
            <w:tcW w:type="dxa" w:w="1224"/>
            <w:shd w:val="clear" w:color="auto" w:fill="EAF0EE"/>
          </w:tcPr>
          <w:p>
            <w:pPr>
              <w:spacing w:after="20"/>
            </w:pPr>
            <w:r>
              <w:rPr>
                <w:b/>
                <w:color w:val="1C3A36"/>
                <w:sz w:val="17"/>
              </w:rPr>
              <w:t>Yr 2</w:t>
            </w:r>
          </w:p>
        </w:tc>
        <w:tc>
          <w:tcPr>
            <w:tcW w:type="dxa" w:w="1224"/>
            <w:shd w:val="clear" w:color="auto" w:fill="EAF0EE"/>
          </w:tcPr>
          <w:p>
            <w:pPr>
              <w:spacing w:after="20"/>
            </w:pPr>
            <w:r>
              <w:rPr>
                <w:b/>
                <w:color w:val="1C3A36"/>
                <w:sz w:val="17"/>
              </w:rPr>
              <w:t>Yr 3</w:t>
            </w:r>
          </w:p>
        </w:tc>
        <w:tc>
          <w:tcPr>
            <w:tcW w:type="dxa" w:w="1224"/>
            <w:shd w:val="clear" w:color="auto" w:fill="EAF0EE"/>
          </w:tcPr>
          <w:p>
            <w:pPr>
              <w:spacing w:after="20"/>
            </w:pPr>
            <w:r>
              <w:rPr>
                <w:b/>
                <w:color w:val="1C3A36"/>
                <w:sz w:val="17"/>
              </w:rPr>
              <w:t>Yr 4</w:t>
            </w:r>
          </w:p>
        </w:tc>
        <w:tc>
          <w:tcPr>
            <w:tcW w:type="dxa" w:w="1224"/>
            <w:shd w:val="clear" w:color="auto" w:fill="EAF0EE"/>
          </w:tcPr>
          <w:p>
            <w:pPr>
              <w:spacing w:after="20"/>
            </w:pPr>
            <w:r>
              <w:rPr>
                <w:b/>
                <w:color w:val="1C3A36"/>
                <w:sz w:val="17"/>
              </w:rPr>
              <w:t>Yr 5</w:t>
            </w:r>
          </w:p>
        </w:tc>
        <w:tc>
          <w:tcPr>
            <w:tcW w:type="dxa" w:w="1656"/>
            <w:shd w:val="clear" w:color="auto" w:fill="EAF0EE"/>
          </w:tcPr>
          <w:p>
            <w:pPr>
              <w:spacing w:after="20"/>
            </w:pPr>
            <w:r>
              <w:rPr>
                <w:b/>
                <w:color w:val="1C3A36"/>
                <w:sz w:val="17"/>
              </w:rPr>
              <w:t>Terminal</w:t>
            </w:r>
          </w:p>
        </w:tc>
      </w:tr>
      <w:tr>
        <w:tc>
          <w:tcPr>
            <w:tcW w:type="dxa" w:w="2520"/>
          </w:tcPr>
          <w:p>
            <w:pPr>
              <w:spacing w:after="20"/>
            </w:pPr>
            <w:r>
              <w:rPr>
                <w:color w:val="1C3A36"/>
                <w:sz w:val="17"/>
              </w:rPr>
              <w:t>DPS (AED)</w:t>
            </w:r>
          </w:p>
        </w:tc>
        <w:tc>
          <w:tcPr>
            <w:tcW w:type="dxa" w:w="1224"/>
          </w:tcPr>
          <w:p>
            <w:pPr>
              <w:spacing w:after="20"/>
              <w:jc w:val="right"/>
            </w:pPr>
            <w:r>
              <w:rPr>
                <w:color w:val="1C3A36"/>
                <w:sz w:val="17"/>
              </w:rPr>
              <w:t>0.1308</w:t>
            </w:r>
          </w:p>
        </w:tc>
        <w:tc>
          <w:tcPr>
            <w:tcW w:type="dxa" w:w="1224"/>
          </w:tcPr>
          <w:p>
            <w:pPr>
              <w:spacing w:after="20"/>
              <w:jc w:val="right"/>
            </w:pPr>
            <w:r>
              <w:rPr>
                <w:color w:val="1C3A36"/>
                <w:sz w:val="17"/>
              </w:rPr>
              <w:t>0.1380</w:t>
            </w:r>
          </w:p>
        </w:tc>
        <w:tc>
          <w:tcPr>
            <w:tcW w:type="dxa" w:w="1224"/>
          </w:tcPr>
          <w:p>
            <w:pPr>
              <w:spacing w:after="20"/>
              <w:jc w:val="right"/>
            </w:pPr>
            <w:r>
              <w:rPr>
                <w:color w:val="1C3A36"/>
                <w:sz w:val="17"/>
              </w:rPr>
              <w:t>0.1456</w:t>
            </w:r>
          </w:p>
        </w:tc>
        <w:tc>
          <w:tcPr>
            <w:tcW w:type="dxa" w:w="1224"/>
          </w:tcPr>
          <w:p>
            <w:pPr>
              <w:spacing w:after="20"/>
              <w:jc w:val="right"/>
            </w:pPr>
            <w:r>
              <w:rPr>
                <w:color w:val="1C3A36"/>
                <w:sz w:val="17"/>
              </w:rPr>
              <w:t>0.1536</w:t>
            </w:r>
          </w:p>
        </w:tc>
        <w:tc>
          <w:tcPr>
            <w:tcW w:type="dxa" w:w="1224"/>
          </w:tcPr>
          <w:p>
            <w:pPr>
              <w:spacing w:after="20"/>
              <w:jc w:val="right"/>
            </w:pPr>
            <w:r>
              <w:rPr>
                <w:color w:val="1C3A36"/>
                <w:sz w:val="17"/>
              </w:rPr>
              <w:t>0.1621</w:t>
            </w:r>
          </w:p>
        </w:tc>
        <w:tc>
          <w:tcPr>
            <w:tcW w:type="dxa" w:w="1656"/>
          </w:tcPr>
          <w:p>
            <w:pPr>
              <w:spacing w:after="20"/>
              <w:jc w:val="right"/>
            </w:pPr>
            <w:r>
              <w:rPr>
                <w:color w:val="1C3A36"/>
                <w:sz w:val="17"/>
              </w:rPr>
              <w:t>TV = 4.469</w:t>
            </w:r>
          </w:p>
        </w:tc>
      </w:tr>
      <w:tr>
        <w:tc>
          <w:tcPr>
            <w:tcW w:type="dxa" w:w="2520"/>
          </w:tcPr>
          <w:p>
            <w:pPr>
              <w:spacing w:after="20"/>
            </w:pPr>
            <w:r>
              <w:rPr>
                <w:color w:val="1C3A36"/>
                <w:sz w:val="17"/>
              </w:rPr>
              <w:t>Discount factor @ 6.735%</w:t>
            </w:r>
          </w:p>
        </w:tc>
        <w:tc>
          <w:tcPr>
            <w:tcW w:type="dxa" w:w="1224"/>
          </w:tcPr>
          <w:p>
            <w:pPr>
              <w:spacing w:after="20"/>
              <w:jc w:val="right"/>
            </w:pPr>
            <w:r>
              <w:rPr>
                <w:color w:val="1C3A36"/>
                <w:sz w:val="17"/>
              </w:rPr>
              <w:t>0.9369</w:t>
            </w:r>
          </w:p>
        </w:tc>
        <w:tc>
          <w:tcPr>
            <w:tcW w:type="dxa" w:w="1224"/>
          </w:tcPr>
          <w:p>
            <w:pPr>
              <w:spacing w:after="20"/>
              <w:jc w:val="right"/>
            </w:pPr>
            <w:r>
              <w:rPr>
                <w:color w:val="1C3A36"/>
                <w:sz w:val="17"/>
              </w:rPr>
              <w:t>0.8778</w:t>
            </w:r>
          </w:p>
        </w:tc>
        <w:tc>
          <w:tcPr>
            <w:tcW w:type="dxa" w:w="1224"/>
          </w:tcPr>
          <w:p>
            <w:pPr>
              <w:spacing w:after="20"/>
              <w:jc w:val="right"/>
            </w:pPr>
            <w:r>
              <w:rPr>
                <w:color w:val="1C3A36"/>
                <w:sz w:val="17"/>
              </w:rPr>
              <w:t>0.8224</w:t>
            </w:r>
          </w:p>
        </w:tc>
        <w:tc>
          <w:tcPr>
            <w:tcW w:type="dxa" w:w="1224"/>
          </w:tcPr>
          <w:p>
            <w:pPr>
              <w:spacing w:after="20"/>
              <w:jc w:val="right"/>
            </w:pPr>
            <w:r>
              <w:rPr>
                <w:color w:val="1C3A36"/>
                <w:sz w:val="17"/>
              </w:rPr>
              <w:t>0.7705</w:t>
            </w:r>
          </w:p>
        </w:tc>
        <w:tc>
          <w:tcPr>
            <w:tcW w:type="dxa" w:w="1224"/>
          </w:tcPr>
          <w:p>
            <w:pPr>
              <w:spacing w:after="20"/>
              <w:jc w:val="right"/>
            </w:pPr>
            <w:r>
              <w:rPr>
                <w:color w:val="1C3A36"/>
                <w:sz w:val="17"/>
              </w:rPr>
              <w:t>0.7219</w:t>
            </w:r>
          </w:p>
        </w:tc>
        <w:tc>
          <w:tcPr>
            <w:tcW w:type="dxa" w:w="1656"/>
          </w:tcPr>
          <w:p>
            <w:pPr>
              <w:spacing w:after="20"/>
              <w:jc w:val="right"/>
            </w:pPr>
            <w:r>
              <w:rPr>
                <w:color w:val="1C3A36"/>
                <w:sz w:val="17"/>
              </w:rPr>
              <w:t>0.7219</w:t>
            </w:r>
          </w:p>
        </w:tc>
      </w:tr>
      <w:tr>
        <w:tc>
          <w:tcPr>
            <w:tcW w:type="dxa" w:w="2520"/>
            <w:shd w:val="clear" w:color="auto" w:fill="F6F1E6"/>
          </w:tcPr>
          <w:p>
            <w:pPr>
              <w:spacing w:after="20"/>
            </w:pPr>
            <w:r>
              <w:rPr>
                <w:b/>
                <w:color w:val="1C3A36"/>
                <w:sz w:val="17"/>
              </w:rPr>
              <w:t>PV (AED)</w:t>
            </w:r>
          </w:p>
        </w:tc>
        <w:tc>
          <w:tcPr>
            <w:tcW w:type="dxa" w:w="1224"/>
            <w:shd w:val="clear" w:color="auto" w:fill="F6F1E6"/>
          </w:tcPr>
          <w:p>
            <w:pPr>
              <w:spacing w:after="20"/>
              <w:jc w:val="right"/>
            </w:pPr>
            <w:r>
              <w:rPr>
                <w:b/>
                <w:color w:val="1C3A36"/>
                <w:sz w:val="17"/>
              </w:rPr>
              <w:t>0.1226</w:t>
            </w:r>
          </w:p>
        </w:tc>
        <w:tc>
          <w:tcPr>
            <w:tcW w:type="dxa" w:w="1224"/>
            <w:shd w:val="clear" w:color="auto" w:fill="F6F1E6"/>
          </w:tcPr>
          <w:p>
            <w:pPr>
              <w:spacing w:after="20"/>
              <w:jc w:val="right"/>
            </w:pPr>
            <w:r>
              <w:rPr>
                <w:b/>
                <w:color w:val="1C3A36"/>
                <w:sz w:val="17"/>
              </w:rPr>
              <w:t>0.1211</w:t>
            </w:r>
          </w:p>
        </w:tc>
        <w:tc>
          <w:tcPr>
            <w:tcW w:type="dxa" w:w="1224"/>
            <w:shd w:val="clear" w:color="auto" w:fill="F6F1E6"/>
          </w:tcPr>
          <w:p>
            <w:pPr>
              <w:spacing w:after="20"/>
              <w:jc w:val="right"/>
            </w:pPr>
            <w:r>
              <w:rPr>
                <w:b/>
                <w:color w:val="1C3A36"/>
                <w:sz w:val="17"/>
              </w:rPr>
              <w:t>0.1197</w:t>
            </w:r>
          </w:p>
        </w:tc>
        <w:tc>
          <w:tcPr>
            <w:tcW w:type="dxa" w:w="1224"/>
            <w:shd w:val="clear" w:color="auto" w:fill="F6F1E6"/>
          </w:tcPr>
          <w:p>
            <w:pPr>
              <w:spacing w:after="20"/>
              <w:jc w:val="right"/>
            </w:pPr>
            <w:r>
              <w:rPr>
                <w:b/>
                <w:color w:val="1C3A36"/>
                <w:sz w:val="17"/>
              </w:rPr>
              <w:t>0.1184</w:t>
            </w:r>
          </w:p>
        </w:tc>
        <w:tc>
          <w:tcPr>
            <w:tcW w:type="dxa" w:w="1224"/>
            <w:shd w:val="clear" w:color="auto" w:fill="F6F1E6"/>
          </w:tcPr>
          <w:p>
            <w:pPr>
              <w:spacing w:after="20"/>
              <w:jc w:val="right"/>
            </w:pPr>
            <w:r>
              <w:rPr>
                <w:b/>
                <w:color w:val="1C3A36"/>
                <w:sz w:val="17"/>
              </w:rPr>
              <w:t>0.1170</w:t>
            </w:r>
          </w:p>
        </w:tc>
        <w:tc>
          <w:tcPr>
            <w:tcW w:type="dxa" w:w="1656"/>
            <w:shd w:val="clear" w:color="auto" w:fill="F6F1E6"/>
          </w:tcPr>
          <w:p>
            <w:pPr>
              <w:spacing w:after="20"/>
              <w:jc w:val="right"/>
            </w:pPr>
            <w:r>
              <w:rPr>
                <w:b/>
                <w:color w:val="1C3A36"/>
                <w:sz w:val="17"/>
              </w:rPr>
              <w:t>3.226</w:t>
            </w:r>
          </w:p>
        </w:tc>
      </w:tr>
    </w:tbl>
    <w:p>
      <w:pPr>
        <w:spacing w:after="40"/>
      </w:pPr>
    </w:p>
    <w:p>
      <w:pPr>
        <w:spacing w:after="120" w:before="0"/>
      </w:pPr>
      <w:r>
        <w:rPr>
          <w:b w:val="0"/>
          <w:i w:val="0"/>
          <w:color w:val="1C3A36"/>
          <w:sz w:val="21"/>
        </w:rPr>
        <w:t>Sum of explicit PVs 0.599 + PV of the terminal 3.226 = AED 3.83 — the base value, of which 84% is the terminal: disclosed, and exactly why the perpetual growth assumption is the crux. The bear case freezes the coupon (policy rolled flat at 0.124, 1.0% perpetual drift) — AED 2.09, below spot. The bull case steps the payout up 9% a year post-2027 toward a 75-80% payout ratio, 4.0% perpetual — AED 5.90.</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016"/>
        <w:gridCol w:w="2016"/>
        <w:gridCol w:w="2016"/>
        <w:gridCol w:w="2016"/>
        <w:gridCol w:w="2016"/>
      </w:tblGrid>
      <w:tr>
        <w:tc>
          <w:tcPr>
            <w:tcW w:type="dxa" w:w="3456"/>
            <w:shd w:val="clear" w:color="auto" w:fill="EAF0EE"/>
          </w:tcPr>
          <w:p>
            <w:pPr>
              <w:spacing w:after="20"/>
            </w:pPr>
            <w:r>
              <w:rPr>
                <w:b/>
                <w:color w:val="1C3A36"/>
                <w:sz w:val="18"/>
              </w:rPr>
              <w:t>Scenario</w:t>
            </w:r>
          </w:p>
        </w:tc>
        <w:tc>
          <w:tcPr>
            <w:tcW w:type="dxa" w:w="1584"/>
            <w:shd w:val="clear" w:color="auto" w:fill="EAF0EE"/>
          </w:tcPr>
          <w:p>
            <w:pPr>
              <w:spacing w:after="20"/>
            </w:pPr>
            <w:r>
              <w:rPr>
                <w:b/>
                <w:color w:val="1C3A36"/>
                <w:sz w:val="18"/>
              </w:rPr>
              <w:t>Stage-1 g</w:t>
            </w:r>
          </w:p>
        </w:tc>
        <w:tc>
          <w:tcPr>
            <w:tcW w:type="dxa" w:w="1584"/>
            <w:shd w:val="clear" w:color="auto" w:fill="EAF0EE"/>
          </w:tcPr>
          <w:p>
            <w:pPr>
              <w:spacing w:after="20"/>
            </w:pPr>
            <w:r>
              <w:rPr>
                <w:b/>
                <w:color w:val="1C3A36"/>
                <w:sz w:val="18"/>
              </w:rPr>
              <w:t>Perpetual g</w:t>
            </w:r>
          </w:p>
        </w:tc>
        <w:tc>
          <w:tcPr>
            <w:tcW w:type="dxa" w:w="1728"/>
            <w:shd w:val="clear" w:color="auto" w:fill="EAF0EE"/>
          </w:tcPr>
          <w:p>
            <w:pPr>
              <w:spacing w:after="20"/>
            </w:pPr>
            <w:r>
              <w:rPr>
                <w:b/>
                <w:color w:val="1C3A36"/>
                <w:sz w:val="18"/>
              </w:rPr>
              <w:t>Value (AED)</w:t>
            </w:r>
          </w:p>
        </w:tc>
        <w:tc>
          <w:tcPr>
            <w:tcW w:type="dxa" w:w="1584"/>
            <w:shd w:val="clear" w:color="auto" w:fill="EAF0EE"/>
          </w:tcPr>
          <w:p>
            <w:pPr>
              <w:spacing w:after="20"/>
            </w:pPr>
            <w:r>
              <w:rPr>
                <w:b/>
                <w:color w:val="1C3A36"/>
                <w:sz w:val="18"/>
              </w:rPr>
              <w:t>vs spot</w:t>
            </w:r>
          </w:p>
        </w:tc>
      </w:tr>
      <w:tr>
        <w:tc>
          <w:tcPr>
            <w:tcW w:type="dxa" w:w="3456"/>
          </w:tcPr>
          <w:p>
            <w:pPr>
              <w:spacing w:after="20"/>
            </w:pPr>
            <w:r>
              <w:rPr>
                <w:color w:val="1C3A36"/>
                <w:sz w:val="18"/>
              </w:rPr>
              <w:t>Bear — policy frozen</w:t>
            </w:r>
          </w:p>
        </w:tc>
        <w:tc>
          <w:tcPr>
            <w:tcW w:type="dxa" w:w="1584"/>
          </w:tcPr>
          <w:p>
            <w:pPr>
              <w:spacing w:after="20"/>
              <w:jc w:val="right"/>
            </w:pPr>
            <w:r>
              <w:rPr>
                <w:color w:val="1C3A36"/>
                <w:sz w:val="18"/>
              </w:rPr>
              <w:t>0.0%</w:t>
            </w:r>
          </w:p>
        </w:tc>
        <w:tc>
          <w:tcPr>
            <w:tcW w:type="dxa" w:w="1584"/>
          </w:tcPr>
          <w:p>
            <w:pPr>
              <w:spacing w:after="20"/>
              <w:jc w:val="right"/>
            </w:pPr>
            <w:r>
              <w:rPr>
                <w:color w:val="1C3A36"/>
                <w:sz w:val="18"/>
              </w:rPr>
              <w:t>1.0%</w:t>
            </w:r>
          </w:p>
        </w:tc>
        <w:tc>
          <w:tcPr>
            <w:tcW w:type="dxa" w:w="1728"/>
          </w:tcPr>
          <w:p>
            <w:pPr>
              <w:spacing w:after="20"/>
              <w:jc w:val="right"/>
            </w:pPr>
            <w:r>
              <w:rPr>
                <w:color w:val="1C3A36"/>
                <w:sz w:val="18"/>
              </w:rPr>
              <w:t>2.09</w:t>
            </w:r>
          </w:p>
        </w:tc>
        <w:tc>
          <w:tcPr>
            <w:tcW w:type="dxa" w:w="1584"/>
          </w:tcPr>
          <w:p>
            <w:pPr>
              <w:spacing w:after="20"/>
              <w:jc w:val="right"/>
            </w:pPr>
            <w:r>
              <w:rPr>
                <w:color w:val="1C3A36"/>
                <w:sz w:val="18"/>
              </w:rPr>
              <w:t>-25%</w:t>
            </w:r>
          </w:p>
        </w:tc>
      </w:tr>
      <w:tr>
        <w:tc>
          <w:tcPr>
            <w:tcW w:type="dxa" w:w="3456"/>
          </w:tcPr>
          <w:p>
            <w:pPr>
              <w:spacing w:after="20"/>
            </w:pPr>
            <w:r>
              <w:rPr>
                <w:color w:val="1C3A36"/>
                <w:sz w:val="18"/>
              </w:rPr>
              <w:t>Base — modest step-ups</w:t>
            </w:r>
          </w:p>
        </w:tc>
        <w:tc>
          <w:tcPr>
            <w:tcW w:type="dxa" w:w="1584"/>
          </w:tcPr>
          <w:p>
            <w:pPr>
              <w:spacing w:after="20"/>
              <w:jc w:val="right"/>
            </w:pPr>
            <w:r>
              <w:rPr>
                <w:color w:val="1C3A36"/>
                <w:sz w:val="18"/>
              </w:rPr>
              <w:t>5.5%</w:t>
            </w:r>
          </w:p>
        </w:tc>
        <w:tc>
          <w:tcPr>
            <w:tcW w:type="dxa" w:w="1584"/>
          </w:tcPr>
          <w:p>
            <w:pPr>
              <w:spacing w:after="20"/>
              <w:jc w:val="right"/>
            </w:pPr>
            <w:r>
              <w:rPr>
                <w:color w:val="1C3A36"/>
                <w:sz w:val="18"/>
              </w:rPr>
              <w:t>3.0%</w:t>
            </w:r>
          </w:p>
        </w:tc>
        <w:tc>
          <w:tcPr>
            <w:tcW w:type="dxa" w:w="1728"/>
          </w:tcPr>
          <w:p>
            <w:pPr>
              <w:spacing w:after="20"/>
              <w:jc w:val="right"/>
            </w:pPr>
            <w:r>
              <w:rPr>
                <w:color w:val="1C3A36"/>
                <w:sz w:val="18"/>
              </w:rPr>
              <w:t>3.83</w:t>
            </w:r>
          </w:p>
        </w:tc>
        <w:tc>
          <w:tcPr>
            <w:tcW w:type="dxa" w:w="1584"/>
          </w:tcPr>
          <w:p>
            <w:pPr>
              <w:spacing w:after="20"/>
              <w:jc w:val="right"/>
            </w:pPr>
            <w:r>
              <w:rPr>
                <w:color w:val="1C3A36"/>
                <w:sz w:val="18"/>
              </w:rPr>
              <w:t>+37%</w:t>
            </w:r>
          </w:p>
        </w:tc>
      </w:tr>
      <w:tr>
        <w:tc>
          <w:tcPr>
            <w:tcW w:type="dxa" w:w="3456"/>
          </w:tcPr>
          <w:p>
            <w:pPr>
              <w:spacing w:after="20"/>
            </w:pPr>
            <w:r>
              <w:rPr>
                <w:color w:val="1C3A36"/>
                <w:sz w:val="18"/>
              </w:rPr>
              <w:t>Bull — payout re-rating</w:t>
            </w:r>
          </w:p>
        </w:tc>
        <w:tc>
          <w:tcPr>
            <w:tcW w:type="dxa" w:w="1584"/>
          </w:tcPr>
          <w:p>
            <w:pPr>
              <w:spacing w:after="20"/>
              <w:jc w:val="right"/>
            </w:pPr>
            <w:r>
              <w:rPr>
                <w:color w:val="1C3A36"/>
                <w:sz w:val="18"/>
              </w:rPr>
              <w:t>9.0%</w:t>
            </w:r>
          </w:p>
        </w:tc>
        <w:tc>
          <w:tcPr>
            <w:tcW w:type="dxa" w:w="1584"/>
          </w:tcPr>
          <w:p>
            <w:pPr>
              <w:spacing w:after="20"/>
              <w:jc w:val="right"/>
            </w:pPr>
            <w:r>
              <w:rPr>
                <w:color w:val="1C3A36"/>
                <w:sz w:val="18"/>
              </w:rPr>
              <w:t>4.0%</w:t>
            </w:r>
          </w:p>
        </w:tc>
        <w:tc>
          <w:tcPr>
            <w:tcW w:type="dxa" w:w="1728"/>
          </w:tcPr>
          <w:p>
            <w:pPr>
              <w:spacing w:after="20"/>
              <w:jc w:val="right"/>
            </w:pPr>
            <w:r>
              <w:rPr>
                <w:color w:val="1C3A36"/>
                <w:sz w:val="18"/>
              </w:rPr>
              <w:t>5.90</w:t>
            </w:r>
          </w:p>
        </w:tc>
        <w:tc>
          <w:tcPr>
            <w:tcW w:type="dxa" w:w="1584"/>
          </w:tcPr>
          <w:p>
            <w:pPr>
              <w:spacing w:after="20"/>
              <w:jc w:val="right"/>
            </w:pPr>
            <w:r>
              <w:rPr>
                <w:color w:val="1C3A36"/>
                <w:sz w:val="18"/>
              </w:rPr>
              <w:t>+111%</w:t>
            </w:r>
          </w:p>
        </w:tc>
      </w:tr>
      <w:tr>
        <w:tc>
          <w:tcPr>
            <w:tcW w:type="dxa" w:w="3456"/>
          </w:tcPr>
          <w:p>
            <w:pPr>
              <w:spacing w:after="20"/>
            </w:pPr>
            <w:r>
              <w:rPr>
                <w:color w:val="1C3A36"/>
                <w:sz w:val="18"/>
              </w:rPr>
              <w:t>Deep bear — cut to fund the build</w:t>
            </w:r>
          </w:p>
        </w:tc>
        <w:tc>
          <w:tcPr>
            <w:tcW w:type="dxa" w:w="1584"/>
          </w:tcPr>
          <w:p>
            <w:pPr>
              <w:spacing w:after="20"/>
              <w:jc w:val="right"/>
            </w:pPr>
            <w:r>
              <w:rPr>
                <w:color w:val="1C3A36"/>
                <w:sz w:val="18"/>
              </w:rPr>
              <w:t>−20% step</w:t>
            </w:r>
          </w:p>
        </w:tc>
        <w:tc>
          <w:tcPr>
            <w:tcW w:type="dxa" w:w="1584"/>
          </w:tcPr>
          <w:p>
            <w:pPr>
              <w:spacing w:after="20"/>
              <w:jc w:val="right"/>
            </w:pPr>
            <w:r>
              <w:rPr>
                <w:color w:val="1C3A36"/>
                <w:sz w:val="18"/>
              </w:rPr>
              <w:t>0.0%</w:t>
            </w:r>
          </w:p>
        </w:tc>
        <w:tc>
          <w:tcPr>
            <w:tcW w:type="dxa" w:w="1728"/>
          </w:tcPr>
          <w:p>
            <w:pPr>
              <w:spacing w:after="20"/>
              <w:jc w:val="right"/>
            </w:pPr>
            <w:r>
              <w:rPr>
                <w:color w:val="1C3A36"/>
                <w:sz w:val="18"/>
              </w:rPr>
              <w:t>1.47</w:t>
            </w:r>
          </w:p>
        </w:tc>
        <w:tc>
          <w:tcPr>
            <w:tcW w:type="dxa" w:w="1584"/>
          </w:tcPr>
          <w:p>
            <w:pPr>
              <w:spacing w:after="20"/>
              <w:jc w:val="right"/>
            </w:pPr>
            <w:r>
              <w:rPr>
                <w:color w:val="1C3A36"/>
                <w:sz w:val="18"/>
              </w:rPr>
              <w:t>−47%</w:t>
            </w:r>
          </w:p>
        </w:tc>
      </w:tr>
    </w:tbl>
    <w:p>
      <w:pPr>
        <w:spacing w:after="40"/>
      </w:pPr>
    </w:p>
    <w:p>
      <w:pPr>
        <w:spacing w:after="120" w:before="0"/>
      </w:pPr>
      <w:r>
        <w:rPr>
          <w:b w:val="0"/>
          <w:i w:val="0"/>
          <w:color w:val="1C3A36"/>
          <w:sz w:val="21"/>
        </w:rPr>
        <w:t>The fourth leg is the one nobody prices: a board that cuts the coupon ~20% to AED 4.96bn to fund the 2030 programme, then holds it flat, is worth AED 1.47. Its absence from market conversation is itself information — at 2.79 the market assigns the cut leg roughly nothing, consistent with an 82% owner collecting AED 5.1bn a year from the floor. The crux, stated in full: one October-2027 communication selects among values spanning AED 1.47-5.90.</w:t>
      </w:r>
    </w:p>
    <w:p>
      <w:pPr>
        <w:spacing w:after="120" w:before="0"/>
      </w:pPr>
      <w:r>
        <w:rPr>
          <w:b w:val="0"/>
          <w:i w:val="0"/>
          <w:color w:val="1C3A36"/>
          <w:sz w:val="21"/>
        </w:rPr>
        <w:t>The market-implied read is the sharpest single number in this study. Hold the base stage-1 path fixed and solve the two-stage model for the perpetual growth that makes the DDM equal spot: at AED 2.79 it is 1.33%. (Dual-framed, because the number depends on the frame: the single-stage read — Ke minus the spot dividend yield, shown in the companion Excel — is 2.29%; the two-stage 1.33% is lower because the base stage-1 path already grows the coupon 5.5% a year.) The market is pricing DEWA’s dividend as a coupon that grows below UAE inflation forever — for a monopoly whose customer count compounds at 4-5% and whose owner collects four-fifths of every distribution. Any post-2027 policy that merely keeps pace with the city is upside against that price. That asymmetry, not any heroic forecast, is why this lens leads the weighting.</w:t>
      </w:r>
    </w:p>
    <w:p>
      <w:pPr>
        <w:spacing w:after="80" w:before="200"/>
      </w:pPr>
      <w:r>
        <w:rPr>
          <w:b/>
          <w:i w:val="0"/>
          <w:color w:val="1C3A36"/>
          <w:sz w:val="24"/>
        </w:rPr>
        <w:t>1.2  The FCFF DCF — shown in full, framed as a ceiling (20%)</w:t>
      </w:r>
    </w:p>
    <w:p>
      <w:pPr>
        <w:spacing w:after="120" w:before="0"/>
      </w:pPr>
      <w:r>
        <w:rPr>
          <w:b w:val="0"/>
          <w:i w:val="0"/>
          <w:color w:val="1C3A36"/>
          <w:sz w:val="21"/>
        </w:rPr>
        <w:t>The full waterfall is printed because it shows exactly where the value sits. The drivers (detailed in §1.7): revenue grows 7.5% in FY26E — held below the +8.2% Q1 actual — fading to 4.5% by FY30E as the customer base matures; the EBITDA margin walks 54.2% to 55.5% as the clean-generation share cuts the fuel line (every solar megawatt-hour displaces purchased gas at near-zero marginal cost); D&amp;A holds near 21% of revenue on the growing asset base; capex runs AED 12.5-14.0bn a year against the 2030 capacity and water programme, consistent with the AED 11.7bn invested in FY25; working capital absorbs 1% of incremental revenue; tax at the 9.5% effective rate (UAE 9% corporate tax plus DMTT drag). Terminal growth 2.5% at the rating-basis WACC of 6.24%.</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80"/>
        <w:gridCol w:w="1680"/>
        <w:gridCol w:w="1680"/>
        <w:gridCol w:w="1680"/>
        <w:gridCol w:w="1680"/>
        <w:gridCol w:w="1680"/>
      </w:tblGrid>
      <w:tr>
        <w:tc>
          <w:tcPr>
            <w:tcW w:type="dxa" w:w="2448"/>
            <w:shd w:val="clear" w:color="auto" w:fill="EAF0EE"/>
          </w:tcPr>
          <w:p>
            <w:pPr>
              <w:spacing w:after="20"/>
            </w:pPr>
            <w:r>
              <w:rPr>
                <w:b/>
                <w:color w:val="1C3A36"/>
                <w:sz w:val="17"/>
              </w:rPr>
              <w:t>AED mn</w:t>
            </w:r>
          </w:p>
        </w:tc>
        <w:tc>
          <w:tcPr>
            <w:tcW w:type="dxa" w:w="1642"/>
            <w:shd w:val="clear" w:color="auto" w:fill="EAF0EE"/>
          </w:tcPr>
          <w:p>
            <w:pPr>
              <w:spacing w:after="20"/>
            </w:pPr>
            <w:r>
              <w:rPr>
                <w:b/>
                <w:color w:val="1C3A36"/>
                <w:sz w:val="17"/>
              </w:rPr>
              <w:t>FY26E</w:t>
            </w:r>
          </w:p>
        </w:tc>
        <w:tc>
          <w:tcPr>
            <w:tcW w:type="dxa" w:w="1642"/>
            <w:shd w:val="clear" w:color="auto" w:fill="EAF0EE"/>
          </w:tcPr>
          <w:p>
            <w:pPr>
              <w:spacing w:after="20"/>
            </w:pPr>
            <w:r>
              <w:rPr>
                <w:b/>
                <w:color w:val="1C3A36"/>
                <w:sz w:val="17"/>
              </w:rPr>
              <w:t>FY27E</w:t>
            </w:r>
          </w:p>
        </w:tc>
        <w:tc>
          <w:tcPr>
            <w:tcW w:type="dxa" w:w="1642"/>
            <w:shd w:val="clear" w:color="auto" w:fill="EAF0EE"/>
          </w:tcPr>
          <w:p>
            <w:pPr>
              <w:spacing w:after="20"/>
            </w:pPr>
            <w:r>
              <w:rPr>
                <w:b/>
                <w:color w:val="1C3A36"/>
                <w:sz w:val="17"/>
              </w:rPr>
              <w:t>FY28E</w:t>
            </w:r>
          </w:p>
        </w:tc>
        <w:tc>
          <w:tcPr>
            <w:tcW w:type="dxa" w:w="1642"/>
            <w:shd w:val="clear" w:color="auto" w:fill="EAF0EE"/>
          </w:tcPr>
          <w:p>
            <w:pPr>
              <w:spacing w:after="20"/>
            </w:pPr>
            <w:r>
              <w:rPr>
                <w:b/>
                <w:color w:val="1C3A36"/>
                <w:sz w:val="17"/>
              </w:rPr>
              <w:t>FY29E</w:t>
            </w:r>
          </w:p>
        </w:tc>
        <w:tc>
          <w:tcPr>
            <w:tcW w:type="dxa" w:w="1642"/>
            <w:shd w:val="clear" w:color="auto" w:fill="EAF0EE"/>
          </w:tcPr>
          <w:p>
            <w:pPr>
              <w:spacing w:after="20"/>
            </w:pPr>
            <w:r>
              <w:rPr>
                <w:b/>
                <w:color w:val="1C3A36"/>
                <w:sz w:val="17"/>
              </w:rPr>
              <w:t>FY30E</w:t>
            </w:r>
          </w:p>
        </w:tc>
      </w:tr>
      <w:tr>
        <w:tc>
          <w:tcPr>
            <w:tcW w:type="dxa" w:w="2448"/>
          </w:tcPr>
          <w:p>
            <w:pPr>
              <w:spacing w:after="20"/>
            </w:pPr>
            <w:r>
              <w:rPr>
                <w:color w:val="1C3A36"/>
                <w:sz w:val="17"/>
              </w:rPr>
              <w:t>Revenue</w:t>
            </w:r>
          </w:p>
        </w:tc>
        <w:tc>
          <w:tcPr>
            <w:tcW w:type="dxa" w:w="1642"/>
          </w:tcPr>
          <w:p>
            <w:pPr>
              <w:spacing w:after="20"/>
              <w:jc w:val="right"/>
            </w:pPr>
            <w:r>
              <w:rPr>
                <w:color w:val="1C3A36"/>
                <w:sz w:val="17"/>
              </w:rPr>
              <w:t>35,305</w:t>
            </w:r>
          </w:p>
        </w:tc>
        <w:tc>
          <w:tcPr>
            <w:tcW w:type="dxa" w:w="1642"/>
          </w:tcPr>
          <w:p>
            <w:pPr>
              <w:spacing w:after="20"/>
              <w:jc w:val="right"/>
            </w:pPr>
            <w:r>
              <w:rPr>
                <w:color w:val="1C3A36"/>
                <w:sz w:val="17"/>
              </w:rPr>
              <w:t>37,423</w:t>
            </w:r>
          </w:p>
        </w:tc>
        <w:tc>
          <w:tcPr>
            <w:tcW w:type="dxa" w:w="1642"/>
          </w:tcPr>
          <w:p>
            <w:pPr>
              <w:spacing w:after="20"/>
              <w:jc w:val="right"/>
            </w:pPr>
            <w:r>
              <w:rPr>
                <w:color w:val="1C3A36"/>
                <w:sz w:val="17"/>
              </w:rPr>
              <w:t>39,482</w:t>
            </w:r>
          </w:p>
        </w:tc>
        <w:tc>
          <w:tcPr>
            <w:tcW w:type="dxa" w:w="1642"/>
          </w:tcPr>
          <w:p>
            <w:pPr>
              <w:spacing w:after="20"/>
              <w:jc w:val="right"/>
            </w:pPr>
            <w:r>
              <w:rPr>
                <w:color w:val="1C3A36"/>
                <w:sz w:val="17"/>
              </w:rPr>
              <w:t>41,456</w:t>
            </w:r>
          </w:p>
        </w:tc>
        <w:tc>
          <w:tcPr>
            <w:tcW w:type="dxa" w:w="1642"/>
          </w:tcPr>
          <w:p>
            <w:pPr>
              <w:spacing w:after="20"/>
              <w:jc w:val="right"/>
            </w:pPr>
            <w:r>
              <w:rPr>
                <w:color w:val="1C3A36"/>
                <w:sz w:val="17"/>
              </w:rPr>
              <w:t>43,321</w:t>
            </w:r>
          </w:p>
        </w:tc>
      </w:tr>
      <w:tr>
        <w:tc>
          <w:tcPr>
            <w:tcW w:type="dxa" w:w="2448"/>
          </w:tcPr>
          <w:p>
            <w:pPr>
              <w:spacing w:after="20"/>
            </w:pPr>
            <w:r>
              <w:rPr>
                <w:color w:val="1C3A36"/>
                <w:sz w:val="17"/>
              </w:rPr>
              <w:t>EBITDA</w:t>
            </w:r>
          </w:p>
        </w:tc>
        <w:tc>
          <w:tcPr>
            <w:tcW w:type="dxa" w:w="1642"/>
          </w:tcPr>
          <w:p>
            <w:pPr>
              <w:spacing w:after="20"/>
              <w:jc w:val="right"/>
            </w:pPr>
            <w:r>
              <w:rPr>
                <w:color w:val="1C3A36"/>
                <w:sz w:val="17"/>
              </w:rPr>
              <w:t>19,135</w:t>
            </w:r>
          </w:p>
        </w:tc>
        <w:tc>
          <w:tcPr>
            <w:tcW w:type="dxa" w:w="1642"/>
          </w:tcPr>
          <w:p>
            <w:pPr>
              <w:spacing w:after="20"/>
              <w:jc w:val="right"/>
            </w:pPr>
            <w:r>
              <w:rPr>
                <w:color w:val="1C3A36"/>
                <w:sz w:val="17"/>
              </w:rPr>
              <w:t>20,433</w:t>
            </w:r>
          </w:p>
        </w:tc>
        <w:tc>
          <w:tcPr>
            <w:tcW w:type="dxa" w:w="1642"/>
          </w:tcPr>
          <w:p>
            <w:pPr>
              <w:spacing w:after="20"/>
              <w:jc w:val="right"/>
            </w:pPr>
            <w:r>
              <w:rPr>
                <w:color w:val="1C3A36"/>
                <w:sz w:val="17"/>
              </w:rPr>
              <w:t>21,715</w:t>
            </w:r>
          </w:p>
        </w:tc>
        <w:tc>
          <w:tcPr>
            <w:tcW w:type="dxa" w:w="1642"/>
          </w:tcPr>
          <w:p>
            <w:pPr>
              <w:spacing w:after="20"/>
              <w:jc w:val="right"/>
            </w:pPr>
            <w:r>
              <w:rPr>
                <w:color w:val="1C3A36"/>
                <w:sz w:val="17"/>
              </w:rPr>
              <w:t>22,925</w:t>
            </w:r>
          </w:p>
        </w:tc>
        <w:tc>
          <w:tcPr>
            <w:tcW w:type="dxa" w:w="1642"/>
          </w:tcPr>
          <w:p>
            <w:pPr>
              <w:spacing w:after="20"/>
              <w:jc w:val="right"/>
            </w:pPr>
            <w:r>
              <w:rPr>
                <w:color w:val="1C3A36"/>
                <w:sz w:val="17"/>
              </w:rPr>
              <w:t>24,043</w:t>
            </w:r>
          </w:p>
        </w:tc>
      </w:tr>
      <w:tr>
        <w:tc>
          <w:tcPr>
            <w:tcW w:type="dxa" w:w="2448"/>
          </w:tcPr>
          <w:p>
            <w:pPr>
              <w:spacing w:after="20"/>
            </w:pPr>
            <w:r>
              <w:rPr>
                <w:color w:val="1C3A36"/>
                <w:sz w:val="17"/>
              </w:rPr>
              <w:t>– D&amp;A</w:t>
            </w:r>
          </w:p>
        </w:tc>
        <w:tc>
          <w:tcPr>
            <w:tcW w:type="dxa" w:w="1642"/>
          </w:tcPr>
          <w:p>
            <w:pPr>
              <w:spacing w:after="20"/>
              <w:jc w:val="right"/>
            </w:pPr>
            <w:r>
              <w:rPr>
                <w:color w:val="1C3A36"/>
                <w:sz w:val="17"/>
              </w:rPr>
              <w:t>(7,273)</w:t>
            </w:r>
          </w:p>
        </w:tc>
        <w:tc>
          <w:tcPr>
            <w:tcW w:type="dxa" w:w="1642"/>
          </w:tcPr>
          <w:p>
            <w:pPr>
              <w:spacing w:after="20"/>
              <w:jc w:val="right"/>
            </w:pPr>
            <w:r>
              <w:rPr>
                <w:color w:val="1C3A36"/>
                <w:sz w:val="17"/>
              </w:rPr>
              <w:t>(7,784)</w:t>
            </w:r>
          </w:p>
        </w:tc>
        <w:tc>
          <w:tcPr>
            <w:tcW w:type="dxa" w:w="1642"/>
          </w:tcPr>
          <w:p>
            <w:pPr>
              <w:spacing w:after="20"/>
              <w:jc w:val="right"/>
            </w:pPr>
            <w:r>
              <w:rPr>
                <w:color w:val="1C3A36"/>
                <w:sz w:val="17"/>
              </w:rPr>
              <w:t>(8,291)</w:t>
            </w:r>
          </w:p>
        </w:tc>
        <w:tc>
          <w:tcPr>
            <w:tcW w:type="dxa" w:w="1642"/>
          </w:tcPr>
          <w:p>
            <w:pPr>
              <w:spacing w:after="20"/>
              <w:jc w:val="right"/>
            </w:pPr>
            <w:r>
              <w:rPr>
                <w:color w:val="1C3A36"/>
                <w:sz w:val="17"/>
              </w:rPr>
              <w:t>(8,789)</w:t>
            </w:r>
          </w:p>
        </w:tc>
        <w:tc>
          <w:tcPr>
            <w:tcW w:type="dxa" w:w="1642"/>
          </w:tcPr>
          <w:p>
            <w:pPr>
              <w:spacing w:after="20"/>
              <w:jc w:val="right"/>
            </w:pPr>
            <w:r>
              <w:rPr>
                <w:color w:val="1C3A36"/>
                <w:sz w:val="17"/>
              </w:rPr>
              <w:t>(9,227)</w:t>
            </w:r>
          </w:p>
        </w:tc>
      </w:tr>
      <w:tr>
        <w:tc>
          <w:tcPr>
            <w:tcW w:type="dxa" w:w="2448"/>
          </w:tcPr>
          <w:p>
            <w:pPr>
              <w:spacing w:after="20"/>
            </w:pPr>
            <w:r>
              <w:rPr>
                <w:color w:val="1C3A36"/>
                <w:sz w:val="17"/>
              </w:rPr>
              <w:t>EBIT</w:t>
            </w:r>
          </w:p>
        </w:tc>
        <w:tc>
          <w:tcPr>
            <w:tcW w:type="dxa" w:w="1642"/>
          </w:tcPr>
          <w:p>
            <w:pPr>
              <w:spacing w:after="20"/>
              <w:jc w:val="right"/>
            </w:pPr>
            <w:r>
              <w:rPr>
                <w:color w:val="1C3A36"/>
                <w:sz w:val="17"/>
              </w:rPr>
              <w:t>11,862</w:t>
            </w:r>
          </w:p>
        </w:tc>
        <w:tc>
          <w:tcPr>
            <w:tcW w:type="dxa" w:w="1642"/>
          </w:tcPr>
          <w:p>
            <w:pPr>
              <w:spacing w:after="20"/>
              <w:jc w:val="right"/>
            </w:pPr>
            <w:r>
              <w:rPr>
                <w:color w:val="1C3A36"/>
                <w:sz w:val="17"/>
              </w:rPr>
              <w:t>12,649</w:t>
            </w:r>
          </w:p>
        </w:tc>
        <w:tc>
          <w:tcPr>
            <w:tcW w:type="dxa" w:w="1642"/>
          </w:tcPr>
          <w:p>
            <w:pPr>
              <w:spacing w:after="20"/>
              <w:jc w:val="right"/>
            </w:pPr>
            <w:r>
              <w:rPr>
                <w:color w:val="1C3A36"/>
                <w:sz w:val="17"/>
              </w:rPr>
              <w:t>13,424</w:t>
            </w:r>
          </w:p>
        </w:tc>
        <w:tc>
          <w:tcPr>
            <w:tcW w:type="dxa" w:w="1642"/>
          </w:tcPr>
          <w:p>
            <w:pPr>
              <w:spacing w:after="20"/>
              <w:jc w:val="right"/>
            </w:pPr>
            <w:r>
              <w:rPr>
                <w:color w:val="1C3A36"/>
                <w:sz w:val="17"/>
              </w:rPr>
              <w:t>14,136</w:t>
            </w:r>
          </w:p>
        </w:tc>
        <w:tc>
          <w:tcPr>
            <w:tcW w:type="dxa" w:w="1642"/>
          </w:tcPr>
          <w:p>
            <w:pPr>
              <w:spacing w:after="20"/>
              <w:jc w:val="right"/>
            </w:pPr>
            <w:r>
              <w:rPr>
                <w:color w:val="1C3A36"/>
                <w:sz w:val="17"/>
              </w:rPr>
              <w:t>14,816</w:t>
            </w:r>
          </w:p>
        </w:tc>
      </w:tr>
      <w:tr>
        <w:tc>
          <w:tcPr>
            <w:tcW w:type="dxa" w:w="2448"/>
          </w:tcPr>
          <w:p>
            <w:pPr>
              <w:spacing w:after="20"/>
            </w:pPr>
            <w:r>
              <w:rPr>
                <w:color w:val="1C3A36"/>
                <w:sz w:val="17"/>
              </w:rPr>
              <w:t>NOPAT (t 9.5%)</w:t>
            </w:r>
          </w:p>
        </w:tc>
        <w:tc>
          <w:tcPr>
            <w:tcW w:type="dxa" w:w="1642"/>
          </w:tcPr>
          <w:p>
            <w:pPr>
              <w:spacing w:after="20"/>
              <w:jc w:val="right"/>
            </w:pPr>
            <w:r>
              <w:rPr>
                <w:color w:val="1C3A36"/>
                <w:sz w:val="17"/>
              </w:rPr>
              <w:t>10,736</w:t>
            </w:r>
          </w:p>
        </w:tc>
        <w:tc>
          <w:tcPr>
            <w:tcW w:type="dxa" w:w="1642"/>
          </w:tcPr>
          <w:p>
            <w:pPr>
              <w:spacing w:after="20"/>
              <w:jc w:val="right"/>
            </w:pPr>
            <w:r>
              <w:rPr>
                <w:color w:val="1C3A36"/>
                <w:sz w:val="17"/>
              </w:rPr>
              <w:t>11,447</w:t>
            </w:r>
          </w:p>
        </w:tc>
        <w:tc>
          <w:tcPr>
            <w:tcW w:type="dxa" w:w="1642"/>
          </w:tcPr>
          <w:p>
            <w:pPr>
              <w:spacing w:after="20"/>
              <w:jc w:val="right"/>
            </w:pPr>
            <w:r>
              <w:rPr>
                <w:color w:val="1C3A36"/>
                <w:sz w:val="17"/>
              </w:rPr>
              <w:t>12,148</w:t>
            </w:r>
          </w:p>
        </w:tc>
        <w:tc>
          <w:tcPr>
            <w:tcW w:type="dxa" w:w="1642"/>
          </w:tcPr>
          <w:p>
            <w:pPr>
              <w:spacing w:after="20"/>
              <w:jc w:val="right"/>
            </w:pPr>
            <w:r>
              <w:rPr>
                <w:color w:val="1C3A36"/>
                <w:sz w:val="17"/>
              </w:rPr>
              <w:t>12,793</w:t>
            </w:r>
          </w:p>
        </w:tc>
        <w:tc>
          <w:tcPr>
            <w:tcW w:type="dxa" w:w="1642"/>
          </w:tcPr>
          <w:p>
            <w:pPr>
              <w:spacing w:after="20"/>
              <w:jc w:val="right"/>
            </w:pPr>
            <w:r>
              <w:rPr>
                <w:color w:val="1C3A36"/>
                <w:sz w:val="17"/>
              </w:rPr>
              <w:t>13,408</w:t>
            </w:r>
          </w:p>
        </w:tc>
      </w:tr>
      <w:tr>
        <w:tc>
          <w:tcPr>
            <w:tcW w:type="dxa" w:w="2448"/>
          </w:tcPr>
          <w:p>
            <w:pPr>
              <w:spacing w:after="20"/>
            </w:pPr>
            <w:r>
              <w:rPr>
                <w:color w:val="1C3A36"/>
                <w:sz w:val="17"/>
              </w:rPr>
              <w:t>+ D&amp;A</w:t>
            </w:r>
          </w:p>
        </w:tc>
        <w:tc>
          <w:tcPr>
            <w:tcW w:type="dxa" w:w="1642"/>
          </w:tcPr>
          <w:p>
            <w:pPr>
              <w:spacing w:after="20"/>
              <w:jc w:val="right"/>
            </w:pPr>
            <w:r>
              <w:rPr>
                <w:color w:val="1C3A36"/>
                <w:sz w:val="17"/>
              </w:rPr>
              <w:t>7,273</w:t>
            </w:r>
          </w:p>
        </w:tc>
        <w:tc>
          <w:tcPr>
            <w:tcW w:type="dxa" w:w="1642"/>
          </w:tcPr>
          <w:p>
            <w:pPr>
              <w:spacing w:after="20"/>
              <w:jc w:val="right"/>
            </w:pPr>
            <w:r>
              <w:rPr>
                <w:color w:val="1C3A36"/>
                <w:sz w:val="17"/>
              </w:rPr>
              <w:t>7,784</w:t>
            </w:r>
          </w:p>
        </w:tc>
        <w:tc>
          <w:tcPr>
            <w:tcW w:type="dxa" w:w="1642"/>
          </w:tcPr>
          <w:p>
            <w:pPr>
              <w:spacing w:after="20"/>
              <w:jc w:val="right"/>
            </w:pPr>
            <w:r>
              <w:rPr>
                <w:color w:val="1C3A36"/>
                <w:sz w:val="17"/>
              </w:rPr>
              <w:t>8,291</w:t>
            </w:r>
          </w:p>
        </w:tc>
        <w:tc>
          <w:tcPr>
            <w:tcW w:type="dxa" w:w="1642"/>
          </w:tcPr>
          <w:p>
            <w:pPr>
              <w:spacing w:after="20"/>
              <w:jc w:val="right"/>
            </w:pPr>
            <w:r>
              <w:rPr>
                <w:color w:val="1C3A36"/>
                <w:sz w:val="17"/>
              </w:rPr>
              <w:t>8,789</w:t>
            </w:r>
          </w:p>
        </w:tc>
        <w:tc>
          <w:tcPr>
            <w:tcW w:type="dxa" w:w="1642"/>
          </w:tcPr>
          <w:p>
            <w:pPr>
              <w:spacing w:after="20"/>
              <w:jc w:val="right"/>
            </w:pPr>
            <w:r>
              <w:rPr>
                <w:color w:val="1C3A36"/>
                <w:sz w:val="17"/>
              </w:rPr>
              <w:t>9,227</w:t>
            </w:r>
          </w:p>
        </w:tc>
      </w:tr>
      <w:tr>
        <w:tc>
          <w:tcPr>
            <w:tcW w:type="dxa" w:w="2448"/>
          </w:tcPr>
          <w:p>
            <w:pPr>
              <w:spacing w:after="20"/>
            </w:pPr>
            <w:r>
              <w:rPr>
                <w:color w:val="1C3A36"/>
                <w:sz w:val="17"/>
              </w:rPr>
              <w:t>– Capex</w:t>
            </w:r>
          </w:p>
        </w:tc>
        <w:tc>
          <w:tcPr>
            <w:tcW w:type="dxa" w:w="1642"/>
          </w:tcPr>
          <w:p>
            <w:pPr>
              <w:spacing w:after="20"/>
              <w:jc w:val="right"/>
            </w:pPr>
            <w:r>
              <w:rPr>
                <w:color w:val="1C3A36"/>
                <w:sz w:val="17"/>
              </w:rPr>
              <w:t>(12,500)</w:t>
            </w:r>
          </w:p>
        </w:tc>
        <w:tc>
          <w:tcPr>
            <w:tcW w:type="dxa" w:w="1642"/>
          </w:tcPr>
          <w:p>
            <w:pPr>
              <w:spacing w:after="20"/>
              <w:jc w:val="right"/>
            </w:pPr>
            <w:r>
              <w:rPr>
                <w:color w:val="1C3A36"/>
                <w:sz w:val="17"/>
              </w:rPr>
              <w:t>(13,500)</w:t>
            </w:r>
          </w:p>
        </w:tc>
        <w:tc>
          <w:tcPr>
            <w:tcW w:type="dxa" w:w="1642"/>
          </w:tcPr>
          <w:p>
            <w:pPr>
              <w:spacing w:after="20"/>
              <w:jc w:val="right"/>
            </w:pPr>
            <w:r>
              <w:rPr>
                <w:color w:val="1C3A36"/>
                <w:sz w:val="17"/>
              </w:rPr>
              <w:t>(14,000)</w:t>
            </w:r>
          </w:p>
        </w:tc>
        <w:tc>
          <w:tcPr>
            <w:tcW w:type="dxa" w:w="1642"/>
          </w:tcPr>
          <w:p>
            <w:pPr>
              <w:spacing w:after="20"/>
              <w:jc w:val="right"/>
            </w:pPr>
            <w:r>
              <w:rPr>
                <w:color w:val="1C3A36"/>
                <w:sz w:val="17"/>
              </w:rPr>
              <w:t>(14,000)</w:t>
            </w:r>
          </w:p>
        </w:tc>
        <w:tc>
          <w:tcPr>
            <w:tcW w:type="dxa" w:w="1642"/>
          </w:tcPr>
          <w:p>
            <w:pPr>
              <w:spacing w:after="20"/>
              <w:jc w:val="right"/>
            </w:pPr>
            <w:r>
              <w:rPr>
                <w:color w:val="1C3A36"/>
                <w:sz w:val="17"/>
              </w:rPr>
              <w:t>(13,500)</w:t>
            </w:r>
          </w:p>
        </w:tc>
      </w:tr>
      <w:tr>
        <w:tc>
          <w:tcPr>
            <w:tcW w:type="dxa" w:w="2448"/>
          </w:tcPr>
          <w:p>
            <w:pPr>
              <w:spacing w:after="20"/>
            </w:pPr>
            <w:r>
              <w:rPr>
                <w:color w:val="1C3A36"/>
                <w:sz w:val="17"/>
              </w:rPr>
              <w:t>– ΔWC</w:t>
            </w:r>
          </w:p>
        </w:tc>
        <w:tc>
          <w:tcPr>
            <w:tcW w:type="dxa" w:w="1642"/>
          </w:tcPr>
          <w:p>
            <w:pPr>
              <w:spacing w:after="20"/>
              <w:jc w:val="right"/>
            </w:pPr>
            <w:r>
              <w:rPr>
                <w:color w:val="1C3A36"/>
                <w:sz w:val="17"/>
              </w:rPr>
              <w:t>(25)</w:t>
            </w:r>
          </w:p>
        </w:tc>
        <w:tc>
          <w:tcPr>
            <w:tcW w:type="dxa" w:w="1642"/>
          </w:tcPr>
          <w:p>
            <w:pPr>
              <w:spacing w:after="20"/>
              <w:jc w:val="right"/>
            </w:pPr>
            <w:r>
              <w:rPr>
                <w:color w:val="1C3A36"/>
                <w:sz w:val="17"/>
              </w:rPr>
              <w:t>(21)</w:t>
            </w:r>
          </w:p>
        </w:tc>
        <w:tc>
          <w:tcPr>
            <w:tcW w:type="dxa" w:w="1642"/>
          </w:tcPr>
          <w:p>
            <w:pPr>
              <w:spacing w:after="20"/>
              <w:jc w:val="right"/>
            </w:pPr>
            <w:r>
              <w:rPr>
                <w:color w:val="1C3A36"/>
                <w:sz w:val="17"/>
              </w:rPr>
              <w:t>(21)</w:t>
            </w:r>
          </w:p>
        </w:tc>
        <w:tc>
          <w:tcPr>
            <w:tcW w:type="dxa" w:w="1642"/>
          </w:tcPr>
          <w:p>
            <w:pPr>
              <w:spacing w:after="20"/>
              <w:jc w:val="right"/>
            </w:pPr>
            <w:r>
              <w:rPr>
                <w:color w:val="1C3A36"/>
                <w:sz w:val="17"/>
              </w:rPr>
              <w:t>(20)</w:t>
            </w:r>
          </w:p>
        </w:tc>
        <w:tc>
          <w:tcPr>
            <w:tcW w:type="dxa" w:w="1642"/>
          </w:tcPr>
          <w:p>
            <w:pPr>
              <w:spacing w:after="20"/>
              <w:jc w:val="right"/>
            </w:pPr>
            <w:r>
              <w:rPr>
                <w:color w:val="1C3A36"/>
                <w:sz w:val="17"/>
              </w:rPr>
              <w:t>(19)</w:t>
            </w:r>
          </w:p>
        </w:tc>
      </w:tr>
      <w:tr>
        <w:tc>
          <w:tcPr>
            <w:tcW w:type="dxa" w:w="2448"/>
            <w:shd w:val="clear" w:color="auto" w:fill="F6F1E6"/>
          </w:tcPr>
          <w:p>
            <w:pPr>
              <w:spacing w:after="20"/>
            </w:pPr>
            <w:r>
              <w:rPr>
                <w:b/>
                <w:color w:val="1C3A36"/>
                <w:sz w:val="17"/>
              </w:rPr>
              <w:t>FCFF</w:t>
            </w:r>
          </w:p>
        </w:tc>
        <w:tc>
          <w:tcPr>
            <w:tcW w:type="dxa" w:w="1642"/>
            <w:shd w:val="clear" w:color="auto" w:fill="F6F1E6"/>
          </w:tcPr>
          <w:p>
            <w:pPr>
              <w:spacing w:after="20"/>
              <w:jc w:val="right"/>
            </w:pPr>
            <w:r>
              <w:rPr>
                <w:b/>
                <w:color w:val="1C3A36"/>
                <w:sz w:val="17"/>
              </w:rPr>
              <w:t>5,484</w:t>
            </w:r>
          </w:p>
        </w:tc>
        <w:tc>
          <w:tcPr>
            <w:tcW w:type="dxa" w:w="1642"/>
            <w:shd w:val="clear" w:color="auto" w:fill="F6F1E6"/>
          </w:tcPr>
          <w:p>
            <w:pPr>
              <w:spacing w:after="20"/>
              <w:jc w:val="right"/>
            </w:pPr>
            <w:r>
              <w:rPr>
                <w:b/>
                <w:color w:val="1C3A36"/>
                <w:sz w:val="17"/>
              </w:rPr>
              <w:t>5,710</w:t>
            </w:r>
          </w:p>
        </w:tc>
        <w:tc>
          <w:tcPr>
            <w:tcW w:type="dxa" w:w="1642"/>
            <w:shd w:val="clear" w:color="auto" w:fill="F6F1E6"/>
          </w:tcPr>
          <w:p>
            <w:pPr>
              <w:spacing w:after="20"/>
              <w:jc w:val="right"/>
            </w:pPr>
            <w:r>
              <w:rPr>
                <w:b/>
                <w:color w:val="1C3A36"/>
                <w:sz w:val="17"/>
              </w:rPr>
              <w:t>6,419</w:t>
            </w:r>
          </w:p>
        </w:tc>
        <w:tc>
          <w:tcPr>
            <w:tcW w:type="dxa" w:w="1642"/>
            <w:shd w:val="clear" w:color="auto" w:fill="F6F1E6"/>
          </w:tcPr>
          <w:p>
            <w:pPr>
              <w:spacing w:after="20"/>
              <w:jc w:val="right"/>
            </w:pPr>
            <w:r>
              <w:rPr>
                <w:b/>
                <w:color w:val="1C3A36"/>
                <w:sz w:val="17"/>
              </w:rPr>
              <w:t>7,562</w:t>
            </w:r>
          </w:p>
        </w:tc>
        <w:tc>
          <w:tcPr>
            <w:tcW w:type="dxa" w:w="1642"/>
            <w:shd w:val="clear" w:color="auto" w:fill="F6F1E6"/>
          </w:tcPr>
          <w:p>
            <w:pPr>
              <w:spacing w:after="20"/>
              <w:jc w:val="right"/>
            </w:pPr>
            <w:r>
              <w:rPr>
                <w:b/>
                <w:color w:val="1C3A36"/>
                <w:sz w:val="17"/>
              </w:rPr>
              <w:t>9,117</w:t>
            </w:r>
          </w:p>
        </w:tc>
      </w:tr>
      <w:tr>
        <w:tc>
          <w:tcPr>
            <w:tcW w:type="dxa" w:w="2448"/>
          </w:tcPr>
          <w:p>
            <w:pPr>
              <w:spacing w:after="20"/>
            </w:pPr>
            <w:r>
              <w:rPr>
                <w:color w:val="1C3A36"/>
                <w:sz w:val="17"/>
              </w:rPr>
              <w:t>Discount factor</w:t>
            </w:r>
          </w:p>
        </w:tc>
        <w:tc>
          <w:tcPr>
            <w:tcW w:type="dxa" w:w="1642"/>
          </w:tcPr>
          <w:p>
            <w:pPr>
              <w:spacing w:after="20"/>
              <w:jc w:val="right"/>
            </w:pPr>
            <w:r>
              <w:rPr>
                <w:color w:val="1C3A36"/>
                <w:sz w:val="17"/>
              </w:rPr>
              <w:t>0.9412</w:t>
            </w:r>
          </w:p>
        </w:tc>
        <w:tc>
          <w:tcPr>
            <w:tcW w:type="dxa" w:w="1642"/>
          </w:tcPr>
          <w:p>
            <w:pPr>
              <w:spacing w:after="20"/>
              <w:jc w:val="right"/>
            </w:pPr>
            <w:r>
              <w:rPr>
                <w:color w:val="1C3A36"/>
                <w:sz w:val="17"/>
              </w:rPr>
              <w:t>0.8859</w:t>
            </w:r>
          </w:p>
        </w:tc>
        <w:tc>
          <w:tcPr>
            <w:tcW w:type="dxa" w:w="1642"/>
          </w:tcPr>
          <w:p>
            <w:pPr>
              <w:spacing w:after="20"/>
              <w:jc w:val="right"/>
            </w:pPr>
            <w:r>
              <w:rPr>
                <w:color w:val="1C3A36"/>
                <w:sz w:val="17"/>
              </w:rPr>
              <w:t>0.8339</w:t>
            </w:r>
          </w:p>
        </w:tc>
        <w:tc>
          <w:tcPr>
            <w:tcW w:type="dxa" w:w="1642"/>
          </w:tcPr>
          <w:p>
            <w:pPr>
              <w:spacing w:after="20"/>
              <w:jc w:val="right"/>
            </w:pPr>
            <w:r>
              <w:rPr>
                <w:color w:val="1C3A36"/>
                <w:sz w:val="17"/>
              </w:rPr>
              <w:t>0.7849</w:t>
            </w:r>
          </w:p>
        </w:tc>
        <w:tc>
          <w:tcPr>
            <w:tcW w:type="dxa" w:w="1642"/>
          </w:tcPr>
          <w:p>
            <w:pPr>
              <w:spacing w:after="20"/>
              <w:jc w:val="right"/>
            </w:pPr>
            <w:r>
              <w:rPr>
                <w:color w:val="1C3A36"/>
                <w:sz w:val="17"/>
              </w:rPr>
              <w:t>0.7388</w:t>
            </w:r>
          </w:p>
        </w:tc>
      </w:tr>
      <w:tr>
        <w:tc>
          <w:tcPr>
            <w:tcW w:type="dxa" w:w="2448"/>
          </w:tcPr>
          <w:p>
            <w:pPr>
              <w:spacing w:after="20"/>
            </w:pPr>
            <w:r>
              <w:rPr>
                <w:color w:val="1C3A36"/>
                <w:sz w:val="17"/>
              </w:rPr>
              <w:t>PV of FCFF</w:t>
            </w:r>
          </w:p>
        </w:tc>
        <w:tc>
          <w:tcPr>
            <w:tcW w:type="dxa" w:w="1642"/>
          </w:tcPr>
          <w:p>
            <w:pPr>
              <w:spacing w:after="20"/>
              <w:jc w:val="right"/>
            </w:pPr>
            <w:r>
              <w:rPr>
                <w:color w:val="1C3A36"/>
                <w:sz w:val="17"/>
              </w:rPr>
              <w:t>5,162</w:t>
            </w:r>
          </w:p>
        </w:tc>
        <w:tc>
          <w:tcPr>
            <w:tcW w:type="dxa" w:w="1642"/>
          </w:tcPr>
          <w:p>
            <w:pPr>
              <w:spacing w:after="20"/>
              <w:jc w:val="right"/>
            </w:pPr>
            <w:r>
              <w:rPr>
                <w:color w:val="1C3A36"/>
                <w:sz w:val="17"/>
              </w:rPr>
              <w:t>5,059</w:t>
            </w:r>
          </w:p>
        </w:tc>
        <w:tc>
          <w:tcPr>
            <w:tcW w:type="dxa" w:w="1642"/>
          </w:tcPr>
          <w:p>
            <w:pPr>
              <w:spacing w:after="20"/>
              <w:jc w:val="right"/>
            </w:pPr>
            <w:r>
              <w:rPr>
                <w:color w:val="1C3A36"/>
                <w:sz w:val="17"/>
              </w:rPr>
              <w:t>5,353</w:t>
            </w:r>
          </w:p>
        </w:tc>
        <w:tc>
          <w:tcPr>
            <w:tcW w:type="dxa" w:w="1642"/>
          </w:tcPr>
          <w:p>
            <w:pPr>
              <w:spacing w:after="20"/>
              <w:jc w:val="right"/>
            </w:pPr>
            <w:r>
              <w:rPr>
                <w:color w:val="1C3A36"/>
                <w:sz w:val="17"/>
              </w:rPr>
              <w:t>5,936</w:t>
            </w:r>
          </w:p>
        </w:tc>
        <w:tc>
          <w:tcPr>
            <w:tcW w:type="dxa" w:w="1642"/>
          </w:tcPr>
          <w:p>
            <w:pPr>
              <w:spacing w:after="20"/>
              <w:jc w:val="right"/>
            </w:pPr>
            <w:r>
              <w:rPr>
                <w:color w:val="1C3A36"/>
                <w:sz w:val="17"/>
              </w:rPr>
              <w:t>6,736</w:t>
            </w:r>
          </w:p>
        </w:tc>
      </w:tr>
    </w:tbl>
    <w:p>
      <w:pPr>
        <w:spacing w:after="40"/>
      </w:pPr>
    </w:p>
    <w:p>
      <w:pPr>
        <w:spacing w:after="200" w:before="0"/>
      </w:pPr>
      <w:r>
        <w:rPr>
          <w:b w:val="0"/>
          <w:i/>
          <w:color w:val="6E7B77"/>
          <w:sz w:val="17"/>
        </w:rPr>
        <w:t>The full waterfall: Revenue → EBITDA → −D&amp;A → EBIT → NOPAT → +D&amp;A → −Capex → −ΔWC → FCFF → discount factor → PV of FCFF. Nothing is hidden between the operating line and the present value.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7056"/>
            <w:shd w:val="clear" w:color="auto" w:fill="EAF0EE"/>
          </w:tcPr>
          <w:p>
            <w:pPr>
              <w:spacing w:after="20"/>
            </w:pPr>
            <w:r>
              <w:rPr>
                <w:b/>
                <w:color w:val="1C3A36"/>
                <w:sz w:val="18"/>
              </w:rPr>
              <w:t>Bridge to equity</w:t>
            </w:r>
          </w:p>
        </w:tc>
        <w:tc>
          <w:tcPr>
            <w:tcW w:type="dxa" w:w="2880"/>
            <w:shd w:val="clear" w:color="auto" w:fill="EAF0EE"/>
          </w:tcPr>
          <w:p>
            <w:pPr>
              <w:spacing w:after="20"/>
            </w:pPr>
            <w:r>
              <w:rPr>
                <w:b/>
                <w:color w:val="1C3A36"/>
                <w:sz w:val="18"/>
              </w:rPr>
              <w:t>AED mn</w:t>
            </w:r>
          </w:p>
        </w:tc>
      </w:tr>
      <w:tr>
        <w:tc>
          <w:tcPr>
            <w:tcW w:type="dxa" w:w="7056"/>
          </w:tcPr>
          <w:p>
            <w:pPr>
              <w:spacing w:after="20"/>
            </w:pPr>
            <w:r>
              <w:rPr>
                <w:color w:val="1C3A36"/>
                <w:sz w:val="18"/>
              </w:rPr>
              <w:t>Sum PV of explicit FCFF (FY26-30E)</w:t>
            </w:r>
          </w:p>
        </w:tc>
        <w:tc>
          <w:tcPr>
            <w:tcW w:type="dxa" w:w="2880"/>
          </w:tcPr>
          <w:p>
            <w:pPr>
              <w:spacing w:after="20"/>
              <w:jc w:val="right"/>
            </w:pPr>
            <w:r>
              <w:rPr>
                <w:color w:val="1C3A36"/>
                <w:sz w:val="18"/>
              </w:rPr>
              <w:t>28,245</w:t>
            </w:r>
          </w:p>
        </w:tc>
      </w:tr>
      <w:tr>
        <w:tc>
          <w:tcPr>
            <w:tcW w:type="dxa" w:w="7056"/>
          </w:tcPr>
          <w:p>
            <w:pPr>
              <w:spacing w:after="20"/>
            </w:pPr>
            <w:r>
              <w:rPr>
                <w:color w:val="1C3A36"/>
                <w:sz w:val="18"/>
              </w:rPr>
              <w:t>PV of terminal value (g 2.5%, WACC 6.24%)</w:t>
            </w:r>
          </w:p>
        </w:tc>
        <w:tc>
          <w:tcPr>
            <w:tcW w:type="dxa" w:w="2880"/>
          </w:tcPr>
          <w:p>
            <w:pPr>
              <w:spacing w:after="20"/>
              <w:jc w:val="right"/>
            </w:pPr>
            <w:r>
              <w:rPr>
                <w:color w:val="1C3A36"/>
                <w:sz w:val="18"/>
              </w:rPr>
              <w:t>184,501</w:t>
            </w:r>
          </w:p>
        </w:tc>
      </w:tr>
      <w:tr>
        <w:tc>
          <w:tcPr>
            <w:tcW w:type="dxa" w:w="7056"/>
          </w:tcPr>
          <w:p>
            <w:pPr>
              <w:spacing w:after="20"/>
            </w:pPr>
            <w:r>
              <w:rPr>
                <w:color w:val="1C3A36"/>
                <w:sz w:val="18"/>
              </w:rPr>
              <w:t>Enterprise value</w:t>
            </w:r>
          </w:p>
        </w:tc>
        <w:tc>
          <w:tcPr>
            <w:tcW w:type="dxa" w:w="2880"/>
          </w:tcPr>
          <w:p>
            <w:pPr>
              <w:spacing w:after="20"/>
              <w:jc w:val="right"/>
            </w:pPr>
            <w:r>
              <w:rPr>
                <w:color w:val="1C3A36"/>
                <w:sz w:val="18"/>
              </w:rPr>
              <w:t>212,746</w:t>
            </w:r>
          </w:p>
        </w:tc>
      </w:tr>
      <w:tr>
        <w:tc>
          <w:tcPr>
            <w:tcW w:type="dxa" w:w="7056"/>
          </w:tcPr>
          <w:p>
            <w:pPr>
              <w:spacing w:after="20"/>
            </w:pPr>
            <w:r>
              <w:rPr>
                <w:color w:val="1C3A36"/>
                <w:sz w:val="18"/>
              </w:rPr>
              <w:t>TV as % of EV — disclosed</w:t>
            </w:r>
          </w:p>
        </w:tc>
        <w:tc>
          <w:tcPr>
            <w:tcW w:type="dxa" w:w="2880"/>
          </w:tcPr>
          <w:p>
            <w:pPr>
              <w:spacing w:after="20"/>
              <w:jc w:val="right"/>
            </w:pPr>
            <w:r>
              <w:rPr>
                <w:color w:val="1C3A36"/>
                <w:sz w:val="18"/>
              </w:rPr>
              <w:t>86.7%</w:t>
            </w:r>
          </w:p>
        </w:tc>
      </w:tr>
      <w:tr>
        <w:tc>
          <w:tcPr>
            <w:tcW w:type="dxa" w:w="7056"/>
          </w:tcPr>
          <w:p>
            <w:pPr>
              <w:spacing w:after="20"/>
            </w:pPr>
            <w:r>
              <w:rPr>
                <w:color w:val="1C3A36"/>
                <w:sz w:val="18"/>
              </w:rPr>
              <w:t>– Net debt (pro forma, post-Empower payment)</w:t>
            </w:r>
          </w:p>
        </w:tc>
        <w:tc>
          <w:tcPr>
            <w:tcW w:type="dxa" w:w="2880"/>
          </w:tcPr>
          <w:p>
            <w:pPr>
              <w:spacing w:after="20"/>
              <w:jc w:val="right"/>
            </w:pPr>
            <w:r>
              <w:rPr>
                <w:color w:val="1C3A36"/>
                <w:sz w:val="18"/>
              </w:rPr>
              <w:t>(36,273)</w:t>
            </w:r>
          </w:p>
        </w:tc>
      </w:tr>
      <w:tr>
        <w:tc>
          <w:tcPr>
            <w:tcW w:type="dxa" w:w="7056"/>
          </w:tcPr>
          <w:p>
            <w:pPr>
              <w:spacing w:after="20"/>
            </w:pPr>
            <w:r>
              <w:rPr>
                <w:color w:val="1C3A36"/>
                <w:sz w:val="18"/>
              </w:rPr>
              <w:t>– Non-controlling interests (Empower 20% at DFM market cap; IPP minorities at book)</w:t>
            </w:r>
          </w:p>
        </w:tc>
        <w:tc>
          <w:tcPr>
            <w:tcW w:type="dxa" w:w="2880"/>
          </w:tcPr>
          <w:p>
            <w:pPr>
              <w:spacing w:after="20"/>
              <w:jc w:val="right"/>
            </w:pPr>
            <w:r>
              <w:rPr>
                <w:color w:val="1C3A36"/>
                <w:sz w:val="18"/>
              </w:rPr>
              <w:t>(8,598)</w:t>
            </w:r>
          </w:p>
        </w:tc>
      </w:tr>
      <w:tr>
        <w:tc>
          <w:tcPr>
            <w:tcW w:type="dxa" w:w="7056"/>
          </w:tcPr>
          <w:p>
            <w:pPr>
              <w:spacing w:after="20"/>
            </w:pPr>
            <w:r>
              <w:rPr>
                <w:color w:val="1C3A36"/>
                <w:sz w:val="18"/>
              </w:rPr>
              <w:t>Equity value</w:t>
            </w:r>
          </w:p>
        </w:tc>
        <w:tc>
          <w:tcPr>
            <w:tcW w:type="dxa" w:w="2880"/>
          </w:tcPr>
          <w:p>
            <w:pPr>
              <w:spacing w:after="20"/>
              <w:jc w:val="right"/>
            </w:pPr>
            <w:r>
              <w:rPr>
                <w:color w:val="1C3A36"/>
                <w:sz w:val="18"/>
              </w:rPr>
              <w:t>167,875</w:t>
            </w:r>
          </w:p>
        </w:tc>
      </w:tr>
      <w:tr>
        <w:tc>
          <w:tcPr>
            <w:tcW w:type="dxa" w:w="7056"/>
            <w:shd w:val="clear" w:color="auto" w:fill="F6F1E6"/>
          </w:tcPr>
          <w:p>
            <w:pPr>
              <w:spacing w:after="20"/>
            </w:pPr>
            <w:r>
              <w:rPr>
                <w:b/>
                <w:color w:val="1C3A36"/>
                <w:sz w:val="18"/>
              </w:rPr>
              <w:t>Fair value per share</w:t>
            </w:r>
          </w:p>
        </w:tc>
        <w:tc>
          <w:tcPr>
            <w:tcW w:type="dxa" w:w="2880"/>
            <w:shd w:val="clear" w:color="auto" w:fill="F6F1E6"/>
          </w:tcPr>
          <w:p>
            <w:pPr>
              <w:spacing w:after="20"/>
              <w:jc w:val="right"/>
            </w:pPr>
            <w:r>
              <w:rPr>
                <w:b/>
                <w:color w:val="1C3A36"/>
                <w:sz w:val="18"/>
              </w:rPr>
              <w:t>AED 3.36</w:t>
            </w:r>
          </w:p>
        </w:tc>
      </w:tr>
      <w:tr>
        <w:tc>
          <w:tcPr>
            <w:tcW w:type="dxa" w:w="7056"/>
          </w:tcPr>
          <w:p>
            <w:pPr>
              <w:spacing w:after="20"/>
            </w:pPr>
            <w:r>
              <w:rPr>
                <w:color w:val="1C3A36"/>
                <w:sz w:val="18"/>
              </w:rPr>
              <w:t>Alt framing: adding AED 6,631mn term deposits + treasury investments</w:t>
            </w:r>
          </w:p>
        </w:tc>
        <w:tc>
          <w:tcPr>
            <w:tcW w:type="dxa" w:w="2880"/>
          </w:tcPr>
          <w:p>
            <w:pPr>
              <w:spacing w:after="20"/>
              <w:jc w:val="right"/>
            </w:pPr>
            <w:r>
              <w:rPr>
                <w:color w:val="1C3A36"/>
                <w:sz w:val="18"/>
              </w:rPr>
              <w:t>AED 3.49</w:t>
            </w:r>
          </w:p>
        </w:tc>
      </w:tr>
    </w:tbl>
    <w:p>
      <w:pPr>
        <w:spacing w:after="40"/>
      </w:pP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7056"/>
            <w:shd w:val="clear" w:color="auto" w:fill="EAF0EE"/>
          </w:tcPr>
          <w:p>
            <w:pPr>
              <w:spacing w:after="20"/>
            </w:pPr>
            <w:r>
              <w:rPr>
                <w:b/>
                <w:color w:val="1C3A36"/>
                <w:sz w:val="17"/>
              </w:rPr>
              <w:t>How the NCI deduction of 8,598 is built</w:t>
            </w:r>
          </w:p>
        </w:tc>
        <w:tc>
          <w:tcPr>
            <w:tcW w:type="dxa" w:w="2880"/>
            <w:shd w:val="clear" w:color="auto" w:fill="EAF0EE"/>
          </w:tcPr>
          <w:p>
            <w:pPr>
              <w:spacing w:after="20"/>
            </w:pPr>
            <w:r>
              <w:rPr>
                <w:b/>
                <w:color w:val="1C3A36"/>
                <w:sz w:val="17"/>
              </w:rPr>
              <w:t>AED mn</w:t>
            </w:r>
          </w:p>
        </w:tc>
      </w:tr>
      <w:tr>
        <w:tc>
          <w:tcPr>
            <w:tcW w:type="dxa" w:w="7056"/>
          </w:tcPr>
          <w:p>
            <w:pPr>
              <w:spacing w:after="20"/>
            </w:pPr>
            <w:r>
              <w:rPr>
                <w:color w:val="1C3A36"/>
                <w:sz w:val="17"/>
              </w:rPr>
              <w:t>NCI book value, audited (31-Dec-25)</w:t>
            </w:r>
          </w:p>
        </w:tc>
        <w:tc>
          <w:tcPr>
            <w:tcW w:type="dxa" w:w="2880"/>
          </w:tcPr>
          <w:p>
            <w:pPr>
              <w:spacing w:after="20"/>
              <w:jc w:val="right"/>
            </w:pPr>
            <w:r>
              <w:rPr>
                <w:color w:val="1C3A36"/>
                <w:sz w:val="17"/>
              </w:rPr>
              <w:t>6,753</w:t>
            </w:r>
          </w:p>
        </w:tc>
      </w:tr>
      <w:tr>
        <w:tc>
          <w:tcPr>
            <w:tcW w:type="dxa" w:w="7056"/>
          </w:tcPr>
          <w:p>
            <w:pPr>
              <w:spacing w:after="20"/>
            </w:pPr>
            <w:r>
              <w:rPr>
                <w:color w:val="1C3A36"/>
                <w:sz w:val="17"/>
              </w:rPr>
              <w:t>− Empower NCI component at 44% of Empower book equity (derived from segment disclosure — not a stated FS line)</w:t>
            </w:r>
          </w:p>
        </w:tc>
        <w:tc>
          <w:tcPr>
            <w:tcW w:type="dxa" w:w="2880"/>
          </w:tcPr>
          <w:p>
            <w:pPr>
              <w:spacing w:after="20"/>
              <w:jc w:val="right"/>
            </w:pPr>
            <w:r>
              <w:rPr>
                <w:color w:val="1C3A36"/>
                <w:sz w:val="17"/>
              </w:rPr>
              <w:t>(1,355)</w:t>
            </w:r>
          </w:p>
        </w:tc>
      </w:tr>
      <w:tr>
        <w:tc>
          <w:tcPr>
            <w:tcW w:type="dxa" w:w="7056"/>
          </w:tcPr>
          <w:p>
            <w:pPr>
              <w:spacing w:after="20"/>
            </w:pPr>
            <w:r>
              <w:rPr>
                <w:color w:val="1C3A36"/>
                <w:sz w:val="17"/>
              </w:rPr>
              <w:t>+ Empower 20% residual minority marked at DFM market cap (0.20 × 16,000)</w:t>
            </w:r>
          </w:p>
        </w:tc>
        <w:tc>
          <w:tcPr>
            <w:tcW w:type="dxa" w:w="2880"/>
          </w:tcPr>
          <w:p>
            <w:pPr>
              <w:spacing w:after="20"/>
              <w:jc w:val="right"/>
            </w:pPr>
            <w:r>
              <w:rPr>
                <w:color w:val="1C3A36"/>
                <w:sz w:val="17"/>
              </w:rPr>
              <w:t>+3,200</w:t>
            </w:r>
          </w:p>
        </w:tc>
      </w:tr>
      <w:tr>
        <w:tc>
          <w:tcPr>
            <w:tcW w:type="dxa" w:w="7056"/>
            <w:shd w:val="clear" w:color="auto" w:fill="F6F1E6"/>
          </w:tcPr>
          <w:p>
            <w:pPr>
              <w:spacing w:after="20"/>
            </w:pPr>
            <w:r>
              <w:rPr>
                <w:b/>
                <w:color w:val="1C3A36"/>
                <w:sz w:val="17"/>
              </w:rPr>
              <w:t>= NCI as deducted in the bridge</w:t>
            </w:r>
          </w:p>
        </w:tc>
        <w:tc>
          <w:tcPr>
            <w:tcW w:type="dxa" w:w="2880"/>
            <w:shd w:val="clear" w:color="auto" w:fill="F6F1E6"/>
          </w:tcPr>
          <w:p>
            <w:pPr>
              <w:spacing w:after="20"/>
              <w:jc w:val="right"/>
            </w:pPr>
            <w:r>
              <w:rPr>
                <w:b/>
                <w:color w:val="1C3A36"/>
                <w:sz w:val="17"/>
              </w:rPr>
              <w:t>8,598</w:t>
            </w:r>
          </w:p>
        </w:tc>
      </w:tr>
    </w:tbl>
    <w:p>
      <w:pPr>
        <w:spacing w:after="40"/>
      </w:pPr>
    </w:p>
    <w:p>
      <w:pPr>
        <w:spacing w:after="200" w:before="0"/>
      </w:pPr>
      <w:r>
        <w:rPr>
          <w:b w:val="0"/>
          <w:i/>
          <w:color w:val="6E7B77"/>
          <w:sz w:val="17"/>
        </w:rPr>
        <w:t>Only the listed Empower stub is marked to its DFM price; IPP and other minorities stay at audited book. The 1,355 Empower-at-book component is derived, not stated line-by-line in the FS — the derivation is shown above and will be revisited if Empower’s own disclosure sharpens.</w:t>
      </w:r>
    </w:p>
    <w:p>
      <w:pPr>
        <w:spacing w:after="120" w:before="0"/>
      </w:pPr>
      <w:r>
        <w:rPr>
          <w:b w:val="0"/>
          <w:i w:val="0"/>
          <w:color w:val="1C3A36"/>
          <w:sz w:val="21"/>
        </w:rPr>
        <w:t>Read honestly: with 87% of enterprise value in the terminal, this lens is a statement about DEWA’s economics beyond 2030 — the 23-GW system, the 735-MIGD water platform, whatever tariff regime then applies — not about the next five years. That is why it carries 20% weight and the explicit ceiling label, and why the study never blends it with the market lenses into one point. The bear leg discounts at the CDS-basis WACC with 2.0% terminal growth and a 10% heavier capex bill (AED 1.55); the bull leg takes 5.75% and 3.0% with the capex programme delivered 8% under budget (AED 6.49). The AED 5.2bn Empower payment sits in pro-forma net debt; the corresponding earnings pickup (the 24% minority DEWA no longer pays away) arrives in the FY26E attributable line.</w:t>
      </w:r>
    </w:p>
    <w:p>
      <w:pPr>
        <w:spacing w:after="80" w:before="200"/>
      </w:pPr>
      <w:r>
        <w:rPr>
          <w:b/>
          <w:i w:val="0"/>
          <w:color w:val="1C3A36"/>
          <w:sz w:val="24"/>
        </w:rPr>
        <w:t>1.3  Relative EV/EBITDA — the market’s own yardstick (25%)</w:t>
      </w:r>
    </w:p>
    <w:p>
      <w:pPr>
        <w:spacing w:after="120" w:before="0"/>
      </w:pPr>
      <w:r>
        <w:rPr>
          <w:b w:val="0"/>
          <w:i w:val="0"/>
          <w:color w:val="1C3A36"/>
          <w:sz w:val="21"/>
        </w:rPr>
        <w:t>DEWA’s spot enterprise value (market cap + pro-forma net debt + NCI at the marked bridge) is AED 184,371mn — 9.6x FY26E EBITDA of AED 19,135mn. The GCC utility shelf around it: TAQA trades near 13x with an Abu Dhabi scarcity premium and a 1.6% yield; Saudi Electricity near 11x under an explicit regulated-WACC framework; Tabreed near 11x; DEWA’s own 80% subsidiary Empower changes hands near 12.7x with a 5.4% yield. ACWA Power’s ~20x is developer economics, not a utility comp — it marks the boundary of the set rather than belonging to it.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3888"/>
            <w:shd w:val="clear" w:color="auto" w:fill="EAF0EE"/>
          </w:tcPr>
          <w:p>
            <w:pPr>
              <w:spacing w:after="20"/>
            </w:pPr>
            <w:r>
              <w:rPr>
                <w:b/>
                <w:color w:val="1C3A36"/>
                <w:sz w:val="18"/>
              </w:rPr>
              <w:t>Multiple applied to FY26E EBITDA</w:t>
            </w:r>
          </w:p>
        </w:tc>
        <w:tc>
          <w:tcPr>
            <w:tcW w:type="dxa" w:w="1944"/>
            <w:shd w:val="clear" w:color="auto" w:fill="EAF0EE"/>
          </w:tcPr>
          <w:p>
            <w:pPr>
              <w:spacing w:after="20"/>
            </w:pPr>
            <w:r>
              <w:rPr>
                <w:b/>
                <w:color w:val="1C3A36"/>
                <w:sz w:val="18"/>
              </w:rPr>
              <w:t>9.0x (bear)</w:t>
            </w:r>
          </w:p>
        </w:tc>
        <w:tc>
          <w:tcPr>
            <w:tcW w:type="dxa" w:w="1944"/>
            <w:shd w:val="clear" w:color="auto" w:fill="EAF0EE"/>
          </w:tcPr>
          <w:p>
            <w:pPr>
              <w:spacing w:after="20"/>
            </w:pPr>
            <w:r>
              <w:rPr>
                <w:b/>
                <w:color w:val="1C3A36"/>
                <w:sz w:val="18"/>
              </w:rPr>
              <w:t>10.0x (base)</w:t>
            </w:r>
          </w:p>
        </w:tc>
        <w:tc>
          <w:tcPr>
            <w:tcW w:type="dxa" w:w="1944"/>
            <w:shd w:val="clear" w:color="auto" w:fill="EAF0EE"/>
          </w:tcPr>
          <w:p>
            <w:pPr>
              <w:spacing w:after="20"/>
            </w:pPr>
            <w:r>
              <w:rPr>
                <w:b/>
                <w:color w:val="1C3A36"/>
                <w:sz w:val="18"/>
              </w:rPr>
              <w:t>11.0x (bull)</w:t>
            </w:r>
          </w:p>
        </w:tc>
      </w:tr>
      <w:tr>
        <w:tc>
          <w:tcPr>
            <w:tcW w:type="dxa" w:w="3888"/>
          </w:tcPr>
          <w:p>
            <w:pPr>
              <w:spacing w:after="20"/>
            </w:pPr>
            <w:r>
              <w:rPr>
                <w:color w:val="1C3A36"/>
                <w:sz w:val="18"/>
              </w:rPr>
              <w:t>Implied EV (AED mn)</w:t>
            </w:r>
          </w:p>
        </w:tc>
        <w:tc>
          <w:tcPr>
            <w:tcW w:type="dxa" w:w="1944"/>
          </w:tcPr>
          <w:p>
            <w:pPr>
              <w:spacing w:after="20"/>
              <w:jc w:val="right"/>
            </w:pPr>
            <w:r>
              <w:rPr>
                <w:color w:val="1C3A36"/>
                <w:sz w:val="18"/>
              </w:rPr>
              <w:t>172,218</w:t>
            </w:r>
          </w:p>
        </w:tc>
        <w:tc>
          <w:tcPr>
            <w:tcW w:type="dxa" w:w="1944"/>
          </w:tcPr>
          <w:p>
            <w:pPr>
              <w:spacing w:after="20"/>
              <w:jc w:val="right"/>
            </w:pPr>
            <w:r>
              <w:rPr>
                <w:color w:val="1C3A36"/>
                <w:sz w:val="18"/>
              </w:rPr>
              <w:t>191,353</w:t>
            </w:r>
          </w:p>
        </w:tc>
        <w:tc>
          <w:tcPr>
            <w:tcW w:type="dxa" w:w="1944"/>
          </w:tcPr>
          <w:p>
            <w:pPr>
              <w:spacing w:after="20"/>
              <w:jc w:val="right"/>
            </w:pPr>
            <w:r>
              <w:rPr>
                <w:color w:val="1C3A36"/>
                <w:sz w:val="18"/>
              </w:rPr>
              <w:t>210,488</w:t>
            </w:r>
          </w:p>
        </w:tc>
      </w:tr>
      <w:tr>
        <w:tc>
          <w:tcPr>
            <w:tcW w:type="dxa" w:w="3888"/>
          </w:tcPr>
          <w:p>
            <w:pPr>
              <w:spacing w:after="20"/>
            </w:pPr>
            <w:r>
              <w:rPr>
                <w:color w:val="1C3A36"/>
                <w:sz w:val="18"/>
              </w:rPr>
              <w:t>– Net debt PF – NCI</w:t>
            </w:r>
          </w:p>
        </w:tc>
        <w:tc>
          <w:tcPr>
            <w:tcW w:type="dxa" w:w="1944"/>
          </w:tcPr>
          <w:p>
            <w:pPr>
              <w:spacing w:after="20"/>
              <w:jc w:val="right"/>
            </w:pPr>
            <w:r>
              <w:rPr>
                <w:color w:val="1C3A36"/>
                <w:sz w:val="18"/>
              </w:rPr>
              <w:t>(44,871)</w:t>
            </w:r>
          </w:p>
        </w:tc>
        <w:tc>
          <w:tcPr>
            <w:tcW w:type="dxa" w:w="1944"/>
          </w:tcPr>
          <w:p>
            <w:pPr>
              <w:spacing w:after="20"/>
              <w:jc w:val="right"/>
            </w:pPr>
            <w:r>
              <w:rPr>
                <w:color w:val="1C3A36"/>
                <w:sz w:val="18"/>
              </w:rPr>
              <w:t>(44,871)</w:t>
            </w:r>
          </w:p>
        </w:tc>
        <w:tc>
          <w:tcPr>
            <w:tcW w:type="dxa" w:w="1944"/>
          </w:tcPr>
          <w:p>
            <w:pPr>
              <w:spacing w:after="20"/>
              <w:jc w:val="right"/>
            </w:pPr>
            <w:r>
              <w:rPr>
                <w:color w:val="1C3A36"/>
                <w:sz w:val="18"/>
              </w:rPr>
              <w:t>(44,871)</w:t>
            </w:r>
          </w:p>
        </w:tc>
      </w:tr>
      <w:tr>
        <w:tc>
          <w:tcPr>
            <w:tcW w:type="dxa" w:w="3888"/>
          </w:tcPr>
          <w:p>
            <w:pPr>
              <w:spacing w:after="20"/>
            </w:pPr>
            <w:r>
              <w:rPr>
                <w:color w:val="1C3A36"/>
                <w:sz w:val="18"/>
              </w:rPr>
              <w:t>Equity / per share</w:t>
            </w:r>
          </w:p>
        </w:tc>
        <w:tc>
          <w:tcPr>
            <w:tcW w:type="dxa" w:w="1944"/>
          </w:tcPr>
          <w:p>
            <w:pPr>
              <w:spacing w:after="20"/>
              <w:jc w:val="right"/>
            </w:pPr>
            <w:r>
              <w:rPr>
                <w:color w:val="1C3A36"/>
                <w:sz w:val="18"/>
              </w:rPr>
              <w:t>2.55</w:t>
            </w:r>
          </w:p>
        </w:tc>
        <w:tc>
          <w:tcPr>
            <w:tcW w:type="dxa" w:w="1944"/>
          </w:tcPr>
          <w:p>
            <w:pPr>
              <w:spacing w:after="20"/>
              <w:jc w:val="right"/>
            </w:pPr>
            <w:r>
              <w:rPr>
                <w:color w:val="1C3A36"/>
                <w:sz w:val="18"/>
              </w:rPr>
              <w:t>2.93</w:t>
            </w:r>
          </w:p>
        </w:tc>
        <w:tc>
          <w:tcPr>
            <w:tcW w:type="dxa" w:w="1944"/>
          </w:tcPr>
          <w:p>
            <w:pPr>
              <w:spacing w:after="20"/>
              <w:jc w:val="right"/>
            </w:pPr>
            <w:r>
              <w:rPr>
                <w:color w:val="1C3A36"/>
                <w:sz w:val="18"/>
              </w:rPr>
              <w:t>3.31</w:t>
            </w:r>
          </w:p>
        </w:tc>
      </w:tr>
    </w:tbl>
    <w:p>
      <w:pPr>
        <w:spacing w:after="40"/>
      </w:pPr>
    </w:p>
    <w:p>
      <w:pPr>
        <w:spacing w:after="120" w:before="0"/>
      </w:pPr>
      <w:r>
        <w:rPr>
          <w:b w:val="0"/>
          <w:i w:val="0"/>
          <w:color w:val="1C3A36"/>
          <w:sz w:val="21"/>
        </w:rPr>
        <w:t>The lens prices DEWA at 9-11x — deliberately below TAQA despite better disclosed operating metrics, acknowledging the 18% free float, the DFM index weight, and the absence of TAQA’s implicit Abu Dhabi consolidation story. Even at that discounted band the base sits above spot: the market currently pays 9.6x for a monopoly growing volumes at 5-6% a year, a multiple the region reserves for cyclical industrials.</w:t>
      </w:r>
    </w:p>
    <w:p>
      <w:pPr>
        <w:spacing w:after="80" w:before="200"/>
      </w:pPr>
      <w:r>
        <w:rPr>
          <w:b/>
          <w:i w:val="0"/>
          <w:color w:val="1C3A36"/>
          <w:sz w:val="24"/>
        </w:rPr>
        <w:t>1.4  Justified price-to-book on sustainable ROE (20%)</w:t>
      </w:r>
    </w:p>
    <w:p>
      <w:pPr>
        <w:spacing w:after="120" w:before="0"/>
      </w:pPr>
      <w:r>
        <w:rPr>
          <w:b w:val="0"/>
          <w:i w:val="0"/>
          <w:color w:val="1C3A36"/>
          <w:sz w:val="21"/>
        </w:rPr>
        <w:t>Owners’ book value is AED 1.82 per share. The justified multiple converts the return spread into a price: P/B = (ROE − g) / (Ke − g). At the sustainable ROE of 9.26% (FY25 delivered 9.26% on average equity and 9.17% on closing; the forecast walks toward 10% as the margin builds), Ke 6.735% and growth 2.5%, the justified multiple is (0.0926 − 0.025) / (0.06735 − 0.025) = 1.60x book — AED 2.91 against the 1.53x the market pays. Bear (ROE 8.5%, g 2.0%) gives AED 2.50; bull (ROE 10.5%, g 3.0%) AED 3.65. The spread between spot and justified multiple carries the same message as the DDM’s implied growth: the market prices DEWA as barely value-creating, while it persistently earns ~250bp over its cost of equity on a book that regulation protects.</w:t>
      </w:r>
    </w:p>
    <w:p>
      <w:pPr>
        <w:spacing w:after="80" w:before="200"/>
      </w:pPr>
      <w:r>
        <w:rPr>
          <w:b/>
          <w:i w:val="0"/>
          <w:color w:val="1C3A36"/>
          <w:sz w:val="24"/>
        </w:rPr>
        <w:t>1.5  Synthesis — four lenses, one field</w:t>
      </w:r>
    </w:p>
    <w:p>
      <w:pPr>
        <w:spacing w:after="120" w:before="0"/>
      </w:pPr>
      <w:r>
        <w:rPr>
          <w:b w:val="0"/>
          <w:i w:val="0"/>
          <w:color w:val="1C3A36"/>
          <w:sz w:val="21"/>
        </w:rPr>
        <w:t>Look at Figure 1 with the weights in mind. The two income-anchored lenses — the DDM at 3.83 and the justified P/B at 2.91 — say the same thing from different directions: price the cash policy or price the equity spread, and DEWA is worth about a dirham more than the market asks. The relative lens, built on the market’s own comparables and a deliberately discounted multiple, lands at 2.93 — above spot but the most conservative base in the set, because it inherits whatever pessimism is already in GCC utility multiples. The DCF spans the widest (1.55-6.49) precisely because it is the most terminal-dependent — its base 3.36 happens to sit almost exactly on the weighted central, but the study treats that as coincidence, not confirmation.</w:t>
      </w:r>
    </w:p>
    <w:p>
      <w:pPr>
        <w:spacing w:after="120" w:before="0"/>
      </w:pPr>
      <w:r>
        <w:rPr>
          <w:b w:val="0"/>
          <w:i w:val="0"/>
          <w:color w:val="1C3A36"/>
          <w:sz w:val="21"/>
        </w:rPr>
        <w:t>Two families, one message. The DCF-and-DDM family answers “what is the machine worth if you hold it”; the relative-and-P/B family answers “what does the market pay for machines like this.” Here — unusually — the families overlap: every base case sits in a AED 2.9-3.8 corridor, every bear case except the frozen-coupon DDM sits at or above spot, and no lens requires growth assumptions beyond what the city’s own population plan implies. The weighted central of AED 3.32 (bear 2.18 / bull 4.92) is therefore not an average of disagreements; it is the centre of an agreement, with one explicit dissent — the bear DDM — that prices exactly one event: a board choosing to freeze the coupon of a growing monopoly. §1.8 takes that event apart in real money.</w:t>
      </w:r>
    </w:p>
    <w:p>
      <w:pPr>
        <w:spacing w:after="80" w:before="200"/>
      </w:pPr>
      <w:r>
        <w:rPr>
          <w:b/>
          <w:i w:val="0"/>
          <w:color w:val="1C3A36"/>
          <w:sz w:val="24"/>
        </w:rPr>
        <w:t>1.6  Cost of capital — bottom-up, both ERP bases published</w:t>
      </w:r>
    </w:p>
    <w:p>
      <w:pPr>
        <w:spacing w:after="120" w:before="0"/>
      </w:pPr>
      <w:r>
        <w:rPr>
          <w:b w:val="0"/>
          <w:i w:val="0"/>
          <w:color w:val="1C3A36"/>
          <w:sz w:val="21"/>
        </w:rPr>
        <w:t>Our standing rule: the risk-free rate is the local-currency government bond even for a pegged currency — the AED curve is not the UST curve, however tight the peg — and the equity risk premium comes from Damodaran’s original country file, never a secondary summary. Both the rating-based and CDS-based ERP produce a published WACC; the DCF base uses the rating basis and the bear leg uses the CDS basis, so the choice is displayed rather than buried.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1944"/>
            <w:shd w:val="clear" w:color="auto" w:fill="EAF0EE"/>
          </w:tcPr>
          <w:p>
            <w:pPr>
              <w:spacing w:after="20"/>
            </w:pPr>
            <w:r>
              <w:rPr>
                <w:b/>
                <w:color w:val="1C3A36"/>
                <w:sz w:val="17"/>
              </w:rPr>
              <w:t>Component</w:t>
            </w:r>
          </w:p>
        </w:tc>
        <w:tc>
          <w:tcPr>
            <w:tcW w:type="dxa" w:w="1656"/>
            <w:shd w:val="clear" w:color="auto" w:fill="EAF0EE"/>
          </w:tcPr>
          <w:p>
            <w:pPr>
              <w:spacing w:after="20"/>
            </w:pPr>
            <w:r>
              <w:rPr>
                <w:b/>
                <w:color w:val="1C3A36"/>
                <w:sz w:val="17"/>
              </w:rPr>
              <w:t>Rating basis</w:t>
            </w:r>
          </w:p>
        </w:tc>
        <w:tc>
          <w:tcPr>
            <w:tcW w:type="dxa" w:w="1656"/>
            <w:shd w:val="clear" w:color="auto" w:fill="EAF0EE"/>
          </w:tcPr>
          <w:p>
            <w:pPr>
              <w:spacing w:after="20"/>
            </w:pPr>
            <w:r>
              <w:rPr>
                <w:b/>
                <w:color w:val="1C3A36"/>
                <w:sz w:val="17"/>
              </w:rPr>
              <w:t>CDS basis</w:t>
            </w:r>
          </w:p>
        </w:tc>
        <w:tc>
          <w:tcPr>
            <w:tcW w:type="dxa" w:w="5112"/>
            <w:shd w:val="clear" w:color="auto" w:fill="EAF0EE"/>
          </w:tcPr>
          <w:p>
            <w:pPr>
              <w:spacing w:after="20"/>
            </w:pPr>
            <w:r>
              <w:rPr>
                <w:b/>
                <w:color w:val="1C3A36"/>
                <w:sz w:val="17"/>
              </w:rPr>
              <w:t>Source</w:t>
            </w:r>
          </w:p>
        </w:tc>
      </w:tr>
      <w:tr>
        <w:tc>
          <w:tcPr>
            <w:tcW w:type="dxa" w:w="1944"/>
          </w:tcPr>
          <w:p>
            <w:pPr>
              <w:spacing w:after="20"/>
            </w:pPr>
            <w:r>
              <w:rPr>
                <w:color w:val="1C3A36"/>
                <w:sz w:val="17"/>
              </w:rPr>
              <w:t>Risk-free (AED)</w:t>
            </w:r>
          </w:p>
        </w:tc>
        <w:tc>
          <w:tcPr>
            <w:tcW w:type="dxa" w:w="1656"/>
          </w:tcPr>
          <w:p>
            <w:pPr>
              <w:spacing w:after="20"/>
            </w:pPr>
            <w:r>
              <w:rPr>
                <w:color w:val="1C3A36"/>
                <w:sz w:val="17"/>
              </w:rPr>
              <w:t>4.30%</w:t>
            </w:r>
          </w:p>
        </w:tc>
        <w:tc>
          <w:tcPr>
            <w:tcW w:type="dxa" w:w="1656"/>
          </w:tcPr>
          <w:p>
            <w:pPr>
              <w:spacing w:after="20"/>
            </w:pPr>
            <w:r>
              <w:rPr>
                <w:color w:val="1C3A36"/>
                <w:sz w:val="17"/>
              </w:rPr>
              <w:t>4.30%</w:t>
            </w:r>
          </w:p>
        </w:tc>
        <w:tc>
          <w:tcPr>
            <w:tcW w:type="dxa" w:w="5112"/>
          </w:tcPr>
          <w:p>
            <w:pPr>
              <w:spacing w:after="20"/>
            </w:pPr>
            <w:r>
              <w:rPr>
                <w:color w:val="1C3A36"/>
                <w:sz w:val="17"/>
              </w:rPr>
              <w:t>UAE MoF AED T-Bond Jan-2031 auction yield, 23-May-2026</w:t>
            </w:r>
          </w:p>
        </w:tc>
      </w:tr>
      <w:tr>
        <w:tc>
          <w:tcPr>
            <w:tcW w:type="dxa" w:w="1944"/>
          </w:tcPr>
          <w:p>
            <w:pPr>
              <w:spacing w:after="20"/>
            </w:pPr>
            <w:r>
              <w:rPr>
                <w:color w:val="1C3A36"/>
                <w:sz w:val="17"/>
              </w:rPr>
              <w:t>ERP</w:t>
            </w:r>
          </w:p>
        </w:tc>
        <w:tc>
          <w:tcPr>
            <w:tcW w:type="dxa" w:w="1656"/>
          </w:tcPr>
          <w:p>
            <w:pPr>
              <w:spacing w:after="20"/>
            </w:pPr>
            <w:r>
              <w:rPr>
                <w:color w:val="1C3A36"/>
                <w:sz w:val="17"/>
              </w:rPr>
              <w:t>4.87%</w:t>
            </w:r>
          </w:p>
        </w:tc>
        <w:tc>
          <w:tcPr>
            <w:tcW w:type="dxa" w:w="1656"/>
          </w:tcPr>
          <w:p>
            <w:pPr>
              <w:spacing w:after="20"/>
            </w:pPr>
            <w:r>
              <w:rPr>
                <w:color w:val="1C3A36"/>
                <w:sz w:val="17"/>
              </w:rPr>
              <w:t>4.93%</w:t>
            </w:r>
          </w:p>
        </w:tc>
        <w:tc>
          <w:tcPr>
            <w:tcW w:type="dxa" w:w="5112"/>
          </w:tcPr>
          <w:p>
            <w:pPr>
              <w:spacing w:after="20"/>
            </w:pPr>
            <w:r>
              <w:rPr>
                <w:color w:val="1C3A36"/>
                <w:sz w:val="17"/>
              </w:rPr>
              <w:t>Damodaran ctryprem original file, Jan-2026 vintage: UAE Aa2 / Abu Dhabi CDS</w:t>
            </w:r>
          </w:p>
        </w:tc>
      </w:tr>
      <w:tr>
        <w:tc>
          <w:tcPr>
            <w:tcW w:type="dxa" w:w="1944"/>
          </w:tcPr>
          <w:p>
            <w:pPr>
              <w:spacing w:after="20"/>
            </w:pPr>
            <w:r>
              <w:rPr>
                <w:color w:val="1C3A36"/>
                <w:sz w:val="17"/>
              </w:rPr>
              <w:t>Beta</w:t>
            </w:r>
          </w:p>
        </w:tc>
        <w:tc>
          <w:tcPr>
            <w:tcW w:type="dxa" w:w="1656"/>
          </w:tcPr>
          <w:p>
            <w:pPr>
              <w:spacing w:after="20"/>
            </w:pPr>
            <w:r>
              <w:rPr>
                <w:color w:val="1C3A36"/>
                <w:sz w:val="17"/>
              </w:rPr>
              <w:t>0.50</w:t>
            </w:r>
          </w:p>
        </w:tc>
        <w:tc>
          <w:tcPr>
            <w:tcW w:type="dxa" w:w="1656"/>
          </w:tcPr>
          <w:p>
            <w:pPr>
              <w:spacing w:after="20"/>
            </w:pPr>
            <w:r>
              <w:rPr>
                <w:color w:val="1C3A36"/>
                <w:sz w:val="17"/>
              </w:rPr>
              <w:t>0.50</w:t>
            </w:r>
          </w:p>
        </w:tc>
        <w:tc>
          <w:tcPr>
            <w:tcW w:type="dxa" w:w="5112"/>
          </w:tcPr>
          <w:p>
            <w:pPr>
              <w:spacing w:after="20"/>
            </w:pPr>
            <w:r>
              <w:rPr>
                <w:color w:val="1C3A36"/>
                <w:sz w:val="17"/>
              </w:rPr>
              <w:t>Regression 0.42 weekly (n=221, R² 20.5%, SE 0.055) — clears our usability test; 0.50 used</w:t>
            </w:r>
          </w:p>
        </w:tc>
      </w:tr>
      <w:tr>
        <w:tc>
          <w:tcPr>
            <w:tcW w:type="dxa" w:w="1944"/>
          </w:tcPr>
          <w:p>
            <w:pPr>
              <w:spacing w:after="20"/>
            </w:pPr>
            <w:r>
              <w:rPr>
                <w:color w:val="1C3A36"/>
                <w:sz w:val="17"/>
              </w:rPr>
              <w:t>Ke</w:t>
            </w:r>
          </w:p>
        </w:tc>
        <w:tc>
          <w:tcPr>
            <w:tcW w:type="dxa" w:w="1656"/>
          </w:tcPr>
          <w:p>
            <w:pPr>
              <w:spacing w:after="20"/>
            </w:pPr>
            <w:r>
              <w:rPr>
                <w:color w:val="1C3A36"/>
                <w:sz w:val="17"/>
              </w:rPr>
              <w:t>6.74%</w:t>
            </w:r>
          </w:p>
        </w:tc>
        <w:tc>
          <w:tcPr>
            <w:tcW w:type="dxa" w:w="1656"/>
          </w:tcPr>
          <w:p>
            <w:pPr>
              <w:spacing w:after="20"/>
            </w:pPr>
            <w:r>
              <w:rPr>
                <w:color w:val="1C3A36"/>
                <w:sz w:val="17"/>
              </w:rPr>
              <w:t>6.77%</w:t>
            </w:r>
          </w:p>
        </w:tc>
        <w:tc>
          <w:tcPr>
            <w:tcW w:type="dxa" w:w="5112"/>
          </w:tcPr>
          <w:p>
            <w:pPr>
              <w:spacing w:after="20"/>
            </w:pPr>
            <w:r>
              <w:rPr>
                <w:color w:val="1C3A36"/>
                <w:sz w:val="17"/>
              </w:rPr>
              <w:t>CAPM</w:t>
            </w:r>
          </w:p>
        </w:tc>
      </w:tr>
      <w:tr>
        <w:tc>
          <w:tcPr>
            <w:tcW w:type="dxa" w:w="1944"/>
          </w:tcPr>
          <w:p>
            <w:pPr>
              <w:spacing w:after="20"/>
            </w:pPr>
            <w:r>
              <w:rPr>
                <w:color w:val="1C3A36"/>
                <w:sz w:val="17"/>
              </w:rPr>
              <w:t>Kd pre-tax</w:t>
            </w:r>
          </w:p>
        </w:tc>
        <w:tc>
          <w:tcPr>
            <w:tcW w:type="dxa" w:w="1656"/>
          </w:tcPr>
          <w:p>
            <w:pPr>
              <w:spacing w:after="20"/>
            </w:pPr>
            <w:r>
              <w:rPr>
                <w:color w:val="1C3A36"/>
                <w:sz w:val="17"/>
              </w:rPr>
              <w:t>4.90%</w:t>
            </w:r>
          </w:p>
        </w:tc>
        <w:tc>
          <w:tcPr>
            <w:tcW w:type="dxa" w:w="1656"/>
          </w:tcPr>
          <w:p>
            <w:pPr>
              <w:spacing w:after="20"/>
            </w:pPr>
            <w:r>
              <w:rPr>
                <w:color w:val="1C3A36"/>
                <w:sz w:val="17"/>
              </w:rPr>
              <w:t>4.90%</w:t>
            </w:r>
          </w:p>
        </w:tc>
        <w:tc>
          <w:tcPr>
            <w:tcW w:type="dxa" w:w="5112"/>
          </w:tcPr>
          <w:p>
            <w:pPr>
              <w:spacing w:after="20"/>
            </w:pPr>
            <w:r>
              <w:rPr>
                <w:color w:val="1C3A36"/>
                <w:sz w:val="17"/>
              </w:rPr>
              <w:t>blended sukuk / loan book per FY25 borrowing notes</w:t>
            </w:r>
          </w:p>
        </w:tc>
      </w:tr>
      <w:tr>
        <w:tc>
          <w:tcPr>
            <w:tcW w:type="dxa" w:w="1944"/>
          </w:tcPr>
          <w:p>
            <w:pPr>
              <w:spacing w:after="20"/>
            </w:pPr>
            <w:r>
              <w:rPr>
                <w:color w:val="1C3A36"/>
                <w:sz w:val="17"/>
              </w:rPr>
              <w:t>Tax shield</w:t>
            </w:r>
          </w:p>
        </w:tc>
        <w:tc>
          <w:tcPr>
            <w:tcW w:type="dxa" w:w="1656"/>
          </w:tcPr>
          <w:p>
            <w:pPr>
              <w:spacing w:after="20"/>
            </w:pPr>
            <w:r>
              <w:rPr>
                <w:color w:val="1C3A36"/>
                <w:sz w:val="17"/>
              </w:rPr>
              <w:t>9.0%</w:t>
            </w:r>
          </w:p>
        </w:tc>
        <w:tc>
          <w:tcPr>
            <w:tcW w:type="dxa" w:w="1656"/>
          </w:tcPr>
          <w:p>
            <w:pPr>
              <w:spacing w:after="20"/>
            </w:pPr>
            <w:r>
              <w:rPr>
                <w:color w:val="1C3A36"/>
                <w:sz w:val="17"/>
              </w:rPr>
              <w:t>9.0%</w:t>
            </w:r>
          </w:p>
        </w:tc>
        <w:tc>
          <w:tcPr>
            <w:tcW w:type="dxa" w:w="5112"/>
          </w:tcPr>
          <w:p>
            <w:pPr>
              <w:spacing w:after="20"/>
            </w:pPr>
            <w:r>
              <w:rPr>
                <w:color w:val="1C3A36"/>
                <w:sz w:val="17"/>
              </w:rPr>
              <w:t>UAE corporate tax</w:t>
            </w:r>
          </w:p>
        </w:tc>
      </w:tr>
      <w:tr>
        <w:tc>
          <w:tcPr>
            <w:tcW w:type="dxa" w:w="1944"/>
          </w:tcPr>
          <w:p>
            <w:pPr>
              <w:spacing w:after="20"/>
            </w:pPr>
            <w:r>
              <w:rPr>
                <w:color w:val="1C3A36"/>
                <w:sz w:val="17"/>
              </w:rPr>
              <w:t>Weights E / D</w:t>
            </w:r>
          </w:p>
        </w:tc>
        <w:tc>
          <w:tcPr>
            <w:tcW w:type="dxa" w:w="1656"/>
          </w:tcPr>
          <w:p>
            <w:pPr>
              <w:spacing w:after="20"/>
            </w:pPr>
            <w:r>
              <w:rPr>
                <w:color w:val="1C3A36"/>
                <w:sz w:val="17"/>
              </w:rPr>
              <w:t>78.3% / 21.7%</w:t>
            </w:r>
          </w:p>
        </w:tc>
        <w:tc>
          <w:tcPr>
            <w:tcW w:type="dxa" w:w="1656"/>
          </w:tcPr>
          <w:p>
            <w:pPr>
              <w:spacing w:after="20"/>
            </w:pPr>
            <w:r>
              <w:rPr>
                <w:color w:val="1C3A36"/>
                <w:sz w:val="17"/>
              </w:rPr>
              <w:t>78.3% / 21.7%</w:t>
            </w:r>
          </w:p>
        </w:tc>
        <w:tc>
          <w:tcPr>
            <w:tcW w:type="dxa" w:w="5112"/>
          </w:tcPr>
          <w:p>
            <w:pPr>
              <w:spacing w:after="20"/>
            </w:pPr>
            <w:r>
              <w:rPr>
                <w:color w:val="1C3A36"/>
                <w:sz w:val="17"/>
              </w:rPr>
              <w:t>market cap vs disclosed total borrowings (AED 38,576mn, gross)</w:t>
            </w:r>
          </w:p>
        </w:tc>
      </w:tr>
      <w:tr>
        <w:tc>
          <w:tcPr>
            <w:tcW w:type="dxa" w:w="1944"/>
          </w:tcPr>
          <w:p>
            <w:pPr>
              <w:spacing w:after="20"/>
            </w:pPr>
            <w:r>
              <w:rPr>
                <w:color w:val="1C3A36"/>
                <w:sz w:val="17"/>
              </w:rPr>
              <w:t>WACC</w:t>
            </w:r>
          </w:p>
        </w:tc>
        <w:tc>
          <w:tcPr>
            <w:tcW w:type="dxa" w:w="1656"/>
          </w:tcPr>
          <w:p>
            <w:pPr>
              <w:spacing w:after="20"/>
            </w:pPr>
            <w:r>
              <w:rPr>
                <w:color w:val="1C3A36"/>
                <w:sz w:val="17"/>
              </w:rPr>
              <w:t>6.24%</w:t>
            </w:r>
          </w:p>
        </w:tc>
        <w:tc>
          <w:tcPr>
            <w:tcW w:type="dxa" w:w="1656"/>
          </w:tcPr>
          <w:p>
            <w:pPr>
              <w:spacing w:after="20"/>
            </w:pPr>
            <w:r>
              <w:rPr>
                <w:color w:val="1C3A36"/>
                <w:sz w:val="17"/>
              </w:rPr>
              <w:t>6.27%</w:t>
            </w:r>
          </w:p>
        </w:tc>
        <w:tc>
          <w:tcPr>
            <w:tcW w:type="dxa" w:w="5112"/>
          </w:tcPr>
          <w:p>
            <w:pPr>
              <w:spacing w:after="20"/>
            </w:pPr>
            <w:r>
              <w:rPr>
                <w:color w:val="1C3A36"/>
                <w:sz w:val="17"/>
              </w:rPr>
              <w:t>both published; base DCF on the rating basis</w:t>
            </w:r>
          </w:p>
        </w:tc>
      </w:tr>
    </w:tbl>
    <w:p>
      <w:pPr>
        <w:spacing w:after="40"/>
      </w:pPr>
    </w:p>
    <w:p>
      <w:pPr>
        <w:spacing w:after="120" w:before="0"/>
      </w:pPr>
      <w:r>
        <w:rPr>
          <w:b w:val="0"/>
          <w:i w:val="0"/>
          <w:color w:val="1C3A36"/>
          <w:sz w:val="21"/>
        </w:rPr>
        <w:t>Three honesty notes. First, the beta: the DFM General Index itself is not programmatically retrievable, so the regression ran against an equal-weight proxy of fourteen UAE large caps with DEWA excluded from the regressor. That weekly regression genuinely cleared our usability test (n=221 ≥ 24, R² 20.5% ≥ 5%, SE 0.055 &lt; |β|) and returned 0.42; the study rounds up to 0.50 for conservatism given the proxy’s bank-heavy composition, and §1.10 prices the value at 0.40 and 0.70 so nothing hangs on the choice. Second, the debt weight uses disclosed total borrowings — AED 38,576mn gross, per our standing rule — not the pro-forma net debt the equity bridge uses; the two framings answer different questions and both are stated. Third, the equity weight uses the market price of the equity, which mechanically embeds the discount the study is questioning; re-solving the WACC at the central value would lower it and raise the DCF — a conservatism left in place rather than iterated.</w:t>
      </w:r>
    </w:p>
    <w:p>
      <w:pPr>
        <w:spacing w:after="80" w:before="200"/>
      </w:pPr>
      <w:r>
        <w:rPr>
          <w:b/>
          <w:i w:val="0"/>
          <w:color w:val="1C3A36"/>
          <w:sz w:val="24"/>
        </w:rPr>
        <w:t>1.7  The drivers — sourced, then built</w:t>
      </w:r>
    </w:p>
    <w:p>
      <w:pPr>
        <w:spacing w:after="120" w:before="0"/>
      </w:pPr>
      <w:r>
        <w:rPr>
          <w:b w:val="0"/>
          <w:i w:val="0"/>
          <w:color w:val="1C3A36"/>
          <w:sz w:val="21"/>
        </w:rPr>
        <w:t>Every driver below was set only after a systematic review across the global, country, industry, and company levels, and each one carries a documented source, logged in our Forecast-Assumptions Log. Bottom-up builds are used only where every input is disclosed; the two model-estimated paths (the margin walk and the capex phasing) will be revisited against actuals as they print.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1872"/>
            <w:shd w:val="clear" w:color="auto" w:fill="EAF0EE"/>
          </w:tcPr>
          <w:p>
            <w:pPr>
              <w:spacing w:after="20"/>
            </w:pPr>
            <w:r>
              <w:rPr>
                <w:b/>
                <w:color w:val="1C3A36"/>
                <w:sz w:val="16"/>
              </w:rPr>
              <w:t>Driver</w:t>
            </w:r>
          </w:p>
        </w:tc>
        <w:tc>
          <w:tcPr>
            <w:tcW w:type="dxa" w:w="1584"/>
            <w:shd w:val="clear" w:color="auto" w:fill="EAF0EE"/>
          </w:tcPr>
          <w:p>
            <w:pPr>
              <w:spacing w:after="20"/>
            </w:pPr>
            <w:r>
              <w:rPr>
                <w:b/>
                <w:color w:val="1C3A36"/>
                <w:sz w:val="16"/>
              </w:rPr>
              <w:t>FY26E</w:t>
            </w:r>
          </w:p>
        </w:tc>
        <w:tc>
          <w:tcPr>
            <w:tcW w:type="dxa" w:w="1800"/>
            <w:shd w:val="clear" w:color="auto" w:fill="EAF0EE"/>
          </w:tcPr>
          <w:p>
            <w:pPr>
              <w:spacing w:after="20"/>
            </w:pPr>
            <w:r>
              <w:rPr>
                <w:b/>
                <w:color w:val="1C3A36"/>
                <w:sz w:val="16"/>
              </w:rPr>
              <w:t>Path to FY30E</w:t>
            </w:r>
          </w:p>
        </w:tc>
        <w:tc>
          <w:tcPr>
            <w:tcW w:type="dxa" w:w="4824"/>
            <w:shd w:val="clear" w:color="auto" w:fill="EAF0EE"/>
          </w:tcPr>
          <w:p>
            <w:pPr>
              <w:spacing w:after="20"/>
            </w:pPr>
            <w:r>
              <w:rPr>
                <w:b/>
                <w:color w:val="1C3A36"/>
                <w:sz w:val="16"/>
              </w:rPr>
              <w:t>Basis</w:t>
            </w:r>
          </w:p>
        </w:tc>
      </w:tr>
      <w:tr>
        <w:tc>
          <w:tcPr>
            <w:tcW w:type="dxa" w:w="1872"/>
          </w:tcPr>
          <w:p>
            <w:pPr>
              <w:spacing w:after="20"/>
            </w:pPr>
            <w:r>
              <w:rPr>
                <w:color w:val="1C3A36"/>
                <w:sz w:val="16"/>
              </w:rPr>
              <w:t>Revenue growth</w:t>
            </w:r>
          </w:p>
        </w:tc>
        <w:tc>
          <w:tcPr>
            <w:tcW w:type="dxa" w:w="1584"/>
          </w:tcPr>
          <w:p>
            <w:pPr>
              <w:spacing w:after="20"/>
            </w:pPr>
            <w:r>
              <w:rPr>
                <w:color w:val="1C3A36"/>
                <w:sz w:val="16"/>
              </w:rPr>
              <w:t>7.5%</w:t>
            </w:r>
          </w:p>
        </w:tc>
        <w:tc>
          <w:tcPr>
            <w:tcW w:type="dxa" w:w="1800"/>
          </w:tcPr>
          <w:p>
            <w:pPr>
              <w:spacing w:after="20"/>
            </w:pPr>
            <w:r>
              <w:rPr>
                <w:color w:val="1C3A36"/>
                <w:sz w:val="16"/>
              </w:rPr>
              <w:t>fading to 4.5%</w:t>
            </w:r>
          </w:p>
        </w:tc>
        <w:tc>
          <w:tcPr>
            <w:tcW w:type="dxa" w:w="4824"/>
          </w:tcPr>
          <w:p>
            <w:pPr>
              <w:spacing w:after="20"/>
            </w:pPr>
            <w:r>
              <w:rPr>
                <w:color w:val="1C3A36"/>
                <w:sz w:val="16"/>
              </w:rPr>
              <w:t>Bottom-up: customer growth + demand/peak trends + Empower consolidation; Q1 +8.2% actual held below</w:t>
            </w:r>
          </w:p>
        </w:tc>
      </w:tr>
      <w:tr>
        <w:tc>
          <w:tcPr>
            <w:tcW w:type="dxa" w:w="1872"/>
          </w:tcPr>
          <w:p>
            <w:pPr>
              <w:spacing w:after="20"/>
            </w:pPr>
            <w:r>
              <w:rPr>
                <w:color w:val="1C3A36"/>
                <w:sz w:val="16"/>
              </w:rPr>
              <w:t>EBITDA margin</w:t>
            </w:r>
          </w:p>
        </w:tc>
        <w:tc>
          <w:tcPr>
            <w:tcW w:type="dxa" w:w="1584"/>
          </w:tcPr>
          <w:p>
            <w:pPr>
              <w:spacing w:after="20"/>
            </w:pPr>
            <w:r>
              <w:rPr>
                <w:color w:val="1C3A36"/>
                <w:sz w:val="16"/>
              </w:rPr>
              <w:t>54.2%</w:t>
            </w:r>
          </w:p>
        </w:tc>
        <w:tc>
          <w:tcPr>
            <w:tcW w:type="dxa" w:w="1800"/>
          </w:tcPr>
          <w:p>
            <w:pPr>
              <w:spacing w:after="20"/>
            </w:pPr>
            <w:r>
              <w:rPr>
                <w:color w:val="1C3A36"/>
                <w:sz w:val="16"/>
              </w:rPr>
              <w:t>to 55.5%</w:t>
            </w:r>
          </w:p>
        </w:tc>
        <w:tc>
          <w:tcPr>
            <w:tcW w:type="dxa" w:w="4824"/>
          </w:tcPr>
          <w:p>
            <w:pPr>
              <w:spacing w:after="20"/>
            </w:pPr>
            <w:r>
              <w:rPr>
                <w:color w:val="1C3A36"/>
                <w:sz w:val="16"/>
              </w:rPr>
              <w:t>Bottom-up: clean-share fuel savings on the engine basis (company basis dual-framed throughout)</w:t>
            </w:r>
          </w:p>
        </w:tc>
      </w:tr>
      <w:tr>
        <w:tc>
          <w:tcPr>
            <w:tcW w:type="dxa" w:w="1872"/>
          </w:tcPr>
          <w:p>
            <w:pPr>
              <w:spacing w:after="20"/>
            </w:pPr>
            <w:r>
              <w:rPr>
                <w:color w:val="1C3A36"/>
                <w:sz w:val="16"/>
              </w:rPr>
              <w:t>D&amp;A % revenue</w:t>
            </w:r>
          </w:p>
        </w:tc>
        <w:tc>
          <w:tcPr>
            <w:tcW w:type="dxa" w:w="1584"/>
          </w:tcPr>
          <w:p>
            <w:pPr>
              <w:spacing w:after="20"/>
            </w:pPr>
            <w:r>
              <w:rPr>
                <w:color w:val="1C3A36"/>
                <w:sz w:val="16"/>
              </w:rPr>
              <w:t>20.6%</w:t>
            </w:r>
          </w:p>
        </w:tc>
        <w:tc>
          <w:tcPr>
            <w:tcW w:type="dxa" w:w="1800"/>
          </w:tcPr>
          <w:p>
            <w:pPr>
              <w:spacing w:after="20"/>
            </w:pPr>
            <w:r>
              <w:rPr>
                <w:color w:val="1C3A36"/>
                <w:sz w:val="16"/>
              </w:rPr>
              <w:t>to 21.3%</w:t>
            </w:r>
          </w:p>
        </w:tc>
        <w:tc>
          <w:tcPr>
            <w:tcW w:type="dxa" w:w="4824"/>
          </w:tcPr>
          <w:p>
            <w:pPr>
              <w:spacing w:after="20"/>
            </w:pPr>
            <w:r>
              <w:rPr>
                <w:color w:val="1C3A36"/>
                <w:sz w:val="16"/>
              </w:rPr>
              <w:t>Top-down: growing asset base × historical depreciation rate</w:t>
            </w:r>
          </w:p>
        </w:tc>
      </w:tr>
      <w:tr>
        <w:tc>
          <w:tcPr>
            <w:tcW w:type="dxa" w:w="1872"/>
          </w:tcPr>
          <w:p>
            <w:pPr>
              <w:spacing w:after="20"/>
            </w:pPr>
            <w:r>
              <w:rPr>
                <w:color w:val="1C3A36"/>
                <w:sz w:val="16"/>
              </w:rPr>
              <w:t>Capex</w:t>
            </w:r>
          </w:p>
        </w:tc>
        <w:tc>
          <w:tcPr>
            <w:tcW w:type="dxa" w:w="1584"/>
          </w:tcPr>
          <w:p>
            <w:pPr>
              <w:spacing w:after="20"/>
            </w:pPr>
            <w:r>
              <w:rPr>
                <w:color w:val="1C3A36"/>
                <w:sz w:val="16"/>
              </w:rPr>
              <w:t>AED 12,500mn</w:t>
            </w:r>
          </w:p>
        </w:tc>
        <w:tc>
          <w:tcPr>
            <w:tcW w:type="dxa" w:w="1800"/>
          </w:tcPr>
          <w:p>
            <w:pPr>
              <w:spacing w:after="20"/>
            </w:pPr>
            <w:r>
              <w:rPr>
                <w:color w:val="1C3A36"/>
                <w:sz w:val="16"/>
              </w:rPr>
              <w:t>to ~14,000mn</w:t>
            </w:r>
          </w:p>
        </w:tc>
        <w:tc>
          <w:tcPr>
            <w:tcW w:type="dxa" w:w="4824"/>
          </w:tcPr>
          <w:p>
            <w:pPr>
              <w:spacing w:after="20"/>
            </w:pPr>
            <w:r>
              <w:rPr>
                <w:color w:val="1C3A36"/>
                <w:sz w:val="16"/>
              </w:rPr>
              <w:t>Bottom-up: 2030 capacity + Hassyan water programme phasing; FY25 actual 11,720</w:t>
            </w:r>
          </w:p>
        </w:tc>
      </w:tr>
      <w:tr>
        <w:tc>
          <w:tcPr>
            <w:tcW w:type="dxa" w:w="1872"/>
          </w:tcPr>
          <w:p>
            <w:pPr>
              <w:spacing w:after="20"/>
            </w:pPr>
            <w:r>
              <w:rPr>
                <w:color w:val="1C3A36"/>
                <w:sz w:val="16"/>
              </w:rPr>
              <w:t>Net finance cost</w:t>
            </w:r>
          </w:p>
        </w:tc>
        <w:tc>
          <w:tcPr>
            <w:tcW w:type="dxa" w:w="1584"/>
          </w:tcPr>
          <w:p>
            <w:pPr>
              <w:spacing w:after="20"/>
            </w:pPr>
            <w:r>
              <w:rPr>
                <w:color w:val="1C3A36"/>
                <w:sz w:val="16"/>
              </w:rPr>
              <w:t>AED 700mn</w:t>
            </w:r>
          </w:p>
        </w:tc>
        <w:tc>
          <w:tcPr>
            <w:tcW w:type="dxa" w:w="1800"/>
          </w:tcPr>
          <w:p>
            <w:pPr>
              <w:spacing w:after="20"/>
            </w:pPr>
            <w:r>
              <w:rPr>
                <w:color w:val="1C3A36"/>
                <w:sz w:val="16"/>
              </w:rPr>
              <w:t>rising with capex</w:t>
            </w:r>
          </w:p>
        </w:tc>
        <w:tc>
          <w:tcPr>
            <w:tcW w:type="dxa" w:w="4824"/>
          </w:tcPr>
          <w:p>
            <w:pPr>
              <w:spacing w:after="20"/>
            </w:pPr>
            <w:r>
              <w:rPr>
                <w:color w:val="1C3A36"/>
                <w:sz w:val="16"/>
              </w:rPr>
              <w:t>Top-down: PF debt × blended Kd less deposit income</w:t>
            </w:r>
          </w:p>
        </w:tc>
      </w:tr>
      <w:tr>
        <w:tc>
          <w:tcPr>
            <w:tcW w:type="dxa" w:w="1872"/>
          </w:tcPr>
          <w:p>
            <w:pPr>
              <w:spacing w:after="20"/>
            </w:pPr>
            <w:r>
              <w:rPr>
                <w:color w:val="1C3A36"/>
                <w:sz w:val="16"/>
              </w:rPr>
              <w:t>Tax</w:t>
            </w:r>
          </w:p>
        </w:tc>
        <w:tc>
          <w:tcPr>
            <w:tcW w:type="dxa" w:w="1584"/>
          </w:tcPr>
          <w:p>
            <w:pPr>
              <w:spacing w:after="20"/>
            </w:pPr>
            <w:r>
              <w:rPr>
                <w:color w:val="1C3A36"/>
                <w:sz w:val="16"/>
              </w:rPr>
              <w:t>9.5%</w:t>
            </w:r>
          </w:p>
        </w:tc>
        <w:tc>
          <w:tcPr>
            <w:tcW w:type="dxa" w:w="1800"/>
          </w:tcPr>
          <w:p>
            <w:pPr>
              <w:spacing w:after="20"/>
            </w:pPr>
            <w:r>
              <w:rPr>
                <w:color w:val="1C3A36"/>
                <w:sz w:val="16"/>
              </w:rPr>
              <w:t>stable</w:t>
            </w:r>
          </w:p>
        </w:tc>
        <w:tc>
          <w:tcPr>
            <w:tcW w:type="dxa" w:w="4824"/>
          </w:tcPr>
          <w:p>
            <w:pPr>
              <w:spacing w:after="20"/>
            </w:pPr>
            <w:r>
              <w:rPr>
                <w:color w:val="1C3A36"/>
                <w:sz w:val="16"/>
              </w:rPr>
              <w:t>Structural: UAE CT 9% + DMTT drag</w:t>
            </w:r>
          </w:p>
        </w:tc>
      </w:tr>
      <w:tr>
        <w:tc>
          <w:tcPr>
            <w:tcW w:type="dxa" w:w="1872"/>
          </w:tcPr>
          <w:p>
            <w:pPr>
              <w:spacing w:after="20"/>
            </w:pPr>
            <w:r>
              <w:rPr>
                <w:color w:val="1C3A36"/>
                <w:sz w:val="16"/>
              </w:rPr>
              <w:t>NCI share of PAT</w:t>
            </w:r>
          </w:p>
        </w:tc>
        <w:tc>
          <w:tcPr>
            <w:tcW w:type="dxa" w:w="1584"/>
          </w:tcPr>
          <w:p>
            <w:pPr>
              <w:spacing w:after="20"/>
            </w:pPr>
            <w:r>
              <w:rPr>
                <w:color w:val="1C3A36"/>
                <w:sz w:val="16"/>
              </w:rPr>
              <w:t>6.0%</w:t>
            </w:r>
          </w:p>
        </w:tc>
        <w:tc>
          <w:tcPr>
            <w:tcW w:type="dxa" w:w="1800"/>
          </w:tcPr>
          <w:p>
            <w:pPr>
              <w:spacing w:after="20"/>
            </w:pPr>
            <w:r>
              <w:rPr>
                <w:color w:val="1C3A36"/>
                <w:sz w:val="16"/>
              </w:rPr>
              <w:t>stable</w:t>
            </w:r>
          </w:p>
        </w:tc>
        <w:tc>
          <w:tcPr>
            <w:tcW w:type="dxa" w:w="4824"/>
          </w:tcPr>
          <w:p>
            <w:pPr>
              <w:spacing w:after="20"/>
            </w:pPr>
            <w:r>
              <w:rPr>
                <w:color w:val="1C3A36"/>
                <w:sz w:val="16"/>
              </w:rPr>
              <w:t>Structural: Empower 20% minority + IPP partners, post-Feb-26</w:t>
            </w:r>
          </w:p>
        </w:tc>
      </w:tr>
      <w:tr>
        <w:tc>
          <w:tcPr>
            <w:tcW w:type="dxa" w:w="1872"/>
          </w:tcPr>
          <w:p>
            <w:pPr>
              <w:spacing w:after="20"/>
            </w:pPr>
            <w:r>
              <w:rPr>
                <w:color w:val="1C3A36"/>
                <w:sz w:val="16"/>
              </w:rPr>
              <w:t>ΔWC</w:t>
            </w:r>
          </w:p>
        </w:tc>
        <w:tc>
          <w:tcPr>
            <w:tcW w:type="dxa" w:w="1584"/>
          </w:tcPr>
          <w:p>
            <w:pPr>
              <w:spacing w:after="20"/>
            </w:pPr>
            <w:r>
              <w:rPr>
                <w:color w:val="1C3A36"/>
                <w:sz w:val="16"/>
              </w:rPr>
              <w:t>1% of Δrevenue</w:t>
            </w:r>
          </w:p>
        </w:tc>
        <w:tc>
          <w:tcPr>
            <w:tcW w:type="dxa" w:w="1800"/>
          </w:tcPr>
          <w:p>
            <w:pPr>
              <w:spacing w:after="20"/>
            </w:pPr>
            <w:r>
              <w:rPr>
                <w:color w:val="1C3A36"/>
                <w:sz w:val="16"/>
              </w:rPr>
              <w:t>stable</w:t>
            </w:r>
          </w:p>
        </w:tc>
        <w:tc>
          <w:tcPr>
            <w:tcW w:type="dxa" w:w="4824"/>
          </w:tcPr>
          <w:p>
            <w:pPr>
              <w:spacing w:after="20"/>
            </w:pPr>
            <w:r>
              <w:rPr>
                <w:color w:val="1C3A36"/>
                <w:sz w:val="16"/>
              </w:rPr>
              <w:t>Top-down: receivables/payables history; utility working-capital cycle</w:t>
            </w:r>
          </w:p>
        </w:tc>
      </w:tr>
      <w:tr>
        <w:tc>
          <w:tcPr>
            <w:tcW w:type="dxa" w:w="1872"/>
          </w:tcPr>
          <w:p>
            <w:pPr>
              <w:spacing w:after="20"/>
            </w:pPr>
            <w:r>
              <w:rPr>
                <w:color w:val="1C3A36"/>
                <w:sz w:val="16"/>
              </w:rPr>
              <w:t>DPS floor</w:t>
            </w:r>
          </w:p>
        </w:tc>
        <w:tc>
          <w:tcPr>
            <w:tcW w:type="dxa" w:w="1584"/>
          </w:tcPr>
          <w:p>
            <w:pPr>
              <w:spacing w:after="20"/>
            </w:pPr>
            <w:r>
              <w:rPr>
                <w:color w:val="1C3A36"/>
                <w:sz w:val="16"/>
              </w:rPr>
              <w:t>AED 0.124</w:t>
            </w:r>
          </w:p>
        </w:tc>
        <w:tc>
          <w:tcPr>
            <w:tcW w:type="dxa" w:w="1800"/>
          </w:tcPr>
          <w:p>
            <w:pPr>
              <w:spacing w:after="20"/>
            </w:pPr>
            <w:r>
              <w:rPr>
                <w:color w:val="1C3A36"/>
                <w:sz w:val="16"/>
              </w:rPr>
              <w:t>policy to Oct-27</w:t>
            </w:r>
          </w:p>
        </w:tc>
        <w:tc>
          <w:tcPr>
            <w:tcW w:type="dxa" w:w="4824"/>
          </w:tcPr>
          <w:p>
            <w:pPr>
              <w:spacing w:after="20"/>
            </w:pPr>
            <w:r>
              <w:rPr>
                <w:color w:val="1C3A36"/>
                <w:sz w:val="16"/>
              </w:rPr>
              <w:t>Structural: IPO policy — the crux thereafter (§1.8)</w:t>
            </w:r>
          </w:p>
        </w:tc>
      </w:tr>
    </w:tbl>
    <w:p>
      <w:pPr>
        <w:spacing w:after="40"/>
      </w:pPr>
    </w:p>
    <w:p>
      <w:pPr>
        <w:spacing w:after="200" w:before="0"/>
      </w:pPr>
      <w:r>
        <w:rPr>
          <w:b w:val="0"/>
          <w:i/>
          <w:color w:val="6E7B77"/>
          <w:sz w:val="17"/>
        </w:rPr>
        <w:t>Class key for the register: B = base-rate/quantitative, S = structural, D = directional, C = colour. Every financial-statement line item comes from the audited statements only, never an aggregator.</w:t>
      </w:r>
    </w:p>
    <w:p>
      <w:pPr>
        <w:spacing w:after="120" w:before="0"/>
      </w:pPr>
      <w:r>
        <w:rPr>
          <w:b w:val="0"/>
          <w:i w:val="0"/>
          <w:color w:val="1C3A36"/>
          <w:sz w:val="21"/>
        </w:rPr>
        <w:t>The forecast-vs-actual scorecard is N/A by design on this page: this is an initiation, so there is no prior Testahil forecast to grade. The scorecard opens at the first 3-month update, graded line-by-line against the driver set frozen above.</w:t>
      </w:r>
    </w:p>
    <w:p>
      <w:pPr>
        <w:spacing w:after="80" w:before="200"/>
      </w:pPr>
      <w:r>
        <w:rPr>
          <w:b/>
          <w:i w:val="0"/>
          <w:color w:val="1C3A36"/>
          <w:sz w:val="24"/>
        </w:rPr>
        <w:t>1.8  The crux — the post-October-2027 dividend policy, in real money</w:t>
      </w:r>
    </w:p>
    <w:p>
      <w:pPr>
        <w:spacing w:after="120" w:before="0"/>
      </w:pPr>
      <w:r>
        <w:rPr>
          <w:b w:val="0"/>
          <w:i w:val="0"/>
          <w:color w:val="1C3A36"/>
          <w:sz w:val="21"/>
        </w:rPr>
        <w:t>One decision dominates this valuation, so it gets its own arithmetic. The AED 6.2bn floor expires in October 2027; the board has said nothing about what follows. Price each branch: frozen forever, the DDM says AED 2.09 — below spot, and consistent with the 1.33% growth the market currently implies. Grown like a utility coupon in a growing city, AED 3.83; re-rated toward a 75-80% payout ratio, AED 5.90. The spread between the frozen branch and the base branch is AED 1.74 a share — AED 87bn of market value hanging on one board communication.</w:t>
      </w:r>
    </w:p>
    <w:p>
      <w:pPr>
        <w:spacing w:after="120" w:before="0"/>
      </w:pPr>
      <w:r>
        <w:rPr>
          <w:b w:val="0"/>
          <w:i w:val="0"/>
          <w:color w:val="1C3A36"/>
          <w:sz w:val="21"/>
        </w:rPr>
        <w:t>Now the capacity question, because a policy is only credible if the balance sheet can carry it. The FY26E payout at the floor would be ~65% of attributable earnings. FY25 cash cover was 1.23x on the gross framing (total PAT 9,055 / total dividends paid 7,360, NCI included) and 1.35x on the owner framing (attributable 8,347 / owner dividends 6,200) — both stated everywhere the cover appears; measured against the AED 6.2bn policy floor alone, group earnings cover it 1.46x. Net debt to engine-basis EBITDA runs 1.76x strict and 2.05x pro-forma for the Empower payment, against an A3 balance sheet that comparable regulated utilities lever to 3.0x. The difference between 2.05x and 3.0x on FY26E EBITDA is roughly AED 21bn of unused distribution headroom — AED 0.42 per share, more than three years of the current coupon, before counting a single dirham of earnings growth. Capacity is not the constraint; policy is. And the policy-setter owns 82% of every dirham distributed — the strongest structural alignment in the study. Figure 3 turns the whole argument into one line.</w:t>
      </w:r>
    </w:p>
    <w:p>
      <w:pPr>
        <w:spacing w:after="40"/>
        <w:jc w:val="center"/>
      </w:pPr>
      <w:r>
        <w:drawing>
          <wp:inline xmlns:a="http://schemas.openxmlformats.org/drawingml/2006/main" xmlns:pic="http://schemas.openxmlformats.org/drawingml/2006/picture">
            <wp:extent cx="6309360" cy="2404913"/>
            <wp:docPr id="3" name="Picture 3"/>
            <wp:cNvGraphicFramePr>
              <a:graphicFrameLocks noChangeAspect="1"/>
            </wp:cNvGraphicFramePr>
            <a:graphic>
              <a:graphicData uri="http://schemas.openxmlformats.org/drawingml/2006/picture">
                <pic:pic>
                  <pic:nvPicPr>
                    <pic:cNvPr id="0" name="f3_crux.png"/>
                    <pic:cNvPicPr/>
                  </pic:nvPicPr>
                  <pic:blipFill>
                    <a:blip r:embed="rId11"/>
                    <a:stretch>
                      <a:fillRect/>
                    </a:stretch>
                  </pic:blipFill>
                  <pic:spPr>
                    <a:xfrm>
                      <a:off x="0" y="0"/>
                      <a:ext cx="6309360" cy="2404913"/>
                    </a:xfrm>
                    <a:prstGeom prst="rect"/>
                  </pic:spPr>
                </pic:pic>
              </a:graphicData>
            </a:graphic>
          </wp:inline>
        </w:drawing>
      </w:r>
    </w:p>
    <w:p>
      <w:pPr>
        <w:spacing w:after="200" w:before="0"/>
      </w:pPr>
      <w:r>
        <w:rPr>
          <w:b w:val="0"/>
          <w:i/>
          <w:color w:val="6E7B77"/>
          <w:sz w:val="17"/>
        </w:rPr>
        <w:t>Figure 3. The crux — DDM value against long-run dividend growth. The rust line is what spot implies (~1.3% forever); the gold line is the house base (3.0%). The distance between them is the valuation.</w:t>
      </w:r>
    </w:p>
    <w:p>
      <w:pPr>
        <w:spacing w:after="80" w:before="200"/>
      </w:pPr>
      <w:r>
        <w:rPr>
          <w:b/>
          <w:i w:val="0"/>
          <w:color w:val="1C3A36"/>
          <w:sz w:val="24"/>
        </w:rPr>
        <w:t>1.9  Macro and country — the peg, the rates, the city, the neighbourhood</w:t>
      </w:r>
    </w:p>
    <w:p>
      <w:pPr>
        <w:spacing w:after="120" w:before="0"/>
      </w:pPr>
      <w:r>
        <w:rPr>
          <w:b w:val="0"/>
          <w:i w:val="0"/>
          <w:color w:val="1C3A36"/>
          <w:sz w:val="21"/>
        </w:rPr>
        <w:t>Four macro forces matter, in order. First, the peg: the dirham’s 3.6725 fix to the dollar means the CBUAE base rate (3.65%, held at the 17-Jun-2026 meeting) imports US policy — with cuts priced for H2-2026, every 25bp trims the cost of equity on a bond-proxy whose value is mostly a discounted perpetuity; §1.10 shows the grid. Second, the city: Dubai’s population has passed 3.7 million on its way to the D33 plan’s 5.8 million by 2033, and every arrival is a mandatory customer — the volume driver is demographic, not cyclical, which is why revenue has never printed a down year. Third, the fuel line: Brent in the $65-80 strip passes through the fuel surcharge and the regulatory deferral account rather than the P&amp;L, while every new solar megawatt structurally shrinks the exposure — the clean share of generation rose from 10.6% to 16.2% of output in one year. Fourth, the neighbourhood: the March-2026 regional escalation closed the DFM for two sessions and cut the stock 13.7% peak-to-trough, fully recovered within weeks — a live demonstration that the tail risk is geopolitical, not operational, and it is carried in the Monte Carlo’s market-fitted left tail rather than assumed away.</w:t>
      </w:r>
    </w:p>
    <w:p>
      <w:pPr>
        <w:spacing w:after="80" w:before="200"/>
      </w:pPr>
      <w:r>
        <w:rPr>
          <w:b/>
          <w:i w:val="0"/>
          <w:color w:val="1C3A36"/>
          <w:sz w:val="24"/>
        </w:rPr>
        <w:t>1.10  Sensitivity — read your own number off these grids</w:t>
      </w:r>
    </w:p>
    <w:p>
      <w:pPr>
        <w:spacing w:after="120" w:before="0"/>
      </w:pPr>
      <w:r>
        <w:rPr>
          <w:b w:val="0"/>
          <w:i w:val="0"/>
          <w:color w:val="1C3A36"/>
          <w:sz w:val="21"/>
        </w:rPr>
        <w:t>The two grids below carry the two decisions that matter: the DCF on WACC × terminal growth, and the DDM on Ke × perpetual dividend growth. A reader who disagrees with the house 3.0% perpetual growth can read the value at their own number directly — that is the point of publishing the grid rather than the point estimate.</w:t>
      </w:r>
    </w:p>
    <w:p>
      <w:pPr>
        <w:spacing w:after="40"/>
        <w:jc w:val="center"/>
      </w:pPr>
      <w:r>
        <w:drawing>
          <wp:inline xmlns:a="http://schemas.openxmlformats.org/drawingml/2006/main" xmlns:pic="http://schemas.openxmlformats.org/drawingml/2006/picture">
            <wp:extent cx="6309360" cy="2437452"/>
            <wp:docPr id="4" name="Picture 4"/>
            <wp:cNvGraphicFramePr>
              <a:graphicFrameLocks noChangeAspect="1"/>
            </wp:cNvGraphicFramePr>
            <a:graphic>
              <a:graphicData uri="http://schemas.openxmlformats.org/drawingml/2006/picture">
                <pic:pic>
                  <pic:nvPicPr>
                    <pic:cNvPr id="0" name="f5_sens.png"/>
                    <pic:cNvPicPr/>
                  </pic:nvPicPr>
                  <pic:blipFill>
                    <a:blip r:embed="rId12"/>
                    <a:stretch>
                      <a:fillRect/>
                    </a:stretch>
                  </pic:blipFill>
                  <pic:spPr>
                    <a:xfrm>
                      <a:off x="0" y="0"/>
                      <a:ext cx="6309360" cy="2437452"/>
                    </a:xfrm>
                    <a:prstGeom prst="rect"/>
                  </pic:spPr>
                </pic:pic>
              </a:graphicData>
            </a:graphic>
          </wp:inline>
        </w:drawing>
      </w:r>
    </w:p>
    <w:p>
      <w:pPr>
        <w:spacing w:after="200" w:before="0"/>
      </w:pPr>
      <w:r>
        <w:rPr>
          <w:b w:val="0"/>
          <w:i/>
          <w:color w:val="6E7B77"/>
          <w:sz w:val="17"/>
        </w:rPr>
        <w:t>Figure 4. Left: DCF/share on WACC × terminal growth. Right: DDM/share on Ke × perpetual dividend growth — the grid that decides this study.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3168"/>
            <w:shd w:val="clear" w:color="auto" w:fill="EAF0EE"/>
          </w:tcPr>
          <w:p>
            <w:pPr>
              <w:spacing w:after="20"/>
            </w:pPr>
            <w:r>
              <w:rPr>
                <w:b/>
                <w:color w:val="1C3A36"/>
                <w:sz w:val="18"/>
              </w:rPr>
              <w:t>Beta grid (DCF base)</w:t>
            </w:r>
          </w:p>
        </w:tc>
        <w:tc>
          <w:tcPr>
            <w:tcW w:type="dxa" w:w="2016"/>
            <w:shd w:val="clear" w:color="auto" w:fill="EAF0EE"/>
          </w:tcPr>
          <w:p>
            <w:pPr>
              <w:spacing w:after="20"/>
            </w:pPr>
            <w:r>
              <w:rPr>
                <w:b/>
                <w:color w:val="1C3A36"/>
                <w:sz w:val="18"/>
              </w:rPr>
              <w:t>β 0.40</w:t>
            </w:r>
          </w:p>
        </w:tc>
        <w:tc>
          <w:tcPr>
            <w:tcW w:type="dxa" w:w="2160"/>
            <w:shd w:val="clear" w:color="auto" w:fill="EAF0EE"/>
          </w:tcPr>
          <w:p>
            <w:pPr>
              <w:spacing w:after="20"/>
            </w:pPr>
            <w:r>
              <w:rPr>
                <w:b/>
                <w:color w:val="1C3A36"/>
                <w:sz w:val="18"/>
              </w:rPr>
              <w:t>β 0.50 (used)</w:t>
            </w:r>
          </w:p>
        </w:tc>
        <w:tc>
          <w:tcPr>
            <w:tcW w:type="dxa" w:w="2016"/>
            <w:shd w:val="clear" w:color="auto" w:fill="EAF0EE"/>
          </w:tcPr>
          <w:p>
            <w:pPr>
              <w:spacing w:after="20"/>
            </w:pPr>
            <w:r>
              <w:rPr>
                <w:b/>
                <w:color w:val="1C3A36"/>
                <w:sz w:val="18"/>
              </w:rPr>
              <w:t>β 0.70</w:t>
            </w:r>
          </w:p>
        </w:tc>
      </w:tr>
      <w:tr>
        <w:tc>
          <w:tcPr>
            <w:tcW w:type="dxa" w:w="3168"/>
          </w:tcPr>
          <w:p>
            <w:pPr>
              <w:spacing w:after="20"/>
            </w:pPr>
            <w:r>
              <w:rPr>
                <w:color w:val="1C3A36"/>
                <w:sz w:val="18"/>
              </w:rPr>
              <w:t>Ke</w:t>
            </w:r>
          </w:p>
        </w:tc>
        <w:tc>
          <w:tcPr>
            <w:tcW w:type="dxa" w:w="2016"/>
          </w:tcPr>
          <w:p>
            <w:pPr>
              <w:spacing w:after="20"/>
              <w:jc w:val="right"/>
            </w:pPr>
            <w:r>
              <w:rPr>
                <w:color w:val="1C3A36"/>
                <w:sz w:val="18"/>
              </w:rPr>
              <w:t>6.25%</w:t>
            </w:r>
          </w:p>
        </w:tc>
        <w:tc>
          <w:tcPr>
            <w:tcW w:type="dxa" w:w="2160"/>
          </w:tcPr>
          <w:p>
            <w:pPr>
              <w:spacing w:after="20"/>
              <w:jc w:val="right"/>
            </w:pPr>
            <w:r>
              <w:rPr>
                <w:color w:val="1C3A36"/>
                <w:sz w:val="18"/>
              </w:rPr>
              <w:t>6.74%</w:t>
            </w:r>
          </w:p>
        </w:tc>
        <w:tc>
          <w:tcPr>
            <w:tcW w:type="dxa" w:w="2016"/>
          </w:tcPr>
          <w:p>
            <w:pPr>
              <w:spacing w:after="20"/>
              <w:jc w:val="right"/>
            </w:pPr>
            <w:r>
              <w:rPr>
                <w:color w:val="1C3A36"/>
                <w:sz w:val="18"/>
              </w:rPr>
              <w:t>7.71%</w:t>
            </w:r>
          </w:p>
        </w:tc>
      </w:tr>
      <w:tr>
        <w:tc>
          <w:tcPr>
            <w:tcW w:type="dxa" w:w="3168"/>
          </w:tcPr>
          <w:p>
            <w:pPr>
              <w:spacing w:after="20"/>
            </w:pPr>
            <w:r>
              <w:rPr>
                <w:color w:val="1C3A36"/>
                <w:sz w:val="18"/>
              </w:rPr>
              <w:t>WACC</w:t>
            </w:r>
          </w:p>
        </w:tc>
        <w:tc>
          <w:tcPr>
            <w:tcW w:type="dxa" w:w="2016"/>
          </w:tcPr>
          <w:p>
            <w:pPr>
              <w:spacing w:after="20"/>
              <w:jc w:val="right"/>
            </w:pPr>
            <w:r>
              <w:rPr>
                <w:color w:val="1C3A36"/>
                <w:sz w:val="18"/>
              </w:rPr>
              <w:t>5.86%</w:t>
            </w:r>
          </w:p>
        </w:tc>
        <w:tc>
          <w:tcPr>
            <w:tcW w:type="dxa" w:w="2160"/>
          </w:tcPr>
          <w:p>
            <w:pPr>
              <w:spacing w:after="20"/>
              <w:jc w:val="right"/>
            </w:pPr>
            <w:r>
              <w:rPr>
                <w:color w:val="1C3A36"/>
                <w:sz w:val="18"/>
              </w:rPr>
              <w:t>6.24%</w:t>
            </w:r>
          </w:p>
        </w:tc>
        <w:tc>
          <w:tcPr>
            <w:tcW w:type="dxa" w:w="2016"/>
          </w:tcPr>
          <w:p>
            <w:pPr>
              <w:spacing w:after="20"/>
              <w:jc w:val="right"/>
            </w:pPr>
            <w:r>
              <w:rPr>
                <w:color w:val="1C3A36"/>
                <w:sz w:val="18"/>
              </w:rPr>
              <w:t>7.00%</w:t>
            </w:r>
          </w:p>
        </w:tc>
      </w:tr>
      <w:tr>
        <w:tc>
          <w:tcPr>
            <w:tcW w:type="dxa" w:w="3168"/>
          </w:tcPr>
          <w:p>
            <w:pPr>
              <w:spacing w:after="20"/>
            </w:pPr>
            <w:r>
              <w:rPr>
                <w:color w:val="1C3A36"/>
                <w:sz w:val="18"/>
              </w:rPr>
              <w:t>DCF value/share</w:t>
            </w:r>
          </w:p>
        </w:tc>
        <w:tc>
          <w:tcPr>
            <w:tcW w:type="dxa" w:w="2016"/>
          </w:tcPr>
          <w:p>
            <w:pPr>
              <w:spacing w:after="20"/>
              <w:jc w:val="right"/>
            </w:pPr>
            <w:r>
              <w:rPr>
                <w:color w:val="1C3A36"/>
                <w:sz w:val="18"/>
              </w:rPr>
              <w:t>AED 4.33</w:t>
            </w:r>
          </w:p>
        </w:tc>
        <w:tc>
          <w:tcPr>
            <w:tcW w:type="dxa" w:w="2160"/>
          </w:tcPr>
          <w:p>
            <w:pPr>
              <w:spacing w:after="20"/>
              <w:jc w:val="right"/>
            </w:pPr>
            <w:r>
              <w:rPr>
                <w:color w:val="1C3A36"/>
                <w:sz w:val="18"/>
              </w:rPr>
              <w:t>AED 3.36</w:t>
            </w:r>
          </w:p>
        </w:tc>
        <w:tc>
          <w:tcPr>
            <w:tcW w:type="dxa" w:w="2016"/>
          </w:tcPr>
          <w:p>
            <w:pPr>
              <w:spacing w:after="20"/>
              <w:jc w:val="right"/>
            </w:pPr>
            <w:r>
              <w:rPr>
                <w:color w:val="1C3A36"/>
                <w:sz w:val="18"/>
              </w:rPr>
              <w:t>AED 2.26</w:t>
            </w:r>
          </w:p>
        </w:tc>
      </w:tr>
    </w:tbl>
    <w:p>
      <w:pPr>
        <w:spacing w:after="40"/>
      </w:pPr>
    </w:p>
    <w:p>
      <w:pPr>
        <w:spacing w:after="200" w:before="0"/>
      </w:pPr>
      <w:r>
        <w:rPr>
          <w:b w:val="0"/>
          <w:i/>
          <w:color w:val="6E7B77"/>
          <w:sz w:val="17"/>
        </w:rPr>
        <w:t>The regression said 0.42; the study uses 0.50. Even at β 0.70 — a level the data does not support — the weighted central only falls toward spot, not below it.</w:t>
      </w:r>
    </w:p>
    <w:p>
      <w:pPr>
        <w:spacing w:after="120" w:before="280"/>
      </w:pPr>
      <w:r>
        <w:rPr>
          <w:b/>
          <w:i w:val="0"/>
          <w:color w:val="1C3A36"/>
          <w:sz w:val="30"/>
        </w:rPr>
        <w:t>2  Technical and price structure</w:t>
      </w:r>
    </w:p>
    <w:p>
      <w:pPr>
        <w:spacing w:after="120" w:before="0"/>
      </w:pPr>
      <w:r>
        <w:rPr>
          <w:b w:val="0"/>
          <w:i w:val="0"/>
          <w:color w:val="1C3A36"/>
          <w:sz w:val="21"/>
        </w:rPr>
        <w:t>The chart is the market’s counter-argument, and it deserves a fair reading: DEWA has spent four years going sideways. The shares came to market at AED 2.48 in April 2022, spiked, and have oscillated in a 2.47-3.15 band for the past year; the price return since the IPO is +276.0%, which is to say the entire realised return has been the dividend — precisely what the listing promised and nothing more. Realised volatility of 22.3% annualised is the lowest in the Testahil coverage, consistent with a bond-proxy whose marginal buyer is an income fund. The moving-average stack is flat and interlaced, momentum is drift rather than trend, and the one violent episode in the sample — the March-2026 escalation gap — was retraced within weeks. Nothing in the price structure argues for or against the fundamental case; it simply records that the market has not yet been asked the 2027 question.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2736"/>
            <w:shd w:val="clear" w:color="auto" w:fill="EAF0EE"/>
          </w:tcPr>
          <w:p>
            <w:pPr>
              <w:spacing w:after="20"/>
            </w:pPr>
            <w:r>
              <w:rPr>
                <w:b/>
                <w:color w:val="1C3A36"/>
                <w:sz w:val="18"/>
              </w:rPr>
              <w:t>Indicator</w:t>
            </w:r>
          </w:p>
        </w:tc>
        <w:tc>
          <w:tcPr>
            <w:tcW w:type="dxa" w:w="3024"/>
            <w:shd w:val="clear" w:color="auto" w:fill="EAF0EE"/>
          </w:tcPr>
          <w:p>
            <w:pPr>
              <w:spacing w:after="20"/>
            </w:pPr>
            <w:r>
              <w:rPr>
                <w:b/>
                <w:color w:val="1C3A36"/>
                <w:sz w:val="18"/>
              </w:rPr>
              <w:t>Reading</w:t>
            </w:r>
          </w:p>
        </w:tc>
        <w:tc>
          <w:tcPr>
            <w:tcW w:type="dxa" w:w="4896"/>
            <w:shd w:val="clear" w:color="auto" w:fill="EAF0EE"/>
          </w:tcPr>
          <w:p>
            <w:pPr>
              <w:spacing w:after="20"/>
            </w:pPr>
            <w:r>
              <w:rPr>
                <w:b/>
                <w:color w:val="1C3A36"/>
                <w:sz w:val="18"/>
              </w:rPr>
              <w:t>Interpretation</w:t>
            </w:r>
          </w:p>
        </w:tc>
      </w:tr>
      <w:tr>
        <w:tc>
          <w:tcPr>
            <w:tcW w:type="dxa" w:w="2736"/>
          </w:tcPr>
          <w:p>
            <w:pPr>
              <w:spacing w:after="20"/>
            </w:pPr>
            <w:r>
              <w:rPr>
                <w:color w:val="1C3A36"/>
                <w:sz w:val="18"/>
              </w:rPr>
              <w:t>Spot / 52-week range</w:t>
            </w:r>
          </w:p>
        </w:tc>
        <w:tc>
          <w:tcPr>
            <w:tcW w:type="dxa" w:w="3024"/>
          </w:tcPr>
          <w:p>
            <w:pPr>
              <w:spacing w:after="20"/>
            </w:pPr>
            <w:r>
              <w:rPr>
                <w:color w:val="1C3A36"/>
                <w:sz w:val="18"/>
              </w:rPr>
              <w:t>AED 2.79 · 2.47 – 3.15</w:t>
            </w:r>
          </w:p>
        </w:tc>
        <w:tc>
          <w:tcPr>
            <w:tcW w:type="dxa" w:w="4896"/>
          </w:tcPr>
          <w:p>
            <w:pPr>
              <w:spacing w:after="20"/>
            </w:pPr>
            <w:r>
              <w:rPr>
                <w:color w:val="1C3A36"/>
                <w:sz w:val="18"/>
              </w:rPr>
              <w:t>upper-middle of the range</w:t>
            </w:r>
          </w:p>
        </w:tc>
      </w:tr>
      <w:tr>
        <w:tc>
          <w:tcPr>
            <w:tcW w:type="dxa" w:w="2736"/>
          </w:tcPr>
          <w:p>
            <w:pPr>
              <w:spacing w:after="20"/>
            </w:pPr>
            <w:r>
              <w:rPr>
                <w:color w:val="1C3A36"/>
                <w:sz w:val="18"/>
              </w:rPr>
              <w:t>SMA 20 / 50</w:t>
            </w:r>
          </w:p>
        </w:tc>
        <w:tc>
          <w:tcPr>
            <w:tcW w:type="dxa" w:w="3024"/>
          </w:tcPr>
          <w:p>
            <w:pPr>
              <w:spacing w:after="20"/>
            </w:pPr>
            <w:r>
              <w:rPr>
                <w:color w:val="1C3A36"/>
                <w:sz w:val="18"/>
              </w:rPr>
              <w:t>2.79 / 2.71</w:t>
            </w:r>
          </w:p>
        </w:tc>
        <w:tc>
          <w:tcPr>
            <w:tcW w:type="dxa" w:w="4896"/>
          </w:tcPr>
          <w:p>
            <w:pPr>
              <w:spacing w:after="20"/>
            </w:pPr>
            <w:r>
              <w:rPr>
                <w:color w:val="1C3A36"/>
                <w:sz w:val="18"/>
              </w:rPr>
              <w:t>price marginally above both — no trend</w:t>
            </w:r>
          </w:p>
        </w:tc>
      </w:tr>
      <w:tr>
        <w:tc>
          <w:tcPr>
            <w:tcW w:type="dxa" w:w="2736"/>
          </w:tcPr>
          <w:p>
            <w:pPr>
              <w:spacing w:after="20"/>
            </w:pPr>
            <w:r>
              <w:rPr>
                <w:color w:val="1C3A36"/>
                <w:sz w:val="18"/>
              </w:rPr>
              <w:t>SMA 100 / 200</w:t>
            </w:r>
          </w:p>
        </w:tc>
        <w:tc>
          <w:tcPr>
            <w:tcW w:type="dxa" w:w="3024"/>
          </w:tcPr>
          <w:p>
            <w:pPr>
              <w:spacing w:after="20"/>
            </w:pPr>
            <w:r>
              <w:rPr>
                <w:color w:val="1C3A36"/>
                <w:sz w:val="18"/>
              </w:rPr>
              <w:t>2.77 / 2.79</w:t>
            </w:r>
          </w:p>
        </w:tc>
        <w:tc>
          <w:tcPr>
            <w:tcW w:type="dxa" w:w="4896"/>
          </w:tcPr>
          <w:p>
            <w:pPr>
              <w:spacing w:after="20"/>
            </w:pPr>
            <w:r>
              <w:rPr>
                <w:color w:val="1C3A36"/>
                <w:sz w:val="18"/>
              </w:rPr>
              <w:t>stack mixed and flat; a sideways instrument</w:t>
            </w:r>
          </w:p>
        </w:tc>
      </w:tr>
      <w:tr>
        <w:tc>
          <w:tcPr>
            <w:tcW w:type="dxa" w:w="2736"/>
          </w:tcPr>
          <w:p>
            <w:pPr>
              <w:spacing w:after="20"/>
            </w:pPr>
            <w:r>
              <w:rPr>
                <w:color w:val="1C3A36"/>
                <w:sz w:val="18"/>
              </w:rPr>
              <w:t>RSI (14)</w:t>
            </w:r>
          </w:p>
        </w:tc>
        <w:tc>
          <w:tcPr>
            <w:tcW w:type="dxa" w:w="3024"/>
          </w:tcPr>
          <w:p>
            <w:pPr>
              <w:spacing w:after="20"/>
            </w:pPr>
            <w:r>
              <w:rPr>
                <w:color w:val="1C3A36"/>
                <w:sz w:val="18"/>
              </w:rPr>
              <w:t>54.6</w:t>
            </w:r>
          </w:p>
        </w:tc>
        <w:tc>
          <w:tcPr>
            <w:tcW w:type="dxa" w:w="4896"/>
          </w:tcPr>
          <w:p>
            <w:pPr>
              <w:spacing w:after="20"/>
            </w:pPr>
            <w:r>
              <w:rPr>
                <w:color w:val="1C3A36"/>
                <w:sz w:val="18"/>
              </w:rPr>
              <w:t>neutral</w:t>
            </w:r>
          </w:p>
        </w:tc>
      </w:tr>
      <w:tr>
        <w:tc>
          <w:tcPr>
            <w:tcW w:type="dxa" w:w="2736"/>
          </w:tcPr>
          <w:p>
            <w:pPr>
              <w:spacing w:after="20"/>
            </w:pPr>
            <w:r>
              <w:rPr>
                <w:color w:val="1C3A36"/>
                <w:sz w:val="18"/>
              </w:rPr>
              <w:t>MACD (12,26,9)</w:t>
            </w:r>
          </w:p>
        </w:tc>
        <w:tc>
          <w:tcPr>
            <w:tcW w:type="dxa" w:w="3024"/>
          </w:tcPr>
          <w:p>
            <w:pPr>
              <w:spacing w:after="20"/>
            </w:pPr>
            <w:r>
              <w:rPr>
                <w:color w:val="1C3A36"/>
                <w:sz w:val="18"/>
              </w:rPr>
              <w:t>0.021 / 0.025 / -0.004</w:t>
            </w:r>
          </w:p>
        </w:tc>
        <w:tc>
          <w:tcPr>
            <w:tcW w:type="dxa" w:w="4896"/>
          </w:tcPr>
          <w:p>
            <w:pPr>
              <w:spacing w:after="20"/>
            </w:pPr>
            <w:r>
              <w:rPr>
                <w:color w:val="1C3A36"/>
                <w:sz w:val="18"/>
              </w:rPr>
              <w:t>MACD a hair under signal — histogram mildly negative, momentum flat</w:t>
            </w:r>
          </w:p>
        </w:tc>
      </w:tr>
      <w:tr>
        <w:tc>
          <w:tcPr>
            <w:tcW w:type="dxa" w:w="2736"/>
          </w:tcPr>
          <w:p>
            <w:pPr>
              <w:spacing w:after="20"/>
            </w:pPr>
            <w:r>
              <w:rPr>
                <w:color w:val="1C3A36"/>
                <w:sz w:val="18"/>
              </w:rPr>
              <w:t>Momentum 1m / 3m / 12m</w:t>
            </w:r>
          </w:p>
        </w:tc>
        <w:tc>
          <w:tcPr>
            <w:tcW w:type="dxa" w:w="3024"/>
          </w:tcPr>
          <w:p>
            <w:pPr>
              <w:spacing w:after="20"/>
            </w:pPr>
            <w:r>
              <w:rPr>
                <w:color w:val="1C3A36"/>
                <w:sz w:val="18"/>
              </w:rPr>
              <w:t>+5.3% / +1.1% / +0.0%</w:t>
            </w:r>
          </w:p>
        </w:tc>
        <w:tc>
          <w:tcPr>
            <w:tcW w:type="dxa" w:w="4896"/>
          </w:tcPr>
          <w:p>
            <w:pPr>
              <w:spacing w:after="20"/>
            </w:pPr>
            <w:r>
              <w:rPr>
                <w:color w:val="1C3A36"/>
                <w:sz w:val="18"/>
              </w:rPr>
              <w:t>drift, not trend</w:t>
            </w:r>
          </w:p>
        </w:tc>
      </w:tr>
      <w:tr>
        <w:tc>
          <w:tcPr>
            <w:tcW w:type="dxa" w:w="2736"/>
          </w:tcPr>
          <w:p>
            <w:pPr>
              <w:spacing w:after="20"/>
            </w:pPr>
            <w:r>
              <w:rPr>
                <w:color w:val="1C3A36"/>
                <w:sz w:val="18"/>
              </w:rPr>
              <w:t>Realised vol (252d)</w:t>
            </w:r>
          </w:p>
        </w:tc>
        <w:tc>
          <w:tcPr>
            <w:tcW w:type="dxa" w:w="3024"/>
          </w:tcPr>
          <w:p>
            <w:pPr>
              <w:spacing w:after="20"/>
            </w:pPr>
            <w:r>
              <w:rPr>
                <w:color w:val="1C3A36"/>
                <w:sz w:val="18"/>
              </w:rPr>
              <w:t>22.3%</w:t>
            </w:r>
          </w:p>
        </w:tc>
        <w:tc>
          <w:tcPr>
            <w:tcW w:type="dxa" w:w="4896"/>
          </w:tcPr>
          <w:p>
            <w:pPr>
              <w:spacing w:after="20"/>
            </w:pPr>
            <w:r>
              <w:rPr>
                <w:color w:val="1C3A36"/>
                <w:sz w:val="18"/>
              </w:rPr>
              <w:t>lowest in coverage — a bond-proxy</w:t>
            </w:r>
          </w:p>
        </w:tc>
      </w:tr>
      <w:tr>
        <w:tc>
          <w:tcPr>
            <w:tcW w:type="dxa" w:w="2736"/>
          </w:tcPr>
          <w:p>
            <w:pPr>
              <w:spacing w:after="20"/>
            </w:pPr>
            <w:r>
              <w:rPr>
                <w:color w:val="1C3A36"/>
                <w:sz w:val="18"/>
              </w:rPr>
              <w:t>Since IPO (Apr-2022, AED 2.48)</w:t>
            </w:r>
          </w:p>
        </w:tc>
        <w:tc>
          <w:tcPr>
            <w:tcW w:type="dxa" w:w="3024"/>
          </w:tcPr>
          <w:p>
            <w:pPr>
              <w:spacing w:after="20"/>
            </w:pPr>
            <w:r>
              <w:rPr>
                <w:color w:val="1C3A36"/>
                <w:sz w:val="18"/>
              </w:rPr>
              <w:t>+276.0% price</w:t>
            </w:r>
          </w:p>
        </w:tc>
        <w:tc>
          <w:tcPr>
            <w:tcW w:type="dxa" w:w="4896"/>
          </w:tcPr>
          <w:p>
            <w:pPr>
              <w:spacing w:after="20"/>
            </w:pPr>
            <w:r>
              <w:rPr>
                <w:color w:val="1C3A36"/>
                <w:sz w:val="18"/>
              </w:rPr>
              <w:t>the return has been the dividend — as designed</w:t>
            </w:r>
          </w:p>
        </w:tc>
      </w:tr>
    </w:tbl>
    <w:p>
      <w:pPr>
        <w:spacing w:after="40"/>
      </w:pPr>
    </w:p>
    <w:p>
      <w:pPr>
        <w:spacing w:after="40"/>
        <w:jc w:val="center"/>
      </w:pPr>
      <w:r>
        <w:drawing>
          <wp:inline xmlns:a="http://schemas.openxmlformats.org/drawingml/2006/main" xmlns:pic="http://schemas.openxmlformats.org/drawingml/2006/picture">
            <wp:extent cx="6309360" cy="2472817"/>
            <wp:docPr id="5" name="Picture 5"/>
            <wp:cNvGraphicFramePr>
              <a:graphicFrameLocks noChangeAspect="1"/>
            </wp:cNvGraphicFramePr>
            <a:graphic>
              <a:graphicData uri="http://schemas.openxmlformats.org/drawingml/2006/picture">
                <pic:pic>
                  <pic:nvPicPr>
                    <pic:cNvPr id="0" name="f6_ma.png"/>
                    <pic:cNvPicPr/>
                  </pic:nvPicPr>
                  <pic:blipFill>
                    <a:blip r:embed="rId13"/>
                    <a:stretch>
                      <a:fillRect/>
                    </a:stretch>
                  </pic:blipFill>
                  <pic:spPr>
                    <a:xfrm>
                      <a:off x="0" y="0"/>
                      <a:ext cx="6309360" cy="2472817"/>
                    </a:xfrm>
                    <a:prstGeom prst="rect"/>
                  </pic:spPr>
                </pic:pic>
              </a:graphicData>
            </a:graphic>
          </wp:inline>
        </w:drawing>
      </w:r>
    </w:p>
    <w:p>
      <w:pPr>
        <w:spacing w:after="200" w:before="0"/>
      </w:pPr>
      <w:r>
        <w:rPr>
          <w:b w:val="0"/>
          <w:i/>
          <w:color w:val="6E7B77"/>
          <w:sz w:val="17"/>
        </w:rPr>
        <w:t>Figure 5. Two years of price with the moving-average stack, volume, RSI and MACD panels — a sideways income instrument, not a momentum name.</w:t>
      </w:r>
    </w:p>
    <w:p>
      <w:pPr>
        <w:spacing w:after="120" w:before="280"/>
      </w:pPr>
      <w:r>
        <w:rPr>
          <w:b/>
          <w:i w:val="0"/>
          <w:color w:val="1C3A36"/>
          <w:sz w:val="30"/>
        </w:rPr>
        <w:t>3  Monte Carlo — a probabilistic price map</w:t>
      </w:r>
    </w:p>
    <w:p>
      <w:pPr>
        <w:spacing w:after="120" w:before="0"/>
      </w:pPr>
      <w:r>
        <w:rPr>
          <w:b w:val="0"/>
          <w:i w:val="0"/>
          <w:color w:val="1C3A36"/>
          <w:sz w:val="21"/>
        </w:rPr>
        <w:t>Five numbers first, then the machinery, then the ledger of events that shapes the tails.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5184"/>
            <w:shd w:val="clear" w:color="auto" w:fill="EAF0EE"/>
          </w:tcPr>
          <w:p>
            <w:pPr>
              <w:spacing w:after="20"/>
            </w:pPr>
            <w:r>
              <w:rPr>
                <w:b/>
                <w:color w:val="1C3A36"/>
                <w:sz w:val="18"/>
              </w:rPr>
              <w:t>The probability read (T+60, ~2-Oct-2026)</w:t>
            </w:r>
          </w:p>
        </w:tc>
        <w:tc>
          <w:tcPr>
            <w:tcW w:type="dxa" w:w="4752"/>
            <w:shd w:val="clear" w:color="auto" w:fill="EAF0EE"/>
          </w:tcPr>
          <w:p>
            <w:pPr>
              <w:spacing w:after="20"/>
            </w:pPr>
            <w:r>
              <w:rPr>
                <w:b/>
                <w:color w:val="1C3A36"/>
                <w:sz w:val="18"/>
              </w:rPr>
            </w:r>
          </w:p>
        </w:tc>
      </w:tr>
      <w:tr>
        <w:tc>
          <w:tcPr>
            <w:tcW w:type="dxa" w:w="5184"/>
          </w:tcPr>
          <w:p>
            <w:pPr>
              <w:spacing w:after="20"/>
            </w:pPr>
            <w:r>
              <w:rPr>
                <w:color w:val="1C3A36"/>
                <w:sz w:val="18"/>
              </w:rPr>
              <w:t>P(close above spot)</w:t>
            </w:r>
          </w:p>
        </w:tc>
        <w:tc>
          <w:tcPr>
            <w:tcW w:type="dxa" w:w="4752"/>
          </w:tcPr>
          <w:p>
            <w:pPr>
              <w:spacing w:after="20"/>
              <w:jc w:val="right"/>
            </w:pPr>
            <w:r>
              <w:rPr>
                <w:color w:val="1C3A36"/>
                <w:sz w:val="18"/>
              </w:rPr>
              <w:t>52.1%</w:t>
            </w:r>
          </w:p>
        </w:tc>
      </w:tr>
      <w:tr>
        <w:tc>
          <w:tcPr>
            <w:tcW w:type="dxa" w:w="5184"/>
          </w:tcPr>
          <w:p>
            <w:pPr>
              <w:spacing w:after="20"/>
            </w:pPr>
            <w:r>
              <w:rPr>
                <w:color w:val="1C3A36"/>
                <w:sz w:val="18"/>
              </w:rPr>
              <w:t>P(≥ +10%) vs P(≤ −10%)</w:t>
            </w:r>
          </w:p>
        </w:tc>
        <w:tc>
          <w:tcPr>
            <w:tcW w:type="dxa" w:w="4752"/>
          </w:tcPr>
          <w:p>
            <w:pPr>
              <w:spacing w:after="20"/>
              <w:jc w:val="right"/>
            </w:pPr>
            <w:r>
              <w:rPr>
                <w:color w:val="1C3A36"/>
                <w:sz w:val="18"/>
              </w:rPr>
              <w:t>20.3% vs 15.5% — odds 1.31:1 to the upside</w:t>
            </w:r>
          </w:p>
        </w:tc>
      </w:tr>
      <w:tr>
        <w:tc>
          <w:tcPr>
            <w:tcW w:type="dxa" w:w="5184"/>
          </w:tcPr>
          <w:p>
            <w:pPr>
              <w:spacing w:after="20"/>
            </w:pPr>
            <w:r>
              <w:rPr>
                <w:color w:val="1C3A36"/>
                <w:sz w:val="18"/>
              </w:rPr>
              <w:t>Median</w:t>
            </w:r>
          </w:p>
        </w:tc>
        <w:tc>
          <w:tcPr>
            <w:tcW w:type="dxa" w:w="4752"/>
          </w:tcPr>
          <w:p>
            <w:pPr>
              <w:spacing w:after="20"/>
              <w:jc w:val="right"/>
            </w:pPr>
            <w:r>
              <w:rPr>
                <w:color w:val="1C3A36"/>
                <w:sz w:val="18"/>
              </w:rPr>
              <w:t>AED 2.81 (+0.6%)</w:t>
            </w:r>
          </w:p>
        </w:tc>
      </w:tr>
      <w:tr>
        <w:tc>
          <w:tcPr>
            <w:tcW w:type="dxa" w:w="5184"/>
          </w:tcPr>
          <w:p>
            <w:pPr>
              <w:spacing w:after="20"/>
            </w:pPr>
            <w:r>
              <w:rPr>
                <w:color w:val="1C3A36"/>
                <w:sz w:val="18"/>
              </w:rPr>
              <w:t>50% of paths finish inside</w:t>
            </w:r>
          </w:p>
        </w:tc>
        <w:tc>
          <w:tcPr>
            <w:tcW w:type="dxa" w:w="4752"/>
          </w:tcPr>
          <w:p>
            <w:pPr>
              <w:spacing w:after="20"/>
              <w:jc w:val="right"/>
            </w:pPr>
            <w:r>
              <w:rPr>
                <w:color w:val="1C3A36"/>
                <w:sz w:val="18"/>
              </w:rPr>
              <w:t>AED 2.61 – 3.02 (94% – 108% of spot)</w:t>
            </w:r>
          </w:p>
        </w:tc>
      </w:tr>
      <w:tr>
        <w:tc>
          <w:tcPr>
            <w:tcW w:type="dxa" w:w="5184"/>
          </w:tcPr>
          <w:p>
            <w:pPr>
              <w:spacing w:after="20"/>
            </w:pPr>
            <w:r>
              <w:rPr>
                <w:color w:val="1C3A36"/>
                <w:sz w:val="18"/>
              </w:rPr>
              <w:t>Touch ±10% inside the window</w:t>
            </w:r>
          </w:p>
        </w:tc>
        <w:tc>
          <w:tcPr>
            <w:tcW w:type="dxa" w:w="4752"/>
          </w:tcPr>
          <w:p>
            <w:pPr>
              <w:spacing w:after="20"/>
              <w:jc w:val="right"/>
            </w:pPr>
            <w:r>
              <w:rPr>
                <w:color w:val="1C3A36"/>
                <w:sz w:val="18"/>
              </w:rPr>
              <w:t>AED 3.07 touched in 36% of paths, AED 2.51 in 28% (by T+20: 12% / 8%)</w:t>
            </w:r>
          </w:p>
        </w:tc>
      </w:tr>
    </w:tbl>
    <w:p>
      <w:pPr>
        <w:spacing w:after="40"/>
      </w:pPr>
    </w:p>
    <w:p>
      <w:pPr>
        <w:spacing w:after="120" w:before="0"/>
      </w:pPr>
      <w:r>
        <w:rPr>
          <w:b w:val="0"/>
          <w:i w:val="0"/>
          <w:color w:val="1C3A36"/>
          <w:sz w:val="21"/>
        </w:rPr>
        <w:t>What the machine is. The engine is the carry-anchored YZ-HAR-t (v3): 50,000 paths, seed 42, identical for every name in the coverage. The price centre is the cash-and-carry anchor — what a money-market holder earns versus what a shareholder collects: CBUAE 3.65% funding against the 4.44% dividend yield gives -0.18% over 60 sessions, mildly negative because the stock out-yields cash and a holder is literally paid to wait. On top of that sits a nine-event probability ledger (below) contributing +0.70%, for a total drift of +0.52%. Width comes from the gap-aware Yang-Zhang HAR estimate of realised volatility (22.7% annualised — the calmest series in the coverage), shrunk toward the trailing 252-day proxy and scaled by the UAE market fit, whose tail shape ν and width calibration are read live from the production fit at run time rather than hard-coded. The fundamental +19% gap is never injected into this drift: the Monte Carlo answers “where can the price be in three months,” not “what is the company worth” — different clocks, by construction.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5184"/>
            <w:shd w:val="clear" w:color="auto" w:fill="EAF0EE"/>
          </w:tcPr>
          <w:p>
            <w:pPr>
              <w:spacing w:after="20"/>
            </w:pPr>
            <w:r>
              <w:rPr>
                <w:b/>
                <w:color w:val="1C3A36"/>
                <w:sz w:val="18"/>
              </w:rPr>
              <w:t>Continuous forces (drift &amp; width)</w:t>
            </w:r>
          </w:p>
        </w:tc>
        <w:tc>
          <w:tcPr>
            <w:tcW w:type="dxa" w:w="4752"/>
            <w:shd w:val="clear" w:color="auto" w:fill="EAF0EE"/>
          </w:tcPr>
          <w:p>
            <w:pPr>
              <w:spacing w:after="20"/>
            </w:pPr>
            <w:r>
              <w:rPr>
                <w:b/>
                <w:color w:val="1C3A36"/>
                <w:sz w:val="18"/>
              </w:rPr>
              <w:t>Direction</w:t>
            </w:r>
          </w:p>
        </w:tc>
      </w:tr>
      <w:tr>
        <w:tc>
          <w:tcPr>
            <w:tcW w:type="dxa" w:w="5184"/>
          </w:tcPr>
          <w:p>
            <w:pPr>
              <w:spacing w:after="20"/>
            </w:pPr>
            <w:r>
              <w:rPr>
                <w:color w:val="1C3A36"/>
                <w:sz w:val="18"/>
              </w:rPr>
              <w:t>Cash-and-carry (rf 3.65% vs yield 4.44%)</w:t>
            </w:r>
          </w:p>
        </w:tc>
        <w:tc>
          <w:tcPr>
            <w:tcW w:type="dxa" w:w="4752"/>
          </w:tcPr>
          <w:p>
            <w:pPr>
              <w:spacing w:after="20"/>
              <w:jc w:val="right"/>
            </w:pPr>
            <w:r>
              <w:rPr>
                <w:color w:val="1C3A36"/>
                <w:sz w:val="18"/>
              </w:rPr>
              <w:t>mildly negative drift — holders are paid to wait</w:t>
            </w:r>
          </w:p>
        </w:tc>
      </w:tr>
      <w:tr>
        <w:tc>
          <w:tcPr>
            <w:tcW w:type="dxa" w:w="5184"/>
          </w:tcPr>
          <w:p>
            <w:pPr>
              <w:spacing w:after="20"/>
            </w:pPr>
            <w:r>
              <w:rPr>
                <w:color w:val="1C3A36"/>
                <w:sz w:val="18"/>
              </w:rPr>
              <w:t>HAR volatility regime</w:t>
            </w:r>
          </w:p>
        </w:tc>
        <w:tc>
          <w:tcPr>
            <w:tcW w:type="dxa" w:w="4752"/>
          </w:tcPr>
          <w:p>
            <w:pPr>
              <w:spacing w:after="20"/>
              <w:jc w:val="right"/>
            </w:pPr>
            <w:r>
              <w:rPr>
                <w:color w:val="1C3A36"/>
                <w:sz w:val="18"/>
              </w:rPr>
              <w:t>low (23% ann.) — the tightest bands in the coverage</w:t>
            </w:r>
          </w:p>
        </w:tc>
      </w:tr>
      <w:tr>
        <w:tc>
          <w:tcPr>
            <w:tcW w:type="dxa" w:w="5184"/>
          </w:tcPr>
          <w:p>
            <w:pPr>
              <w:spacing w:after="20"/>
            </w:pPr>
            <w:r>
              <w:rPr>
                <w:color w:val="1C3A36"/>
                <w:sz w:val="18"/>
              </w:rPr>
              <w:t>DFM flow environment</w:t>
            </w:r>
          </w:p>
        </w:tc>
        <w:tc>
          <w:tcPr>
            <w:tcW w:type="dxa" w:w="4752"/>
          </w:tcPr>
          <w:p>
            <w:pPr>
              <w:spacing w:after="20"/>
              <w:jc w:val="right"/>
            </w:pPr>
            <w:r>
              <w:rPr>
                <w:color w:val="1C3A36"/>
                <w:sz w:val="18"/>
              </w:rPr>
              <w:t>index near records; passive income-fund flow supportive</w:t>
            </w:r>
          </w:p>
        </w:tc>
      </w:tr>
      <w:tr>
        <w:tc>
          <w:tcPr>
            <w:tcW w:type="dxa" w:w="5184"/>
          </w:tcPr>
          <w:p>
            <w:pPr>
              <w:spacing w:after="20"/>
            </w:pPr>
            <w:r>
              <w:rPr>
                <w:color w:val="1C3A36"/>
                <w:sz w:val="18"/>
              </w:rPr>
              <w:t>March-2026 tail memory</w:t>
            </w:r>
          </w:p>
        </w:tc>
        <w:tc>
          <w:tcPr>
            <w:tcW w:type="dxa" w:w="4752"/>
          </w:tcPr>
          <w:p>
            <w:pPr>
              <w:spacing w:after="20"/>
              <w:jc w:val="right"/>
            </w:pPr>
            <w:r>
              <w:rPr>
                <w:color w:val="1C3A36"/>
                <w:sz w:val="18"/>
              </w:rPr>
              <w:t>a fat left tail carried by the market-fit ν, not assumed away</w:t>
            </w:r>
          </w:p>
        </w:tc>
      </w:tr>
    </w:tbl>
    <w:p>
      <w:pPr>
        <w:spacing w:after="40"/>
      </w:pPr>
    </w:p>
    <w:p>
      <w:pPr>
        <w:spacing w:after="120" w:before="0"/>
      </w:pPr>
      <w:r>
        <w:rPr>
          <w:b w:val="0"/>
          <w:i w:val="0"/>
          <w:color w:val="1C3A36"/>
          <w:sz w:val="21"/>
        </w:rPr>
        <w:t>The event ledger prices the discrete calendar: each row is a named event inside the 60-session window, a probability, and a price impact conditional on it happening; the expected contribution is their product. The rows are judgments and are flagged as such — but they are published, dated and graded, which is the difference between a judgment and a vibe.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5544"/>
            <w:shd w:val="clear" w:color="auto" w:fill="EAF0EE"/>
          </w:tcPr>
          <w:p>
            <w:pPr>
              <w:spacing w:after="20"/>
            </w:pPr>
            <w:r>
              <w:rPr>
                <w:b/>
                <w:color w:val="1C3A36"/>
                <w:sz w:val="17"/>
              </w:rPr>
              <w:t>Event ledger (60-day window)</w:t>
            </w:r>
          </w:p>
        </w:tc>
        <w:tc>
          <w:tcPr>
            <w:tcW w:type="dxa" w:w="1080"/>
            <w:shd w:val="clear" w:color="auto" w:fill="EAF0EE"/>
          </w:tcPr>
          <w:p>
            <w:pPr>
              <w:spacing w:after="20"/>
            </w:pPr>
            <w:r>
              <w:rPr>
                <w:b/>
                <w:color w:val="1C3A36"/>
                <w:sz w:val="17"/>
              </w:rPr>
              <w:t>P</w:t>
            </w:r>
          </w:p>
        </w:tc>
        <w:tc>
          <w:tcPr>
            <w:tcW w:type="dxa" w:w="1368"/>
            <w:shd w:val="clear" w:color="auto" w:fill="EAF0EE"/>
          </w:tcPr>
          <w:p>
            <w:pPr>
              <w:spacing w:after="20"/>
            </w:pPr>
            <w:r>
              <w:rPr>
                <w:b/>
                <w:color w:val="1C3A36"/>
                <w:sz w:val="17"/>
              </w:rPr>
              <w:t>Impact</w:t>
            </w:r>
          </w:p>
        </w:tc>
        <w:tc>
          <w:tcPr>
            <w:tcW w:type="dxa" w:w="1944"/>
            <w:shd w:val="clear" w:color="auto" w:fill="EAF0EE"/>
          </w:tcPr>
          <w:p>
            <w:pPr>
              <w:spacing w:after="20"/>
            </w:pPr>
            <w:r>
              <w:rPr>
                <w:b/>
                <w:color w:val="1C3A36"/>
                <w:sz w:val="17"/>
              </w:rPr>
              <w:t>E[contribution]</w:t>
            </w:r>
          </w:p>
        </w:tc>
      </w:tr>
      <w:tr>
        <w:tc>
          <w:tcPr>
            <w:tcW w:type="dxa" w:w="5544"/>
          </w:tcPr>
          <w:p>
            <w:pPr>
              <w:spacing w:after="20"/>
            </w:pPr>
            <w:r>
              <w:rPr>
                <w:color w:val="1C3A36"/>
                <w:sz w:val="17"/>
              </w:rPr>
              <w:t>H1-2026 results (~mid-Aug)</w:t>
            </w:r>
          </w:p>
        </w:tc>
        <w:tc>
          <w:tcPr>
            <w:tcW w:type="dxa" w:w="1080"/>
          </w:tcPr>
          <w:p>
            <w:pPr>
              <w:spacing w:after="20"/>
              <w:jc w:val="right"/>
            </w:pPr>
            <w:r>
              <w:rPr>
                <w:color w:val="1C3A36"/>
                <w:sz w:val="17"/>
              </w:rPr>
              <w:t>90%</w:t>
            </w:r>
          </w:p>
        </w:tc>
        <w:tc>
          <w:tcPr>
            <w:tcW w:type="dxa" w:w="1368"/>
          </w:tcPr>
          <w:p>
            <w:pPr>
              <w:spacing w:after="20"/>
              <w:jc w:val="right"/>
            </w:pPr>
            <w:r>
              <w:rPr>
                <w:color w:val="1C3A36"/>
                <w:sz w:val="17"/>
              </w:rPr>
              <w:t>+0.4%</w:t>
            </w:r>
          </w:p>
        </w:tc>
        <w:tc>
          <w:tcPr>
            <w:tcW w:type="dxa" w:w="1944"/>
          </w:tcPr>
          <w:p>
            <w:pPr>
              <w:spacing w:after="20"/>
              <w:jc w:val="right"/>
            </w:pPr>
            <w:r>
              <w:rPr>
                <w:color w:val="1C3A36"/>
                <w:sz w:val="17"/>
              </w:rPr>
              <w:t>+0.36%</w:t>
            </w:r>
          </w:p>
        </w:tc>
      </w:tr>
      <w:tr>
        <w:tc>
          <w:tcPr>
            <w:tcW w:type="dxa" w:w="5544"/>
          </w:tcPr>
          <w:p>
            <w:pPr>
              <w:spacing w:after="20"/>
            </w:pPr>
            <w:r>
              <w:rPr>
                <w:color w:val="1C3A36"/>
                <w:sz w:val="17"/>
              </w:rPr>
              <w:t>Oct-2026 dividend (AED 3.1bn, H1-26) confirmed</w:t>
            </w:r>
          </w:p>
        </w:tc>
        <w:tc>
          <w:tcPr>
            <w:tcW w:type="dxa" w:w="1080"/>
          </w:tcPr>
          <w:p>
            <w:pPr>
              <w:spacing w:after="20"/>
              <w:jc w:val="right"/>
            </w:pPr>
            <w:r>
              <w:rPr>
                <w:color w:val="1C3A36"/>
                <w:sz w:val="17"/>
              </w:rPr>
              <w:t>90%</w:t>
            </w:r>
          </w:p>
        </w:tc>
        <w:tc>
          <w:tcPr>
            <w:tcW w:type="dxa" w:w="1368"/>
          </w:tcPr>
          <w:p>
            <w:pPr>
              <w:spacing w:after="20"/>
              <w:jc w:val="right"/>
            </w:pPr>
            <w:r>
              <w:rPr>
                <w:color w:val="1C3A36"/>
                <w:sz w:val="17"/>
              </w:rPr>
              <w:t>+0.2%</w:t>
            </w:r>
          </w:p>
        </w:tc>
        <w:tc>
          <w:tcPr>
            <w:tcW w:type="dxa" w:w="1944"/>
          </w:tcPr>
          <w:p>
            <w:pPr>
              <w:spacing w:after="20"/>
              <w:jc w:val="right"/>
            </w:pPr>
            <w:r>
              <w:rPr>
                <w:color w:val="1C3A36"/>
                <w:sz w:val="17"/>
              </w:rPr>
              <w:t>+0.18%</w:t>
            </w:r>
          </w:p>
        </w:tc>
      </w:tr>
      <w:tr>
        <w:tc>
          <w:tcPr>
            <w:tcW w:type="dxa" w:w="5544"/>
          </w:tcPr>
          <w:p>
            <w:pPr>
              <w:spacing w:after="20"/>
            </w:pPr>
            <w:r>
              <w:rPr>
                <w:color w:val="1C3A36"/>
                <w:sz w:val="17"/>
              </w:rPr>
              <w:t>Post-2027 dividend policy signalled at/above AED 6.2bn with growth</w:t>
            </w:r>
          </w:p>
        </w:tc>
        <w:tc>
          <w:tcPr>
            <w:tcW w:type="dxa" w:w="1080"/>
          </w:tcPr>
          <w:p>
            <w:pPr>
              <w:spacing w:after="20"/>
              <w:jc w:val="right"/>
            </w:pPr>
            <w:r>
              <w:rPr>
                <w:color w:val="1C3A36"/>
                <w:sz w:val="17"/>
              </w:rPr>
              <w:t>20%</w:t>
            </w:r>
          </w:p>
        </w:tc>
        <w:tc>
          <w:tcPr>
            <w:tcW w:type="dxa" w:w="1368"/>
          </w:tcPr>
          <w:p>
            <w:pPr>
              <w:spacing w:after="20"/>
              <w:jc w:val="right"/>
            </w:pPr>
            <w:r>
              <w:rPr>
                <w:color w:val="1C3A36"/>
                <w:sz w:val="17"/>
              </w:rPr>
              <w:t>+1.5%</w:t>
            </w:r>
          </w:p>
        </w:tc>
        <w:tc>
          <w:tcPr>
            <w:tcW w:type="dxa" w:w="1944"/>
          </w:tcPr>
          <w:p>
            <w:pPr>
              <w:spacing w:after="20"/>
              <w:jc w:val="right"/>
            </w:pPr>
            <w:r>
              <w:rPr>
                <w:color w:val="1C3A36"/>
                <w:sz w:val="17"/>
              </w:rPr>
              <w:t>+0.30%</w:t>
            </w:r>
          </w:p>
        </w:tc>
      </w:tr>
      <w:tr>
        <w:tc>
          <w:tcPr>
            <w:tcW w:type="dxa" w:w="5544"/>
          </w:tcPr>
          <w:p>
            <w:pPr>
              <w:spacing w:after="20"/>
            </w:pPr>
            <w:r>
              <w:rPr>
                <w:color w:val="1C3A36"/>
                <w:sz w:val="17"/>
              </w:rPr>
              <w:t>Post-2027 policy signalled frozen or cut</w:t>
            </w:r>
          </w:p>
        </w:tc>
        <w:tc>
          <w:tcPr>
            <w:tcW w:type="dxa" w:w="1080"/>
          </w:tcPr>
          <w:p>
            <w:pPr>
              <w:spacing w:after="20"/>
              <w:jc w:val="right"/>
            </w:pPr>
            <w:r>
              <w:rPr>
                <w:color w:val="1C3A36"/>
                <w:sz w:val="17"/>
              </w:rPr>
              <w:t>10%</w:t>
            </w:r>
          </w:p>
        </w:tc>
        <w:tc>
          <w:tcPr>
            <w:tcW w:type="dxa" w:w="1368"/>
          </w:tcPr>
          <w:p>
            <w:pPr>
              <w:spacing w:after="20"/>
              <w:jc w:val="right"/>
            </w:pPr>
            <w:r>
              <w:rPr>
                <w:color w:val="1C3A36"/>
                <w:sz w:val="17"/>
              </w:rPr>
              <w:t>-2.0%</w:t>
            </w:r>
          </w:p>
        </w:tc>
        <w:tc>
          <w:tcPr>
            <w:tcW w:type="dxa" w:w="1944"/>
          </w:tcPr>
          <w:p>
            <w:pPr>
              <w:spacing w:after="20"/>
              <w:jc w:val="right"/>
            </w:pPr>
            <w:r>
              <w:rPr>
                <w:color w:val="1C3A36"/>
                <w:sz w:val="17"/>
              </w:rPr>
              <w:t>-0.20%</w:t>
            </w:r>
          </w:p>
        </w:tc>
      </w:tr>
      <w:tr>
        <w:tc>
          <w:tcPr>
            <w:tcW w:type="dxa" w:w="5544"/>
          </w:tcPr>
          <w:p>
            <w:pPr>
              <w:spacing w:after="20"/>
            </w:pPr>
            <w:r>
              <w:rPr>
                <w:color w:val="1C3A36"/>
                <w:sz w:val="17"/>
              </w:rPr>
              <w:t>Fed/CBUAE cut &gt;=25bp (Sep FOMC)</w:t>
            </w:r>
          </w:p>
        </w:tc>
        <w:tc>
          <w:tcPr>
            <w:tcW w:type="dxa" w:w="1080"/>
          </w:tcPr>
          <w:p>
            <w:pPr>
              <w:spacing w:after="20"/>
              <w:jc w:val="right"/>
            </w:pPr>
            <w:r>
              <w:rPr>
                <w:color w:val="1C3A36"/>
                <w:sz w:val="17"/>
              </w:rPr>
              <w:t>55%</w:t>
            </w:r>
          </w:p>
        </w:tc>
        <w:tc>
          <w:tcPr>
            <w:tcW w:type="dxa" w:w="1368"/>
          </w:tcPr>
          <w:p>
            <w:pPr>
              <w:spacing w:after="20"/>
              <w:jc w:val="right"/>
            </w:pPr>
            <w:r>
              <w:rPr>
                <w:color w:val="1C3A36"/>
                <w:sz w:val="17"/>
              </w:rPr>
              <w:t>+0.6%</w:t>
            </w:r>
          </w:p>
        </w:tc>
        <w:tc>
          <w:tcPr>
            <w:tcW w:type="dxa" w:w="1944"/>
          </w:tcPr>
          <w:p>
            <w:pPr>
              <w:spacing w:after="20"/>
              <w:jc w:val="right"/>
            </w:pPr>
            <w:r>
              <w:rPr>
                <w:color w:val="1C3A36"/>
                <w:sz w:val="17"/>
              </w:rPr>
              <w:t>+0.33%</w:t>
            </w:r>
          </w:p>
        </w:tc>
      </w:tr>
      <w:tr>
        <w:tc>
          <w:tcPr>
            <w:tcW w:type="dxa" w:w="5544"/>
          </w:tcPr>
          <w:p>
            <w:pPr>
              <w:spacing w:after="20"/>
            </w:pPr>
            <w:r>
              <w:rPr>
                <w:color w:val="1C3A36"/>
                <w:sz w:val="17"/>
              </w:rPr>
              <w:t>Regional geopolitical re-escalation (Mar-26 precedent)</w:t>
            </w:r>
          </w:p>
        </w:tc>
        <w:tc>
          <w:tcPr>
            <w:tcW w:type="dxa" w:w="1080"/>
          </w:tcPr>
          <w:p>
            <w:pPr>
              <w:spacing w:after="20"/>
              <w:jc w:val="right"/>
            </w:pPr>
            <w:r>
              <w:rPr>
                <w:color w:val="1C3A36"/>
                <w:sz w:val="17"/>
              </w:rPr>
              <w:t>20%</w:t>
            </w:r>
          </w:p>
        </w:tc>
        <w:tc>
          <w:tcPr>
            <w:tcW w:type="dxa" w:w="1368"/>
          </w:tcPr>
          <w:p>
            <w:pPr>
              <w:spacing w:after="20"/>
              <w:jc w:val="right"/>
            </w:pPr>
            <w:r>
              <w:rPr>
                <w:color w:val="1C3A36"/>
                <w:sz w:val="17"/>
              </w:rPr>
              <w:t>-3.0%</w:t>
            </w:r>
          </w:p>
        </w:tc>
        <w:tc>
          <w:tcPr>
            <w:tcW w:type="dxa" w:w="1944"/>
          </w:tcPr>
          <w:p>
            <w:pPr>
              <w:spacing w:after="20"/>
              <w:jc w:val="right"/>
            </w:pPr>
            <w:r>
              <w:rPr>
                <w:color w:val="1C3A36"/>
                <w:sz w:val="17"/>
              </w:rPr>
              <w:t>-0.60%</w:t>
            </w:r>
          </w:p>
        </w:tc>
      </w:tr>
      <w:tr>
        <w:tc>
          <w:tcPr>
            <w:tcW w:type="dxa" w:w="5544"/>
          </w:tcPr>
          <w:p>
            <w:pPr>
              <w:spacing w:after="20"/>
            </w:pPr>
            <w:r>
              <w:rPr>
                <w:color w:val="1C3A36"/>
                <w:sz w:val="17"/>
              </w:rPr>
              <w:t>DSCE tariff / fuel-surcharge pass-through decision</w:t>
            </w:r>
          </w:p>
        </w:tc>
        <w:tc>
          <w:tcPr>
            <w:tcW w:type="dxa" w:w="1080"/>
          </w:tcPr>
          <w:p>
            <w:pPr>
              <w:spacing w:after="20"/>
              <w:jc w:val="right"/>
            </w:pPr>
            <w:r>
              <w:rPr>
                <w:color w:val="1C3A36"/>
                <w:sz w:val="17"/>
              </w:rPr>
              <w:t>15%</w:t>
            </w:r>
          </w:p>
        </w:tc>
        <w:tc>
          <w:tcPr>
            <w:tcW w:type="dxa" w:w="1368"/>
          </w:tcPr>
          <w:p>
            <w:pPr>
              <w:spacing w:after="20"/>
              <w:jc w:val="right"/>
            </w:pPr>
            <w:r>
              <w:rPr>
                <w:color w:val="1C3A36"/>
                <w:sz w:val="17"/>
              </w:rPr>
              <w:t>+0.8%</w:t>
            </w:r>
          </w:p>
        </w:tc>
        <w:tc>
          <w:tcPr>
            <w:tcW w:type="dxa" w:w="1944"/>
          </w:tcPr>
          <w:p>
            <w:pPr>
              <w:spacing w:after="20"/>
              <w:jc w:val="right"/>
            </w:pPr>
            <w:r>
              <w:rPr>
                <w:color w:val="1C3A36"/>
                <w:sz w:val="17"/>
              </w:rPr>
              <w:t>+0.12%</w:t>
            </w:r>
          </w:p>
        </w:tc>
      </w:tr>
      <w:tr>
        <w:tc>
          <w:tcPr>
            <w:tcW w:type="dxa" w:w="5544"/>
          </w:tcPr>
          <w:p>
            <w:pPr>
              <w:spacing w:after="20"/>
            </w:pPr>
            <w:r>
              <w:rPr>
                <w:color w:val="1C3A36"/>
                <w:sz w:val="17"/>
              </w:rPr>
              <w:t>Record summer peak demand (Q3 is DEWA's strongest quarter)</w:t>
            </w:r>
          </w:p>
        </w:tc>
        <w:tc>
          <w:tcPr>
            <w:tcW w:type="dxa" w:w="1080"/>
          </w:tcPr>
          <w:p>
            <w:pPr>
              <w:spacing w:after="20"/>
              <w:jc w:val="right"/>
            </w:pPr>
            <w:r>
              <w:rPr>
                <w:color w:val="1C3A36"/>
                <w:sz w:val="17"/>
              </w:rPr>
              <w:t>80%</w:t>
            </w:r>
          </w:p>
        </w:tc>
        <w:tc>
          <w:tcPr>
            <w:tcW w:type="dxa" w:w="1368"/>
          </w:tcPr>
          <w:p>
            <w:pPr>
              <w:spacing w:after="20"/>
              <w:jc w:val="right"/>
            </w:pPr>
            <w:r>
              <w:rPr>
                <w:color w:val="1C3A36"/>
                <w:sz w:val="17"/>
              </w:rPr>
              <w:t>+0.3%</w:t>
            </w:r>
          </w:p>
        </w:tc>
        <w:tc>
          <w:tcPr>
            <w:tcW w:type="dxa" w:w="1944"/>
          </w:tcPr>
          <w:p>
            <w:pPr>
              <w:spacing w:after="20"/>
              <w:jc w:val="right"/>
            </w:pPr>
            <w:r>
              <w:rPr>
                <w:color w:val="1C3A36"/>
                <w:sz w:val="17"/>
              </w:rPr>
              <w:t>+0.24%</w:t>
            </w:r>
          </w:p>
        </w:tc>
      </w:tr>
      <w:tr>
        <w:tc>
          <w:tcPr>
            <w:tcW w:type="dxa" w:w="5544"/>
          </w:tcPr>
          <w:p>
            <w:pPr>
              <w:spacing w:after="20"/>
            </w:pPr>
            <w:r>
              <w:rPr>
                <w:color w:val="1C3A36"/>
                <w:sz w:val="17"/>
              </w:rPr>
              <w:t>Further debt-funded energy-sector M&amp;A (capital-allocation concern)</w:t>
            </w:r>
          </w:p>
        </w:tc>
        <w:tc>
          <w:tcPr>
            <w:tcW w:type="dxa" w:w="1080"/>
          </w:tcPr>
          <w:p>
            <w:pPr>
              <w:spacing w:after="20"/>
              <w:jc w:val="right"/>
            </w:pPr>
            <w:r>
              <w:rPr>
                <w:color w:val="1C3A36"/>
                <w:sz w:val="17"/>
              </w:rPr>
              <w:t>10%</w:t>
            </w:r>
          </w:p>
        </w:tc>
        <w:tc>
          <w:tcPr>
            <w:tcW w:type="dxa" w:w="1368"/>
          </w:tcPr>
          <w:p>
            <w:pPr>
              <w:spacing w:after="20"/>
              <w:jc w:val="right"/>
            </w:pPr>
            <w:r>
              <w:rPr>
                <w:color w:val="1C3A36"/>
                <w:sz w:val="17"/>
              </w:rPr>
              <w:t>-0.3%</w:t>
            </w:r>
          </w:p>
        </w:tc>
        <w:tc>
          <w:tcPr>
            <w:tcW w:type="dxa" w:w="1944"/>
          </w:tcPr>
          <w:p>
            <w:pPr>
              <w:spacing w:after="20"/>
              <w:jc w:val="right"/>
            </w:pPr>
            <w:r>
              <w:rPr>
                <w:color w:val="1C3A36"/>
                <w:sz w:val="17"/>
              </w:rPr>
              <w:t>-0.03%</w:t>
            </w:r>
          </w:p>
        </w:tc>
      </w:tr>
    </w:tbl>
    <w:p>
      <w:pPr>
        <w:spacing w:after="40"/>
      </w:pPr>
    </w:p>
    <w:p>
      <w:pPr>
        <w:spacing w:after="40"/>
        <w:jc w:val="center"/>
      </w:pPr>
      <w:r>
        <w:drawing>
          <wp:inline xmlns:a="http://schemas.openxmlformats.org/drawingml/2006/main" xmlns:pic="http://schemas.openxmlformats.org/drawingml/2006/picture">
            <wp:extent cx="6309360" cy="2535061"/>
            <wp:docPr id="6" name="Picture 6"/>
            <wp:cNvGraphicFramePr>
              <a:graphicFrameLocks noChangeAspect="1"/>
            </wp:cNvGraphicFramePr>
            <a:graphic>
              <a:graphicData uri="http://schemas.openxmlformats.org/drawingml/2006/picture">
                <pic:pic>
                  <pic:nvPicPr>
                    <pic:cNvPr id="0" name="f7_fan.png"/>
                    <pic:cNvPicPr/>
                  </pic:nvPicPr>
                  <pic:blipFill>
                    <a:blip r:embed="rId14"/>
                    <a:stretch>
                      <a:fillRect/>
                    </a:stretch>
                  </pic:blipFill>
                  <pic:spPr>
                    <a:xfrm>
                      <a:off x="0" y="0"/>
                      <a:ext cx="6309360" cy="2535061"/>
                    </a:xfrm>
                    <a:prstGeom prst="rect"/>
                  </pic:spPr>
                </pic:pic>
              </a:graphicData>
            </a:graphic>
          </wp:inline>
        </w:drawing>
      </w:r>
    </w:p>
    <w:p>
      <w:pPr>
        <w:spacing w:after="200" w:before="0"/>
      </w:pPr>
      <w:r>
        <w:rPr>
          <w:b w:val="0"/>
          <w:i/>
          <w:color w:val="6E7B77"/>
          <w:sz w:val="17"/>
        </w:rPr>
        <w:t>Figure 6. The forward cone to T+60 with the percentile fan. The fundamental central AED 3.32 sits outside the cone by construction — the engine never carries it.</w:t>
      </w:r>
    </w:p>
    <w:p>
      <w:pPr>
        <w:spacing w:after="40"/>
        <w:jc w:val="center"/>
      </w:pPr>
      <w:r>
        <w:drawing>
          <wp:inline xmlns:a="http://schemas.openxmlformats.org/drawingml/2006/main" xmlns:pic="http://schemas.openxmlformats.org/drawingml/2006/picture">
            <wp:extent cx="3063240" cy="1011007"/>
            <wp:docPr id="7" name="Picture 7"/>
            <wp:cNvGraphicFramePr>
              <a:graphicFrameLocks noChangeAspect="1"/>
            </wp:cNvGraphicFramePr>
            <a:graphic>
              <a:graphicData uri="http://schemas.openxmlformats.org/drawingml/2006/picture">
                <pic:pic>
                  <pic:nvPicPr>
                    <pic:cNvPr id="0" name="f8_t20.png"/>
                    <pic:cNvPicPr/>
                  </pic:nvPicPr>
                  <pic:blipFill>
                    <a:blip r:embed="rId15"/>
                    <a:stretch>
                      <a:fillRect/>
                    </a:stretch>
                  </pic:blipFill>
                  <pic:spPr>
                    <a:xfrm>
                      <a:off x="0" y="0"/>
                      <a:ext cx="3063240" cy="1011007"/>
                    </a:xfrm>
                    <a:prstGeom prst="rect"/>
                  </pic:spPr>
                </pic:pic>
              </a:graphicData>
            </a:graphic>
          </wp:inline>
        </w:drawing>
      </w:r>
    </w:p>
    <w:p>
      <w:pPr>
        <w:spacing w:after="200" w:before="0"/>
      </w:pPr>
      <w:r>
        <w:rPr>
          <w:b w:val="0"/>
          <w:i/>
          <w:color w:val="6E7B77"/>
          <w:sz w:val="17"/>
        </w:rPr>
        <w:t>Figure 7. T+20 distribution (matures ~7-Aug-2026): 90% band AED 2.51–3.11.</w:t>
      </w:r>
    </w:p>
    <w:p>
      <w:pPr>
        <w:spacing w:after="40"/>
        <w:jc w:val="center"/>
      </w:pPr>
      <w:r>
        <w:drawing>
          <wp:inline xmlns:a="http://schemas.openxmlformats.org/drawingml/2006/main" xmlns:pic="http://schemas.openxmlformats.org/drawingml/2006/picture">
            <wp:extent cx="3063240" cy="1011007"/>
            <wp:docPr id="8" name="Picture 8"/>
            <wp:cNvGraphicFramePr>
              <a:graphicFrameLocks noChangeAspect="1"/>
            </wp:cNvGraphicFramePr>
            <a:graphic>
              <a:graphicData uri="http://schemas.openxmlformats.org/drawingml/2006/picture">
                <pic:pic>
                  <pic:nvPicPr>
                    <pic:cNvPr id="0" name="f9_t60.png"/>
                    <pic:cNvPicPr/>
                  </pic:nvPicPr>
                  <pic:blipFill>
                    <a:blip r:embed="rId16"/>
                    <a:stretch>
                      <a:fillRect/>
                    </a:stretch>
                  </pic:blipFill>
                  <pic:spPr>
                    <a:xfrm>
                      <a:off x="0" y="0"/>
                      <a:ext cx="3063240" cy="1011007"/>
                    </a:xfrm>
                    <a:prstGeom prst="rect"/>
                  </pic:spPr>
                </pic:pic>
              </a:graphicData>
            </a:graphic>
          </wp:inline>
        </w:drawing>
      </w:r>
    </w:p>
    <w:p>
      <w:pPr>
        <w:spacing w:after="200" w:before="0"/>
      </w:pPr>
      <w:r>
        <w:rPr>
          <w:b w:val="0"/>
          <w:i/>
          <w:color w:val="6E7B77"/>
          <w:sz w:val="17"/>
        </w:rPr>
        <w:t>Figure 8. T+60 distribution (matures ~2-Oct-2026): note the heavier left shoulder from the market-fit tails.</w:t>
      </w:r>
    </w:p>
    <w:p>
      <w:pPr>
        <w:spacing w:after="120" w:before="0"/>
      </w:pPr>
      <w:r>
        <w:rPr>
          <w:b w:val="0"/>
          <w:i w:val="0"/>
          <w:color w:val="1C3A36"/>
          <w:sz w:val="21"/>
        </w:rPr>
        <w:t>The touch ladder answers the trader’s question the terminal distribution cannot: the probability of the price reaching a level at any point inside the horizon, not just finishing there. Up-levels read “any close at or above”; down-levels “at or below.”</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2016"/>
            <w:shd w:val="clear" w:color="auto" w:fill="EAF0EE"/>
          </w:tcPr>
          <w:p>
            <w:pPr>
              <w:spacing w:after="20"/>
            </w:pPr>
            <w:r>
              <w:rPr>
                <w:b/>
                <w:color w:val="1C3A36"/>
                <w:sz w:val="17"/>
              </w:rPr>
              <w:t>Level (AED)</w:t>
            </w:r>
          </w:p>
        </w:tc>
        <w:tc>
          <w:tcPr>
            <w:tcW w:type="dxa" w:w="2304"/>
            <w:shd w:val="clear" w:color="auto" w:fill="EAF0EE"/>
          </w:tcPr>
          <w:p>
            <w:pPr>
              <w:spacing w:after="20"/>
            </w:pPr>
            <w:r>
              <w:rPr>
                <w:b/>
                <w:color w:val="1C3A36"/>
                <w:sz w:val="17"/>
              </w:rPr>
              <w:t>P(touch ≤ T+20)</w:t>
            </w:r>
          </w:p>
        </w:tc>
        <w:tc>
          <w:tcPr>
            <w:tcW w:type="dxa" w:w="2304"/>
            <w:shd w:val="clear" w:color="auto" w:fill="EAF0EE"/>
          </w:tcPr>
          <w:p>
            <w:pPr>
              <w:spacing w:after="20"/>
            </w:pPr>
            <w:r>
              <w:rPr>
                <w:b/>
                <w:color w:val="1C3A36"/>
                <w:sz w:val="17"/>
              </w:rPr>
              <w:t>P(touch ≤ T+60)</w:t>
            </w:r>
          </w:p>
        </w:tc>
      </w:tr>
      <w:tr>
        <w:tc>
          <w:tcPr>
            <w:tcW w:type="dxa" w:w="2016"/>
          </w:tcPr>
          <w:p>
            <w:pPr>
              <w:spacing w:after="20"/>
            </w:pPr>
            <w:r>
              <w:rPr>
                <w:color w:val="1C3A36"/>
                <w:sz w:val="17"/>
              </w:rPr>
              <w:t>3.30</w:t>
            </w:r>
          </w:p>
        </w:tc>
        <w:tc>
          <w:tcPr>
            <w:tcW w:type="dxa" w:w="2304"/>
          </w:tcPr>
          <w:p>
            <w:pPr>
              <w:spacing w:after="20"/>
              <w:jc w:val="right"/>
            </w:pPr>
            <w:r>
              <w:rPr>
                <w:color w:val="1C3A36"/>
                <w:sz w:val="17"/>
              </w:rPr>
              <w:t>1%</w:t>
            </w:r>
          </w:p>
        </w:tc>
        <w:tc>
          <w:tcPr>
            <w:tcW w:type="dxa" w:w="2304"/>
          </w:tcPr>
          <w:p>
            <w:pPr>
              <w:spacing w:after="20"/>
              <w:jc w:val="right"/>
            </w:pPr>
            <w:r>
              <w:rPr>
                <w:color w:val="1C3A36"/>
                <w:sz w:val="17"/>
              </w:rPr>
              <w:t>13%</w:t>
            </w:r>
          </w:p>
        </w:tc>
      </w:tr>
      <w:tr>
        <w:tc>
          <w:tcPr>
            <w:tcW w:type="dxa" w:w="2016"/>
          </w:tcPr>
          <w:p>
            <w:pPr>
              <w:spacing w:after="20"/>
            </w:pPr>
            <w:r>
              <w:rPr>
                <w:color w:val="1C3A36"/>
                <w:sz w:val="17"/>
              </w:rPr>
              <w:t>3.20</w:t>
            </w:r>
          </w:p>
        </w:tc>
        <w:tc>
          <w:tcPr>
            <w:tcW w:type="dxa" w:w="2304"/>
          </w:tcPr>
          <w:p>
            <w:pPr>
              <w:spacing w:after="20"/>
              <w:jc w:val="right"/>
            </w:pPr>
            <w:r>
              <w:rPr>
                <w:color w:val="1C3A36"/>
                <w:sz w:val="17"/>
              </w:rPr>
              <w:t>4%</w:t>
            </w:r>
          </w:p>
        </w:tc>
        <w:tc>
          <w:tcPr>
            <w:tcW w:type="dxa" w:w="2304"/>
          </w:tcPr>
          <w:p>
            <w:pPr>
              <w:spacing w:after="20"/>
              <w:jc w:val="right"/>
            </w:pPr>
            <w:r>
              <w:rPr>
                <w:color w:val="1C3A36"/>
                <w:sz w:val="17"/>
              </w:rPr>
              <w:t>20%</w:t>
            </w:r>
          </w:p>
        </w:tc>
      </w:tr>
      <w:tr>
        <w:tc>
          <w:tcPr>
            <w:tcW w:type="dxa" w:w="2016"/>
          </w:tcPr>
          <w:p>
            <w:pPr>
              <w:spacing w:after="20"/>
            </w:pPr>
            <w:r>
              <w:rPr>
                <w:color w:val="1C3A36"/>
                <w:sz w:val="17"/>
              </w:rPr>
              <w:t>3.10</w:t>
            </w:r>
          </w:p>
        </w:tc>
        <w:tc>
          <w:tcPr>
            <w:tcW w:type="dxa" w:w="2304"/>
          </w:tcPr>
          <w:p>
            <w:pPr>
              <w:spacing w:after="20"/>
              <w:jc w:val="right"/>
            </w:pPr>
            <w:r>
              <w:rPr>
                <w:color w:val="1C3A36"/>
                <w:sz w:val="17"/>
              </w:rPr>
              <w:t>9%</w:t>
            </w:r>
          </w:p>
        </w:tc>
        <w:tc>
          <w:tcPr>
            <w:tcW w:type="dxa" w:w="2304"/>
          </w:tcPr>
          <w:p>
            <w:pPr>
              <w:spacing w:after="20"/>
              <w:jc w:val="right"/>
            </w:pPr>
            <w:r>
              <w:rPr>
                <w:color w:val="1C3A36"/>
                <w:sz w:val="17"/>
              </w:rPr>
              <w:t>31%</w:t>
            </w:r>
          </w:p>
        </w:tc>
      </w:tr>
      <w:tr>
        <w:tc>
          <w:tcPr>
            <w:tcW w:type="dxa" w:w="2016"/>
          </w:tcPr>
          <w:p>
            <w:pPr>
              <w:spacing w:after="20"/>
            </w:pPr>
            <w:r>
              <w:rPr>
                <w:color w:val="1C3A36"/>
                <w:sz w:val="17"/>
              </w:rPr>
              <w:t>3.00</w:t>
            </w:r>
          </w:p>
        </w:tc>
        <w:tc>
          <w:tcPr>
            <w:tcW w:type="dxa" w:w="2304"/>
          </w:tcPr>
          <w:p>
            <w:pPr>
              <w:spacing w:after="20"/>
              <w:jc w:val="right"/>
            </w:pPr>
            <w:r>
              <w:rPr>
                <w:color w:val="1C3A36"/>
                <w:sz w:val="17"/>
              </w:rPr>
              <w:t>22%</w:t>
            </w:r>
          </w:p>
        </w:tc>
        <w:tc>
          <w:tcPr>
            <w:tcW w:type="dxa" w:w="2304"/>
          </w:tcPr>
          <w:p>
            <w:pPr>
              <w:spacing w:after="20"/>
              <w:jc w:val="right"/>
            </w:pPr>
            <w:r>
              <w:rPr>
                <w:color w:val="1C3A36"/>
                <w:sz w:val="17"/>
              </w:rPr>
              <w:t>47%</w:t>
            </w:r>
          </w:p>
        </w:tc>
      </w:tr>
      <w:tr>
        <w:tc>
          <w:tcPr>
            <w:tcW w:type="dxa" w:w="2016"/>
          </w:tcPr>
          <w:p>
            <w:pPr>
              <w:spacing w:after="20"/>
            </w:pPr>
            <w:r>
              <w:rPr>
                <w:color w:val="1C3A36"/>
                <w:sz w:val="17"/>
              </w:rPr>
              <w:t>2.90</w:t>
            </w:r>
          </w:p>
        </w:tc>
        <w:tc>
          <w:tcPr>
            <w:tcW w:type="dxa" w:w="2304"/>
          </w:tcPr>
          <w:p>
            <w:pPr>
              <w:spacing w:after="20"/>
              <w:jc w:val="right"/>
            </w:pPr>
            <w:r>
              <w:rPr>
                <w:color w:val="1C3A36"/>
                <w:sz w:val="17"/>
              </w:rPr>
              <w:t>46%</w:t>
            </w:r>
          </w:p>
        </w:tc>
        <w:tc>
          <w:tcPr>
            <w:tcW w:type="dxa" w:w="2304"/>
          </w:tcPr>
          <w:p>
            <w:pPr>
              <w:spacing w:after="20"/>
              <w:jc w:val="right"/>
            </w:pPr>
            <w:r>
              <w:rPr>
                <w:color w:val="1C3A36"/>
                <w:sz w:val="17"/>
              </w:rPr>
              <w:t>68%</w:t>
            </w:r>
          </w:p>
        </w:tc>
      </w:tr>
      <w:tr>
        <w:tc>
          <w:tcPr>
            <w:tcW w:type="dxa" w:w="2016"/>
          </w:tcPr>
          <w:p>
            <w:pPr>
              <w:spacing w:after="20"/>
            </w:pPr>
            <w:r>
              <w:rPr>
                <w:color w:val="1C3A36"/>
                <w:sz w:val="17"/>
              </w:rPr>
              <w:t>2.80</w:t>
            </w:r>
          </w:p>
        </w:tc>
        <w:tc>
          <w:tcPr>
            <w:tcW w:type="dxa" w:w="2304"/>
          </w:tcPr>
          <w:p>
            <w:pPr>
              <w:spacing w:after="20"/>
              <w:jc w:val="right"/>
            </w:pPr>
            <w:r>
              <w:rPr>
                <w:color w:val="1C3A36"/>
                <w:sz w:val="17"/>
              </w:rPr>
              <w:t>84%</w:t>
            </w:r>
          </w:p>
        </w:tc>
        <w:tc>
          <w:tcPr>
            <w:tcW w:type="dxa" w:w="2304"/>
          </w:tcPr>
          <w:p>
            <w:pPr>
              <w:spacing w:after="20"/>
              <w:jc w:val="right"/>
            </w:pPr>
            <w:r>
              <w:rPr>
                <w:color w:val="1C3A36"/>
                <w:sz w:val="17"/>
              </w:rPr>
              <w:t>91%</w:t>
            </w:r>
          </w:p>
        </w:tc>
      </w:tr>
      <w:tr>
        <w:tc>
          <w:tcPr>
            <w:tcW w:type="dxa" w:w="2016"/>
          </w:tcPr>
          <w:p>
            <w:pPr>
              <w:spacing w:after="20"/>
            </w:pPr>
            <w:r>
              <w:rPr>
                <w:color w:val="1C3A36"/>
                <w:sz w:val="17"/>
              </w:rPr>
              <w:t>2.70</w:t>
            </w:r>
          </w:p>
        </w:tc>
        <w:tc>
          <w:tcPr>
            <w:tcW w:type="dxa" w:w="2304"/>
          </w:tcPr>
          <w:p>
            <w:pPr>
              <w:spacing w:after="20"/>
              <w:jc w:val="right"/>
            </w:pPr>
            <w:r>
              <w:rPr>
                <w:color w:val="1C3A36"/>
                <w:sz w:val="17"/>
              </w:rPr>
              <w:t>50%</w:t>
            </w:r>
          </w:p>
        </w:tc>
        <w:tc>
          <w:tcPr>
            <w:tcW w:type="dxa" w:w="2304"/>
          </w:tcPr>
          <w:p>
            <w:pPr>
              <w:spacing w:after="20"/>
              <w:jc w:val="right"/>
            </w:pPr>
            <w:r>
              <w:rPr>
                <w:color w:val="1C3A36"/>
                <w:sz w:val="17"/>
              </w:rPr>
              <w:t>69%</w:t>
            </w:r>
          </w:p>
        </w:tc>
      </w:tr>
      <w:tr>
        <w:tc>
          <w:tcPr>
            <w:tcW w:type="dxa" w:w="2016"/>
          </w:tcPr>
          <w:p>
            <w:pPr>
              <w:spacing w:after="20"/>
            </w:pPr>
            <w:r>
              <w:rPr>
                <w:color w:val="1C3A36"/>
                <w:sz w:val="17"/>
              </w:rPr>
              <w:t>2.60</w:t>
            </w:r>
          </w:p>
        </w:tc>
        <w:tc>
          <w:tcPr>
            <w:tcW w:type="dxa" w:w="2304"/>
          </w:tcPr>
          <w:p>
            <w:pPr>
              <w:spacing w:after="20"/>
              <w:jc w:val="right"/>
            </w:pPr>
            <w:r>
              <w:rPr>
                <w:color w:val="1C3A36"/>
                <w:sz w:val="17"/>
              </w:rPr>
              <w:t>21%</w:t>
            </w:r>
          </w:p>
        </w:tc>
        <w:tc>
          <w:tcPr>
            <w:tcW w:type="dxa" w:w="2304"/>
          </w:tcPr>
          <w:p>
            <w:pPr>
              <w:spacing w:after="20"/>
              <w:jc w:val="right"/>
            </w:pPr>
            <w:r>
              <w:rPr>
                <w:color w:val="1C3A36"/>
                <w:sz w:val="17"/>
              </w:rPr>
              <w:t>45%</w:t>
            </w:r>
          </w:p>
        </w:tc>
      </w:tr>
      <w:tr>
        <w:tc>
          <w:tcPr>
            <w:tcW w:type="dxa" w:w="2016"/>
          </w:tcPr>
          <w:p>
            <w:pPr>
              <w:spacing w:after="20"/>
            </w:pPr>
            <w:r>
              <w:rPr>
                <w:color w:val="1C3A36"/>
                <w:sz w:val="17"/>
              </w:rPr>
              <w:t>2.50</w:t>
            </w:r>
          </w:p>
        </w:tc>
        <w:tc>
          <w:tcPr>
            <w:tcW w:type="dxa" w:w="2304"/>
          </w:tcPr>
          <w:p>
            <w:pPr>
              <w:spacing w:after="20"/>
              <w:jc w:val="right"/>
            </w:pPr>
            <w:r>
              <w:rPr>
                <w:color w:val="1C3A36"/>
                <w:sz w:val="17"/>
              </w:rPr>
              <w:t>7%</w:t>
            </w:r>
          </w:p>
        </w:tc>
        <w:tc>
          <w:tcPr>
            <w:tcW w:type="dxa" w:w="2304"/>
          </w:tcPr>
          <w:p>
            <w:pPr>
              <w:spacing w:after="20"/>
              <w:jc w:val="right"/>
            </w:pPr>
            <w:r>
              <w:rPr>
                <w:color w:val="1C3A36"/>
                <w:sz w:val="17"/>
              </w:rPr>
              <w:t>27%</w:t>
            </w:r>
          </w:p>
        </w:tc>
      </w:tr>
      <w:tr>
        <w:tc>
          <w:tcPr>
            <w:tcW w:type="dxa" w:w="2016"/>
          </w:tcPr>
          <w:p>
            <w:pPr>
              <w:spacing w:after="20"/>
            </w:pPr>
            <w:r>
              <w:rPr>
                <w:color w:val="1C3A36"/>
                <w:sz w:val="17"/>
              </w:rPr>
              <w:t>2.40</w:t>
            </w:r>
          </w:p>
        </w:tc>
        <w:tc>
          <w:tcPr>
            <w:tcW w:type="dxa" w:w="2304"/>
          </w:tcPr>
          <w:p>
            <w:pPr>
              <w:spacing w:after="20"/>
              <w:jc w:val="right"/>
            </w:pPr>
            <w:r>
              <w:rPr>
                <w:color w:val="1C3A36"/>
                <w:sz w:val="17"/>
              </w:rPr>
              <w:t>2%</w:t>
            </w:r>
          </w:p>
        </w:tc>
        <w:tc>
          <w:tcPr>
            <w:tcW w:type="dxa" w:w="2304"/>
          </w:tcPr>
          <w:p>
            <w:pPr>
              <w:spacing w:after="20"/>
              <w:jc w:val="right"/>
            </w:pPr>
            <w:r>
              <w:rPr>
                <w:color w:val="1C3A36"/>
                <w:sz w:val="17"/>
              </w:rPr>
              <w:t>14%</w:t>
            </w:r>
          </w:p>
        </w:tc>
      </w:tr>
    </w:tbl>
    <w:p>
      <w:pPr>
        <w:spacing w:after="40"/>
      </w:pPr>
    </w:p>
    <w:p>
      <w:pPr>
        <w:spacing w:after="120" w:before="0"/>
      </w:pPr>
      <w:r>
        <w:rPr>
          <w:b w:val="0"/>
          <w:i w:val="0"/>
          <w:color w:val="1C3A36"/>
          <w:sz w:val="21"/>
        </w:rPr>
        <w:t>Calibration transparency. DEWA was scored through the calibration back-test — a full five-year walk-forward against the carry-anchored benchmark — before a word of this study was written; only names that clear it are published. The name-level verdict here is BOUNDARY — the confidence interval’s sign flips across bootstrap block sizes — so DEWA publishes under the parity tier: calibrated, market-panel validated, with no demonstrated single-name edge claimed. The UAE market panel passes. The underlying numbers live in the public Calibration Ledger rather than in this study body, alongside the three-panel calibration figure; the two cohorts registered here (T+20 and T+60) will be graded against the frozen percentiles above — never rewritten — and the grades published whichever way they fall. That ledger, not this paragraph, is the reason to take the bands seriously.</w:t>
      </w:r>
    </w:p>
    <w:p>
      <w:pPr>
        <w:spacing w:after="120" w:before="280"/>
      </w:pPr>
      <w:r>
        <w:rPr>
          <w:b/>
          <w:i w:val="0"/>
          <w:color w:val="1C3A36"/>
          <w:sz w:val="30"/>
        </w:rPr>
        <w:t>4  Comparison of the lenses, and a verdict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3024"/>
            <w:shd w:val="clear" w:color="auto" w:fill="EAF0EE"/>
          </w:tcPr>
          <w:p>
            <w:pPr>
              <w:spacing w:after="20"/>
            </w:pPr>
            <w:r>
              <w:rPr>
                <w:b/>
                <w:color w:val="1C3A36"/>
                <w:sz w:val="18"/>
              </w:rPr>
              <w:t>Clock</w:t>
            </w:r>
          </w:p>
        </w:tc>
        <w:tc>
          <w:tcPr>
            <w:tcW w:type="dxa" w:w="2160"/>
            <w:shd w:val="clear" w:color="auto" w:fill="EAF0EE"/>
          </w:tcPr>
          <w:p>
            <w:pPr>
              <w:spacing w:after="20"/>
            </w:pPr>
            <w:r>
              <w:rPr>
                <w:b/>
                <w:color w:val="1C3A36"/>
                <w:sz w:val="18"/>
              </w:rPr>
              <w:t>Horizon</w:t>
            </w:r>
          </w:p>
        </w:tc>
        <w:tc>
          <w:tcPr>
            <w:tcW w:type="dxa" w:w="5472"/>
            <w:shd w:val="clear" w:color="auto" w:fill="EAF0EE"/>
          </w:tcPr>
          <w:p>
            <w:pPr>
              <w:spacing w:after="20"/>
            </w:pPr>
            <w:r>
              <w:rPr>
                <w:b/>
                <w:color w:val="1C3A36"/>
                <w:sz w:val="18"/>
              </w:rPr>
              <w:t>Answer</w:t>
            </w:r>
          </w:p>
        </w:tc>
      </w:tr>
      <w:tr>
        <w:tc>
          <w:tcPr>
            <w:tcW w:type="dxa" w:w="3024"/>
          </w:tcPr>
          <w:p>
            <w:pPr>
              <w:spacing w:after="20"/>
            </w:pPr>
            <w:r>
              <w:rPr>
                <w:color w:val="1C3A36"/>
                <w:sz w:val="18"/>
              </w:rPr>
              <w:t>Monte Carlo distribution</w:t>
            </w:r>
          </w:p>
        </w:tc>
        <w:tc>
          <w:tcPr>
            <w:tcW w:type="dxa" w:w="2160"/>
          </w:tcPr>
          <w:p>
            <w:pPr>
              <w:spacing w:after="20"/>
              <w:jc w:val="right"/>
            </w:pPr>
            <w:r>
              <w:rPr>
                <w:color w:val="1C3A36"/>
                <w:sz w:val="18"/>
              </w:rPr>
              <w:t>3 months (genuine)</w:t>
            </w:r>
          </w:p>
        </w:tc>
        <w:tc>
          <w:tcPr>
            <w:tcW w:type="dxa" w:w="5472"/>
          </w:tcPr>
          <w:p>
            <w:pPr>
              <w:spacing w:after="20"/>
              <w:jc w:val="right"/>
            </w:pPr>
            <w:r>
              <w:rPr>
                <w:color w:val="1C3A36"/>
                <w:sz w:val="18"/>
              </w:rPr>
              <w:t>median 2.81; 90% band 2.33–3.39; 52% above spot</w:t>
            </w:r>
          </w:p>
        </w:tc>
      </w:tr>
      <w:tr>
        <w:tc>
          <w:tcPr>
            <w:tcW w:type="dxa" w:w="3024"/>
          </w:tcPr>
          <w:p>
            <w:pPr>
              <w:spacing w:after="20"/>
            </w:pPr>
            <w:r>
              <w:rPr>
                <w:color w:val="1C3A36"/>
                <w:sz w:val="18"/>
              </w:rPr>
              <w:t>Fundamental fair value</w:t>
            </w:r>
          </w:p>
        </w:tc>
        <w:tc>
          <w:tcPr>
            <w:tcW w:type="dxa" w:w="2160"/>
          </w:tcPr>
          <w:p>
            <w:pPr>
              <w:spacing w:after="20"/>
              <w:jc w:val="right"/>
            </w:pPr>
            <w:r>
              <w:rPr>
                <w:color w:val="1C3A36"/>
                <w:sz w:val="18"/>
              </w:rPr>
              <w:t>~12-month basis</w:t>
            </w:r>
          </w:p>
        </w:tc>
        <w:tc>
          <w:tcPr>
            <w:tcW w:type="dxa" w:w="5472"/>
          </w:tcPr>
          <w:p>
            <w:pPr>
              <w:spacing w:after="20"/>
              <w:jc w:val="right"/>
            </w:pPr>
            <w:r>
              <w:rPr>
                <w:color w:val="1C3A36"/>
                <w:sz w:val="18"/>
              </w:rPr>
              <w:t>weighted central 3.32 (bear 2.18 / bull 4.92) — +19% vs spot</w:t>
            </w:r>
          </w:p>
        </w:tc>
      </w:tr>
      <w:tr>
        <w:tc>
          <w:tcPr>
            <w:tcW w:type="dxa" w:w="3024"/>
          </w:tcPr>
          <w:p>
            <w:pPr>
              <w:spacing w:after="20"/>
            </w:pPr>
            <w:r>
              <w:rPr>
                <w:color w:val="1C3A36"/>
                <w:sz w:val="18"/>
              </w:rPr>
              <w:t>Full-execution ceiling</w:t>
            </w:r>
          </w:p>
        </w:tc>
        <w:tc>
          <w:tcPr>
            <w:tcW w:type="dxa" w:w="2160"/>
          </w:tcPr>
          <w:p>
            <w:pPr>
              <w:spacing w:after="20"/>
              <w:jc w:val="right"/>
            </w:pPr>
            <w:r>
              <w:rPr>
                <w:color w:val="1C3A36"/>
                <w:sz w:val="18"/>
              </w:rPr>
              <w:t>multi-year</w:t>
            </w:r>
          </w:p>
        </w:tc>
        <w:tc>
          <w:tcPr>
            <w:tcW w:type="dxa" w:w="5472"/>
          </w:tcPr>
          <w:p>
            <w:pPr>
              <w:spacing w:after="20"/>
              <w:jc w:val="right"/>
            </w:pPr>
            <w:r>
              <w:rPr>
                <w:color w:val="1C3A36"/>
                <w:sz w:val="18"/>
              </w:rPr>
              <w:t>DCF bull leg 6.49 if the 2030 build-out earns its keep and the payout re-rates</w:t>
            </w:r>
          </w:p>
        </w:tc>
      </w:tr>
    </w:tbl>
    <w:p>
      <w:pPr>
        <w:spacing w:after="40"/>
      </w:pPr>
    </w:p>
    <w:p>
      <w:pPr>
        <w:spacing w:after="120" w:before="0"/>
      </w:pPr>
      <w:r>
        <w:rPr>
          <w:b w:val="0"/>
          <w:i w:val="0"/>
          <w:color w:val="1C3A36"/>
          <w:sz w:val="21"/>
        </w:rPr>
        <w:t>The gap between clock one and clock two is not a contradiction — it is the finding. Nothing inside the next sixty sessions forces the market to reprice a decision the board will make in 2027; the distribution therefore sits near spot while the fundamental range sits materially above it. The verdict, stated the only way this house states verdicts: at AED 2.79 the market prices DEWA’s dividend as a frozen coupon (implied perpetual growth 1.33%) on a monopoly whose customer base compounds at 4-5%, whose payout is covered 1.23-1.35 times, and whose policy-setter collects 82% of every distribution. The weighted fair-value range is AED 2.18-4.92 with a central of 3.32. The catalysts in §5 are the specific, dated events that would move price from the first clock toward the second; the falsifiers in §7 are the specific, dated events that would prove this study wrong instead.</w:t>
      </w:r>
    </w:p>
    <w:p>
      <w:pPr>
        <w:spacing w:after="120" w:before="280"/>
      </w:pPr>
      <w:r>
        <w:rPr>
          <w:b/>
          <w:i w:val="0"/>
          <w:color w:val="1C3A36"/>
          <w:sz w:val="30"/>
        </w:rPr>
        <w:t>5  Catalysts to watch</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1944"/>
            <w:shd w:val="clear" w:color="auto" w:fill="EAF0EE"/>
          </w:tcPr>
          <w:p>
            <w:pPr>
              <w:spacing w:after="20"/>
            </w:pPr>
            <w:r>
              <w:rPr>
                <w:b/>
                <w:color w:val="1C3A36"/>
                <w:sz w:val="17"/>
              </w:rPr>
              <w:t>When</w:t>
            </w:r>
          </w:p>
        </w:tc>
        <w:tc>
          <w:tcPr>
            <w:tcW w:type="dxa" w:w="3888"/>
            <w:shd w:val="clear" w:color="auto" w:fill="EAF0EE"/>
          </w:tcPr>
          <w:p>
            <w:pPr>
              <w:spacing w:after="20"/>
            </w:pPr>
            <w:r>
              <w:rPr>
                <w:b/>
                <w:color w:val="1C3A36"/>
                <w:sz w:val="17"/>
              </w:rPr>
              <w:t>What</w:t>
            </w:r>
          </w:p>
        </w:tc>
        <w:tc>
          <w:tcPr>
            <w:tcW w:type="dxa" w:w="4824"/>
            <w:shd w:val="clear" w:color="auto" w:fill="EAF0EE"/>
          </w:tcPr>
          <w:p>
            <w:pPr>
              <w:spacing w:after="20"/>
            </w:pPr>
            <w:r>
              <w:rPr>
                <w:b/>
                <w:color w:val="1C3A36"/>
                <w:sz w:val="17"/>
              </w:rPr>
              <w:t>Why it matters</w:t>
            </w:r>
          </w:p>
        </w:tc>
      </w:tr>
      <w:tr>
        <w:tc>
          <w:tcPr>
            <w:tcW w:type="dxa" w:w="1944"/>
          </w:tcPr>
          <w:p>
            <w:pPr>
              <w:spacing w:after="20"/>
            </w:pPr>
            <w:r>
              <w:rPr>
                <w:color w:val="1C3A36"/>
                <w:sz w:val="17"/>
              </w:rPr>
              <w:t>~mid-Aug 2026</w:t>
            </w:r>
          </w:p>
        </w:tc>
        <w:tc>
          <w:tcPr>
            <w:tcW w:type="dxa" w:w="3888"/>
          </w:tcPr>
          <w:p>
            <w:pPr>
              <w:spacing w:after="20"/>
              <w:jc w:val="right"/>
            </w:pPr>
            <w:r>
              <w:rPr>
                <w:color w:val="1C3A36"/>
                <w:sz w:val="17"/>
              </w:rPr>
              <w:t>H1-2026 results + interim dividend declaration</w:t>
            </w:r>
          </w:p>
        </w:tc>
        <w:tc>
          <w:tcPr>
            <w:tcW w:type="dxa" w:w="4824"/>
          </w:tcPr>
          <w:p>
            <w:pPr>
              <w:spacing w:after="20"/>
              <w:jc w:val="right"/>
            </w:pPr>
            <w:r>
              <w:rPr>
                <w:color w:val="1C3A36"/>
                <w:sz w:val="17"/>
              </w:rPr>
              <w:t>first read on whether FY26 tracks the +8% Q1 run-rate; AED 3.1bn interim expected</w:t>
            </w:r>
          </w:p>
        </w:tc>
      </w:tr>
      <w:tr>
        <w:tc>
          <w:tcPr>
            <w:tcW w:type="dxa" w:w="1944"/>
          </w:tcPr>
          <w:p>
            <w:pPr>
              <w:spacing w:after="20"/>
            </w:pPr>
            <w:r>
              <w:rPr>
                <w:color w:val="1C3A36"/>
                <w:sz w:val="17"/>
              </w:rPr>
              <w:t>Oct-2026</w:t>
            </w:r>
          </w:p>
        </w:tc>
        <w:tc>
          <w:tcPr>
            <w:tcW w:type="dxa" w:w="3888"/>
          </w:tcPr>
          <w:p>
            <w:pPr>
              <w:spacing w:after="20"/>
              <w:jc w:val="right"/>
            </w:pPr>
            <w:r>
              <w:rPr>
                <w:color w:val="1C3A36"/>
                <w:sz w:val="17"/>
              </w:rPr>
              <w:t>Interim dividend payment</w:t>
            </w:r>
          </w:p>
        </w:tc>
        <w:tc>
          <w:tcPr>
            <w:tcW w:type="dxa" w:w="4824"/>
          </w:tcPr>
          <w:p>
            <w:pPr>
              <w:spacing w:after="20"/>
              <w:jc w:val="right"/>
            </w:pPr>
            <w:r>
              <w:rPr>
                <w:color w:val="1C3A36"/>
                <w:sz w:val="17"/>
              </w:rPr>
              <w:t>the mechanical income event; confirms the floor</w:t>
            </w:r>
          </w:p>
        </w:tc>
      </w:tr>
      <w:tr>
        <w:tc>
          <w:tcPr>
            <w:tcW w:type="dxa" w:w="1944"/>
          </w:tcPr>
          <w:p>
            <w:pPr>
              <w:spacing w:after="20"/>
            </w:pPr>
            <w:r>
              <w:rPr>
                <w:color w:val="1C3A36"/>
                <w:sz w:val="17"/>
              </w:rPr>
              <w:t>H2-2026</w:t>
            </w:r>
          </w:p>
        </w:tc>
        <w:tc>
          <w:tcPr>
            <w:tcW w:type="dxa" w:w="3888"/>
          </w:tcPr>
          <w:p>
            <w:pPr>
              <w:spacing w:after="20"/>
              <w:jc w:val="right"/>
            </w:pPr>
            <w:r>
              <w:rPr>
                <w:color w:val="1C3A36"/>
                <w:sz w:val="17"/>
              </w:rPr>
              <w:t>CBUAE follows Fed cuts</w:t>
            </w:r>
          </w:p>
        </w:tc>
        <w:tc>
          <w:tcPr>
            <w:tcW w:type="dxa" w:w="4824"/>
          </w:tcPr>
          <w:p>
            <w:pPr>
              <w:spacing w:after="20"/>
              <w:jc w:val="right"/>
            </w:pPr>
            <w:r>
              <w:rPr>
                <w:color w:val="1C3A36"/>
                <w:sz w:val="17"/>
              </w:rPr>
              <w:t>every 25bp trims Ke on a bond-proxy; supports the DDM leg</w:t>
            </w:r>
          </w:p>
        </w:tc>
      </w:tr>
      <w:tr>
        <w:tc>
          <w:tcPr>
            <w:tcW w:type="dxa" w:w="1944"/>
          </w:tcPr>
          <w:p>
            <w:pPr>
              <w:spacing w:after="20"/>
            </w:pPr>
            <w:r>
              <w:rPr>
                <w:color w:val="1C3A36"/>
                <w:sz w:val="17"/>
              </w:rPr>
              <w:t>2026</w:t>
            </w:r>
          </w:p>
        </w:tc>
        <w:tc>
          <w:tcPr>
            <w:tcW w:type="dxa" w:w="3888"/>
          </w:tcPr>
          <w:p>
            <w:pPr>
              <w:spacing w:after="20"/>
              <w:jc w:val="right"/>
            </w:pPr>
            <w:r>
              <w:rPr>
                <w:color w:val="1C3A36"/>
                <w:sz w:val="17"/>
              </w:rPr>
              <w:t>Hassyan SWRO +120 MIGD commissioning; 1,800 MW solar IPP (86% complete) connects</w:t>
            </w:r>
          </w:p>
        </w:tc>
        <w:tc>
          <w:tcPr>
            <w:tcW w:type="dxa" w:w="4824"/>
          </w:tcPr>
          <w:p>
            <w:pPr>
              <w:spacing w:after="20"/>
              <w:jc w:val="right"/>
            </w:pPr>
            <w:r>
              <w:rPr>
                <w:color w:val="1C3A36"/>
                <w:sz w:val="17"/>
              </w:rPr>
              <w:t>water and clean-mix margin proof-points for the 2030 programme</w:t>
            </w:r>
          </w:p>
        </w:tc>
      </w:tr>
      <w:tr>
        <w:tc>
          <w:tcPr>
            <w:tcW w:type="dxa" w:w="1944"/>
          </w:tcPr>
          <w:p>
            <w:pPr>
              <w:spacing w:after="20"/>
            </w:pPr>
            <w:r>
              <w:rPr>
                <w:color w:val="1C3A36"/>
                <w:sz w:val="17"/>
              </w:rPr>
              <w:t>Anytime to mid-2027</w:t>
            </w:r>
          </w:p>
        </w:tc>
        <w:tc>
          <w:tcPr>
            <w:tcW w:type="dxa" w:w="3888"/>
          </w:tcPr>
          <w:p>
            <w:pPr>
              <w:spacing w:after="20"/>
              <w:jc w:val="right"/>
            </w:pPr>
            <w:r>
              <w:rPr>
                <w:color w:val="1C3A36"/>
                <w:sz w:val="17"/>
              </w:rPr>
              <w:t>Board language on the post-Oct-2027 dividend policy</w:t>
            </w:r>
          </w:p>
        </w:tc>
        <w:tc>
          <w:tcPr>
            <w:tcW w:type="dxa" w:w="4824"/>
          </w:tcPr>
          <w:p>
            <w:pPr>
              <w:spacing w:after="20"/>
              <w:jc w:val="right"/>
            </w:pPr>
            <w:r>
              <w:rPr>
                <w:color w:val="1C3A36"/>
                <w:sz w:val="17"/>
              </w:rPr>
              <w:t>THE catalyst — the crux resolves; §1.8 quantifies every branch</w:t>
            </w:r>
          </w:p>
        </w:tc>
      </w:tr>
      <w:tr>
        <w:tc>
          <w:tcPr>
            <w:tcW w:type="dxa" w:w="1944"/>
          </w:tcPr>
          <w:p>
            <w:pPr>
              <w:spacing w:after="20"/>
            </w:pPr>
            <w:r>
              <w:rPr>
                <w:color w:val="1C3A36"/>
                <w:sz w:val="17"/>
              </w:rPr>
              <w:t>Ongoing</w:t>
            </w:r>
          </w:p>
        </w:tc>
        <w:tc>
          <w:tcPr>
            <w:tcW w:type="dxa" w:w="3888"/>
          </w:tcPr>
          <w:p>
            <w:pPr>
              <w:spacing w:after="20"/>
              <w:jc w:val="right"/>
            </w:pPr>
            <w:r>
              <w:rPr>
                <w:color w:val="1C3A36"/>
                <w:sz w:val="17"/>
              </w:rPr>
              <w:t>DSCE tariff / pass-through decisions</w:t>
            </w:r>
          </w:p>
        </w:tc>
        <w:tc>
          <w:tcPr>
            <w:tcW w:type="dxa" w:w="4824"/>
          </w:tcPr>
          <w:p>
            <w:pPr>
              <w:spacing w:after="20"/>
              <w:jc w:val="right"/>
            </w:pPr>
            <w:r>
              <w:rPr>
                <w:color w:val="1C3A36"/>
                <w:sz w:val="17"/>
              </w:rPr>
              <w:t>the regulated-return spread that Expert 4 prices</w:t>
            </w:r>
          </w:p>
        </w:tc>
      </w:tr>
      <w:tr>
        <w:tc>
          <w:tcPr>
            <w:tcW w:type="dxa" w:w="1944"/>
          </w:tcPr>
          <w:p>
            <w:pPr>
              <w:spacing w:after="20"/>
            </w:pPr>
            <w:r>
              <w:rPr>
                <w:color w:val="1C3A36"/>
                <w:sz w:val="17"/>
              </w:rPr>
              <w:t>Tail</w:t>
            </w:r>
          </w:p>
        </w:tc>
        <w:tc>
          <w:tcPr>
            <w:tcW w:type="dxa" w:w="3888"/>
          </w:tcPr>
          <w:p>
            <w:pPr>
              <w:spacing w:after="20"/>
              <w:jc w:val="right"/>
            </w:pPr>
            <w:r>
              <w:rPr>
                <w:color w:val="1C3A36"/>
                <w:sz w:val="17"/>
              </w:rPr>
              <w:t>Regional escalation</w:t>
            </w:r>
          </w:p>
        </w:tc>
        <w:tc>
          <w:tcPr>
            <w:tcW w:type="dxa" w:w="4824"/>
          </w:tcPr>
          <w:p>
            <w:pPr>
              <w:spacing w:after="20"/>
              <w:jc w:val="right"/>
            </w:pPr>
            <w:r>
              <w:rPr>
                <w:color w:val="1C3A36"/>
                <w:sz w:val="17"/>
              </w:rPr>
              <w:t>March-2026 template: −14% fast, recovered; the left tail in the MC fit</w:t>
            </w:r>
          </w:p>
        </w:tc>
      </w:tr>
    </w:tbl>
    <w:p>
      <w:pPr>
        <w:spacing w:after="40"/>
      </w:pPr>
    </w:p>
    <w:p>
      <w:pPr>
        <w:spacing w:after="120" w:before="0"/>
      </w:pPr>
      <w:r>
        <w:rPr>
          <w:b w:val="0"/>
          <w:i w:val="0"/>
          <w:color w:val="1C3A36"/>
          <w:sz w:val="21"/>
        </w:rPr>
        <w:t>Note what is absent: no product launches, no contract wins, no commodity calls. A monopoly utility’s calendar is policy, rates and execution — three forces, all named above, all datable.</w:t>
      </w:r>
    </w:p>
    <w:p>
      <w:pPr>
        <w:spacing w:after="120" w:before="280"/>
      </w:pPr>
      <w:r>
        <w:rPr>
          <w:b/>
          <w:i w:val="0"/>
          <w:color w:val="1C3A36"/>
          <w:sz w:val="30"/>
        </w:rPr>
        <w:t>6  Reading the probability zones (T+60 close)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2160"/>
            <w:shd w:val="clear" w:color="auto" w:fill="EAF0EE"/>
          </w:tcPr>
          <w:p>
            <w:pPr>
              <w:spacing w:after="20"/>
            </w:pPr>
            <w:r>
              <w:rPr>
                <w:b/>
                <w:color w:val="1C3A36"/>
                <w:sz w:val="18"/>
              </w:rPr>
              <w:t>Zone (AED)</w:t>
            </w:r>
          </w:p>
        </w:tc>
        <w:tc>
          <w:tcPr>
            <w:tcW w:type="dxa" w:w="1584"/>
            <w:shd w:val="clear" w:color="auto" w:fill="EAF0EE"/>
          </w:tcPr>
          <w:p>
            <w:pPr>
              <w:spacing w:after="20"/>
            </w:pPr>
            <w:r>
              <w:rPr>
                <w:b/>
                <w:color w:val="1C3A36"/>
                <w:sz w:val="18"/>
              </w:rPr>
              <w:t>Probability</w:t>
            </w:r>
          </w:p>
        </w:tc>
        <w:tc>
          <w:tcPr>
            <w:tcW w:type="dxa" w:w="6912"/>
            <w:shd w:val="clear" w:color="auto" w:fill="EAF0EE"/>
          </w:tcPr>
          <w:p>
            <w:pPr>
              <w:spacing w:after="20"/>
            </w:pPr>
            <w:r>
              <w:rPr>
                <w:b/>
                <w:color w:val="1C3A36"/>
                <w:sz w:val="18"/>
              </w:rPr>
              <w:t>Reading</w:t>
            </w:r>
          </w:p>
        </w:tc>
      </w:tr>
      <w:tr>
        <w:tc>
          <w:tcPr>
            <w:tcW w:type="dxa" w:w="2160"/>
          </w:tcPr>
          <w:p>
            <w:pPr>
              <w:spacing w:after="20"/>
            </w:pPr>
            <w:r>
              <w:rPr>
                <w:color w:val="1C3A36"/>
                <w:sz w:val="18"/>
              </w:rPr>
              <w:t>&lt; 2.40</w:t>
            </w:r>
          </w:p>
        </w:tc>
        <w:tc>
          <w:tcPr>
            <w:tcW w:type="dxa" w:w="1584"/>
          </w:tcPr>
          <w:p>
            <w:pPr>
              <w:spacing w:after="20"/>
              <w:jc w:val="right"/>
            </w:pPr>
            <w:r>
              <w:rPr>
                <w:color w:val="1C3A36"/>
                <w:sz w:val="18"/>
              </w:rPr>
              <w:t>8%</w:t>
            </w:r>
          </w:p>
        </w:tc>
        <w:tc>
          <w:tcPr>
            <w:tcW w:type="dxa" w:w="6912"/>
          </w:tcPr>
          <w:p>
            <w:pPr>
              <w:spacing w:after="20"/>
              <w:jc w:val="right"/>
            </w:pPr>
            <w:r>
              <w:rPr>
                <w:color w:val="1C3A36"/>
                <w:sz w:val="18"/>
              </w:rPr>
              <w:t>deep left tail — escalation replay; the March-2026 template</w:t>
            </w:r>
          </w:p>
        </w:tc>
      </w:tr>
      <w:tr>
        <w:tc>
          <w:tcPr>
            <w:tcW w:type="dxa" w:w="2160"/>
          </w:tcPr>
          <w:p>
            <w:pPr>
              <w:spacing w:after="20"/>
            </w:pPr>
            <w:r>
              <w:rPr>
                <w:color w:val="1C3A36"/>
                <w:sz w:val="18"/>
              </w:rPr>
              <w:t>2.40 – 2.60</w:t>
            </w:r>
          </w:p>
        </w:tc>
        <w:tc>
          <w:tcPr>
            <w:tcW w:type="dxa" w:w="1584"/>
          </w:tcPr>
          <w:p>
            <w:pPr>
              <w:spacing w:after="20"/>
              <w:jc w:val="right"/>
            </w:pPr>
            <w:r>
              <w:rPr>
                <w:color w:val="1C3A36"/>
                <w:sz w:val="18"/>
              </w:rPr>
              <w:t>16%</w:t>
            </w:r>
          </w:p>
        </w:tc>
        <w:tc>
          <w:tcPr>
            <w:tcW w:type="dxa" w:w="6912"/>
          </w:tcPr>
          <w:p>
            <w:pPr>
              <w:spacing w:after="20"/>
              <w:jc w:val="right"/>
            </w:pPr>
            <w:r>
              <w:rPr>
                <w:color w:val="1C3A36"/>
                <w:sz w:val="18"/>
              </w:rPr>
              <w:t>soft zone — carry drag dominates; income holders accumulate</w:t>
            </w:r>
          </w:p>
        </w:tc>
      </w:tr>
      <w:tr>
        <w:tc>
          <w:tcPr>
            <w:tcW w:type="dxa" w:w="2160"/>
          </w:tcPr>
          <w:p>
            <w:pPr>
              <w:spacing w:after="20"/>
            </w:pPr>
            <w:r>
              <w:rPr>
                <w:color w:val="1C3A36"/>
                <w:sz w:val="18"/>
              </w:rPr>
              <w:t>2.60 – 2.95</w:t>
            </w:r>
          </w:p>
        </w:tc>
        <w:tc>
          <w:tcPr>
            <w:tcW w:type="dxa" w:w="1584"/>
          </w:tcPr>
          <w:p>
            <w:pPr>
              <w:spacing w:after="20"/>
              <w:jc w:val="right"/>
            </w:pPr>
            <w:r>
              <w:rPr>
                <w:color w:val="1C3A36"/>
                <w:sz w:val="18"/>
              </w:rPr>
              <w:t>44%</w:t>
            </w:r>
          </w:p>
        </w:tc>
        <w:tc>
          <w:tcPr>
            <w:tcW w:type="dxa" w:w="6912"/>
          </w:tcPr>
          <w:p>
            <w:pPr>
              <w:spacing w:after="20"/>
              <w:jc w:val="right"/>
            </w:pPr>
            <w:r>
              <w:rPr>
                <w:color w:val="1C3A36"/>
                <w:sz w:val="18"/>
              </w:rPr>
              <w:t>the fat middle — sideways income; the base case of the tape</w:t>
            </w:r>
          </w:p>
        </w:tc>
      </w:tr>
      <w:tr>
        <w:tc>
          <w:tcPr>
            <w:tcW w:type="dxa" w:w="2160"/>
          </w:tcPr>
          <w:p>
            <w:pPr>
              <w:spacing w:after="20"/>
            </w:pPr>
            <w:r>
              <w:rPr>
                <w:color w:val="1C3A36"/>
                <w:sz w:val="18"/>
              </w:rPr>
              <w:t>2.95 – 3.20</w:t>
            </w:r>
          </w:p>
        </w:tc>
        <w:tc>
          <w:tcPr>
            <w:tcW w:type="dxa" w:w="1584"/>
          </w:tcPr>
          <w:p>
            <w:pPr>
              <w:spacing w:after="20"/>
              <w:jc w:val="right"/>
            </w:pPr>
            <w:r>
              <w:rPr>
                <w:color w:val="1C3A36"/>
                <w:sz w:val="18"/>
              </w:rPr>
              <w:t>21%</w:t>
            </w:r>
          </w:p>
        </w:tc>
        <w:tc>
          <w:tcPr>
            <w:tcW w:type="dxa" w:w="6912"/>
          </w:tcPr>
          <w:p>
            <w:pPr>
              <w:spacing w:after="20"/>
              <w:jc w:val="right"/>
            </w:pPr>
            <w:r>
              <w:rPr>
                <w:color w:val="1C3A36"/>
                <w:sz w:val="18"/>
              </w:rPr>
              <w:t>firm zone — rate-cut or results bid; first step toward the fundamental range</w:t>
            </w:r>
          </w:p>
        </w:tc>
      </w:tr>
      <w:tr>
        <w:tc>
          <w:tcPr>
            <w:tcW w:type="dxa" w:w="2160"/>
          </w:tcPr>
          <w:p>
            <w:pPr>
              <w:spacing w:after="20"/>
            </w:pPr>
            <w:r>
              <w:rPr>
                <w:color w:val="1C3A36"/>
                <w:sz w:val="18"/>
              </w:rPr>
              <w:t>&gt; 3.20</w:t>
            </w:r>
          </w:p>
        </w:tc>
        <w:tc>
          <w:tcPr>
            <w:tcW w:type="dxa" w:w="1584"/>
          </w:tcPr>
          <w:p>
            <w:pPr>
              <w:spacing w:after="20"/>
              <w:jc w:val="right"/>
            </w:pPr>
            <w:r>
              <w:rPr>
                <w:color w:val="1C3A36"/>
                <w:sz w:val="18"/>
              </w:rPr>
              <w:t>12%</w:t>
            </w:r>
          </w:p>
        </w:tc>
        <w:tc>
          <w:tcPr>
            <w:tcW w:type="dxa" w:w="6912"/>
          </w:tcPr>
          <w:p>
            <w:pPr>
              <w:spacing w:after="20"/>
              <w:jc w:val="right"/>
            </w:pPr>
            <w:r>
              <w:rPr>
                <w:color w:val="1C3A36"/>
                <w:sz w:val="18"/>
              </w:rPr>
              <w:t>breakout — an early policy signal; only the crux gets the price here this fast</w:t>
            </w:r>
          </w:p>
        </w:tc>
      </w:tr>
    </w:tbl>
    <w:p>
      <w:pPr>
        <w:spacing w:after="40"/>
      </w:pPr>
    </w:p>
    <w:p>
      <w:pPr>
        <w:spacing w:after="120" w:before="280"/>
      </w:pPr>
      <w:r>
        <w:rPr>
          <w:b/>
          <w:i w:val="0"/>
          <w:color w:val="1C3A36"/>
          <w:sz w:val="30"/>
        </w:rPr>
        <w:t>7  Caveats — and what would change our mind</w:t>
      </w:r>
    </w:p>
    <w:p>
      <w:pPr>
        <w:spacing w:after="120" w:before="0"/>
      </w:pPr>
      <w:r>
        <w:rPr>
          <w:b w:val="0"/>
          <w:i w:val="0"/>
          <w:color w:val="1C3A36"/>
          <w:sz w:val="21"/>
        </w:rPr>
        <w:t>Every claim in this study is falsifiable, and the honest version of a valuation names its own kill-switches. Six, each dated and observable:</w:t>
      </w:r>
    </w:p>
    <w:p>
      <w:pPr>
        <w:spacing w:after="120" w:before="0"/>
      </w:pPr>
      <w:r>
        <w:rPr>
          <w:b w:val="0"/>
          <w:i w:val="0"/>
          <w:color w:val="1C3A36"/>
          <w:sz w:val="21"/>
        </w:rPr>
        <w:t>1. A post-2027 policy statement. Any board or government communication pointing to a frozen or reduced dividend after October 2027 collapses the DDM base and bull branches and pulls the weighted central toward the AED 2.09 bear anchor. This is the single largest exposure in the study — roughly AED 1.15 of the central hangs on the policy not being frozen — and it can resolve on any earnings call between now and mid-2027.</w:t>
      </w:r>
    </w:p>
    <w:p>
      <w:pPr>
        <w:spacing w:after="120" w:before="0"/>
      </w:pPr>
      <w:r>
        <w:rPr>
          <w:b w:val="0"/>
          <w:i w:val="0"/>
          <w:color w:val="1C3A36"/>
          <w:sz w:val="21"/>
        </w:rPr>
        <w:t>2. An October-2026 interim below the run-rate. The mechanics assume AED 3.1bn semi-annual instalments through the policy window. A declared interim below that breaks the floor assumption itself, not merely the growth assumption, and would force the bear DDM to be re-based below 2.09.</w:t>
      </w:r>
    </w:p>
    <w:p>
      <w:pPr>
        <w:spacing w:after="120" w:before="0"/>
      </w:pPr>
      <w:r>
        <w:rPr>
          <w:b w:val="0"/>
          <w:i w:val="0"/>
          <w:color w:val="1C3A36"/>
          <w:sz w:val="21"/>
        </w:rPr>
        <w:t>3. The H1-2026 print (~mid-August). Revenue growth below ~5% or an engine-basis EBITDA margin below 53% falsifies the FY26 driver set within one print; both drivers were deliberately set below the Q1 actuals precisely so that a miss would be informative rather than noise.</w:t>
      </w:r>
    </w:p>
    <w:p>
      <w:pPr>
        <w:spacing w:after="120" w:before="0"/>
      </w:pPr>
      <w:r>
        <w:rPr>
          <w:b w:val="0"/>
          <w:i w:val="0"/>
          <w:color w:val="1C3A36"/>
          <w:sz w:val="21"/>
        </w:rPr>
        <w:t>4. A DSCE tariff decision that compresses the spread. The justified-P/B lens and Expert 4 both price a persistent ~250bp ROE-over-Ke spread. A pass-through or tariff ruling that pushes the realised spread below ~100bp invalidates that multiple — and, because the government owns 82% of the dividend it would be squeezing, would also be genuinely new information about state priorities.</w:t>
      </w:r>
    </w:p>
    <w:p>
      <w:pPr>
        <w:spacing w:after="120" w:before="0"/>
      </w:pPr>
      <w:r>
        <w:rPr>
          <w:b w:val="0"/>
          <w:i w:val="0"/>
          <w:color w:val="1C3A36"/>
          <w:sz w:val="21"/>
        </w:rPr>
        <w:t>5. A regional re-escalation that does not recover. March-2026 cut the stock 13.7% and closed the exchange for two sessions; the recovery took weeks. A repeat that is not retraced within a quarter would force the Monte Carlo market fit, the ERP basis and the risk-free anchor to be re-read before any number in this study is reused.</w:t>
      </w:r>
    </w:p>
    <w:p>
      <w:pPr>
        <w:spacing w:after="120" w:before="0"/>
      </w:pPr>
      <w:r>
        <w:rPr>
          <w:b w:val="0"/>
          <w:i w:val="0"/>
          <w:color w:val="1C3A36"/>
          <w:sz w:val="21"/>
        </w:rPr>
        <w:t>6. A risk-free shift of ±100bp. The UAE MoF AED curve at 4.30% anchors every lens; a 100bp move mechanically reprices a bond-proxy, and §1.10’s grids carry the exact values. This is the falsifier a reader can monitor weekly without waiting for the company to speak.</w:t>
      </w:r>
    </w:p>
    <w:p>
      <w:pPr>
        <w:spacing w:after="120" w:before="280"/>
      </w:pPr>
      <w:r>
        <w:rPr>
          <w:b/>
          <w:i w:val="0"/>
          <w:color w:val="1C3A36"/>
          <w:sz w:val="30"/>
        </w:rPr>
        <w:t>Appendix A  Financial statements — 3 years history, 5 years forecast</w:t>
      </w:r>
    </w:p>
    <w:p>
      <w:pPr>
        <w:spacing w:after="120" w:before="0"/>
      </w:pPr>
      <w:r>
        <w:rPr>
          <w:b w:val="0"/>
          <w:i w:val="0"/>
          <w:color w:val="1C3A36"/>
          <w:sz w:val="21"/>
        </w:rPr>
        <w:t>Every historical line below comes from the company’s audited consolidated financial statements, never an aggregator — FY25 and its FY24 comparatives from the KPMG-audited FY2025 statements (signed 27-Feb-2026); FY23 from the KPMG-audited FY2024 statements’ comparatives (signed 27-Feb-2025), with the FY23 balance-sheet face taken from the audited FY2023 statements as reproduced in DEWA’s Integrated Report 2023. One restatement note: the FY24 statements regrouped certain FY23 cash-flow lines (≈AED 536mn moved between operating and investing); the restated — most recent audited — presentation is used throughout, which is why the FY23 cash-flow figures here differ from the FY23 original release. The forecast columns are the §1.7 driver set, live-linked in the companion Excel.</w:t>
      </w:r>
    </w:p>
    <w:p>
      <w:pPr>
        <w:spacing w:after="80" w:before="200"/>
      </w:pPr>
      <w:r>
        <w:rPr>
          <w:b/>
          <w:i w:val="0"/>
          <w:color w:val="1C3A36"/>
          <w:sz w:val="24"/>
        </w:rPr>
        <w:t>A.1  Income statement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120"/>
        <w:gridCol w:w="1120"/>
        <w:gridCol w:w="1120"/>
        <w:gridCol w:w="1120"/>
        <w:gridCol w:w="1120"/>
        <w:gridCol w:w="1120"/>
        <w:gridCol w:w="1120"/>
        <w:gridCol w:w="1120"/>
        <w:gridCol w:w="1120"/>
      </w:tblGrid>
      <w:tr>
        <w:tc>
          <w:tcPr>
            <w:tcW w:type="dxa" w:w="2232"/>
            <w:shd w:val="clear" w:color="auto" w:fill="EAF0EE"/>
          </w:tcPr>
          <w:p>
            <w:pPr>
              <w:spacing w:after="20"/>
            </w:pPr>
            <w:r>
              <w:rPr>
                <w:b/>
                <w:color w:val="1C3A36"/>
                <w:sz w:val="15"/>
              </w:rPr>
              <w:t>AED mn</w:t>
            </w:r>
          </w:p>
        </w:tc>
        <w:tc>
          <w:tcPr>
            <w:tcW w:type="dxa" w:w="1066"/>
            <w:shd w:val="clear" w:color="auto" w:fill="EAF0EE"/>
          </w:tcPr>
          <w:p>
            <w:pPr>
              <w:spacing w:after="20"/>
            </w:pPr>
            <w:r>
              <w:rPr>
                <w:b/>
                <w:color w:val="1C3A36"/>
                <w:sz w:val="15"/>
              </w:rPr>
              <w:t>FY23</w:t>
            </w:r>
          </w:p>
        </w:tc>
        <w:tc>
          <w:tcPr>
            <w:tcW w:type="dxa" w:w="1066"/>
            <w:shd w:val="clear" w:color="auto" w:fill="EAF0EE"/>
          </w:tcPr>
          <w:p>
            <w:pPr>
              <w:spacing w:after="20"/>
            </w:pPr>
            <w:r>
              <w:rPr>
                <w:b/>
                <w:color w:val="1C3A36"/>
                <w:sz w:val="15"/>
              </w:rPr>
              <w:t>FY24</w:t>
            </w:r>
          </w:p>
        </w:tc>
        <w:tc>
          <w:tcPr>
            <w:tcW w:type="dxa" w:w="1066"/>
            <w:shd w:val="clear" w:color="auto" w:fill="EAF0EE"/>
          </w:tcPr>
          <w:p>
            <w:pPr>
              <w:spacing w:after="20"/>
            </w:pPr>
            <w:r>
              <w:rPr>
                <w:b/>
                <w:color w:val="1C3A36"/>
                <w:sz w:val="15"/>
              </w:rPr>
              <w:t>FY25</w:t>
            </w:r>
          </w:p>
        </w:tc>
        <w:tc>
          <w:tcPr>
            <w:tcW w:type="dxa" w:w="1066"/>
            <w:shd w:val="clear" w:color="auto" w:fill="EAF0EE"/>
          </w:tcPr>
          <w:p>
            <w:pPr>
              <w:spacing w:after="20"/>
            </w:pPr>
            <w:r>
              <w:rPr>
                <w:b/>
                <w:color w:val="1C3A36"/>
                <w:sz w:val="15"/>
              </w:rPr>
              <w:t>FY26E</w:t>
            </w:r>
          </w:p>
        </w:tc>
        <w:tc>
          <w:tcPr>
            <w:tcW w:type="dxa" w:w="1066"/>
            <w:shd w:val="clear" w:color="auto" w:fill="EAF0EE"/>
          </w:tcPr>
          <w:p>
            <w:pPr>
              <w:spacing w:after="20"/>
            </w:pPr>
            <w:r>
              <w:rPr>
                <w:b/>
                <w:color w:val="1C3A36"/>
                <w:sz w:val="15"/>
              </w:rPr>
              <w:t>FY27E</w:t>
            </w:r>
          </w:p>
        </w:tc>
        <w:tc>
          <w:tcPr>
            <w:tcW w:type="dxa" w:w="1066"/>
            <w:shd w:val="clear" w:color="auto" w:fill="EAF0EE"/>
          </w:tcPr>
          <w:p>
            <w:pPr>
              <w:spacing w:after="20"/>
            </w:pPr>
            <w:r>
              <w:rPr>
                <w:b/>
                <w:color w:val="1C3A36"/>
                <w:sz w:val="15"/>
              </w:rPr>
              <w:t>FY28E</w:t>
            </w:r>
          </w:p>
        </w:tc>
        <w:tc>
          <w:tcPr>
            <w:tcW w:type="dxa" w:w="1066"/>
            <w:shd w:val="clear" w:color="auto" w:fill="EAF0EE"/>
          </w:tcPr>
          <w:p>
            <w:pPr>
              <w:spacing w:after="20"/>
            </w:pPr>
            <w:r>
              <w:rPr>
                <w:b/>
                <w:color w:val="1C3A36"/>
                <w:sz w:val="15"/>
              </w:rPr>
              <w:t>FY29E</w:t>
            </w:r>
          </w:p>
        </w:tc>
        <w:tc>
          <w:tcPr>
            <w:tcW w:type="dxa" w:w="1066"/>
            <w:shd w:val="clear" w:color="auto" w:fill="EAF0EE"/>
          </w:tcPr>
          <w:p>
            <w:pPr>
              <w:spacing w:after="20"/>
            </w:pPr>
            <w:r>
              <w:rPr>
                <w:b/>
                <w:color w:val="1C3A36"/>
                <w:sz w:val="15"/>
              </w:rPr>
              <w:t>FY30E</w:t>
            </w:r>
          </w:p>
        </w:tc>
      </w:tr>
      <w:tr>
        <w:tc>
          <w:tcPr>
            <w:tcW w:type="dxa" w:w="2232"/>
          </w:tcPr>
          <w:p>
            <w:pPr>
              <w:spacing w:after="20"/>
            </w:pPr>
            <w:r>
              <w:rPr>
                <w:color w:val="1C3A36"/>
                <w:sz w:val="15"/>
              </w:rPr>
              <w:t>Revenue</w:t>
            </w:r>
          </w:p>
        </w:tc>
        <w:tc>
          <w:tcPr>
            <w:tcW w:type="dxa" w:w="1066"/>
          </w:tcPr>
          <w:p>
            <w:pPr>
              <w:spacing w:after="20"/>
              <w:jc w:val="right"/>
            </w:pPr>
            <w:r>
              <w:rPr>
                <w:color w:val="1C3A36"/>
                <w:sz w:val="15"/>
              </w:rPr>
              <w:t>29,178</w:t>
            </w:r>
          </w:p>
        </w:tc>
        <w:tc>
          <w:tcPr>
            <w:tcW w:type="dxa" w:w="1066"/>
          </w:tcPr>
          <w:p>
            <w:pPr>
              <w:spacing w:after="20"/>
              <w:jc w:val="right"/>
            </w:pPr>
            <w:r>
              <w:rPr>
                <w:color w:val="1C3A36"/>
                <w:sz w:val="15"/>
              </w:rPr>
              <w:t>30,977</w:t>
            </w:r>
          </w:p>
        </w:tc>
        <w:tc>
          <w:tcPr>
            <w:tcW w:type="dxa" w:w="1066"/>
          </w:tcPr>
          <w:p>
            <w:pPr>
              <w:spacing w:after="20"/>
              <w:jc w:val="right"/>
            </w:pPr>
            <w:r>
              <w:rPr>
                <w:color w:val="1C3A36"/>
                <w:sz w:val="15"/>
              </w:rPr>
              <w:t>32,842</w:t>
            </w:r>
          </w:p>
        </w:tc>
        <w:tc>
          <w:tcPr>
            <w:tcW w:type="dxa" w:w="1066"/>
          </w:tcPr>
          <w:p>
            <w:pPr>
              <w:spacing w:after="20"/>
              <w:jc w:val="right"/>
            </w:pPr>
            <w:r>
              <w:rPr>
                <w:color w:val="1C3A36"/>
                <w:sz w:val="15"/>
              </w:rPr>
              <w:t>35,305</w:t>
            </w:r>
          </w:p>
        </w:tc>
        <w:tc>
          <w:tcPr>
            <w:tcW w:type="dxa" w:w="1066"/>
          </w:tcPr>
          <w:p>
            <w:pPr>
              <w:spacing w:after="20"/>
              <w:jc w:val="right"/>
            </w:pPr>
            <w:r>
              <w:rPr>
                <w:color w:val="1C3A36"/>
                <w:sz w:val="15"/>
              </w:rPr>
              <w:t>37,423</w:t>
            </w:r>
          </w:p>
        </w:tc>
        <w:tc>
          <w:tcPr>
            <w:tcW w:type="dxa" w:w="1066"/>
          </w:tcPr>
          <w:p>
            <w:pPr>
              <w:spacing w:after="20"/>
              <w:jc w:val="right"/>
            </w:pPr>
            <w:r>
              <w:rPr>
                <w:color w:val="1C3A36"/>
                <w:sz w:val="15"/>
              </w:rPr>
              <w:t>39,482</w:t>
            </w:r>
          </w:p>
        </w:tc>
        <w:tc>
          <w:tcPr>
            <w:tcW w:type="dxa" w:w="1066"/>
          </w:tcPr>
          <w:p>
            <w:pPr>
              <w:spacing w:after="20"/>
              <w:jc w:val="right"/>
            </w:pPr>
            <w:r>
              <w:rPr>
                <w:color w:val="1C3A36"/>
                <w:sz w:val="15"/>
              </w:rPr>
              <w:t>41,456</w:t>
            </w:r>
          </w:p>
        </w:tc>
        <w:tc>
          <w:tcPr>
            <w:tcW w:type="dxa" w:w="1066"/>
          </w:tcPr>
          <w:p>
            <w:pPr>
              <w:spacing w:after="20"/>
              <w:jc w:val="right"/>
            </w:pPr>
            <w:r>
              <w:rPr>
                <w:color w:val="1C3A36"/>
                <w:sz w:val="15"/>
              </w:rPr>
              <w:t>43,321</w:t>
            </w:r>
          </w:p>
        </w:tc>
      </w:tr>
      <w:tr>
        <w:tc>
          <w:tcPr>
            <w:tcW w:type="dxa" w:w="2232"/>
          </w:tcPr>
          <w:p>
            <w:pPr>
              <w:spacing w:after="20"/>
            </w:pPr>
            <w:r>
              <w:rPr>
                <w:color w:val="1C3A36"/>
                <w:sz w:val="15"/>
              </w:rPr>
              <w:t>EBITDA (engine basis)</w:t>
            </w:r>
          </w:p>
        </w:tc>
        <w:tc>
          <w:tcPr>
            <w:tcW w:type="dxa" w:w="1066"/>
          </w:tcPr>
          <w:p>
            <w:pPr>
              <w:spacing w:after="20"/>
              <w:jc w:val="right"/>
            </w:pPr>
            <w:r>
              <w:rPr>
                <w:color w:val="1C3A36"/>
                <w:sz w:val="15"/>
              </w:rPr>
              <w:t>14,884</w:t>
            </w:r>
          </w:p>
        </w:tc>
        <w:tc>
          <w:tcPr>
            <w:tcW w:type="dxa" w:w="1066"/>
          </w:tcPr>
          <w:p>
            <w:pPr>
              <w:spacing w:after="20"/>
              <w:jc w:val="right"/>
            </w:pPr>
            <w:r>
              <w:rPr>
                <w:color w:val="1C3A36"/>
                <w:sz w:val="15"/>
              </w:rPr>
              <w:t>15,892</w:t>
            </w:r>
          </w:p>
        </w:tc>
        <w:tc>
          <w:tcPr>
            <w:tcW w:type="dxa" w:w="1066"/>
          </w:tcPr>
          <w:p>
            <w:pPr>
              <w:spacing w:after="20"/>
              <w:jc w:val="right"/>
            </w:pPr>
            <w:r>
              <w:rPr>
                <w:color w:val="1C3A36"/>
                <w:sz w:val="15"/>
              </w:rPr>
              <w:t>17,661</w:t>
            </w:r>
          </w:p>
        </w:tc>
        <w:tc>
          <w:tcPr>
            <w:tcW w:type="dxa" w:w="1066"/>
          </w:tcPr>
          <w:p>
            <w:pPr>
              <w:spacing w:after="20"/>
              <w:jc w:val="right"/>
            </w:pPr>
            <w:r>
              <w:rPr>
                <w:color w:val="1C3A36"/>
                <w:sz w:val="15"/>
              </w:rPr>
              <w:t>19,135</w:t>
            </w:r>
          </w:p>
        </w:tc>
        <w:tc>
          <w:tcPr>
            <w:tcW w:type="dxa" w:w="1066"/>
          </w:tcPr>
          <w:p>
            <w:pPr>
              <w:spacing w:after="20"/>
              <w:jc w:val="right"/>
            </w:pPr>
            <w:r>
              <w:rPr>
                <w:color w:val="1C3A36"/>
                <w:sz w:val="15"/>
              </w:rPr>
              <w:t>20,433</w:t>
            </w:r>
          </w:p>
        </w:tc>
        <w:tc>
          <w:tcPr>
            <w:tcW w:type="dxa" w:w="1066"/>
          </w:tcPr>
          <w:p>
            <w:pPr>
              <w:spacing w:after="20"/>
              <w:jc w:val="right"/>
            </w:pPr>
            <w:r>
              <w:rPr>
                <w:color w:val="1C3A36"/>
                <w:sz w:val="15"/>
              </w:rPr>
              <w:t>21,715</w:t>
            </w:r>
          </w:p>
        </w:tc>
        <w:tc>
          <w:tcPr>
            <w:tcW w:type="dxa" w:w="1066"/>
          </w:tcPr>
          <w:p>
            <w:pPr>
              <w:spacing w:after="20"/>
              <w:jc w:val="right"/>
            </w:pPr>
            <w:r>
              <w:rPr>
                <w:color w:val="1C3A36"/>
                <w:sz w:val="15"/>
              </w:rPr>
              <w:t>22,925</w:t>
            </w:r>
          </w:p>
        </w:tc>
        <w:tc>
          <w:tcPr>
            <w:tcW w:type="dxa" w:w="1066"/>
          </w:tcPr>
          <w:p>
            <w:pPr>
              <w:spacing w:after="20"/>
              <w:jc w:val="right"/>
            </w:pPr>
            <w:r>
              <w:rPr>
                <w:color w:val="1C3A36"/>
                <w:sz w:val="15"/>
              </w:rPr>
              <w:t>24,043</w:t>
            </w:r>
          </w:p>
        </w:tc>
      </w:tr>
      <w:tr>
        <w:tc>
          <w:tcPr>
            <w:tcW w:type="dxa" w:w="2232"/>
          </w:tcPr>
          <w:p>
            <w:pPr>
              <w:spacing w:after="20"/>
            </w:pPr>
            <w:r>
              <w:rPr>
                <w:color w:val="1C3A36"/>
                <w:sz w:val="15"/>
              </w:rPr>
              <w:t>EBITDA margin</w:t>
            </w:r>
          </w:p>
        </w:tc>
        <w:tc>
          <w:tcPr>
            <w:tcW w:type="dxa" w:w="1066"/>
          </w:tcPr>
          <w:p>
            <w:pPr>
              <w:spacing w:after="20"/>
              <w:jc w:val="right"/>
            </w:pPr>
            <w:r>
              <w:rPr>
                <w:color w:val="1C3A36"/>
                <w:sz w:val="15"/>
              </w:rPr>
              <w:t>51.0%</w:t>
            </w:r>
          </w:p>
        </w:tc>
        <w:tc>
          <w:tcPr>
            <w:tcW w:type="dxa" w:w="1066"/>
          </w:tcPr>
          <w:p>
            <w:pPr>
              <w:spacing w:after="20"/>
              <w:jc w:val="right"/>
            </w:pPr>
            <w:r>
              <w:rPr>
                <w:color w:val="1C3A36"/>
                <w:sz w:val="15"/>
              </w:rPr>
              <w:t>51.3%</w:t>
            </w:r>
          </w:p>
        </w:tc>
        <w:tc>
          <w:tcPr>
            <w:tcW w:type="dxa" w:w="1066"/>
          </w:tcPr>
          <w:p>
            <w:pPr>
              <w:spacing w:after="20"/>
              <w:jc w:val="right"/>
            </w:pPr>
            <w:r>
              <w:rPr>
                <w:color w:val="1C3A36"/>
                <w:sz w:val="15"/>
              </w:rPr>
              <w:t>53.8%</w:t>
            </w:r>
          </w:p>
        </w:tc>
        <w:tc>
          <w:tcPr>
            <w:tcW w:type="dxa" w:w="1066"/>
          </w:tcPr>
          <w:p>
            <w:pPr>
              <w:spacing w:after="20"/>
              <w:jc w:val="right"/>
            </w:pPr>
            <w:r>
              <w:rPr>
                <w:color w:val="1C3A36"/>
                <w:sz w:val="15"/>
              </w:rPr>
              <w:t>54.2%</w:t>
            </w:r>
          </w:p>
        </w:tc>
        <w:tc>
          <w:tcPr>
            <w:tcW w:type="dxa" w:w="1066"/>
          </w:tcPr>
          <w:p>
            <w:pPr>
              <w:spacing w:after="20"/>
              <w:jc w:val="right"/>
            </w:pPr>
            <w:r>
              <w:rPr>
                <w:color w:val="1C3A36"/>
                <w:sz w:val="15"/>
              </w:rPr>
              <w:t>54.6%</w:t>
            </w:r>
          </w:p>
        </w:tc>
        <w:tc>
          <w:tcPr>
            <w:tcW w:type="dxa" w:w="1066"/>
          </w:tcPr>
          <w:p>
            <w:pPr>
              <w:spacing w:after="20"/>
              <w:jc w:val="right"/>
            </w:pPr>
            <w:r>
              <w:rPr>
                <w:color w:val="1C3A36"/>
                <w:sz w:val="15"/>
              </w:rPr>
              <w:t>55.0%</w:t>
            </w:r>
          </w:p>
        </w:tc>
        <w:tc>
          <w:tcPr>
            <w:tcW w:type="dxa" w:w="1066"/>
          </w:tcPr>
          <w:p>
            <w:pPr>
              <w:spacing w:after="20"/>
              <w:jc w:val="right"/>
            </w:pPr>
            <w:r>
              <w:rPr>
                <w:color w:val="1C3A36"/>
                <w:sz w:val="15"/>
              </w:rPr>
              <w:t>55.3%</w:t>
            </w:r>
          </w:p>
        </w:tc>
        <w:tc>
          <w:tcPr>
            <w:tcW w:type="dxa" w:w="1066"/>
          </w:tcPr>
          <w:p>
            <w:pPr>
              <w:spacing w:after="20"/>
              <w:jc w:val="right"/>
            </w:pPr>
            <w:r>
              <w:rPr>
                <w:color w:val="1C3A36"/>
                <w:sz w:val="15"/>
              </w:rPr>
              <w:t>55.5%</w:t>
            </w:r>
          </w:p>
        </w:tc>
      </w:tr>
      <w:tr>
        <w:tc>
          <w:tcPr>
            <w:tcW w:type="dxa" w:w="2232"/>
          </w:tcPr>
          <w:p>
            <w:pPr>
              <w:spacing w:after="20"/>
            </w:pPr>
            <w:r>
              <w:rPr>
                <w:color w:val="1C3A36"/>
                <w:sz w:val="15"/>
              </w:rPr>
              <w:t>– D&amp;A</w:t>
            </w:r>
          </w:p>
        </w:tc>
        <w:tc>
          <w:tcPr>
            <w:tcW w:type="dxa" w:w="1066"/>
          </w:tcPr>
          <w:p>
            <w:pPr>
              <w:spacing w:after="20"/>
              <w:jc w:val="right"/>
            </w:pPr>
            <w:r>
              <w:rPr>
                <w:color w:val="1C3A36"/>
                <w:sz w:val="15"/>
              </w:rPr>
              <w:t>(6,127)</w:t>
            </w:r>
          </w:p>
        </w:tc>
        <w:tc>
          <w:tcPr>
            <w:tcW w:type="dxa" w:w="1066"/>
          </w:tcPr>
          <w:p>
            <w:pPr>
              <w:spacing w:after="20"/>
              <w:jc w:val="right"/>
            </w:pPr>
            <w:r>
              <w:rPr>
                <w:color w:val="1C3A36"/>
                <w:sz w:val="15"/>
              </w:rPr>
              <w:t>(6,568)</w:t>
            </w:r>
          </w:p>
        </w:tc>
        <w:tc>
          <w:tcPr>
            <w:tcW w:type="dxa" w:w="1066"/>
          </w:tcPr>
          <w:p>
            <w:pPr>
              <w:spacing w:after="20"/>
              <w:jc w:val="right"/>
            </w:pPr>
            <w:r>
              <w:rPr>
                <w:color w:val="1C3A36"/>
                <w:sz w:val="15"/>
              </w:rPr>
              <w:t>(6,709)</w:t>
            </w:r>
          </w:p>
        </w:tc>
        <w:tc>
          <w:tcPr>
            <w:tcW w:type="dxa" w:w="1066"/>
          </w:tcPr>
          <w:p>
            <w:pPr>
              <w:spacing w:after="20"/>
              <w:jc w:val="right"/>
            </w:pPr>
            <w:r>
              <w:rPr>
                <w:color w:val="1C3A36"/>
                <w:sz w:val="15"/>
              </w:rPr>
              <w:t>(7,273)</w:t>
            </w:r>
          </w:p>
        </w:tc>
        <w:tc>
          <w:tcPr>
            <w:tcW w:type="dxa" w:w="1066"/>
          </w:tcPr>
          <w:p>
            <w:pPr>
              <w:spacing w:after="20"/>
              <w:jc w:val="right"/>
            </w:pPr>
            <w:r>
              <w:rPr>
                <w:color w:val="1C3A36"/>
                <w:sz w:val="15"/>
              </w:rPr>
              <w:t>(7,784)</w:t>
            </w:r>
          </w:p>
        </w:tc>
        <w:tc>
          <w:tcPr>
            <w:tcW w:type="dxa" w:w="1066"/>
          </w:tcPr>
          <w:p>
            <w:pPr>
              <w:spacing w:after="20"/>
              <w:jc w:val="right"/>
            </w:pPr>
            <w:r>
              <w:rPr>
                <w:color w:val="1C3A36"/>
                <w:sz w:val="15"/>
              </w:rPr>
              <w:t>(8,291)</w:t>
            </w:r>
          </w:p>
        </w:tc>
        <w:tc>
          <w:tcPr>
            <w:tcW w:type="dxa" w:w="1066"/>
          </w:tcPr>
          <w:p>
            <w:pPr>
              <w:spacing w:after="20"/>
              <w:jc w:val="right"/>
            </w:pPr>
            <w:r>
              <w:rPr>
                <w:color w:val="1C3A36"/>
                <w:sz w:val="15"/>
              </w:rPr>
              <w:t>(8,789)</w:t>
            </w:r>
          </w:p>
        </w:tc>
        <w:tc>
          <w:tcPr>
            <w:tcW w:type="dxa" w:w="1066"/>
          </w:tcPr>
          <w:p>
            <w:pPr>
              <w:spacing w:after="20"/>
              <w:jc w:val="right"/>
            </w:pPr>
            <w:r>
              <w:rPr>
                <w:color w:val="1C3A36"/>
                <w:sz w:val="15"/>
              </w:rPr>
              <w:t>(9,227)</w:t>
            </w:r>
          </w:p>
        </w:tc>
      </w:tr>
      <w:tr>
        <w:tc>
          <w:tcPr>
            <w:tcW w:type="dxa" w:w="2232"/>
          </w:tcPr>
          <w:p>
            <w:pPr>
              <w:spacing w:after="20"/>
            </w:pPr>
            <w:r>
              <w:rPr>
                <w:color w:val="1C3A36"/>
                <w:sz w:val="15"/>
              </w:rPr>
              <w:t>Operating profit (EBIT)</w:t>
            </w:r>
          </w:p>
        </w:tc>
        <w:tc>
          <w:tcPr>
            <w:tcW w:type="dxa" w:w="1066"/>
          </w:tcPr>
          <w:p>
            <w:pPr>
              <w:spacing w:after="20"/>
              <w:jc w:val="right"/>
            </w:pPr>
            <w:r>
              <w:rPr>
                <w:color w:val="1C3A36"/>
                <w:sz w:val="15"/>
              </w:rPr>
              <w:t>8,757</w:t>
            </w:r>
          </w:p>
        </w:tc>
        <w:tc>
          <w:tcPr>
            <w:tcW w:type="dxa" w:w="1066"/>
          </w:tcPr>
          <w:p>
            <w:pPr>
              <w:spacing w:after="20"/>
              <w:jc w:val="right"/>
            </w:pPr>
            <w:r>
              <w:rPr>
                <w:color w:val="1C3A36"/>
                <w:sz w:val="15"/>
              </w:rPr>
              <w:t>9,325</w:t>
            </w:r>
          </w:p>
        </w:tc>
        <w:tc>
          <w:tcPr>
            <w:tcW w:type="dxa" w:w="1066"/>
          </w:tcPr>
          <w:p>
            <w:pPr>
              <w:spacing w:after="20"/>
              <w:jc w:val="right"/>
            </w:pPr>
            <w:r>
              <w:rPr>
                <w:color w:val="1C3A36"/>
                <w:sz w:val="15"/>
              </w:rPr>
              <w:t>10,952</w:t>
            </w:r>
          </w:p>
        </w:tc>
        <w:tc>
          <w:tcPr>
            <w:tcW w:type="dxa" w:w="1066"/>
          </w:tcPr>
          <w:p>
            <w:pPr>
              <w:spacing w:after="20"/>
              <w:jc w:val="right"/>
            </w:pPr>
            <w:r>
              <w:rPr>
                <w:color w:val="1C3A36"/>
                <w:sz w:val="15"/>
              </w:rPr>
              <w:t>11,862</w:t>
            </w:r>
          </w:p>
        </w:tc>
        <w:tc>
          <w:tcPr>
            <w:tcW w:type="dxa" w:w="1066"/>
          </w:tcPr>
          <w:p>
            <w:pPr>
              <w:spacing w:after="20"/>
              <w:jc w:val="right"/>
            </w:pPr>
            <w:r>
              <w:rPr>
                <w:color w:val="1C3A36"/>
                <w:sz w:val="15"/>
              </w:rPr>
              <w:t>12,649</w:t>
            </w:r>
          </w:p>
        </w:tc>
        <w:tc>
          <w:tcPr>
            <w:tcW w:type="dxa" w:w="1066"/>
          </w:tcPr>
          <w:p>
            <w:pPr>
              <w:spacing w:after="20"/>
              <w:jc w:val="right"/>
            </w:pPr>
            <w:r>
              <w:rPr>
                <w:color w:val="1C3A36"/>
                <w:sz w:val="15"/>
              </w:rPr>
              <w:t>13,424</w:t>
            </w:r>
          </w:p>
        </w:tc>
        <w:tc>
          <w:tcPr>
            <w:tcW w:type="dxa" w:w="1066"/>
          </w:tcPr>
          <w:p>
            <w:pPr>
              <w:spacing w:after="20"/>
              <w:jc w:val="right"/>
            </w:pPr>
            <w:r>
              <w:rPr>
                <w:color w:val="1C3A36"/>
                <w:sz w:val="15"/>
              </w:rPr>
              <w:t>14,136</w:t>
            </w:r>
          </w:p>
        </w:tc>
        <w:tc>
          <w:tcPr>
            <w:tcW w:type="dxa" w:w="1066"/>
          </w:tcPr>
          <w:p>
            <w:pPr>
              <w:spacing w:after="20"/>
              <w:jc w:val="right"/>
            </w:pPr>
            <w:r>
              <w:rPr>
                <w:color w:val="1C3A36"/>
                <w:sz w:val="15"/>
              </w:rPr>
              <w:t>14,816</w:t>
            </w:r>
          </w:p>
        </w:tc>
      </w:tr>
      <w:tr>
        <w:tc>
          <w:tcPr>
            <w:tcW w:type="dxa" w:w="2232"/>
          </w:tcPr>
          <w:p>
            <w:pPr>
              <w:spacing w:after="20"/>
            </w:pPr>
            <w:r>
              <w:rPr>
                <w:color w:val="1C3A36"/>
                <w:sz w:val="15"/>
              </w:rPr>
              <w:t>– Net finance cost</w:t>
            </w:r>
          </w:p>
        </w:tc>
        <w:tc>
          <w:tcPr>
            <w:tcW w:type="dxa" w:w="1066"/>
          </w:tcPr>
          <w:p>
            <w:pPr>
              <w:spacing w:after="20"/>
              <w:jc w:val="right"/>
            </w:pPr>
            <w:r>
              <w:rPr>
                <w:color w:val="1C3A36"/>
                <w:sz w:val="15"/>
              </w:rPr>
              <w:t>(811)</w:t>
            </w:r>
          </w:p>
        </w:tc>
        <w:tc>
          <w:tcPr>
            <w:tcW w:type="dxa" w:w="1066"/>
          </w:tcPr>
          <w:p>
            <w:pPr>
              <w:spacing w:after="20"/>
              <w:jc w:val="right"/>
            </w:pPr>
            <w:r>
              <w:rPr>
                <w:color w:val="1C3A36"/>
                <w:sz w:val="15"/>
              </w:rPr>
              <w:t>(1,174)</w:t>
            </w:r>
          </w:p>
        </w:tc>
        <w:tc>
          <w:tcPr>
            <w:tcW w:type="dxa" w:w="1066"/>
          </w:tcPr>
          <w:p>
            <w:pPr>
              <w:spacing w:after="20"/>
              <w:jc w:val="right"/>
            </w:pPr>
            <w:r>
              <w:rPr>
                <w:color w:val="1C3A36"/>
                <w:sz w:val="15"/>
              </w:rPr>
              <w:t>(617)</w:t>
            </w:r>
          </w:p>
        </w:tc>
        <w:tc>
          <w:tcPr>
            <w:tcW w:type="dxa" w:w="1066"/>
          </w:tcPr>
          <w:p>
            <w:pPr>
              <w:spacing w:after="20"/>
              <w:jc w:val="right"/>
            </w:pPr>
            <w:r>
              <w:rPr>
                <w:color w:val="1C3A36"/>
                <w:sz w:val="15"/>
              </w:rPr>
              <w:t>(700)</w:t>
            </w:r>
          </w:p>
        </w:tc>
        <w:tc>
          <w:tcPr>
            <w:tcW w:type="dxa" w:w="1066"/>
          </w:tcPr>
          <w:p>
            <w:pPr>
              <w:spacing w:after="20"/>
              <w:jc w:val="right"/>
            </w:pPr>
            <w:r>
              <w:rPr>
                <w:color w:val="1C3A36"/>
                <w:sz w:val="15"/>
              </w:rPr>
              <w:t>(780)</w:t>
            </w:r>
          </w:p>
        </w:tc>
        <w:tc>
          <w:tcPr>
            <w:tcW w:type="dxa" w:w="1066"/>
          </w:tcPr>
          <w:p>
            <w:pPr>
              <w:spacing w:after="20"/>
              <w:jc w:val="right"/>
            </w:pPr>
            <w:r>
              <w:rPr>
                <w:color w:val="1C3A36"/>
                <w:sz w:val="15"/>
              </w:rPr>
              <w:t>(850)</w:t>
            </w:r>
          </w:p>
        </w:tc>
        <w:tc>
          <w:tcPr>
            <w:tcW w:type="dxa" w:w="1066"/>
          </w:tcPr>
          <w:p>
            <w:pPr>
              <w:spacing w:after="20"/>
              <w:jc w:val="right"/>
            </w:pPr>
            <w:r>
              <w:rPr>
                <w:color w:val="1C3A36"/>
                <w:sz w:val="15"/>
              </w:rPr>
              <w:t>(910)</w:t>
            </w:r>
          </w:p>
        </w:tc>
        <w:tc>
          <w:tcPr>
            <w:tcW w:type="dxa" w:w="1066"/>
          </w:tcPr>
          <w:p>
            <w:pPr>
              <w:spacing w:after="20"/>
              <w:jc w:val="right"/>
            </w:pPr>
            <w:r>
              <w:rPr>
                <w:color w:val="1C3A36"/>
                <w:sz w:val="15"/>
              </w:rPr>
              <w:t>(950)</w:t>
            </w:r>
          </w:p>
        </w:tc>
      </w:tr>
      <w:tr>
        <w:tc>
          <w:tcPr>
            <w:tcW w:type="dxa" w:w="2232"/>
          </w:tcPr>
          <w:p>
            <w:pPr>
              <w:spacing w:after="20"/>
            </w:pPr>
            <w:r>
              <w:rPr>
                <w:color w:val="1C3A36"/>
                <w:sz w:val="15"/>
              </w:rPr>
              <w:t>– Regulatory deferral mvt</w:t>
            </w:r>
          </w:p>
        </w:tc>
        <w:tc>
          <w:tcPr>
            <w:tcW w:type="dxa" w:w="1066"/>
          </w:tcPr>
          <w:p>
            <w:pPr>
              <w:spacing w:after="20"/>
              <w:jc w:val="right"/>
            </w:pPr>
            <w:r>
              <w:rPr>
                <w:color w:val="1C3A36"/>
                <w:sz w:val="15"/>
              </w:rPr>
              <w:t>(105)</w:t>
            </w:r>
          </w:p>
        </w:tc>
        <w:tc>
          <w:tcPr>
            <w:tcW w:type="dxa" w:w="1066"/>
          </w:tcPr>
          <w:p>
            <w:pPr>
              <w:spacing w:after="20"/>
              <w:jc w:val="right"/>
            </w:pPr>
            <w:r>
              <w:rPr>
                <w:color w:val="1C3A36"/>
                <w:sz w:val="15"/>
              </w:rPr>
              <w:t>(167)</w:t>
            </w:r>
          </w:p>
        </w:tc>
        <w:tc>
          <w:tcPr>
            <w:tcW w:type="dxa" w:w="1066"/>
          </w:tcPr>
          <w:p>
            <w:pPr>
              <w:spacing w:after="20"/>
              <w:jc w:val="right"/>
            </w:pPr>
            <w:r>
              <w:rPr>
                <w:color w:val="1C3A36"/>
                <w:sz w:val="15"/>
              </w:rPr>
              <w:t>(331)</w:t>
            </w:r>
          </w:p>
        </w:tc>
        <w:tc>
          <w:tcPr>
            <w:tcW w:type="dxa" w:w="1066"/>
          </w:tcPr>
          <w:p>
            <w:pPr>
              <w:spacing w:after="20"/>
              <w:jc w:val="right"/>
            </w:pPr>
            <w:r>
              <w:rPr>
                <w:color w:val="1C3A36"/>
                <w:sz w:val="15"/>
              </w:rPr>
              <w:t>0</w:t>
            </w:r>
          </w:p>
        </w:tc>
        <w:tc>
          <w:tcPr>
            <w:tcW w:type="dxa" w:w="1066"/>
          </w:tcPr>
          <w:p>
            <w:pPr>
              <w:spacing w:after="20"/>
              <w:jc w:val="right"/>
            </w:pPr>
            <w:r>
              <w:rPr>
                <w:color w:val="1C3A36"/>
                <w:sz w:val="15"/>
              </w:rPr>
              <w:t>0</w:t>
            </w:r>
          </w:p>
        </w:tc>
        <w:tc>
          <w:tcPr>
            <w:tcW w:type="dxa" w:w="1066"/>
          </w:tcPr>
          <w:p>
            <w:pPr>
              <w:spacing w:after="20"/>
              <w:jc w:val="right"/>
            </w:pPr>
            <w:r>
              <w:rPr>
                <w:color w:val="1C3A36"/>
                <w:sz w:val="15"/>
              </w:rPr>
              <w:t>0</w:t>
            </w:r>
          </w:p>
        </w:tc>
        <w:tc>
          <w:tcPr>
            <w:tcW w:type="dxa" w:w="1066"/>
          </w:tcPr>
          <w:p>
            <w:pPr>
              <w:spacing w:after="20"/>
              <w:jc w:val="right"/>
            </w:pPr>
            <w:r>
              <w:rPr>
                <w:color w:val="1C3A36"/>
                <w:sz w:val="15"/>
              </w:rPr>
              <w:t>0</w:t>
            </w:r>
          </w:p>
        </w:tc>
        <w:tc>
          <w:tcPr>
            <w:tcW w:type="dxa" w:w="1066"/>
          </w:tcPr>
          <w:p>
            <w:pPr>
              <w:spacing w:after="20"/>
              <w:jc w:val="right"/>
            </w:pPr>
            <w:r>
              <w:rPr>
                <w:color w:val="1C3A36"/>
                <w:sz w:val="15"/>
              </w:rPr>
              <w:t>0</w:t>
            </w:r>
          </w:p>
        </w:tc>
      </w:tr>
      <w:tr>
        <w:tc>
          <w:tcPr>
            <w:tcW w:type="dxa" w:w="2232"/>
          </w:tcPr>
          <w:p>
            <w:pPr>
              <w:spacing w:after="20"/>
            </w:pPr>
            <w:r>
              <w:rPr>
                <w:color w:val="1C3A36"/>
                <w:sz w:val="15"/>
              </w:rPr>
              <w:t>Profit before tax</w:t>
            </w:r>
          </w:p>
        </w:tc>
        <w:tc>
          <w:tcPr>
            <w:tcW w:type="dxa" w:w="1066"/>
          </w:tcPr>
          <w:p>
            <w:pPr>
              <w:spacing w:after="20"/>
              <w:jc w:val="right"/>
            </w:pPr>
            <w:r>
              <w:rPr>
                <w:color w:val="1C3A36"/>
                <w:sz w:val="15"/>
              </w:rPr>
              <w:t>7,842</w:t>
            </w:r>
          </w:p>
        </w:tc>
        <w:tc>
          <w:tcPr>
            <w:tcW w:type="dxa" w:w="1066"/>
          </w:tcPr>
          <w:p>
            <w:pPr>
              <w:spacing w:after="20"/>
              <w:jc w:val="right"/>
            </w:pPr>
            <w:r>
              <w:rPr>
                <w:color w:val="1C3A36"/>
                <w:sz w:val="15"/>
              </w:rPr>
              <w:t>7,983</w:t>
            </w:r>
          </w:p>
        </w:tc>
        <w:tc>
          <w:tcPr>
            <w:tcW w:type="dxa" w:w="1066"/>
          </w:tcPr>
          <w:p>
            <w:pPr>
              <w:spacing w:after="20"/>
              <w:jc w:val="right"/>
            </w:pPr>
            <w:r>
              <w:rPr>
                <w:color w:val="1C3A36"/>
                <w:sz w:val="15"/>
              </w:rPr>
              <w:t>10,003</w:t>
            </w:r>
          </w:p>
        </w:tc>
        <w:tc>
          <w:tcPr>
            <w:tcW w:type="dxa" w:w="1066"/>
          </w:tcPr>
          <w:p>
            <w:pPr>
              <w:spacing w:after="20"/>
              <w:jc w:val="right"/>
            </w:pPr>
            <w:r>
              <w:rPr>
                <w:color w:val="1C3A36"/>
                <w:sz w:val="15"/>
              </w:rPr>
              <w:t>11,162</w:t>
            </w:r>
          </w:p>
        </w:tc>
        <w:tc>
          <w:tcPr>
            <w:tcW w:type="dxa" w:w="1066"/>
          </w:tcPr>
          <w:p>
            <w:pPr>
              <w:spacing w:after="20"/>
              <w:jc w:val="right"/>
            </w:pPr>
            <w:r>
              <w:rPr>
                <w:color w:val="1C3A36"/>
                <w:sz w:val="15"/>
              </w:rPr>
              <w:t>11,869</w:t>
            </w:r>
          </w:p>
        </w:tc>
        <w:tc>
          <w:tcPr>
            <w:tcW w:type="dxa" w:w="1066"/>
          </w:tcPr>
          <w:p>
            <w:pPr>
              <w:spacing w:after="20"/>
              <w:jc w:val="right"/>
            </w:pPr>
            <w:r>
              <w:rPr>
                <w:color w:val="1C3A36"/>
                <w:sz w:val="15"/>
              </w:rPr>
              <w:t>12,574</w:t>
            </w:r>
          </w:p>
        </w:tc>
        <w:tc>
          <w:tcPr>
            <w:tcW w:type="dxa" w:w="1066"/>
          </w:tcPr>
          <w:p>
            <w:pPr>
              <w:spacing w:after="20"/>
              <w:jc w:val="right"/>
            </w:pPr>
            <w:r>
              <w:rPr>
                <w:color w:val="1C3A36"/>
                <w:sz w:val="15"/>
              </w:rPr>
              <w:t>13,226</w:t>
            </w:r>
          </w:p>
        </w:tc>
        <w:tc>
          <w:tcPr>
            <w:tcW w:type="dxa" w:w="1066"/>
          </w:tcPr>
          <w:p>
            <w:pPr>
              <w:spacing w:after="20"/>
              <w:jc w:val="right"/>
            </w:pPr>
            <w:r>
              <w:rPr>
                <w:color w:val="1C3A36"/>
                <w:sz w:val="15"/>
              </w:rPr>
              <w:t>13,866</w:t>
            </w:r>
          </w:p>
        </w:tc>
      </w:tr>
      <w:tr>
        <w:tc>
          <w:tcPr>
            <w:tcW w:type="dxa" w:w="2232"/>
          </w:tcPr>
          <w:p>
            <w:pPr>
              <w:spacing w:after="20"/>
            </w:pPr>
            <w:r>
              <w:rPr>
                <w:color w:val="1C3A36"/>
                <w:sz w:val="15"/>
              </w:rPr>
              <w:t>– Income tax</w:t>
            </w:r>
          </w:p>
        </w:tc>
        <w:tc>
          <w:tcPr>
            <w:tcW w:type="dxa" w:w="1066"/>
          </w:tcPr>
          <w:p>
            <w:pPr>
              <w:spacing w:after="20"/>
              <w:jc w:val="right"/>
            </w:pPr>
            <w:r>
              <w:rPr>
                <w:color w:val="1C3A36"/>
                <w:sz w:val="15"/>
              </w:rPr>
              <w:t>+92</w:t>
            </w:r>
          </w:p>
        </w:tc>
        <w:tc>
          <w:tcPr>
            <w:tcW w:type="dxa" w:w="1066"/>
          </w:tcPr>
          <w:p>
            <w:pPr>
              <w:spacing w:after="20"/>
              <w:jc w:val="right"/>
            </w:pPr>
            <w:r>
              <w:rPr>
                <w:color w:val="1C3A36"/>
                <w:sz w:val="15"/>
              </w:rPr>
              <w:t>(749)</w:t>
            </w:r>
          </w:p>
        </w:tc>
        <w:tc>
          <w:tcPr>
            <w:tcW w:type="dxa" w:w="1066"/>
          </w:tcPr>
          <w:p>
            <w:pPr>
              <w:spacing w:after="20"/>
              <w:jc w:val="right"/>
            </w:pPr>
            <w:r>
              <w:rPr>
                <w:color w:val="1C3A36"/>
                <w:sz w:val="15"/>
              </w:rPr>
              <w:t>(948)</w:t>
            </w:r>
          </w:p>
        </w:tc>
        <w:tc>
          <w:tcPr>
            <w:tcW w:type="dxa" w:w="1066"/>
          </w:tcPr>
          <w:p>
            <w:pPr>
              <w:spacing w:after="20"/>
              <w:jc w:val="right"/>
            </w:pPr>
            <w:r>
              <w:rPr>
                <w:color w:val="1C3A36"/>
                <w:sz w:val="15"/>
              </w:rPr>
              <w:t>(1,060)</w:t>
            </w:r>
          </w:p>
        </w:tc>
        <w:tc>
          <w:tcPr>
            <w:tcW w:type="dxa" w:w="1066"/>
          </w:tcPr>
          <w:p>
            <w:pPr>
              <w:spacing w:after="20"/>
              <w:jc w:val="right"/>
            </w:pPr>
            <w:r>
              <w:rPr>
                <w:color w:val="1C3A36"/>
                <w:sz w:val="15"/>
              </w:rPr>
              <w:t>(1,128)</w:t>
            </w:r>
          </w:p>
        </w:tc>
        <w:tc>
          <w:tcPr>
            <w:tcW w:type="dxa" w:w="1066"/>
          </w:tcPr>
          <w:p>
            <w:pPr>
              <w:spacing w:after="20"/>
              <w:jc w:val="right"/>
            </w:pPr>
            <w:r>
              <w:rPr>
                <w:color w:val="1C3A36"/>
                <w:sz w:val="15"/>
              </w:rPr>
              <w:t>(1,195)</w:t>
            </w:r>
          </w:p>
        </w:tc>
        <w:tc>
          <w:tcPr>
            <w:tcW w:type="dxa" w:w="1066"/>
          </w:tcPr>
          <w:p>
            <w:pPr>
              <w:spacing w:after="20"/>
              <w:jc w:val="right"/>
            </w:pPr>
            <w:r>
              <w:rPr>
                <w:color w:val="1C3A36"/>
                <w:sz w:val="15"/>
              </w:rPr>
              <w:t>(1,257)</w:t>
            </w:r>
          </w:p>
        </w:tc>
        <w:tc>
          <w:tcPr>
            <w:tcW w:type="dxa" w:w="1066"/>
          </w:tcPr>
          <w:p>
            <w:pPr>
              <w:spacing w:after="20"/>
              <w:jc w:val="right"/>
            </w:pPr>
            <w:r>
              <w:rPr>
                <w:color w:val="1C3A36"/>
                <w:sz w:val="15"/>
              </w:rPr>
              <w:t>(1,317)</w:t>
            </w:r>
          </w:p>
        </w:tc>
      </w:tr>
      <w:tr>
        <w:tc>
          <w:tcPr>
            <w:tcW w:type="dxa" w:w="2232"/>
          </w:tcPr>
          <w:p>
            <w:pPr>
              <w:spacing w:after="20"/>
            </w:pPr>
            <w:r>
              <w:rPr>
                <w:color w:val="1C3A36"/>
                <w:sz w:val="15"/>
              </w:rPr>
              <w:t>Profit after tax</w:t>
            </w:r>
          </w:p>
        </w:tc>
        <w:tc>
          <w:tcPr>
            <w:tcW w:type="dxa" w:w="1066"/>
          </w:tcPr>
          <w:p>
            <w:pPr>
              <w:spacing w:after="20"/>
              <w:jc w:val="right"/>
            </w:pPr>
            <w:r>
              <w:rPr>
                <w:color w:val="1C3A36"/>
                <w:sz w:val="15"/>
              </w:rPr>
              <w:t>7,934</w:t>
            </w:r>
          </w:p>
        </w:tc>
        <w:tc>
          <w:tcPr>
            <w:tcW w:type="dxa" w:w="1066"/>
          </w:tcPr>
          <w:p>
            <w:pPr>
              <w:spacing w:after="20"/>
              <w:jc w:val="right"/>
            </w:pPr>
            <w:r>
              <w:rPr>
                <w:color w:val="1C3A36"/>
                <w:sz w:val="15"/>
              </w:rPr>
              <w:t>7,234</w:t>
            </w:r>
          </w:p>
        </w:tc>
        <w:tc>
          <w:tcPr>
            <w:tcW w:type="dxa" w:w="1066"/>
          </w:tcPr>
          <w:p>
            <w:pPr>
              <w:spacing w:after="20"/>
              <w:jc w:val="right"/>
            </w:pPr>
            <w:r>
              <w:rPr>
                <w:color w:val="1C3A36"/>
                <w:sz w:val="15"/>
              </w:rPr>
              <w:t>9,055</w:t>
            </w:r>
          </w:p>
        </w:tc>
        <w:tc>
          <w:tcPr>
            <w:tcW w:type="dxa" w:w="1066"/>
          </w:tcPr>
          <w:p>
            <w:pPr>
              <w:spacing w:after="20"/>
              <w:jc w:val="right"/>
            </w:pPr>
            <w:r>
              <w:rPr>
                <w:color w:val="1C3A36"/>
                <w:sz w:val="15"/>
              </w:rPr>
              <w:t>10,102</w:t>
            </w:r>
          </w:p>
        </w:tc>
        <w:tc>
          <w:tcPr>
            <w:tcW w:type="dxa" w:w="1066"/>
          </w:tcPr>
          <w:p>
            <w:pPr>
              <w:spacing w:after="20"/>
              <w:jc w:val="right"/>
            </w:pPr>
            <w:r>
              <w:rPr>
                <w:color w:val="1C3A36"/>
                <w:sz w:val="15"/>
              </w:rPr>
              <w:t>10,742</w:t>
            </w:r>
          </w:p>
        </w:tc>
        <w:tc>
          <w:tcPr>
            <w:tcW w:type="dxa" w:w="1066"/>
          </w:tcPr>
          <w:p>
            <w:pPr>
              <w:spacing w:after="20"/>
              <w:jc w:val="right"/>
            </w:pPr>
            <w:r>
              <w:rPr>
                <w:color w:val="1C3A36"/>
                <w:sz w:val="15"/>
              </w:rPr>
              <w:t>11,379</w:t>
            </w:r>
          </w:p>
        </w:tc>
        <w:tc>
          <w:tcPr>
            <w:tcW w:type="dxa" w:w="1066"/>
          </w:tcPr>
          <w:p>
            <w:pPr>
              <w:spacing w:after="20"/>
              <w:jc w:val="right"/>
            </w:pPr>
            <w:r>
              <w:rPr>
                <w:color w:val="1C3A36"/>
                <w:sz w:val="15"/>
              </w:rPr>
              <w:t>11,970</w:t>
            </w:r>
          </w:p>
        </w:tc>
        <w:tc>
          <w:tcPr>
            <w:tcW w:type="dxa" w:w="1066"/>
          </w:tcPr>
          <w:p>
            <w:pPr>
              <w:spacing w:after="20"/>
              <w:jc w:val="right"/>
            </w:pPr>
            <w:r>
              <w:rPr>
                <w:color w:val="1C3A36"/>
                <w:sz w:val="15"/>
              </w:rPr>
              <w:t>12,549</w:t>
            </w:r>
          </w:p>
        </w:tc>
      </w:tr>
      <w:tr>
        <w:tc>
          <w:tcPr>
            <w:tcW w:type="dxa" w:w="2232"/>
          </w:tcPr>
          <w:p>
            <w:pPr>
              <w:spacing w:after="20"/>
            </w:pPr>
            <w:r>
              <w:rPr>
                <w:color w:val="1C3A36"/>
                <w:sz w:val="15"/>
              </w:rPr>
              <w:t>Attributable to owners</w:t>
            </w:r>
          </w:p>
        </w:tc>
        <w:tc>
          <w:tcPr>
            <w:tcW w:type="dxa" w:w="1066"/>
          </w:tcPr>
          <w:p>
            <w:pPr>
              <w:spacing w:after="20"/>
              <w:jc w:val="right"/>
            </w:pPr>
            <w:r>
              <w:rPr>
                <w:color w:val="1C3A36"/>
                <w:sz w:val="15"/>
              </w:rPr>
              <w:t>7,701</w:t>
            </w:r>
          </w:p>
        </w:tc>
        <w:tc>
          <w:tcPr>
            <w:tcW w:type="dxa" w:w="1066"/>
          </w:tcPr>
          <w:p>
            <w:pPr>
              <w:spacing w:after="20"/>
              <w:jc w:val="right"/>
            </w:pPr>
            <w:r>
              <w:rPr>
                <w:color w:val="1C3A36"/>
                <w:sz w:val="15"/>
              </w:rPr>
              <w:t>7,013</w:t>
            </w:r>
          </w:p>
        </w:tc>
        <w:tc>
          <w:tcPr>
            <w:tcW w:type="dxa" w:w="1066"/>
          </w:tcPr>
          <w:p>
            <w:pPr>
              <w:spacing w:after="20"/>
              <w:jc w:val="right"/>
            </w:pPr>
            <w:r>
              <w:rPr>
                <w:color w:val="1C3A36"/>
                <w:sz w:val="15"/>
              </w:rPr>
              <w:t>8,347</w:t>
            </w:r>
          </w:p>
        </w:tc>
        <w:tc>
          <w:tcPr>
            <w:tcW w:type="dxa" w:w="1066"/>
          </w:tcPr>
          <w:p>
            <w:pPr>
              <w:spacing w:after="20"/>
              <w:jc w:val="right"/>
            </w:pPr>
            <w:r>
              <w:rPr>
                <w:color w:val="1C3A36"/>
                <w:sz w:val="15"/>
              </w:rPr>
              <w:t>9,496</w:t>
            </w:r>
          </w:p>
        </w:tc>
        <w:tc>
          <w:tcPr>
            <w:tcW w:type="dxa" w:w="1066"/>
          </w:tcPr>
          <w:p>
            <w:pPr>
              <w:spacing w:after="20"/>
              <w:jc w:val="right"/>
            </w:pPr>
            <w:r>
              <w:rPr>
                <w:color w:val="1C3A36"/>
                <w:sz w:val="15"/>
              </w:rPr>
              <w:t>10,097</w:t>
            </w:r>
          </w:p>
        </w:tc>
        <w:tc>
          <w:tcPr>
            <w:tcW w:type="dxa" w:w="1066"/>
          </w:tcPr>
          <w:p>
            <w:pPr>
              <w:spacing w:after="20"/>
              <w:jc w:val="right"/>
            </w:pPr>
            <w:r>
              <w:rPr>
                <w:color w:val="1C3A36"/>
                <w:sz w:val="15"/>
              </w:rPr>
              <w:t>10,696</w:t>
            </w:r>
          </w:p>
        </w:tc>
        <w:tc>
          <w:tcPr>
            <w:tcW w:type="dxa" w:w="1066"/>
          </w:tcPr>
          <w:p>
            <w:pPr>
              <w:spacing w:after="20"/>
              <w:jc w:val="right"/>
            </w:pPr>
            <w:r>
              <w:rPr>
                <w:color w:val="1C3A36"/>
                <w:sz w:val="15"/>
              </w:rPr>
              <w:t>11,252</w:t>
            </w:r>
          </w:p>
        </w:tc>
        <w:tc>
          <w:tcPr>
            <w:tcW w:type="dxa" w:w="1066"/>
          </w:tcPr>
          <w:p>
            <w:pPr>
              <w:spacing w:after="20"/>
              <w:jc w:val="right"/>
            </w:pPr>
            <w:r>
              <w:rPr>
                <w:color w:val="1C3A36"/>
                <w:sz w:val="15"/>
              </w:rPr>
              <w:t>11,796</w:t>
            </w:r>
          </w:p>
        </w:tc>
      </w:tr>
      <w:tr>
        <w:tc>
          <w:tcPr>
            <w:tcW w:type="dxa" w:w="2232"/>
          </w:tcPr>
          <w:p>
            <w:pPr>
              <w:spacing w:after="20"/>
            </w:pPr>
            <w:r>
              <w:rPr>
                <w:color w:val="1C3A36"/>
                <w:sz w:val="15"/>
              </w:rPr>
              <w:t>EPS (AED)</w:t>
            </w:r>
          </w:p>
        </w:tc>
        <w:tc>
          <w:tcPr>
            <w:tcW w:type="dxa" w:w="1066"/>
          </w:tcPr>
          <w:p>
            <w:pPr>
              <w:spacing w:after="20"/>
              <w:jc w:val="right"/>
            </w:pPr>
            <w:r>
              <w:rPr>
                <w:color w:val="1C3A36"/>
                <w:sz w:val="15"/>
              </w:rPr>
              <w:t>0.154</w:t>
            </w:r>
          </w:p>
        </w:tc>
        <w:tc>
          <w:tcPr>
            <w:tcW w:type="dxa" w:w="1066"/>
          </w:tcPr>
          <w:p>
            <w:pPr>
              <w:spacing w:after="20"/>
              <w:jc w:val="right"/>
            </w:pPr>
            <w:r>
              <w:rPr>
                <w:color w:val="1C3A36"/>
                <w:sz w:val="15"/>
              </w:rPr>
              <w:t>0.140</w:t>
            </w:r>
          </w:p>
        </w:tc>
        <w:tc>
          <w:tcPr>
            <w:tcW w:type="dxa" w:w="1066"/>
          </w:tcPr>
          <w:p>
            <w:pPr>
              <w:spacing w:after="20"/>
              <w:jc w:val="right"/>
            </w:pPr>
            <w:r>
              <w:rPr>
                <w:color w:val="1C3A36"/>
                <w:sz w:val="15"/>
              </w:rPr>
              <w:t>0.167</w:t>
            </w:r>
          </w:p>
        </w:tc>
        <w:tc>
          <w:tcPr>
            <w:tcW w:type="dxa" w:w="1066"/>
          </w:tcPr>
          <w:p>
            <w:pPr>
              <w:spacing w:after="20"/>
              <w:jc w:val="right"/>
            </w:pPr>
            <w:r>
              <w:rPr>
                <w:color w:val="1C3A36"/>
                <w:sz w:val="15"/>
              </w:rPr>
              <w:t>0.190</w:t>
            </w:r>
          </w:p>
        </w:tc>
        <w:tc>
          <w:tcPr>
            <w:tcW w:type="dxa" w:w="1066"/>
          </w:tcPr>
          <w:p>
            <w:pPr>
              <w:spacing w:after="20"/>
              <w:jc w:val="right"/>
            </w:pPr>
            <w:r>
              <w:rPr>
                <w:color w:val="1C3A36"/>
                <w:sz w:val="15"/>
              </w:rPr>
              <w:t>0.202</w:t>
            </w:r>
          </w:p>
        </w:tc>
        <w:tc>
          <w:tcPr>
            <w:tcW w:type="dxa" w:w="1066"/>
          </w:tcPr>
          <w:p>
            <w:pPr>
              <w:spacing w:after="20"/>
              <w:jc w:val="right"/>
            </w:pPr>
            <w:r>
              <w:rPr>
                <w:color w:val="1C3A36"/>
                <w:sz w:val="15"/>
              </w:rPr>
              <w:t>0.214</w:t>
            </w:r>
          </w:p>
        </w:tc>
        <w:tc>
          <w:tcPr>
            <w:tcW w:type="dxa" w:w="1066"/>
          </w:tcPr>
          <w:p>
            <w:pPr>
              <w:spacing w:after="20"/>
              <w:jc w:val="right"/>
            </w:pPr>
            <w:r>
              <w:rPr>
                <w:color w:val="1C3A36"/>
                <w:sz w:val="15"/>
              </w:rPr>
              <w:t>0.225</w:t>
            </w:r>
          </w:p>
        </w:tc>
        <w:tc>
          <w:tcPr>
            <w:tcW w:type="dxa" w:w="1066"/>
          </w:tcPr>
          <w:p>
            <w:pPr>
              <w:spacing w:after="20"/>
              <w:jc w:val="right"/>
            </w:pPr>
            <w:r>
              <w:rPr>
                <w:color w:val="1C3A36"/>
                <w:sz w:val="15"/>
              </w:rPr>
              <w:t>0.236</w:t>
            </w:r>
          </w:p>
        </w:tc>
      </w:tr>
    </w:tbl>
    <w:p>
      <w:pPr>
        <w:spacing w:after="40"/>
      </w:pPr>
    </w:p>
    <w:p>
      <w:pPr>
        <w:spacing w:after="200" w:before="0"/>
      </w:pPr>
      <w:r>
        <w:rPr>
          <w:b w:val="0"/>
          <w:i/>
          <w:color w:val="6E7B77"/>
          <w:sz w:val="17"/>
        </w:rPr>
        <w:t>FY25 EBITDA dual-framed everywhere it appears: engine basis AED 17,661mn (EBIT + D&amp;A as modelled) vs company-stated AED 17,329mn (which nets the regulatory deferral movement). The FY23 column is the FY24 statements’ audited comparatives in full; its engine EBITDA of 14,884mn reconciles to DEWA’s own stated “EBITDA of AED 14.8 billion” for 2023. FY23 income tax was a +92mn deferred-tax credit, the year the UAE corporate-tax regime was first recognised.</w:t>
      </w:r>
    </w:p>
    <w:p>
      <w:pPr>
        <w:spacing w:after="80" w:before="200"/>
      </w:pPr>
      <w:r>
        <w:rPr>
          <w:b/>
          <w:i w:val="0"/>
          <w:color w:val="1C3A36"/>
          <w:sz w:val="24"/>
        </w:rPr>
        <w:t>A.2  Balance sheet (audited three-year view)</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4536"/>
            <w:shd w:val="clear" w:color="auto" w:fill="EAF0EE"/>
          </w:tcPr>
          <w:p>
            <w:pPr>
              <w:spacing w:after="20"/>
            </w:pPr>
            <w:r>
              <w:rPr>
                <w:b/>
                <w:color w:val="1C3A36"/>
                <w:sz w:val="17"/>
              </w:rPr>
              <w:t>AED mn</w:t>
            </w:r>
          </w:p>
        </w:tc>
        <w:tc>
          <w:tcPr>
            <w:tcW w:type="dxa" w:w="1800"/>
            <w:shd w:val="clear" w:color="auto" w:fill="EAF0EE"/>
          </w:tcPr>
          <w:p>
            <w:pPr>
              <w:spacing w:after="20"/>
            </w:pPr>
            <w:r>
              <w:rPr>
                <w:b/>
                <w:color w:val="1C3A36"/>
                <w:sz w:val="17"/>
              </w:rPr>
              <w:t>FY23</w:t>
            </w:r>
          </w:p>
        </w:tc>
        <w:tc>
          <w:tcPr>
            <w:tcW w:type="dxa" w:w="1800"/>
            <w:shd w:val="clear" w:color="auto" w:fill="EAF0EE"/>
          </w:tcPr>
          <w:p>
            <w:pPr>
              <w:spacing w:after="20"/>
            </w:pPr>
            <w:r>
              <w:rPr>
                <w:b/>
                <w:color w:val="1C3A36"/>
                <w:sz w:val="17"/>
              </w:rPr>
              <w:t>FY24</w:t>
            </w:r>
          </w:p>
        </w:tc>
        <w:tc>
          <w:tcPr>
            <w:tcW w:type="dxa" w:w="1800"/>
            <w:shd w:val="clear" w:color="auto" w:fill="EAF0EE"/>
          </w:tcPr>
          <w:p>
            <w:pPr>
              <w:spacing w:after="20"/>
            </w:pPr>
            <w:r>
              <w:rPr>
                <w:b/>
                <w:color w:val="1C3A36"/>
                <w:sz w:val="17"/>
              </w:rPr>
              <w:t>FY25</w:t>
            </w:r>
          </w:p>
        </w:tc>
      </w:tr>
      <w:tr>
        <w:tc>
          <w:tcPr>
            <w:tcW w:type="dxa" w:w="4536"/>
          </w:tcPr>
          <w:p>
            <w:pPr>
              <w:spacing w:after="20"/>
            </w:pPr>
            <w:r>
              <w:rPr>
                <w:color w:val="1C3A36"/>
                <w:sz w:val="17"/>
              </w:rPr>
              <w:t>Non-current assets</w:t>
            </w:r>
          </w:p>
        </w:tc>
        <w:tc>
          <w:tcPr>
            <w:tcW w:type="dxa" w:w="1800"/>
          </w:tcPr>
          <w:p>
            <w:pPr>
              <w:spacing w:after="20"/>
              <w:jc w:val="right"/>
            </w:pPr>
            <w:r>
              <w:rPr>
                <w:color w:val="1C3A36"/>
                <w:sz w:val="17"/>
              </w:rPr>
              <w:t>162,239</w:t>
            </w:r>
          </w:p>
        </w:tc>
        <w:tc>
          <w:tcPr>
            <w:tcW w:type="dxa" w:w="1800"/>
          </w:tcPr>
          <w:p>
            <w:pPr>
              <w:spacing w:after="20"/>
              <w:jc w:val="right"/>
            </w:pPr>
            <w:r>
              <w:rPr>
                <w:color w:val="1C3A36"/>
                <w:sz w:val="17"/>
              </w:rPr>
              <w:t>165,466</w:t>
            </w:r>
          </w:p>
        </w:tc>
        <w:tc>
          <w:tcPr>
            <w:tcW w:type="dxa" w:w="1800"/>
          </w:tcPr>
          <w:p>
            <w:pPr>
              <w:spacing w:after="20"/>
              <w:jc w:val="right"/>
            </w:pPr>
            <w:r>
              <w:rPr>
                <w:color w:val="1C3A36"/>
                <w:sz w:val="17"/>
              </w:rPr>
              <w:t>171,451</w:t>
            </w:r>
          </w:p>
        </w:tc>
      </w:tr>
      <w:tr>
        <w:tc>
          <w:tcPr>
            <w:tcW w:type="dxa" w:w="4536"/>
          </w:tcPr>
          <w:p>
            <w:pPr>
              <w:spacing w:after="20"/>
            </w:pPr>
            <w:r>
              <w:rPr>
                <w:color w:val="1C3A36"/>
                <w:sz w:val="17"/>
              </w:rPr>
              <w:t>Current assets</w:t>
            </w:r>
          </w:p>
        </w:tc>
        <w:tc>
          <w:tcPr>
            <w:tcW w:type="dxa" w:w="1800"/>
          </w:tcPr>
          <w:p>
            <w:pPr>
              <w:spacing w:after="20"/>
              <w:jc w:val="right"/>
            </w:pPr>
            <w:r>
              <w:rPr>
                <w:color w:val="1C3A36"/>
                <w:sz w:val="17"/>
              </w:rPr>
              <w:t>18,924</w:t>
            </w:r>
          </w:p>
        </w:tc>
        <w:tc>
          <w:tcPr>
            <w:tcW w:type="dxa" w:w="1800"/>
          </w:tcPr>
          <w:p>
            <w:pPr>
              <w:spacing w:after="20"/>
              <w:jc w:val="right"/>
            </w:pPr>
            <w:r>
              <w:rPr>
                <w:color w:val="1C3A36"/>
                <w:sz w:val="17"/>
              </w:rPr>
              <w:t>19,290</w:t>
            </w:r>
          </w:p>
        </w:tc>
        <w:tc>
          <w:tcPr>
            <w:tcW w:type="dxa" w:w="1800"/>
          </w:tcPr>
          <w:p>
            <w:pPr>
              <w:spacing w:after="20"/>
              <w:jc w:val="right"/>
            </w:pPr>
            <w:r>
              <w:rPr>
                <w:color w:val="1C3A36"/>
                <w:sz w:val="17"/>
              </w:rPr>
              <w:t>23,688</w:t>
            </w:r>
          </w:p>
        </w:tc>
      </w:tr>
      <w:tr>
        <w:tc>
          <w:tcPr>
            <w:tcW w:type="dxa" w:w="4536"/>
            <w:shd w:val="clear" w:color="auto" w:fill="F6F1E6"/>
          </w:tcPr>
          <w:p>
            <w:pPr>
              <w:spacing w:after="20"/>
            </w:pPr>
            <w:r>
              <w:rPr>
                <w:b/>
                <w:color w:val="1C3A36"/>
                <w:sz w:val="17"/>
              </w:rPr>
              <w:t>Total assets</w:t>
            </w:r>
          </w:p>
        </w:tc>
        <w:tc>
          <w:tcPr>
            <w:tcW w:type="dxa" w:w="1800"/>
            <w:shd w:val="clear" w:color="auto" w:fill="F6F1E6"/>
          </w:tcPr>
          <w:p>
            <w:pPr>
              <w:spacing w:after="20"/>
              <w:jc w:val="right"/>
            </w:pPr>
            <w:r>
              <w:rPr>
                <w:b/>
                <w:color w:val="1C3A36"/>
                <w:sz w:val="17"/>
              </w:rPr>
              <w:t>181,164</w:t>
            </w:r>
          </w:p>
        </w:tc>
        <w:tc>
          <w:tcPr>
            <w:tcW w:type="dxa" w:w="1800"/>
            <w:shd w:val="clear" w:color="auto" w:fill="F6F1E6"/>
          </w:tcPr>
          <w:p>
            <w:pPr>
              <w:spacing w:after="20"/>
              <w:jc w:val="right"/>
            </w:pPr>
            <w:r>
              <w:rPr>
                <w:b/>
                <w:color w:val="1C3A36"/>
                <w:sz w:val="17"/>
              </w:rPr>
              <w:t>184,755</w:t>
            </w:r>
          </w:p>
        </w:tc>
        <w:tc>
          <w:tcPr>
            <w:tcW w:type="dxa" w:w="1800"/>
            <w:shd w:val="clear" w:color="auto" w:fill="F6F1E6"/>
          </w:tcPr>
          <w:p>
            <w:pPr>
              <w:spacing w:after="20"/>
              <w:jc w:val="right"/>
            </w:pPr>
            <w:r>
              <w:rPr>
                <w:b/>
                <w:color w:val="1C3A36"/>
                <w:sz w:val="17"/>
              </w:rPr>
              <w:t>195,139</w:t>
            </w:r>
          </w:p>
        </w:tc>
      </w:tr>
      <w:tr>
        <w:tc>
          <w:tcPr>
            <w:tcW w:type="dxa" w:w="4536"/>
          </w:tcPr>
          <w:p>
            <w:pPr>
              <w:spacing w:after="20"/>
            </w:pPr>
            <w:r>
              <w:rPr>
                <w:color w:val="1C3A36"/>
                <w:sz w:val="17"/>
              </w:rPr>
              <w:t>Equity — owners</w:t>
            </w:r>
          </w:p>
        </w:tc>
        <w:tc>
          <w:tcPr>
            <w:tcW w:type="dxa" w:w="1800"/>
          </w:tcPr>
          <w:p>
            <w:pPr>
              <w:spacing w:after="20"/>
              <w:jc w:val="right"/>
            </w:pPr>
            <w:r>
              <w:rPr>
                <w:color w:val="1C3A36"/>
                <w:sz w:val="17"/>
              </w:rPr>
              <w:t>89,212</w:t>
            </w:r>
          </w:p>
        </w:tc>
        <w:tc>
          <w:tcPr>
            <w:tcW w:type="dxa" w:w="1800"/>
          </w:tcPr>
          <w:p>
            <w:pPr>
              <w:spacing w:after="20"/>
              <w:jc w:val="right"/>
            </w:pPr>
            <w:r>
              <w:rPr>
                <w:color w:val="1C3A36"/>
                <w:sz w:val="17"/>
              </w:rPr>
              <w:t>89,349</w:t>
            </w:r>
          </w:p>
        </w:tc>
        <w:tc>
          <w:tcPr>
            <w:tcW w:type="dxa" w:w="1800"/>
          </w:tcPr>
          <w:p>
            <w:pPr>
              <w:spacing w:after="20"/>
              <w:jc w:val="right"/>
            </w:pPr>
            <w:r>
              <w:rPr>
                <w:color w:val="1C3A36"/>
                <w:sz w:val="17"/>
              </w:rPr>
              <w:t>91,017</w:t>
            </w:r>
          </w:p>
        </w:tc>
      </w:tr>
      <w:tr>
        <w:tc>
          <w:tcPr>
            <w:tcW w:type="dxa" w:w="4536"/>
          </w:tcPr>
          <w:p>
            <w:pPr>
              <w:spacing w:after="20"/>
            </w:pPr>
            <w:r>
              <w:rPr>
                <w:color w:val="1C3A36"/>
                <w:sz w:val="17"/>
              </w:rPr>
              <w:t>Equity — non-controlling interests</w:t>
            </w:r>
          </w:p>
        </w:tc>
        <w:tc>
          <w:tcPr>
            <w:tcW w:type="dxa" w:w="1800"/>
          </w:tcPr>
          <w:p>
            <w:pPr>
              <w:spacing w:after="20"/>
              <w:jc w:val="right"/>
            </w:pPr>
            <w:r>
              <w:rPr>
                <w:color w:val="1C3A36"/>
                <w:sz w:val="17"/>
              </w:rPr>
              <w:t>3,489</w:t>
            </w:r>
          </w:p>
        </w:tc>
        <w:tc>
          <w:tcPr>
            <w:tcW w:type="dxa" w:w="1800"/>
          </w:tcPr>
          <w:p>
            <w:pPr>
              <w:spacing w:after="20"/>
              <w:jc w:val="right"/>
            </w:pPr>
            <w:r>
              <w:rPr>
                <w:color w:val="1C3A36"/>
                <w:sz w:val="17"/>
              </w:rPr>
              <w:t>5,639</w:t>
            </w:r>
          </w:p>
        </w:tc>
        <w:tc>
          <w:tcPr>
            <w:tcW w:type="dxa" w:w="1800"/>
          </w:tcPr>
          <w:p>
            <w:pPr>
              <w:spacing w:after="20"/>
              <w:jc w:val="right"/>
            </w:pPr>
            <w:r>
              <w:rPr>
                <w:color w:val="1C3A36"/>
                <w:sz w:val="17"/>
              </w:rPr>
              <w:t>6,753</w:t>
            </w:r>
          </w:p>
        </w:tc>
      </w:tr>
      <w:tr>
        <w:tc>
          <w:tcPr>
            <w:tcW w:type="dxa" w:w="4536"/>
            <w:shd w:val="clear" w:color="auto" w:fill="F6F1E6"/>
          </w:tcPr>
          <w:p>
            <w:pPr>
              <w:spacing w:after="20"/>
            </w:pPr>
            <w:r>
              <w:rPr>
                <w:b/>
                <w:color w:val="1C3A36"/>
                <w:sz w:val="17"/>
              </w:rPr>
              <w:t>Total equity</w:t>
            </w:r>
          </w:p>
        </w:tc>
        <w:tc>
          <w:tcPr>
            <w:tcW w:type="dxa" w:w="1800"/>
            <w:shd w:val="clear" w:color="auto" w:fill="F6F1E6"/>
          </w:tcPr>
          <w:p>
            <w:pPr>
              <w:spacing w:after="20"/>
              <w:jc w:val="right"/>
            </w:pPr>
            <w:r>
              <w:rPr>
                <w:b/>
                <w:color w:val="1C3A36"/>
                <w:sz w:val="17"/>
              </w:rPr>
              <w:t>92,701</w:t>
            </w:r>
          </w:p>
        </w:tc>
        <w:tc>
          <w:tcPr>
            <w:tcW w:type="dxa" w:w="1800"/>
            <w:shd w:val="clear" w:color="auto" w:fill="F6F1E6"/>
          </w:tcPr>
          <w:p>
            <w:pPr>
              <w:spacing w:after="20"/>
              <w:jc w:val="right"/>
            </w:pPr>
            <w:r>
              <w:rPr>
                <w:b/>
                <w:color w:val="1C3A36"/>
                <w:sz w:val="17"/>
              </w:rPr>
              <w:t>94,988</w:t>
            </w:r>
          </w:p>
        </w:tc>
        <w:tc>
          <w:tcPr>
            <w:tcW w:type="dxa" w:w="1800"/>
            <w:shd w:val="clear" w:color="auto" w:fill="F6F1E6"/>
          </w:tcPr>
          <w:p>
            <w:pPr>
              <w:spacing w:after="20"/>
              <w:jc w:val="right"/>
            </w:pPr>
            <w:r>
              <w:rPr>
                <w:b/>
                <w:color w:val="1C3A36"/>
                <w:sz w:val="17"/>
              </w:rPr>
              <w:t>97,770</w:t>
            </w:r>
          </w:p>
        </w:tc>
      </w:tr>
      <w:tr>
        <w:tc>
          <w:tcPr>
            <w:tcW w:type="dxa" w:w="4536"/>
          </w:tcPr>
          <w:p>
            <w:pPr>
              <w:spacing w:after="20"/>
            </w:pPr>
            <w:r>
              <w:rPr>
                <w:color w:val="1C3A36"/>
                <w:sz w:val="17"/>
              </w:rPr>
              <w:t>Borrowings — non-current</w:t>
            </w:r>
          </w:p>
        </w:tc>
        <w:tc>
          <w:tcPr>
            <w:tcW w:type="dxa" w:w="1800"/>
          </w:tcPr>
          <w:p>
            <w:pPr>
              <w:spacing w:after="20"/>
              <w:jc w:val="right"/>
            </w:pPr>
            <w:r>
              <w:rPr>
                <w:color w:val="1C3A36"/>
                <w:sz w:val="17"/>
              </w:rPr>
              <w:t>27,342</w:t>
            </w:r>
          </w:p>
        </w:tc>
        <w:tc>
          <w:tcPr>
            <w:tcW w:type="dxa" w:w="1800"/>
          </w:tcPr>
          <w:p>
            <w:pPr>
              <w:spacing w:after="20"/>
              <w:jc w:val="right"/>
            </w:pPr>
            <w:r>
              <w:rPr>
                <w:color w:val="1C3A36"/>
                <w:sz w:val="17"/>
              </w:rPr>
              <w:t>28,829</w:t>
            </w:r>
          </w:p>
        </w:tc>
        <w:tc>
          <w:tcPr>
            <w:tcW w:type="dxa" w:w="1800"/>
          </w:tcPr>
          <w:p>
            <w:pPr>
              <w:spacing w:after="20"/>
              <w:jc w:val="right"/>
            </w:pPr>
            <w:r>
              <w:rPr>
                <w:color w:val="1C3A36"/>
                <w:sz w:val="17"/>
              </w:rPr>
              <w:t>31,922</w:t>
            </w:r>
          </w:p>
        </w:tc>
      </w:tr>
      <w:tr>
        <w:tc>
          <w:tcPr>
            <w:tcW w:type="dxa" w:w="4536"/>
          </w:tcPr>
          <w:p>
            <w:pPr>
              <w:spacing w:after="20"/>
            </w:pPr>
            <w:r>
              <w:rPr>
                <w:color w:val="1C3A36"/>
                <w:sz w:val="17"/>
              </w:rPr>
              <w:t>Borrowings — current</w:t>
            </w:r>
          </w:p>
        </w:tc>
        <w:tc>
          <w:tcPr>
            <w:tcW w:type="dxa" w:w="1800"/>
          </w:tcPr>
          <w:p>
            <w:pPr>
              <w:spacing w:after="20"/>
              <w:jc w:val="right"/>
            </w:pPr>
            <w:r>
              <w:rPr>
                <w:color w:val="1C3A36"/>
                <w:sz w:val="17"/>
              </w:rPr>
              <w:t>11,546</w:t>
            </w:r>
          </w:p>
        </w:tc>
        <w:tc>
          <w:tcPr>
            <w:tcW w:type="dxa" w:w="1800"/>
          </w:tcPr>
          <w:p>
            <w:pPr>
              <w:spacing w:after="20"/>
              <w:jc w:val="right"/>
            </w:pPr>
            <w:r>
              <w:rPr>
                <w:color w:val="1C3A36"/>
                <w:sz w:val="17"/>
              </w:rPr>
              <w:t>7,142</w:t>
            </w:r>
          </w:p>
        </w:tc>
        <w:tc>
          <w:tcPr>
            <w:tcW w:type="dxa" w:w="1800"/>
          </w:tcPr>
          <w:p>
            <w:pPr>
              <w:spacing w:after="20"/>
              <w:jc w:val="right"/>
            </w:pPr>
            <w:r>
              <w:rPr>
                <w:color w:val="1C3A36"/>
                <w:sz w:val="17"/>
              </w:rPr>
              <w:t>6,654</w:t>
            </w:r>
          </w:p>
        </w:tc>
      </w:tr>
      <w:tr>
        <w:tc>
          <w:tcPr>
            <w:tcW w:type="dxa" w:w="4536"/>
          </w:tcPr>
          <w:p>
            <w:pPr>
              <w:spacing w:after="20"/>
            </w:pPr>
            <w:r>
              <w:rPr>
                <w:color w:val="1C3A36"/>
                <w:sz w:val="17"/>
              </w:rPr>
              <w:t>Total liabilities</w:t>
            </w:r>
          </w:p>
        </w:tc>
        <w:tc>
          <w:tcPr>
            <w:tcW w:type="dxa" w:w="1800"/>
          </w:tcPr>
          <w:p>
            <w:pPr>
              <w:spacing w:after="20"/>
              <w:jc w:val="right"/>
            </w:pPr>
            <w:r>
              <w:rPr>
                <w:color w:val="1C3A36"/>
                <w:sz w:val="17"/>
              </w:rPr>
              <w:t>88,262</w:t>
            </w:r>
          </w:p>
        </w:tc>
        <w:tc>
          <w:tcPr>
            <w:tcW w:type="dxa" w:w="1800"/>
          </w:tcPr>
          <w:p>
            <w:pPr>
              <w:spacing w:after="20"/>
              <w:jc w:val="right"/>
            </w:pPr>
            <w:r>
              <w:rPr>
                <w:color w:val="1C3A36"/>
                <w:sz w:val="17"/>
              </w:rPr>
              <w:t>89,400</w:t>
            </w:r>
          </w:p>
        </w:tc>
        <w:tc>
          <w:tcPr>
            <w:tcW w:type="dxa" w:w="1800"/>
          </w:tcPr>
          <w:p>
            <w:pPr>
              <w:spacing w:after="20"/>
              <w:jc w:val="right"/>
            </w:pPr>
            <w:r>
              <w:rPr>
                <w:color w:val="1C3A36"/>
                <w:sz w:val="17"/>
              </w:rPr>
              <w:t>96,671</w:t>
            </w:r>
          </w:p>
        </w:tc>
      </w:tr>
      <w:tr>
        <w:tc>
          <w:tcPr>
            <w:tcW w:type="dxa" w:w="4536"/>
          </w:tcPr>
          <w:p>
            <w:pPr>
              <w:spacing w:after="20"/>
            </w:pPr>
            <w:r>
              <w:rPr>
                <w:color w:val="1C3A36"/>
                <w:sz w:val="17"/>
              </w:rPr>
              <w:t>Regulatory deferral credit balance</w:t>
            </w:r>
          </w:p>
        </w:tc>
        <w:tc>
          <w:tcPr>
            <w:tcW w:type="dxa" w:w="1800"/>
          </w:tcPr>
          <w:p>
            <w:pPr>
              <w:spacing w:after="20"/>
              <w:jc w:val="right"/>
            </w:pPr>
            <w:r>
              <w:rPr>
                <w:color w:val="1C3A36"/>
                <w:sz w:val="17"/>
              </w:rPr>
              <w:t>200</w:t>
            </w:r>
          </w:p>
        </w:tc>
        <w:tc>
          <w:tcPr>
            <w:tcW w:type="dxa" w:w="1800"/>
          </w:tcPr>
          <w:p>
            <w:pPr>
              <w:spacing w:after="20"/>
              <w:jc w:val="right"/>
            </w:pPr>
            <w:r>
              <w:rPr>
                <w:color w:val="1C3A36"/>
                <w:sz w:val="17"/>
              </w:rPr>
              <w:t>367</w:t>
            </w:r>
          </w:p>
        </w:tc>
        <w:tc>
          <w:tcPr>
            <w:tcW w:type="dxa" w:w="1800"/>
          </w:tcPr>
          <w:p>
            <w:pPr>
              <w:spacing w:after="20"/>
              <w:jc w:val="right"/>
            </w:pPr>
            <w:r>
              <w:rPr>
                <w:color w:val="1C3A36"/>
                <w:sz w:val="17"/>
              </w:rPr>
              <w:t>699</w:t>
            </w:r>
          </w:p>
        </w:tc>
      </w:tr>
      <w:tr>
        <w:tc>
          <w:tcPr>
            <w:tcW w:type="dxa" w:w="4536"/>
          </w:tcPr>
          <w:p>
            <w:pPr>
              <w:spacing w:after="20"/>
            </w:pPr>
            <w:r>
              <w:rPr>
                <w:color w:val="1C3A36"/>
                <w:sz w:val="17"/>
              </w:rPr>
              <w:t>Cash &amp; equivalents (CF basis)</w:t>
            </w:r>
          </w:p>
        </w:tc>
        <w:tc>
          <w:tcPr>
            <w:tcW w:type="dxa" w:w="1800"/>
          </w:tcPr>
          <w:p>
            <w:pPr>
              <w:spacing w:after="20"/>
              <w:jc w:val="right"/>
            </w:pPr>
            <w:r>
              <w:rPr>
                <w:color w:val="1C3A36"/>
                <w:sz w:val="17"/>
              </w:rPr>
              <w:t>4,658</w:t>
            </w:r>
          </w:p>
        </w:tc>
        <w:tc>
          <w:tcPr>
            <w:tcW w:type="dxa" w:w="1800"/>
          </w:tcPr>
          <w:p>
            <w:pPr>
              <w:spacing w:after="20"/>
              <w:jc w:val="right"/>
            </w:pPr>
            <w:r>
              <w:rPr>
                <w:color w:val="1C3A36"/>
                <w:sz w:val="17"/>
              </w:rPr>
              <w:t>5,374</w:t>
            </w:r>
          </w:p>
        </w:tc>
        <w:tc>
          <w:tcPr>
            <w:tcW w:type="dxa" w:w="1800"/>
          </w:tcPr>
          <w:p>
            <w:pPr>
              <w:spacing w:after="20"/>
              <w:jc w:val="right"/>
            </w:pPr>
            <w:r>
              <w:rPr>
                <w:color w:val="1C3A36"/>
                <w:sz w:val="17"/>
              </w:rPr>
              <w:t>7,487</w:t>
            </w:r>
          </w:p>
        </w:tc>
      </w:tr>
      <w:tr>
        <w:tc>
          <w:tcPr>
            <w:tcW w:type="dxa" w:w="4536"/>
          </w:tcPr>
          <w:p>
            <w:pPr>
              <w:spacing w:after="20"/>
            </w:pPr>
            <w:r>
              <w:rPr>
                <w:color w:val="1C3A36"/>
                <w:sz w:val="17"/>
              </w:rPr>
              <w:t>Net debt — strict</w:t>
            </w:r>
          </w:p>
        </w:tc>
        <w:tc>
          <w:tcPr>
            <w:tcW w:type="dxa" w:w="1800"/>
          </w:tcPr>
          <w:p>
            <w:pPr>
              <w:spacing w:after="20"/>
              <w:jc w:val="right"/>
            </w:pPr>
            <w:r>
              <w:rPr>
                <w:color w:val="1C3A36"/>
                <w:sz w:val="17"/>
              </w:rPr>
              <w:t>33,588</w:t>
            </w:r>
          </w:p>
        </w:tc>
        <w:tc>
          <w:tcPr>
            <w:tcW w:type="dxa" w:w="1800"/>
          </w:tcPr>
          <w:p>
            <w:pPr>
              <w:spacing w:after="20"/>
              <w:jc w:val="right"/>
            </w:pPr>
            <w:r>
              <w:rPr>
                <w:color w:val="1C3A36"/>
                <w:sz w:val="17"/>
              </w:rPr>
              <w:t>30,597</w:t>
            </w:r>
          </w:p>
        </w:tc>
        <w:tc>
          <w:tcPr>
            <w:tcW w:type="dxa" w:w="1800"/>
          </w:tcPr>
          <w:p>
            <w:pPr>
              <w:spacing w:after="20"/>
              <w:jc w:val="right"/>
            </w:pPr>
            <w:r>
              <w:rPr>
                <w:color w:val="1C3A36"/>
                <w:sz w:val="17"/>
              </w:rPr>
              <w:t>31,089</w:t>
            </w:r>
          </w:p>
        </w:tc>
      </w:tr>
      <w:tr>
        <w:tc>
          <w:tcPr>
            <w:tcW w:type="dxa" w:w="4536"/>
          </w:tcPr>
          <w:p>
            <w:pPr>
              <w:spacing w:after="20"/>
            </w:pPr>
            <w:r>
              <w:rPr>
                <w:color w:val="1C3A36"/>
                <w:sz w:val="17"/>
              </w:rPr>
              <w:t>Net debt — pro forma (post-Empower, Feb-26)</w:t>
            </w:r>
          </w:p>
        </w:tc>
        <w:tc>
          <w:tcPr>
            <w:tcW w:type="dxa" w:w="1800"/>
          </w:tcPr>
          <w:p>
            <w:pPr>
              <w:spacing w:after="20"/>
              <w:jc w:val="right"/>
            </w:pPr>
            <w:r>
              <w:rPr>
                <w:color w:val="1C3A36"/>
                <w:sz w:val="17"/>
              </w:rPr>
              <w:t>—</w:t>
            </w:r>
          </w:p>
        </w:tc>
        <w:tc>
          <w:tcPr>
            <w:tcW w:type="dxa" w:w="1800"/>
          </w:tcPr>
          <w:p>
            <w:pPr>
              <w:spacing w:after="20"/>
              <w:jc w:val="right"/>
            </w:pPr>
            <w:r>
              <w:rPr>
                <w:color w:val="1C3A36"/>
                <w:sz w:val="17"/>
              </w:rPr>
              <w:t>—</w:t>
            </w:r>
          </w:p>
        </w:tc>
        <w:tc>
          <w:tcPr>
            <w:tcW w:type="dxa" w:w="1800"/>
          </w:tcPr>
          <w:p>
            <w:pPr>
              <w:spacing w:after="20"/>
              <w:jc w:val="right"/>
            </w:pPr>
            <w:r>
              <w:rPr>
                <w:color w:val="1C3A36"/>
                <w:sz w:val="17"/>
              </w:rPr>
              <w:t>36,273</w:t>
            </w:r>
          </w:p>
        </w:tc>
      </w:tr>
    </w:tbl>
    <w:p>
      <w:pPr>
        <w:spacing w:after="40"/>
      </w:pPr>
    </w:p>
    <w:p>
      <w:pPr>
        <w:spacing w:after="200" w:before="0"/>
      </w:pPr>
      <w:r>
        <w:rPr>
          <w:b w:val="0"/>
          <w:i/>
          <w:color w:val="6E7B77"/>
          <w:sz w:val="17"/>
        </w:rPr>
        <w:t>Every column ties the audited identity exactly: total assets = total liabilities + total equity + regulatory deferral credit (FY23: 88,262 + 92,701 + 200 = 181,164). FY23 cash is the CF-basis year-end figure; AED 642mn of overdraft-style balances sat inside FY23 current borrowings, so net debt is identical on either cash basis.</w:t>
      </w:r>
    </w:p>
    <w:p>
      <w:pPr>
        <w:spacing w:after="80" w:before="200"/>
      </w:pPr>
      <w:r>
        <w:rPr>
          <w:b/>
          <w:i w:val="0"/>
          <w:color w:val="1C3A36"/>
          <w:sz w:val="24"/>
        </w:rPr>
        <w:t>A.3  Cash flow (audited three-year view)</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4536"/>
            <w:shd w:val="clear" w:color="auto" w:fill="EAF0EE"/>
          </w:tcPr>
          <w:p>
            <w:pPr>
              <w:spacing w:after="20"/>
            </w:pPr>
            <w:r>
              <w:rPr>
                <w:b/>
                <w:color w:val="1C3A36"/>
                <w:sz w:val="17"/>
              </w:rPr>
              <w:t>AED mn</w:t>
            </w:r>
          </w:p>
        </w:tc>
        <w:tc>
          <w:tcPr>
            <w:tcW w:type="dxa" w:w="1800"/>
            <w:shd w:val="clear" w:color="auto" w:fill="EAF0EE"/>
          </w:tcPr>
          <w:p>
            <w:pPr>
              <w:spacing w:after="20"/>
            </w:pPr>
            <w:r>
              <w:rPr>
                <w:b/>
                <w:color w:val="1C3A36"/>
                <w:sz w:val="17"/>
              </w:rPr>
              <w:t>FY23</w:t>
            </w:r>
          </w:p>
        </w:tc>
        <w:tc>
          <w:tcPr>
            <w:tcW w:type="dxa" w:w="1800"/>
            <w:shd w:val="clear" w:color="auto" w:fill="EAF0EE"/>
          </w:tcPr>
          <w:p>
            <w:pPr>
              <w:spacing w:after="20"/>
            </w:pPr>
            <w:r>
              <w:rPr>
                <w:b/>
                <w:color w:val="1C3A36"/>
                <w:sz w:val="17"/>
              </w:rPr>
              <w:t>FY24</w:t>
            </w:r>
          </w:p>
        </w:tc>
        <w:tc>
          <w:tcPr>
            <w:tcW w:type="dxa" w:w="1800"/>
            <w:shd w:val="clear" w:color="auto" w:fill="EAF0EE"/>
          </w:tcPr>
          <w:p>
            <w:pPr>
              <w:spacing w:after="20"/>
            </w:pPr>
            <w:r>
              <w:rPr>
                <w:b/>
                <w:color w:val="1C3A36"/>
                <w:sz w:val="17"/>
              </w:rPr>
              <w:t>FY25</w:t>
            </w:r>
          </w:p>
        </w:tc>
      </w:tr>
      <w:tr>
        <w:tc>
          <w:tcPr>
            <w:tcW w:type="dxa" w:w="4536"/>
          </w:tcPr>
          <w:p>
            <w:pPr>
              <w:spacing w:after="20"/>
            </w:pPr>
            <w:r>
              <w:rPr>
                <w:color w:val="1C3A36"/>
                <w:sz w:val="17"/>
              </w:rPr>
              <w:t>Cash generated from operations</w:t>
            </w:r>
          </w:p>
        </w:tc>
        <w:tc>
          <w:tcPr>
            <w:tcW w:type="dxa" w:w="1800"/>
          </w:tcPr>
          <w:p>
            <w:pPr>
              <w:spacing w:after="20"/>
              <w:jc w:val="right"/>
            </w:pPr>
            <w:r>
              <w:rPr>
                <w:color w:val="1C3A36"/>
                <w:sz w:val="17"/>
              </w:rPr>
              <w:t>16,518</w:t>
            </w:r>
          </w:p>
        </w:tc>
        <w:tc>
          <w:tcPr>
            <w:tcW w:type="dxa" w:w="1800"/>
          </w:tcPr>
          <w:p>
            <w:pPr>
              <w:spacing w:after="20"/>
              <w:jc w:val="right"/>
            </w:pPr>
            <w:r>
              <w:rPr>
                <w:color w:val="1C3A36"/>
                <w:sz w:val="17"/>
              </w:rPr>
              <w:t>17,435</w:t>
            </w:r>
          </w:p>
        </w:tc>
        <w:tc>
          <w:tcPr>
            <w:tcW w:type="dxa" w:w="1800"/>
          </w:tcPr>
          <w:p>
            <w:pPr>
              <w:spacing w:after="20"/>
              <w:jc w:val="right"/>
            </w:pPr>
            <w:r>
              <w:rPr>
                <w:color w:val="1C3A36"/>
                <w:sz w:val="17"/>
              </w:rPr>
              <w:t>21,850</w:t>
            </w:r>
          </w:p>
        </w:tc>
      </w:tr>
      <w:tr>
        <w:tc>
          <w:tcPr>
            <w:tcW w:type="dxa" w:w="4536"/>
          </w:tcPr>
          <w:p>
            <w:pPr>
              <w:spacing w:after="20"/>
            </w:pPr>
            <w:r>
              <w:rPr>
                <w:color w:val="1C3A36"/>
                <w:sz w:val="17"/>
              </w:rPr>
              <w:t>– Capex (cash, net of capital payables)</w:t>
            </w:r>
          </w:p>
        </w:tc>
        <w:tc>
          <w:tcPr>
            <w:tcW w:type="dxa" w:w="1800"/>
          </w:tcPr>
          <w:p>
            <w:pPr>
              <w:spacing w:after="20"/>
              <w:jc w:val="right"/>
            </w:pPr>
            <w:r>
              <w:rPr>
                <w:color w:val="1C3A36"/>
                <w:sz w:val="17"/>
              </w:rPr>
              <w:t>(6,805)</w:t>
            </w:r>
          </w:p>
        </w:tc>
        <w:tc>
          <w:tcPr>
            <w:tcW w:type="dxa" w:w="1800"/>
          </w:tcPr>
          <w:p>
            <w:pPr>
              <w:spacing w:after="20"/>
              <w:jc w:val="right"/>
            </w:pPr>
            <w:r>
              <w:rPr>
                <w:color w:val="1C3A36"/>
                <w:sz w:val="17"/>
              </w:rPr>
              <w:t>(9,267)</w:t>
            </w:r>
          </w:p>
        </w:tc>
        <w:tc>
          <w:tcPr>
            <w:tcW w:type="dxa" w:w="1800"/>
          </w:tcPr>
          <w:p>
            <w:pPr>
              <w:spacing w:after="20"/>
              <w:jc w:val="right"/>
            </w:pPr>
            <w:r>
              <w:rPr>
                <w:color w:val="1C3A36"/>
                <w:sz w:val="17"/>
              </w:rPr>
              <w:t>(10,590)</w:t>
            </w:r>
          </w:p>
        </w:tc>
      </w:tr>
      <w:tr>
        <w:tc>
          <w:tcPr>
            <w:tcW w:type="dxa" w:w="4536"/>
            <w:shd w:val="clear" w:color="auto" w:fill="F6F1E6"/>
          </w:tcPr>
          <w:p>
            <w:pPr>
              <w:spacing w:after="20"/>
            </w:pPr>
            <w:r>
              <w:rPr>
                <w:b/>
                <w:color w:val="1C3A36"/>
                <w:sz w:val="17"/>
              </w:rPr>
              <w:t>Free cash flow (CFO − capex)</w:t>
            </w:r>
          </w:p>
        </w:tc>
        <w:tc>
          <w:tcPr>
            <w:tcW w:type="dxa" w:w="1800"/>
            <w:shd w:val="clear" w:color="auto" w:fill="F6F1E6"/>
          </w:tcPr>
          <w:p>
            <w:pPr>
              <w:spacing w:after="20"/>
              <w:jc w:val="right"/>
            </w:pPr>
            <w:r>
              <w:rPr>
                <w:b/>
                <w:color w:val="1C3A36"/>
                <w:sz w:val="17"/>
              </w:rPr>
              <w:t>9,713</w:t>
            </w:r>
          </w:p>
        </w:tc>
        <w:tc>
          <w:tcPr>
            <w:tcW w:type="dxa" w:w="1800"/>
            <w:shd w:val="clear" w:color="auto" w:fill="F6F1E6"/>
          </w:tcPr>
          <w:p>
            <w:pPr>
              <w:spacing w:after="20"/>
              <w:jc w:val="right"/>
            </w:pPr>
            <w:r>
              <w:rPr>
                <w:b/>
                <w:color w:val="1C3A36"/>
                <w:sz w:val="17"/>
              </w:rPr>
              <w:t>8,168</w:t>
            </w:r>
          </w:p>
        </w:tc>
        <w:tc>
          <w:tcPr>
            <w:tcW w:type="dxa" w:w="1800"/>
            <w:shd w:val="clear" w:color="auto" w:fill="F6F1E6"/>
          </w:tcPr>
          <w:p>
            <w:pPr>
              <w:spacing w:after="20"/>
              <w:jc w:val="right"/>
            </w:pPr>
            <w:r>
              <w:rPr>
                <w:b/>
                <w:color w:val="1C3A36"/>
                <w:sz w:val="17"/>
              </w:rPr>
              <w:t>11,260</w:t>
            </w:r>
          </w:p>
        </w:tc>
      </w:tr>
      <w:tr>
        <w:tc>
          <w:tcPr>
            <w:tcW w:type="dxa" w:w="4536"/>
          </w:tcPr>
          <w:p>
            <w:pPr>
              <w:spacing w:after="20"/>
            </w:pPr>
            <w:r>
              <w:rPr>
                <w:color w:val="1C3A36"/>
                <w:sz w:val="17"/>
              </w:rPr>
              <w:t>– Interest paid on borrowings</w:t>
            </w:r>
          </w:p>
        </w:tc>
        <w:tc>
          <w:tcPr>
            <w:tcW w:type="dxa" w:w="1800"/>
          </w:tcPr>
          <w:p>
            <w:pPr>
              <w:spacing w:after="20"/>
              <w:jc w:val="right"/>
            </w:pPr>
            <w:r>
              <w:rPr>
                <w:color w:val="1C3A36"/>
                <w:sz w:val="17"/>
              </w:rPr>
              <w:t>(2,378)</w:t>
            </w:r>
          </w:p>
        </w:tc>
        <w:tc>
          <w:tcPr>
            <w:tcW w:type="dxa" w:w="1800"/>
          </w:tcPr>
          <w:p>
            <w:pPr>
              <w:spacing w:after="20"/>
              <w:jc w:val="right"/>
            </w:pPr>
            <w:r>
              <w:rPr>
                <w:color w:val="1C3A36"/>
                <w:sz w:val="17"/>
              </w:rPr>
              <w:t>(2,577)</w:t>
            </w:r>
          </w:p>
        </w:tc>
        <w:tc>
          <w:tcPr>
            <w:tcW w:type="dxa" w:w="1800"/>
          </w:tcPr>
          <w:p>
            <w:pPr>
              <w:spacing w:after="20"/>
              <w:jc w:val="right"/>
            </w:pPr>
            <w:r>
              <w:rPr>
                <w:color w:val="1C3A36"/>
                <w:sz w:val="17"/>
              </w:rPr>
              <w:t>(2,203)</w:t>
            </w:r>
          </w:p>
        </w:tc>
      </w:tr>
      <w:tr>
        <w:tc>
          <w:tcPr>
            <w:tcW w:type="dxa" w:w="4536"/>
          </w:tcPr>
          <w:p>
            <w:pPr>
              <w:spacing w:after="20"/>
            </w:pPr>
            <w:r>
              <w:rPr>
                <w:color w:val="1C3A36"/>
                <w:sz w:val="17"/>
              </w:rPr>
              <w:t>– Dividends — owners</w:t>
            </w:r>
          </w:p>
        </w:tc>
        <w:tc>
          <w:tcPr>
            <w:tcW w:type="dxa" w:w="1800"/>
          </w:tcPr>
          <w:p>
            <w:pPr>
              <w:spacing w:after="20"/>
              <w:jc w:val="right"/>
            </w:pPr>
            <w:r>
              <w:rPr>
                <w:color w:val="1C3A36"/>
                <w:sz w:val="17"/>
              </w:rPr>
              <w:t>(7,870)</w:t>
            </w:r>
          </w:p>
        </w:tc>
        <w:tc>
          <w:tcPr>
            <w:tcW w:type="dxa" w:w="1800"/>
          </w:tcPr>
          <w:p>
            <w:pPr>
              <w:spacing w:after="20"/>
              <w:jc w:val="right"/>
            </w:pPr>
            <w:r>
              <w:rPr>
                <w:color w:val="1C3A36"/>
                <w:sz w:val="17"/>
              </w:rPr>
              <w:t>(6,200)</w:t>
            </w:r>
          </w:p>
        </w:tc>
        <w:tc>
          <w:tcPr>
            <w:tcW w:type="dxa" w:w="1800"/>
          </w:tcPr>
          <w:p>
            <w:pPr>
              <w:spacing w:after="20"/>
              <w:jc w:val="right"/>
            </w:pPr>
            <w:r>
              <w:rPr>
                <w:color w:val="1C3A36"/>
                <w:sz w:val="17"/>
              </w:rPr>
              <w:t>(6,200)</w:t>
            </w:r>
          </w:p>
        </w:tc>
      </w:tr>
      <w:tr>
        <w:tc>
          <w:tcPr>
            <w:tcW w:type="dxa" w:w="4536"/>
          </w:tcPr>
          <w:p>
            <w:pPr>
              <w:spacing w:after="20"/>
            </w:pPr>
            <w:r>
              <w:rPr>
                <w:color w:val="1C3A36"/>
                <w:sz w:val="17"/>
              </w:rPr>
              <w:t>– Dividends — NCI</w:t>
            </w:r>
          </w:p>
        </w:tc>
        <w:tc>
          <w:tcPr>
            <w:tcW w:type="dxa" w:w="1800"/>
          </w:tcPr>
          <w:p>
            <w:pPr>
              <w:spacing w:after="20"/>
              <w:jc w:val="right"/>
            </w:pPr>
            <w:r>
              <w:rPr>
                <w:color w:val="1C3A36"/>
                <w:sz w:val="17"/>
              </w:rPr>
              <w:t>(378)</w:t>
            </w:r>
          </w:p>
        </w:tc>
        <w:tc>
          <w:tcPr>
            <w:tcW w:type="dxa" w:w="1800"/>
          </w:tcPr>
          <w:p>
            <w:pPr>
              <w:spacing w:after="20"/>
              <w:jc w:val="right"/>
            </w:pPr>
            <w:r>
              <w:rPr>
                <w:color w:val="1C3A36"/>
                <w:sz w:val="17"/>
              </w:rPr>
              <w:t>(385)</w:t>
            </w:r>
          </w:p>
        </w:tc>
        <w:tc>
          <w:tcPr>
            <w:tcW w:type="dxa" w:w="1800"/>
          </w:tcPr>
          <w:p>
            <w:pPr>
              <w:spacing w:after="20"/>
              <w:jc w:val="right"/>
            </w:pPr>
            <w:r>
              <w:rPr>
                <w:color w:val="1C3A36"/>
                <w:sz w:val="17"/>
              </w:rPr>
              <w:t>(1,160)</w:t>
            </w:r>
          </w:p>
        </w:tc>
      </w:tr>
      <w:tr>
        <w:tc>
          <w:tcPr>
            <w:tcW w:type="dxa" w:w="4536"/>
          </w:tcPr>
          <w:p>
            <w:pPr>
              <w:spacing w:after="20"/>
            </w:pPr>
            <w:r>
              <w:rPr>
                <w:color w:val="1C3A36"/>
                <w:sz w:val="17"/>
              </w:rPr>
              <w:t>Net cash used in investing</w:t>
            </w:r>
          </w:p>
        </w:tc>
        <w:tc>
          <w:tcPr>
            <w:tcW w:type="dxa" w:w="1800"/>
          </w:tcPr>
          <w:p>
            <w:pPr>
              <w:spacing w:after="20"/>
              <w:jc w:val="right"/>
            </w:pPr>
            <w:r>
              <w:rPr>
                <w:color w:val="1C3A36"/>
                <w:sz w:val="17"/>
              </w:rPr>
              <w:t>(4,776)</w:t>
            </w:r>
          </w:p>
        </w:tc>
        <w:tc>
          <w:tcPr>
            <w:tcW w:type="dxa" w:w="1800"/>
          </w:tcPr>
          <w:p>
            <w:pPr>
              <w:spacing w:after="20"/>
              <w:jc w:val="right"/>
            </w:pPr>
            <w:r>
              <w:rPr>
                <w:color w:val="1C3A36"/>
                <w:sz w:val="17"/>
              </w:rPr>
              <w:t>(6,933)</w:t>
            </w:r>
          </w:p>
        </w:tc>
        <w:tc>
          <w:tcPr>
            <w:tcW w:type="dxa" w:w="1800"/>
          </w:tcPr>
          <w:p>
            <w:pPr>
              <w:spacing w:after="20"/>
              <w:jc w:val="right"/>
            </w:pPr>
            <w:r>
              <w:rPr>
                <w:color w:val="1C3A36"/>
                <w:sz w:val="17"/>
              </w:rPr>
              <w:t>(14,415)</w:t>
            </w:r>
          </w:p>
        </w:tc>
      </w:tr>
      <w:tr>
        <w:tc>
          <w:tcPr>
            <w:tcW w:type="dxa" w:w="4536"/>
          </w:tcPr>
          <w:p>
            <w:pPr>
              <w:spacing w:after="20"/>
            </w:pPr>
            <w:r>
              <w:rPr>
                <w:color w:val="1C3A36"/>
                <w:sz w:val="17"/>
              </w:rPr>
              <w:t>Net cash used in financing</w:t>
            </w:r>
          </w:p>
        </w:tc>
        <w:tc>
          <w:tcPr>
            <w:tcW w:type="dxa" w:w="1800"/>
          </w:tcPr>
          <w:p>
            <w:pPr>
              <w:spacing w:after="20"/>
              <w:jc w:val="right"/>
            </w:pPr>
            <w:r>
              <w:rPr>
                <w:color w:val="1C3A36"/>
                <w:sz w:val="17"/>
              </w:rPr>
              <w:t>(11,806)</w:t>
            </w:r>
          </w:p>
        </w:tc>
        <w:tc>
          <w:tcPr>
            <w:tcW w:type="dxa" w:w="1800"/>
          </w:tcPr>
          <w:p>
            <w:pPr>
              <w:spacing w:after="20"/>
              <w:jc w:val="right"/>
            </w:pPr>
            <w:r>
              <w:rPr>
                <w:color w:val="1C3A36"/>
                <w:sz w:val="17"/>
              </w:rPr>
              <w:t>(9,787)</w:t>
            </w:r>
          </w:p>
        </w:tc>
        <w:tc>
          <w:tcPr>
            <w:tcW w:type="dxa" w:w="1800"/>
          </w:tcPr>
          <w:p>
            <w:pPr>
              <w:spacing w:after="20"/>
              <w:jc w:val="right"/>
            </w:pPr>
            <w:r>
              <w:rPr>
                <w:color w:val="1C3A36"/>
                <w:sz w:val="17"/>
              </w:rPr>
              <w:t>(5,322)</w:t>
            </w:r>
          </w:p>
        </w:tc>
      </w:tr>
      <w:tr>
        <w:tc>
          <w:tcPr>
            <w:tcW w:type="dxa" w:w="4536"/>
          </w:tcPr>
          <w:p>
            <w:pPr>
              <w:spacing w:after="20"/>
            </w:pPr>
            <w:r>
              <w:rPr>
                <w:color w:val="1C3A36"/>
                <w:sz w:val="17"/>
              </w:rPr>
              <w:t>Cash &amp; equivalents, year-end</w:t>
            </w:r>
          </w:p>
        </w:tc>
        <w:tc>
          <w:tcPr>
            <w:tcW w:type="dxa" w:w="1800"/>
          </w:tcPr>
          <w:p>
            <w:pPr>
              <w:spacing w:after="20"/>
              <w:jc w:val="right"/>
            </w:pPr>
            <w:r>
              <w:rPr>
                <w:color w:val="1C3A36"/>
                <w:sz w:val="17"/>
              </w:rPr>
              <w:t>4,658</w:t>
            </w:r>
          </w:p>
        </w:tc>
        <w:tc>
          <w:tcPr>
            <w:tcW w:type="dxa" w:w="1800"/>
          </w:tcPr>
          <w:p>
            <w:pPr>
              <w:spacing w:after="20"/>
              <w:jc w:val="right"/>
            </w:pPr>
            <w:r>
              <w:rPr>
                <w:color w:val="1C3A36"/>
                <w:sz w:val="17"/>
              </w:rPr>
              <w:t>5,374</w:t>
            </w:r>
          </w:p>
        </w:tc>
        <w:tc>
          <w:tcPr>
            <w:tcW w:type="dxa" w:w="1800"/>
          </w:tcPr>
          <w:p>
            <w:pPr>
              <w:spacing w:after="20"/>
              <w:jc w:val="right"/>
            </w:pPr>
            <w:r>
              <w:rPr>
                <w:color w:val="1C3A36"/>
                <w:sz w:val="17"/>
              </w:rPr>
              <w:t>7,487</w:t>
            </w:r>
          </w:p>
        </w:tc>
      </w:tr>
    </w:tbl>
    <w:p>
      <w:pPr>
        <w:spacing w:after="40"/>
      </w:pPr>
    </w:p>
    <w:p>
      <w:pPr>
        <w:spacing w:after="200" w:before="0"/>
      </w:pPr>
      <w:r>
        <w:rPr>
          <w:b w:val="0"/>
          <w:i/>
          <w:color w:val="6E7B77"/>
          <w:sz w:val="17"/>
        </w:rPr>
        <w:t>FY23 owner dividends of 7,870 include a one-off catch-up above the 6,200 floor. Dividend cover FY25, dual-framed: 1.23x gross (total PAT 9,055 / total dividends paid 7,360, NCI included) and 1.35x owner (attributable 8,347 / owner dividends 6,200); against the AED 6.2bn policy floor alone, group earnings cover it 1.46x. All framings appear wherever the cover is cited.</w:t>
      </w:r>
    </w:p>
    <w:p>
      <w:pPr>
        <w:spacing w:after="80" w:before="200"/>
      </w:pPr>
      <w:r>
        <w:rPr>
          <w:b/>
          <w:i w:val="0"/>
          <w:color w:val="1C3A36"/>
          <w:sz w:val="24"/>
        </w:rPr>
        <w:t>A.4  Reading the statements — what the accounts actually say</w:t>
      </w:r>
    </w:p>
    <w:p>
      <w:pPr>
        <w:spacing w:after="120" w:before="0"/>
      </w:pPr>
      <w:r>
        <w:rPr>
          <w:b w:val="0"/>
          <w:i w:val="0"/>
          <w:color w:val="1C3A36"/>
          <w:sz w:val="21"/>
        </w:rPr>
        <w:t>Three mechanics matter more than any single line. First, the regulatory deferral: DEWA bills fuel-cost increases against a 2010 base year, and the difference between what it collects and what the regulator ultimately allows sits in a deferral account — a AED 699mn credit at FY25, up from 367 — presented outside liabilities. The company nets the year’s movement (AED −331mn in FY25) out of its stated EBITDA of 17,329; this study’s engine basis of 17,661 leaves it in the operating line and discloses both, because a valuation model needs the gross economics and the reader needs the reconciliation.</w:t>
      </w:r>
    </w:p>
    <w:p>
      <w:pPr>
        <w:spacing w:after="120" w:before="0"/>
      </w:pPr>
      <w:r>
        <w:rPr>
          <w:b w:val="0"/>
          <w:i w:val="0"/>
          <w:color w:val="1C3A36"/>
          <w:sz w:val="21"/>
        </w:rPr>
        <w:t>Second, the NCI machinery. Non-controlling interests contributed AED 2,118mn of capital in FY25 (and 2,120 in FY24) — that is the IPP partners funding their 40-49% share of the Shuaa, Noor and Hassyan builds as construction progresses — while taking out AED 1,160mn of dividends, tripled from 385 as the newer plants entered service. The Empower transaction reverses part of this structure: from February 2026 DEWA keeps 80% of the cooling profit stream it previously shared at 56%, which is why the FY26E attributable line grows faster than group PAT.</w:t>
      </w:r>
    </w:p>
    <w:p>
      <w:pPr>
        <w:spacing w:after="120" w:before="0"/>
      </w:pPr>
      <w:r>
        <w:rPr>
          <w:b w:val="0"/>
          <w:i w:val="0"/>
          <w:color w:val="1C3A36"/>
          <w:sz w:val="21"/>
        </w:rPr>
        <w:t>Third, the funding of the machine. FY25 operating cash of AED 21.9bn covered AED 10.6bn of cash capex, AED 2.2bn of interest and the full AED 7.4bn of dividends with room to spare; the large FY25 investing outflow (14.4bn) is mostly term-deposit placement — AED 14.7bn placed against 10.2bn matured — not spending. Gross borrowings rose only AED 2.6bn in a year the company invested 11.7bn; the balance sheet is deleveraging in ratio terms even mid-programme, which is the quantitative backbone of the §1.8 headroom argument. One audit note completes the picture: KPMG’s key audit matters were the estimation of accrued unbilled revenue (AED 1,216mn at FY25) and the expected-credit-loss allowance (AED 376mn against 3,049mn of receivables) — both routine for a metered utility, and the opinion is unqualified.</w:t>
      </w:r>
    </w:p>
    <w:p>
      <w:pPr>
        <w:spacing w:after="40"/>
        <w:jc w:val="center"/>
      </w:pPr>
      <w:r>
        <w:drawing>
          <wp:inline xmlns:a="http://schemas.openxmlformats.org/drawingml/2006/main" xmlns:pic="http://schemas.openxmlformats.org/drawingml/2006/picture">
            <wp:extent cx="6309360" cy="2274765"/>
            <wp:docPr id="9" name="Picture 9"/>
            <wp:cNvGraphicFramePr>
              <a:graphicFrameLocks noChangeAspect="1"/>
            </wp:cNvGraphicFramePr>
            <a:graphic>
              <a:graphicData uri="http://schemas.openxmlformats.org/drawingml/2006/picture">
                <pic:pic>
                  <pic:nvPicPr>
                    <pic:cNvPr id="0" name="f4_cover.png"/>
                    <pic:cNvPicPr/>
                  </pic:nvPicPr>
                  <pic:blipFill>
                    <a:blip r:embed="rId17"/>
                    <a:stretch>
                      <a:fillRect/>
                    </a:stretch>
                  </pic:blipFill>
                  <pic:spPr>
                    <a:xfrm>
                      <a:off x="0" y="0"/>
                      <a:ext cx="6309360" cy="2274765"/>
                    </a:xfrm>
                    <a:prstGeom prst="rect"/>
                  </pic:spPr>
                </pic:pic>
              </a:graphicData>
            </a:graphic>
          </wp:inline>
        </w:drawing>
      </w:r>
    </w:p>
    <w:p>
      <w:pPr>
        <w:spacing w:after="200" w:before="0"/>
      </w:pPr>
      <w:r>
        <w:rPr>
          <w:b w:val="0"/>
          <w:i/>
          <w:color w:val="6E7B77"/>
          <w:sz w:val="17"/>
        </w:rPr>
        <w:t>Figure 9. Dividend against earnings and free cash flow — the AED 6.2bn floor is comfortably covered on every framing; the question is policy, not capacity.</w:t>
      </w:r>
    </w:p>
    <w:p>
      <w:pPr>
        <w:spacing w:after="80" w:before="200"/>
      </w:pPr>
      <w:r>
        <w:rPr>
          <w:b/>
          <w:i w:val="0"/>
          <w:color w:val="1C3A36"/>
          <w:sz w:val="24"/>
        </w:rPr>
        <w:t>A.5  Group structure — who owns what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4176"/>
            <w:shd w:val="clear" w:color="auto" w:fill="EAF0EE"/>
          </w:tcPr>
          <w:p>
            <w:pPr>
              <w:spacing w:after="20"/>
            </w:pPr>
            <w:r>
              <w:rPr>
                <w:b/>
                <w:color w:val="1C3A36"/>
                <w:sz w:val="16"/>
              </w:rPr>
              <w:t>Entity</w:t>
            </w:r>
          </w:p>
        </w:tc>
        <w:tc>
          <w:tcPr>
            <w:tcW w:type="dxa" w:w="1008"/>
            <w:shd w:val="clear" w:color="auto" w:fill="EAF0EE"/>
          </w:tcPr>
          <w:p>
            <w:pPr>
              <w:spacing w:after="20"/>
            </w:pPr>
            <w:r>
              <w:rPr>
                <w:b/>
                <w:color w:val="1C3A36"/>
                <w:sz w:val="16"/>
              </w:rPr>
              <w:t>Held</w:t>
            </w:r>
          </w:p>
        </w:tc>
        <w:tc>
          <w:tcPr>
            <w:tcW w:type="dxa" w:w="4896"/>
            <w:shd w:val="clear" w:color="auto" w:fill="EAF0EE"/>
          </w:tcPr>
          <w:p>
            <w:pPr>
              <w:spacing w:after="20"/>
            </w:pPr>
            <w:r>
              <w:rPr>
                <w:b/>
                <w:color w:val="1C3A36"/>
                <w:sz w:val="16"/>
              </w:rPr>
              <w:t>What it does</w:t>
            </w:r>
          </w:p>
        </w:tc>
      </w:tr>
      <w:tr>
        <w:tc>
          <w:tcPr>
            <w:tcW w:type="dxa" w:w="4176"/>
          </w:tcPr>
          <w:p>
            <w:pPr>
              <w:spacing w:after="20"/>
            </w:pPr>
            <w:r>
              <w:rPr>
                <w:color w:val="1C3A36"/>
                <w:sz w:val="16"/>
              </w:rPr>
              <w:t>Empower (Emirates Central Cooling) — DFM listed</w:t>
            </w:r>
          </w:p>
        </w:tc>
        <w:tc>
          <w:tcPr>
            <w:tcW w:type="dxa" w:w="1008"/>
          </w:tcPr>
          <w:p>
            <w:pPr>
              <w:spacing w:after="20"/>
            </w:pPr>
            <w:r>
              <w:rPr>
                <w:color w:val="1C3A36"/>
                <w:sz w:val="16"/>
              </w:rPr>
              <w:t>80%</w:t>
            </w:r>
          </w:p>
        </w:tc>
        <w:tc>
          <w:tcPr>
            <w:tcW w:type="dxa" w:w="4896"/>
          </w:tcPr>
          <w:p>
            <w:pPr>
              <w:spacing w:after="20"/>
            </w:pPr>
            <w:r>
              <w:rPr>
                <w:color w:val="1C3A36"/>
                <w:sz w:val="16"/>
              </w:rPr>
              <w:t>world’s largest district cooling; bought up from 56% for AED 5,184mn, 10-Feb-2026</w:t>
            </w:r>
          </w:p>
        </w:tc>
      </w:tr>
      <w:tr>
        <w:tc>
          <w:tcPr>
            <w:tcW w:type="dxa" w:w="4176"/>
          </w:tcPr>
          <w:p>
            <w:pPr>
              <w:spacing w:after="20"/>
            </w:pPr>
            <w:r>
              <w:rPr>
                <w:color w:val="1C3A36"/>
                <w:sz w:val="16"/>
              </w:rPr>
              <w:t>Mai Dubai</w:t>
            </w:r>
          </w:p>
        </w:tc>
        <w:tc>
          <w:tcPr>
            <w:tcW w:type="dxa" w:w="1008"/>
          </w:tcPr>
          <w:p>
            <w:pPr>
              <w:spacing w:after="20"/>
            </w:pPr>
            <w:r>
              <w:rPr>
                <w:color w:val="1C3A36"/>
                <w:sz w:val="16"/>
              </w:rPr>
              <w:t>100%</w:t>
            </w:r>
          </w:p>
        </w:tc>
        <w:tc>
          <w:tcPr>
            <w:tcW w:type="dxa" w:w="4896"/>
          </w:tcPr>
          <w:p>
            <w:pPr>
              <w:spacing w:after="20"/>
            </w:pPr>
            <w:r>
              <w:rPr>
                <w:color w:val="1C3A36"/>
                <w:sz w:val="16"/>
              </w:rPr>
              <w:t>bottled water manufacture and distribution</w:t>
            </w:r>
          </w:p>
        </w:tc>
      </w:tr>
      <w:tr>
        <w:tc>
          <w:tcPr>
            <w:tcW w:type="dxa" w:w="4176"/>
          </w:tcPr>
          <w:p>
            <w:pPr>
              <w:spacing w:after="20"/>
            </w:pPr>
            <w:r>
              <w:rPr>
                <w:color w:val="1C3A36"/>
                <w:sz w:val="16"/>
              </w:rPr>
              <w:t>Digital DEWA / Moro (Data Hub Integrated Solutions)</w:t>
            </w:r>
          </w:p>
        </w:tc>
        <w:tc>
          <w:tcPr>
            <w:tcW w:type="dxa" w:w="1008"/>
          </w:tcPr>
          <w:p>
            <w:pPr>
              <w:spacing w:after="20"/>
            </w:pPr>
            <w:r>
              <w:rPr>
                <w:color w:val="1C3A36"/>
                <w:sz w:val="16"/>
              </w:rPr>
              <w:t>100%</w:t>
            </w:r>
          </w:p>
        </w:tc>
        <w:tc>
          <w:tcPr>
            <w:tcW w:type="dxa" w:w="4896"/>
          </w:tcPr>
          <w:p>
            <w:pPr>
              <w:spacing w:after="20"/>
            </w:pPr>
            <w:r>
              <w:rPr>
                <w:color w:val="1C3A36"/>
                <w:sz w:val="16"/>
              </w:rPr>
              <w:t>data centres, IT infrastructure — the digital vertical</w:t>
            </w:r>
          </w:p>
        </w:tc>
      </w:tr>
      <w:tr>
        <w:tc>
          <w:tcPr>
            <w:tcW w:type="dxa" w:w="4176"/>
          </w:tcPr>
          <w:p>
            <w:pPr>
              <w:spacing w:after="20"/>
            </w:pPr>
            <w:r>
              <w:rPr>
                <w:color w:val="1C3A36"/>
                <w:sz w:val="16"/>
              </w:rPr>
              <w:t>Etihad ESCO / Etihad Clean Energy</w:t>
            </w:r>
          </w:p>
        </w:tc>
        <w:tc>
          <w:tcPr>
            <w:tcW w:type="dxa" w:w="1008"/>
          </w:tcPr>
          <w:p>
            <w:pPr>
              <w:spacing w:after="20"/>
            </w:pPr>
            <w:r>
              <w:rPr>
                <w:color w:val="1C3A36"/>
                <w:sz w:val="16"/>
              </w:rPr>
              <w:t>100%</w:t>
            </w:r>
          </w:p>
        </w:tc>
        <w:tc>
          <w:tcPr>
            <w:tcW w:type="dxa" w:w="4896"/>
          </w:tcPr>
          <w:p>
            <w:pPr>
              <w:spacing w:after="20"/>
            </w:pPr>
            <w:r>
              <w:rPr>
                <w:color w:val="1C3A36"/>
                <w:sz w:val="16"/>
              </w:rPr>
              <w:t>building energy-efficiency retrofits, solar rental</w:t>
            </w:r>
          </w:p>
        </w:tc>
      </w:tr>
      <w:tr>
        <w:tc>
          <w:tcPr>
            <w:tcW w:type="dxa" w:w="4176"/>
          </w:tcPr>
          <w:p>
            <w:pPr>
              <w:spacing w:after="20"/>
            </w:pPr>
            <w:r>
              <w:rPr>
                <w:color w:val="1C3A36"/>
                <w:sz w:val="16"/>
              </w:rPr>
              <w:t>Shuaa Energy 1 / 2 / 3 / 4 (solar IPPs)</w:t>
            </w:r>
          </w:p>
        </w:tc>
        <w:tc>
          <w:tcPr>
            <w:tcW w:type="dxa" w:w="1008"/>
          </w:tcPr>
          <w:p>
            <w:pPr>
              <w:spacing w:after="20"/>
            </w:pPr>
            <w:r>
              <w:rPr>
                <w:color w:val="1C3A36"/>
                <w:sz w:val="16"/>
              </w:rPr>
              <w:t>51-60%</w:t>
            </w:r>
          </w:p>
        </w:tc>
        <w:tc>
          <w:tcPr>
            <w:tcW w:type="dxa" w:w="4896"/>
          </w:tcPr>
          <w:p>
            <w:pPr>
              <w:spacing w:after="20"/>
            </w:pPr>
            <w:r>
              <w:rPr>
                <w:color w:val="1C3A36"/>
                <w:sz w:val="16"/>
              </w:rPr>
              <w:t>MBR Solar Park phases; partners fund the minority share</w:t>
            </w:r>
          </w:p>
        </w:tc>
      </w:tr>
      <w:tr>
        <w:tc>
          <w:tcPr>
            <w:tcW w:type="dxa" w:w="4176"/>
          </w:tcPr>
          <w:p>
            <w:pPr>
              <w:spacing w:after="20"/>
            </w:pPr>
            <w:r>
              <w:rPr>
                <w:color w:val="1C3A36"/>
                <w:sz w:val="16"/>
              </w:rPr>
              <w:t>Noor Energy 1 (950 MW CSP hybrid)</w:t>
            </w:r>
          </w:p>
        </w:tc>
        <w:tc>
          <w:tcPr>
            <w:tcW w:type="dxa" w:w="1008"/>
          </w:tcPr>
          <w:p>
            <w:pPr>
              <w:spacing w:after="20"/>
            </w:pPr>
            <w:r>
              <w:rPr>
                <w:color w:val="1C3A36"/>
                <w:sz w:val="16"/>
              </w:rPr>
              <w:t>51%</w:t>
            </w:r>
          </w:p>
        </w:tc>
        <w:tc>
          <w:tcPr>
            <w:tcW w:type="dxa" w:w="4896"/>
          </w:tcPr>
          <w:p>
            <w:pPr>
              <w:spacing w:after="20"/>
            </w:pPr>
            <w:r>
              <w:rPr>
                <w:color w:val="1C3A36"/>
                <w:sz w:val="16"/>
              </w:rPr>
              <w:t>concentrated solar + PV — fully grid-connected in FY25</w:t>
            </w:r>
          </w:p>
        </w:tc>
      </w:tr>
      <w:tr>
        <w:tc>
          <w:tcPr>
            <w:tcW w:type="dxa" w:w="4176"/>
          </w:tcPr>
          <w:p>
            <w:pPr>
              <w:spacing w:after="20"/>
            </w:pPr>
            <w:r>
              <w:rPr>
                <w:color w:val="1C3A36"/>
                <w:sz w:val="16"/>
              </w:rPr>
              <w:t>Hassyan Energy Phase 1</w:t>
            </w:r>
          </w:p>
        </w:tc>
        <w:tc>
          <w:tcPr>
            <w:tcW w:type="dxa" w:w="1008"/>
          </w:tcPr>
          <w:p>
            <w:pPr>
              <w:spacing w:after="20"/>
            </w:pPr>
            <w:r>
              <w:rPr>
                <w:color w:val="1C3A36"/>
                <w:sz w:val="16"/>
              </w:rPr>
              <w:t>51%</w:t>
            </w:r>
          </w:p>
        </w:tc>
        <w:tc>
          <w:tcPr>
            <w:tcW w:type="dxa" w:w="4896"/>
          </w:tcPr>
          <w:p>
            <w:pPr>
              <w:spacing w:after="20"/>
            </w:pPr>
            <w:r>
              <w:rPr>
                <w:color w:val="1C3A36"/>
                <w:sz w:val="16"/>
              </w:rPr>
              <w:t>the Hassyan power complex</w:t>
            </w:r>
          </w:p>
        </w:tc>
      </w:tr>
      <w:tr>
        <w:tc>
          <w:tcPr>
            <w:tcW w:type="dxa" w:w="4176"/>
          </w:tcPr>
          <w:p>
            <w:pPr>
              <w:spacing w:after="20"/>
            </w:pPr>
            <w:r>
              <w:rPr>
                <w:color w:val="1C3A36"/>
                <w:sz w:val="16"/>
              </w:rPr>
              <w:t>Hassyan Water 1 / A (SWRO)</w:t>
            </w:r>
          </w:p>
        </w:tc>
        <w:tc>
          <w:tcPr>
            <w:tcW w:type="dxa" w:w="1008"/>
          </w:tcPr>
          <w:p>
            <w:pPr>
              <w:spacing w:after="20"/>
            </w:pPr>
            <w:r>
              <w:rPr>
                <w:color w:val="1C3A36"/>
                <w:sz w:val="16"/>
              </w:rPr>
              <w:t>60%</w:t>
            </w:r>
          </w:p>
        </w:tc>
        <w:tc>
          <w:tcPr>
            <w:tcW w:type="dxa" w:w="4896"/>
          </w:tcPr>
          <w:p>
            <w:pPr>
              <w:spacing w:after="20"/>
            </w:pPr>
            <w:r>
              <w:rPr>
                <w:color w:val="1C3A36"/>
                <w:sz w:val="16"/>
              </w:rPr>
              <w:t>180 MIGD reverse-osmosis desalination; early production achieved</w:t>
            </w:r>
          </w:p>
        </w:tc>
      </w:tr>
      <w:tr>
        <w:tc>
          <w:tcPr>
            <w:tcW w:type="dxa" w:w="4176"/>
          </w:tcPr>
          <w:p>
            <w:pPr>
              <w:spacing w:after="20"/>
            </w:pPr>
            <w:r>
              <w:rPr>
                <w:color w:val="1C3A36"/>
                <w:sz w:val="16"/>
              </w:rPr>
              <w:t>Etihad Energy Services, InfraX, Digital X, Space-D, Dubai Green Fund, others</w:t>
            </w:r>
          </w:p>
        </w:tc>
        <w:tc>
          <w:tcPr>
            <w:tcW w:type="dxa" w:w="1008"/>
          </w:tcPr>
          <w:p>
            <w:pPr>
              <w:spacing w:after="20"/>
            </w:pPr>
            <w:r>
              <w:rPr>
                <w:color w:val="1C3A36"/>
                <w:sz w:val="16"/>
              </w:rPr>
              <w:t>100%</w:t>
            </w:r>
          </w:p>
        </w:tc>
        <w:tc>
          <w:tcPr>
            <w:tcW w:type="dxa" w:w="4896"/>
          </w:tcPr>
          <w:p>
            <w:pPr>
              <w:spacing w:after="20"/>
            </w:pPr>
            <w:r>
              <w:rPr>
                <w:color w:val="1C3A36"/>
                <w:sz w:val="16"/>
              </w:rPr>
              <w:t>services, networks, satellite telemetry, green investment vehicles</w:t>
            </w:r>
          </w:p>
        </w:tc>
      </w:tr>
    </w:tbl>
    <w:p>
      <w:pPr>
        <w:spacing w:after="40"/>
      </w:pPr>
    </w:p>
    <w:p>
      <w:pPr>
        <w:spacing w:after="200" w:before="0"/>
      </w:pPr>
      <w:r>
        <w:rPr>
          <w:b w:val="0"/>
          <w:i/>
          <w:color w:val="6E7B77"/>
          <w:sz w:val="17"/>
        </w:rPr>
        <w:t>Source: note 1 to the FY25 audited statements. The 51-60% IPP/IWP holdings are why NCI runs through every statement — and why the group can build a 23-GW system while its own borrowings barely rise.</w:t>
      </w:r>
    </w:p>
    <w:p>
      <w:pPr>
        <w:spacing w:after="80" w:before="200"/>
      </w:pPr>
      <w:r>
        <w:rPr>
          <w:b/>
          <w:i w:val="0"/>
          <w:color w:val="1C3A36"/>
          <w:sz w:val="24"/>
        </w:rPr>
        <w:t>A.6  FY25 equity walk — where the AED 2.8bn of equity growth came from</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5040"/>
            <w:shd w:val="clear" w:color="auto" w:fill="EAF0EE"/>
          </w:tcPr>
          <w:p>
            <w:pPr>
              <w:spacing w:after="20"/>
            </w:pPr>
            <w:r>
              <w:rPr>
                <w:b/>
                <w:color w:val="1C3A36"/>
                <w:sz w:val="17"/>
              </w:rPr>
              <w:t>AED mn</w:t>
            </w:r>
          </w:p>
        </w:tc>
        <w:tc>
          <w:tcPr>
            <w:tcW w:type="dxa" w:w="1656"/>
            <w:shd w:val="clear" w:color="auto" w:fill="EAF0EE"/>
          </w:tcPr>
          <w:p>
            <w:pPr>
              <w:spacing w:after="20"/>
            </w:pPr>
            <w:r>
              <w:rPr>
                <w:b/>
                <w:color w:val="1C3A36"/>
                <w:sz w:val="17"/>
              </w:rPr>
              <w:t>Owners</w:t>
            </w:r>
          </w:p>
        </w:tc>
        <w:tc>
          <w:tcPr>
            <w:tcW w:type="dxa" w:w="1440"/>
            <w:shd w:val="clear" w:color="auto" w:fill="EAF0EE"/>
          </w:tcPr>
          <w:p>
            <w:pPr>
              <w:spacing w:after="20"/>
            </w:pPr>
            <w:r>
              <w:rPr>
                <w:b/>
                <w:color w:val="1C3A36"/>
                <w:sz w:val="17"/>
              </w:rPr>
              <w:t>NCI</w:t>
            </w:r>
          </w:p>
        </w:tc>
        <w:tc>
          <w:tcPr>
            <w:tcW w:type="dxa" w:w="1440"/>
            <w:shd w:val="clear" w:color="auto" w:fill="EAF0EE"/>
          </w:tcPr>
          <w:p>
            <w:pPr>
              <w:spacing w:after="20"/>
            </w:pPr>
            <w:r>
              <w:rPr>
                <w:b/>
                <w:color w:val="1C3A36"/>
                <w:sz w:val="17"/>
              </w:rPr>
              <w:t>Total</w:t>
            </w:r>
          </w:p>
        </w:tc>
      </w:tr>
      <w:tr>
        <w:tc>
          <w:tcPr>
            <w:tcW w:type="dxa" w:w="5040"/>
          </w:tcPr>
          <w:p>
            <w:pPr>
              <w:spacing w:after="20"/>
            </w:pPr>
            <w:r>
              <w:rPr>
                <w:color w:val="1C3A36"/>
                <w:sz w:val="17"/>
              </w:rPr>
              <w:t>Opening equity (1-Jan-25)</w:t>
            </w:r>
          </w:p>
        </w:tc>
        <w:tc>
          <w:tcPr>
            <w:tcW w:type="dxa" w:w="1656"/>
          </w:tcPr>
          <w:p>
            <w:pPr>
              <w:spacing w:after="20"/>
              <w:jc w:val="right"/>
            </w:pPr>
            <w:r>
              <w:rPr>
                <w:color w:val="1C3A36"/>
                <w:sz w:val="17"/>
              </w:rPr>
              <w:t>89,349</w:t>
            </w:r>
          </w:p>
        </w:tc>
        <w:tc>
          <w:tcPr>
            <w:tcW w:type="dxa" w:w="1440"/>
          </w:tcPr>
          <w:p>
            <w:pPr>
              <w:spacing w:after="20"/>
              <w:jc w:val="right"/>
            </w:pPr>
            <w:r>
              <w:rPr>
                <w:color w:val="1C3A36"/>
                <w:sz w:val="17"/>
              </w:rPr>
              <w:t>5,639</w:t>
            </w:r>
          </w:p>
        </w:tc>
        <w:tc>
          <w:tcPr>
            <w:tcW w:type="dxa" w:w="1440"/>
          </w:tcPr>
          <w:p>
            <w:pPr>
              <w:spacing w:after="20"/>
              <w:jc w:val="right"/>
            </w:pPr>
            <w:r>
              <w:rPr>
                <w:color w:val="1C3A36"/>
                <w:sz w:val="17"/>
              </w:rPr>
              <w:t>94,988</w:t>
            </w:r>
          </w:p>
        </w:tc>
      </w:tr>
      <w:tr>
        <w:tc>
          <w:tcPr>
            <w:tcW w:type="dxa" w:w="5040"/>
          </w:tcPr>
          <w:p>
            <w:pPr>
              <w:spacing w:after="20"/>
            </w:pPr>
            <w:r>
              <w:rPr>
                <w:color w:val="1C3A36"/>
                <w:sz w:val="17"/>
              </w:rPr>
              <w:t>Profit for the year</w:t>
            </w:r>
          </w:p>
        </w:tc>
        <w:tc>
          <w:tcPr>
            <w:tcW w:type="dxa" w:w="1656"/>
          </w:tcPr>
          <w:p>
            <w:pPr>
              <w:spacing w:after="20"/>
              <w:jc w:val="right"/>
            </w:pPr>
            <w:r>
              <w:rPr>
                <w:color w:val="1C3A36"/>
                <w:sz w:val="17"/>
              </w:rPr>
              <w:t>+8,347</w:t>
            </w:r>
          </w:p>
        </w:tc>
        <w:tc>
          <w:tcPr>
            <w:tcW w:type="dxa" w:w="1440"/>
          </w:tcPr>
          <w:p>
            <w:pPr>
              <w:spacing w:after="20"/>
              <w:jc w:val="right"/>
            </w:pPr>
            <w:r>
              <w:rPr>
                <w:color w:val="1C3A36"/>
                <w:sz w:val="17"/>
              </w:rPr>
              <w:t>+708</w:t>
            </w:r>
          </w:p>
        </w:tc>
        <w:tc>
          <w:tcPr>
            <w:tcW w:type="dxa" w:w="1440"/>
          </w:tcPr>
          <w:p>
            <w:pPr>
              <w:spacing w:after="20"/>
              <w:jc w:val="right"/>
            </w:pPr>
            <w:r>
              <w:rPr>
                <w:color w:val="1C3A36"/>
                <w:sz w:val="17"/>
              </w:rPr>
              <w:t>+9,055</w:t>
            </w:r>
          </w:p>
        </w:tc>
      </w:tr>
      <w:tr>
        <w:tc>
          <w:tcPr>
            <w:tcW w:type="dxa" w:w="5040"/>
          </w:tcPr>
          <w:p>
            <w:pPr>
              <w:spacing w:after="20"/>
            </w:pPr>
            <w:r>
              <w:rPr>
                <w:color w:val="1C3A36"/>
                <w:sz w:val="17"/>
              </w:rPr>
              <w:t>Other comprehensive income (hedges, remeasurements)</w:t>
            </w:r>
          </w:p>
        </w:tc>
        <w:tc>
          <w:tcPr>
            <w:tcW w:type="dxa" w:w="1656"/>
          </w:tcPr>
          <w:p>
            <w:pPr>
              <w:spacing w:after="20"/>
              <w:jc w:val="right"/>
            </w:pPr>
            <w:r>
              <w:rPr>
                <w:color w:val="1C3A36"/>
                <w:sz w:val="17"/>
              </w:rPr>
              <w:t>(528)</w:t>
            </w:r>
          </w:p>
        </w:tc>
        <w:tc>
          <w:tcPr>
            <w:tcW w:type="dxa" w:w="1440"/>
          </w:tcPr>
          <w:p>
            <w:pPr>
              <w:spacing w:after="20"/>
              <w:jc w:val="right"/>
            </w:pPr>
            <w:r>
              <w:rPr>
                <w:color w:val="1C3A36"/>
                <w:sz w:val="17"/>
              </w:rPr>
              <w:t>(519)</w:t>
            </w:r>
          </w:p>
        </w:tc>
        <w:tc>
          <w:tcPr>
            <w:tcW w:type="dxa" w:w="1440"/>
          </w:tcPr>
          <w:p>
            <w:pPr>
              <w:spacing w:after="20"/>
              <w:jc w:val="right"/>
            </w:pPr>
            <w:r>
              <w:rPr>
                <w:color w:val="1C3A36"/>
                <w:sz w:val="17"/>
              </w:rPr>
              <w:t>(1,046)</w:t>
            </w:r>
          </w:p>
        </w:tc>
      </w:tr>
      <w:tr>
        <w:tc>
          <w:tcPr>
            <w:tcW w:type="dxa" w:w="5040"/>
          </w:tcPr>
          <w:p>
            <w:pPr>
              <w:spacing w:after="20"/>
            </w:pPr>
            <w:r>
              <w:rPr>
                <w:color w:val="1C3A36"/>
                <w:sz w:val="17"/>
              </w:rPr>
              <w:t>Capital contributions (NCI: IPP partners; owners: land)</w:t>
            </w:r>
          </w:p>
        </w:tc>
        <w:tc>
          <w:tcPr>
            <w:tcW w:type="dxa" w:w="1656"/>
          </w:tcPr>
          <w:p>
            <w:pPr>
              <w:spacing w:after="20"/>
              <w:jc w:val="right"/>
            </w:pPr>
            <w:r>
              <w:rPr>
                <w:color w:val="1C3A36"/>
                <w:sz w:val="17"/>
              </w:rPr>
              <w:t>+48</w:t>
            </w:r>
          </w:p>
        </w:tc>
        <w:tc>
          <w:tcPr>
            <w:tcW w:type="dxa" w:w="1440"/>
          </w:tcPr>
          <w:p>
            <w:pPr>
              <w:spacing w:after="20"/>
              <w:jc w:val="right"/>
            </w:pPr>
            <w:r>
              <w:rPr>
                <w:color w:val="1C3A36"/>
                <w:sz w:val="17"/>
              </w:rPr>
              <w:t>+2,118</w:t>
            </w:r>
          </w:p>
        </w:tc>
        <w:tc>
          <w:tcPr>
            <w:tcW w:type="dxa" w:w="1440"/>
          </w:tcPr>
          <w:p>
            <w:pPr>
              <w:spacing w:after="20"/>
              <w:jc w:val="right"/>
            </w:pPr>
            <w:r>
              <w:rPr>
                <w:color w:val="1C3A36"/>
                <w:sz w:val="17"/>
              </w:rPr>
              <w:t>+2,166</w:t>
            </w:r>
          </w:p>
        </w:tc>
      </w:tr>
      <w:tr>
        <w:tc>
          <w:tcPr>
            <w:tcW w:type="dxa" w:w="5040"/>
          </w:tcPr>
          <w:p>
            <w:pPr>
              <w:spacing w:after="20"/>
            </w:pPr>
            <w:r>
              <w:rPr>
                <w:color w:val="1C3A36"/>
                <w:sz w:val="17"/>
              </w:rPr>
              <w:t>Capital repayment to NCI</w:t>
            </w:r>
          </w:p>
        </w:tc>
        <w:tc>
          <w:tcPr>
            <w:tcW w:type="dxa" w:w="1656"/>
          </w:tcPr>
          <w:p>
            <w:pPr>
              <w:spacing w:after="20"/>
              <w:jc w:val="right"/>
            </w:pPr>
            <w:r>
              <w:rPr>
                <w:color w:val="1C3A36"/>
                <w:sz w:val="17"/>
              </w:rPr>
              <w:t>—</w:t>
            </w:r>
          </w:p>
        </w:tc>
        <w:tc>
          <w:tcPr>
            <w:tcW w:type="dxa" w:w="1440"/>
          </w:tcPr>
          <w:p>
            <w:pPr>
              <w:spacing w:after="20"/>
              <w:jc w:val="right"/>
            </w:pPr>
            <w:r>
              <w:rPr>
                <w:color w:val="1C3A36"/>
                <w:sz w:val="17"/>
              </w:rPr>
              <w:t>(32)</w:t>
            </w:r>
          </w:p>
        </w:tc>
        <w:tc>
          <w:tcPr>
            <w:tcW w:type="dxa" w:w="1440"/>
          </w:tcPr>
          <w:p>
            <w:pPr>
              <w:spacing w:after="20"/>
              <w:jc w:val="right"/>
            </w:pPr>
            <w:r>
              <w:rPr>
                <w:color w:val="1C3A36"/>
                <w:sz w:val="17"/>
              </w:rPr>
              <w:t>(32)</w:t>
            </w:r>
          </w:p>
        </w:tc>
      </w:tr>
      <w:tr>
        <w:tc>
          <w:tcPr>
            <w:tcW w:type="dxa" w:w="5040"/>
          </w:tcPr>
          <w:p>
            <w:pPr>
              <w:spacing w:after="20"/>
            </w:pPr>
            <w:r>
              <w:rPr>
                <w:color w:val="1C3A36"/>
                <w:sz w:val="17"/>
              </w:rPr>
              <w:t>Dividends paid</w:t>
            </w:r>
          </w:p>
        </w:tc>
        <w:tc>
          <w:tcPr>
            <w:tcW w:type="dxa" w:w="1656"/>
          </w:tcPr>
          <w:p>
            <w:pPr>
              <w:spacing w:after="20"/>
              <w:jc w:val="right"/>
            </w:pPr>
            <w:r>
              <w:rPr>
                <w:color w:val="1C3A36"/>
                <w:sz w:val="17"/>
              </w:rPr>
              <w:t>(6,200)</w:t>
            </w:r>
          </w:p>
        </w:tc>
        <w:tc>
          <w:tcPr>
            <w:tcW w:type="dxa" w:w="1440"/>
          </w:tcPr>
          <w:p>
            <w:pPr>
              <w:spacing w:after="20"/>
              <w:jc w:val="right"/>
            </w:pPr>
            <w:r>
              <w:rPr>
                <w:color w:val="1C3A36"/>
                <w:sz w:val="17"/>
              </w:rPr>
              <w:t>(1,160)</w:t>
            </w:r>
          </w:p>
        </w:tc>
        <w:tc>
          <w:tcPr>
            <w:tcW w:type="dxa" w:w="1440"/>
          </w:tcPr>
          <w:p>
            <w:pPr>
              <w:spacing w:after="20"/>
              <w:jc w:val="right"/>
            </w:pPr>
            <w:r>
              <w:rPr>
                <w:color w:val="1C3A36"/>
                <w:sz w:val="17"/>
              </w:rPr>
              <w:t>(7,360)</w:t>
            </w:r>
          </w:p>
        </w:tc>
      </w:tr>
      <w:tr>
        <w:tc>
          <w:tcPr>
            <w:tcW w:type="dxa" w:w="5040"/>
            <w:shd w:val="clear" w:color="auto" w:fill="F6F1E6"/>
          </w:tcPr>
          <w:p>
            <w:pPr>
              <w:spacing w:after="20"/>
            </w:pPr>
            <w:r>
              <w:rPr>
                <w:b/>
                <w:color w:val="1C3A36"/>
                <w:sz w:val="17"/>
              </w:rPr>
              <w:t>Closing equity (31-Dec-25)</w:t>
            </w:r>
          </w:p>
        </w:tc>
        <w:tc>
          <w:tcPr>
            <w:tcW w:type="dxa" w:w="1656"/>
            <w:shd w:val="clear" w:color="auto" w:fill="F6F1E6"/>
          </w:tcPr>
          <w:p>
            <w:pPr>
              <w:spacing w:after="20"/>
              <w:jc w:val="right"/>
            </w:pPr>
            <w:r>
              <w:rPr>
                <w:b/>
                <w:color w:val="1C3A36"/>
                <w:sz w:val="17"/>
              </w:rPr>
              <w:t>91,017</w:t>
            </w:r>
          </w:p>
        </w:tc>
        <w:tc>
          <w:tcPr>
            <w:tcW w:type="dxa" w:w="1440"/>
            <w:shd w:val="clear" w:color="auto" w:fill="F6F1E6"/>
          </w:tcPr>
          <w:p>
            <w:pPr>
              <w:spacing w:after="20"/>
              <w:jc w:val="right"/>
            </w:pPr>
            <w:r>
              <w:rPr>
                <w:b/>
                <w:color w:val="1C3A36"/>
                <w:sz w:val="17"/>
              </w:rPr>
              <w:t>6,753</w:t>
            </w:r>
          </w:p>
        </w:tc>
        <w:tc>
          <w:tcPr>
            <w:tcW w:type="dxa" w:w="1440"/>
            <w:shd w:val="clear" w:color="auto" w:fill="F6F1E6"/>
          </w:tcPr>
          <w:p>
            <w:pPr>
              <w:spacing w:after="20"/>
              <w:jc w:val="right"/>
            </w:pPr>
            <w:r>
              <w:rPr>
                <w:b/>
                <w:color w:val="1C3A36"/>
                <w:sz w:val="17"/>
              </w:rPr>
              <w:t>97,770</w:t>
            </w:r>
          </w:p>
        </w:tc>
      </w:tr>
    </w:tbl>
    <w:p>
      <w:pPr>
        <w:spacing w:after="40"/>
      </w:pPr>
    </w:p>
    <w:p>
      <w:pPr>
        <w:spacing w:after="120" w:before="280"/>
      </w:pPr>
      <w:r>
        <w:rPr>
          <w:b/>
          <w:i w:val="0"/>
          <w:color w:val="1C3A36"/>
          <w:sz w:val="30"/>
        </w:rPr>
        <w:t>Appendix B  Peer set, sector structure, risks — and the research register</w:t>
      </w:r>
    </w:p>
    <w:p>
      <w:pPr>
        <w:spacing w:after="80" w:before="200"/>
      </w:pPr>
      <w:r>
        <w:rPr>
          <w:b/>
          <w:i w:val="0"/>
          <w:color w:val="1C3A36"/>
          <w:sz w:val="24"/>
        </w:rPr>
        <w:t>B.1  Peer table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80"/>
        <w:gridCol w:w="1680"/>
        <w:gridCol w:w="1680"/>
        <w:gridCol w:w="1680"/>
        <w:gridCol w:w="1680"/>
        <w:gridCol w:w="1680"/>
      </w:tblGrid>
      <w:tr>
        <w:tc>
          <w:tcPr>
            <w:tcW w:type="dxa" w:w="3312"/>
            <w:shd w:val="clear" w:color="auto" w:fill="EAF0EE"/>
          </w:tcPr>
          <w:p>
            <w:pPr>
              <w:spacing w:after="20"/>
            </w:pPr>
            <w:r>
              <w:rPr>
                <w:b/>
                <w:color w:val="1C3A36"/>
                <w:sz w:val="17"/>
              </w:rPr>
              <w:t>Name</w:t>
            </w:r>
          </w:p>
        </w:tc>
        <w:tc>
          <w:tcPr>
            <w:tcW w:type="dxa" w:w="1368"/>
            <w:shd w:val="clear" w:color="auto" w:fill="EAF0EE"/>
          </w:tcPr>
          <w:p>
            <w:pPr>
              <w:spacing w:after="20"/>
            </w:pPr>
            <w:r>
              <w:rPr>
                <w:b/>
                <w:color w:val="1C3A36"/>
                <w:sz w:val="17"/>
              </w:rPr>
              <w:t>Mkt</w:t>
            </w:r>
          </w:p>
        </w:tc>
        <w:tc>
          <w:tcPr>
            <w:tcW w:type="dxa" w:w="1512"/>
            <w:shd w:val="clear" w:color="auto" w:fill="EAF0EE"/>
          </w:tcPr>
          <w:p>
            <w:pPr>
              <w:spacing w:after="20"/>
            </w:pPr>
            <w:r>
              <w:rPr>
                <w:b/>
                <w:color w:val="1C3A36"/>
                <w:sz w:val="17"/>
              </w:rPr>
              <w:t>EV/EBITDA</w:t>
            </w:r>
          </w:p>
        </w:tc>
        <w:tc>
          <w:tcPr>
            <w:tcW w:type="dxa" w:w="1152"/>
            <w:shd w:val="clear" w:color="auto" w:fill="EAF0EE"/>
          </w:tcPr>
          <w:p>
            <w:pPr>
              <w:spacing w:after="20"/>
            </w:pPr>
            <w:r>
              <w:rPr>
                <w:b/>
                <w:color w:val="1C3A36"/>
                <w:sz w:val="17"/>
              </w:rPr>
              <w:t>P/E</w:t>
            </w:r>
          </w:p>
        </w:tc>
        <w:tc>
          <w:tcPr>
            <w:tcW w:type="dxa" w:w="1152"/>
            <w:shd w:val="clear" w:color="auto" w:fill="EAF0EE"/>
          </w:tcPr>
          <w:p>
            <w:pPr>
              <w:spacing w:after="20"/>
            </w:pPr>
            <w:r>
              <w:rPr>
                <w:b/>
                <w:color w:val="1C3A36"/>
                <w:sz w:val="17"/>
              </w:rPr>
              <w:t>Yield</w:t>
            </w:r>
          </w:p>
        </w:tc>
        <w:tc>
          <w:tcPr>
            <w:tcW w:type="dxa" w:w="1152"/>
            <w:shd w:val="clear" w:color="auto" w:fill="EAF0EE"/>
          </w:tcPr>
          <w:p>
            <w:pPr>
              <w:spacing w:after="20"/>
            </w:pPr>
            <w:r>
              <w:rPr>
                <w:b/>
                <w:color w:val="1C3A36"/>
                <w:sz w:val="17"/>
              </w:rPr>
              <w:t>P/B</w:t>
            </w:r>
          </w:p>
        </w:tc>
      </w:tr>
      <w:tr>
        <w:tc>
          <w:tcPr>
            <w:tcW w:type="dxa" w:w="3312"/>
          </w:tcPr>
          <w:p>
            <w:pPr>
              <w:spacing w:after="20"/>
            </w:pPr>
            <w:r>
              <w:rPr>
                <w:color w:val="1C3A36"/>
                <w:sz w:val="17"/>
              </w:rPr>
              <w:t>DEWA (this study, FY26E)</w:t>
            </w:r>
          </w:p>
        </w:tc>
        <w:tc>
          <w:tcPr>
            <w:tcW w:type="dxa" w:w="1368"/>
          </w:tcPr>
          <w:p>
            <w:pPr>
              <w:spacing w:after="20"/>
              <w:jc w:val="right"/>
            </w:pPr>
            <w:r>
              <w:rPr>
                <w:color w:val="1C3A36"/>
                <w:sz w:val="17"/>
              </w:rPr>
              <w:t>DFM</w:t>
            </w:r>
          </w:p>
        </w:tc>
        <w:tc>
          <w:tcPr>
            <w:tcW w:type="dxa" w:w="1512"/>
          </w:tcPr>
          <w:p>
            <w:pPr>
              <w:spacing w:after="20"/>
              <w:jc w:val="right"/>
            </w:pPr>
            <w:r>
              <w:rPr>
                <w:color w:val="1C3A36"/>
                <w:sz w:val="17"/>
              </w:rPr>
              <w:t>9.6x</w:t>
            </w:r>
          </w:p>
        </w:tc>
        <w:tc>
          <w:tcPr>
            <w:tcW w:type="dxa" w:w="1152"/>
          </w:tcPr>
          <w:p>
            <w:pPr>
              <w:spacing w:after="20"/>
              <w:jc w:val="right"/>
            </w:pPr>
            <w:r>
              <w:rPr>
                <w:color w:val="1C3A36"/>
                <w:sz w:val="17"/>
              </w:rPr>
              <w:t>14.7x</w:t>
            </w:r>
          </w:p>
        </w:tc>
        <w:tc>
          <w:tcPr>
            <w:tcW w:type="dxa" w:w="1152"/>
          </w:tcPr>
          <w:p>
            <w:pPr>
              <w:spacing w:after="20"/>
              <w:jc w:val="right"/>
            </w:pPr>
            <w:r>
              <w:rPr>
                <w:color w:val="1C3A36"/>
                <w:sz w:val="17"/>
              </w:rPr>
              <w:t>4.4%</w:t>
            </w:r>
          </w:p>
        </w:tc>
        <w:tc>
          <w:tcPr>
            <w:tcW w:type="dxa" w:w="1152"/>
          </w:tcPr>
          <w:p>
            <w:pPr>
              <w:spacing w:after="20"/>
              <w:jc w:val="right"/>
            </w:pPr>
            <w:r>
              <w:rPr>
                <w:color w:val="1C3A36"/>
                <w:sz w:val="17"/>
              </w:rPr>
              <w:t>1.53x</w:t>
            </w:r>
          </w:p>
        </w:tc>
      </w:tr>
      <w:tr>
        <w:tc>
          <w:tcPr>
            <w:tcW w:type="dxa" w:w="3312"/>
          </w:tcPr>
          <w:p>
            <w:pPr>
              <w:spacing w:after="20"/>
            </w:pPr>
            <w:r>
              <w:rPr>
                <w:color w:val="1C3A36"/>
                <w:sz w:val="17"/>
              </w:rPr>
              <w:t>TAQA</w:t>
            </w:r>
          </w:p>
        </w:tc>
        <w:tc>
          <w:tcPr>
            <w:tcW w:type="dxa" w:w="1368"/>
          </w:tcPr>
          <w:p>
            <w:pPr>
              <w:spacing w:after="20"/>
              <w:jc w:val="right"/>
            </w:pPr>
            <w:r>
              <w:rPr>
                <w:color w:val="1C3A36"/>
                <w:sz w:val="17"/>
              </w:rPr>
              <w:t>ADX</w:t>
            </w:r>
          </w:p>
        </w:tc>
        <w:tc>
          <w:tcPr>
            <w:tcW w:type="dxa" w:w="1512"/>
          </w:tcPr>
          <w:p>
            <w:pPr>
              <w:spacing w:after="20"/>
              <w:jc w:val="right"/>
            </w:pPr>
            <w:r>
              <w:rPr>
                <w:color w:val="1C3A36"/>
                <w:sz w:val="17"/>
              </w:rPr>
              <w:t>~13x</w:t>
            </w:r>
          </w:p>
        </w:tc>
        <w:tc>
          <w:tcPr>
            <w:tcW w:type="dxa" w:w="1152"/>
          </w:tcPr>
          <w:p>
            <w:pPr>
              <w:spacing w:after="20"/>
              <w:jc w:val="right"/>
            </w:pPr>
            <w:r>
              <w:rPr>
                <w:color w:val="1C3A36"/>
                <w:sz w:val="17"/>
              </w:rPr>
              <w:t>~26x</w:t>
            </w:r>
          </w:p>
        </w:tc>
        <w:tc>
          <w:tcPr>
            <w:tcW w:type="dxa" w:w="1152"/>
          </w:tcPr>
          <w:p>
            <w:pPr>
              <w:spacing w:after="20"/>
              <w:jc w:val="right"/>
            </w:pPr>
            <w:r>
              <w:rPr>
                <w:color w:val="1C3A36"/>
                <w:sz w:val="17"/>
              </w:rPr>
              <w:t>~1.6%</w:t>
            </w:r>
          </w:p>
        </w:tc>
        <w:tc>
          <w:tcPr>
            <w:tcW w:type="dxa" w:w="1152"/>
          </w:tcPr>
          <w:p>
            <w:pPr>
              <w:spacing w:after="20"/>
              <w:jc w:val="right"/>
            </w:pPr>
            <w:r>
              <w:rPr>
                <w:color w:val="1C3A36"/>
                <w:sz w:val="17"/>
              </w:rPr>
              <w:t>~2.9x</w:t>
            </w:r>
          </w:p>
        </w:tc>
      </w:tr>
      <w:tr>
        <w:tc>
          <w:tcPr>
            <w:tcW w:type="dxa" w:w="3312"/>
          </w:tcPr>
          <w:p>
            <w:pPr>
              <w:spacing w:after="20"/>
            </w:pPr>
            <w:r>
              <w:rPr>
                <w:color w:val="1C3A36"/>
                <w:sz w:val="17"/>
              </w:rPr>
              <w:t>Empower (80% subsidiary)</w:t>
            </w:r>
          </w:p>
        </w:tc>
        <w:tc>
          <w:tcPr>
            <w:tcW w:type="dxa" w:w="1368"/>
          </w:tcPr>
          <w:p>
            <w:pPr>
              <w:spacing w:after="20"/>
              <w:jc w:val="right"/>
            </w:pPr>
            <w:r>
              <w:rPr>
                <w:color w:val="1C3A36"/>
                <w:sz w:val="17"/>
              </w:rPr>
              <w:t>DFM</w:t>
            </w:r>
          </w:p>
        </w:tc>
        <w:tc>
          <w:tcPr>
            <w:tcW w:type="dxa" w:w="1512"/>
          </w:tcPr>
          <w:p>
            <w:pPr>
              <w:spacing w:after="20"/>
              <w:jc w:val="right"/>
            </w:pPr>
            <w:r>
              <w:rPr>
                <w:color w:val="1C3A36"/>
                <w:sz w:val="17"/>
              </w:rPr>
              <w:t>12.7x</w:t>
            </w:r>
          </w:p>
        </w:tc>
        <w:tc>
          <w:tcPr>
            <w:tcW w:type="dxa" w:w="1152"/>
          </w:tcPr>
          <w:p>
            <w:pPr>
              <w:spacing w:after="20"/>
              <w:jc w:val="right"/>
            </w:pPr>
            <w:r>
              <w:rPr>
                <w:color w:val="1C3A36"/>
                <w:sz w:val="17"/>
              </w:rPr>
              <w:t>~18x</w:t>
            </w:r>
          </w:p>
        </w:tc>
        <w:tc>
          <w:tcPr>
            <w:tcW w:type="dxa" w:w="1152"/>
          </w:tcPr>
          <w:p>
            <w:pPr>
              <w:spacing w:after="20"/>
              <w:jc w:val="right"/>
            </w:pPr>
            <w:r>
              <w:rPr>
                <w:color w:val="1C3A36"/>
                <w:sz w:val="17"/>
              </w:rPr>
              <w:t>5.4%</w:t>
            </w:r>
          </w:p>
        </w:tc>
        <w:tc>
          <w:tcPr>
            <w:tcW w:type="dxa" w:w="1152"/>
          </w:tcPr>
          <w:p>
            <w:pPr>
              <w:spacing w:after="20"/>
              <w:jc w:val="right"/>
            </w:pPr>
            <w:r>
              <w:rPr>
                <w:color w:val="1C3A36"/>
                <w:sz w:val="17"/>
              </w:rPr>
              <w:t>~3.4x</w:t>
            </w:r>
          </w:p>
        </w:tc>
      </w:tr>
      <w:tr>
        <w:tc>
          <w:tcPr>
            <w:tcW w:type="dxa" w:w="3312"/>
          </w:tcPr>
          <w:p>
            <w:pPr>
              <w:spacing w:after="20"/>
            </w:pPr>
            <w:r>
              <w:rPr>
                <w:color w:val="1C3A36"/>
                <w:sz w:val="17"/>
              </w:rPr>
              <w:t>Saudi Electricity</w:t>
            </w:r>
          </w:p>
        </w:tc>
        <w:tc>
          <w:tcPr>
            <w:tcW w:type="dxa" w:w="1368"/>
          </w:tcPr>
          <w:p>
            <w:pPr>
              <w:spacing w:after="20"/>
              <w:jc w:val="right"/>
            </w:pPr>
            <w:r>
              <w:rPr>
                <w:color w:val="1C3A36"/>
                <w:sz w:val="17"/>
              </w:rPr>
              <w:t>Tadawul</w:t>
            </w:r>
          </w:p>
        </w:tc>
        <w:tc>
          <w:tcPr>
            <w:tcW w:type="dxa" w:w="1512"/>
          </w:tcPr>
          <w:p>
            <w:pPr>
              <w:spacing w:after="20"/>
              <w:jc w:val="right"/>
            </w:pPr>
            <w:r>
              <w:rPr>
                <w:color w:val="1C3A36"/>
                <w:sz w:val="17"/>
              </w:rPr>
              <w:t>~11x</w:t>
            </w:r>
          </w:p>
        </w:tc>
        <w:tc>
          <w:tcPr>
            <w:tcW w:type="dxa" w:w="1152"/>
          </w:tcPr>
          <w:p>
            <w:pPr>
              <w:spacing w:after="20"/>
              <w:jc w:val="right"/>
            </w:pPr>
            <w:r>
              <w:rPr>
                <w:color w:val="1C3A36"/>
                <w:sz w:val="17"/>
              </w:rPr>
              <w:t>~15x</w:t>
            </w:r>
          </w:p>
        </w:tc>
        <w:tc>
          <w:tcPr>
            <w:tcW w:type="dxa" w:w="1152"/>
          </w:tcPr>
          <w:p>
            <w:pPr>
              <w:spacing w:after="20"/>
              <w:jc w:val="right"/>
            </w:pPr>
            <w:r>
              <w:rPr>
                <w:color w:val="1C3A36"/>
                <w:sz w:val="17"/>
              </w:rPr>
              <w:t>~4.0%</w:t>
            </w:r>
          </w:p>
        </w:tc>
        <w:tc>
          <w:tcPr>
            <w:tcW w:type="dxa" w:w="1152"/>
          </w:tcPr>
          <w:p>
            <w:pPr>
              <w:spacing w:after="20"/>
              <w:jc w:val="right"/>
            </w:pPr>
            <w:r>
              <w:rPr>
                <w:color w:val="1C3A36"/>
                <w:sz w:val="17"/>
              </w:rPr>
              <w:t>~1.1x</w:t>
            </w:r>
          </w:p>
        </w:tc>
      </w:tr>
      <w:tr>
        <w:tc>
          <w:tcPr>
            <w:tcW w:type="dxa" w:w="3312"/>
          </w:tcPr>
          <w:p>
            <w:pPr>
              <w:spacing w:after="20"/>
            </w:pPr>
            <w:r>
              <w:rPr>
                <w:color w:val="1C3A36"/>
                <w:sz w:val="17"/>
              </w:rPr>
              <w:t>ACWA Power (boundary marker)</w:t>
            </w:r>
          </w:p>
        </w:tc>
        <w:tc>
          <w:tcPr>
            <w:tcW w:type="dxa" w:w="1368"/>
          </w:tcPr>
          <w:p>
            <w:pPr>
              <w:spacing w:after="20"/>
              <w:jc w:val="right"/>
            </w:pPr>
            <w:r>
              <w:rPr>
                <w:color w:val="1C3A36"/>
                <w:sz w:val="17"/>
              </w:rPr>
              <w:t>Tadawul</w:t>
            </w:r>
          </w:p>
        </w:tc>
        <w:tc>
          <w:tcPr>
            <w:tcW w:type="dxa" w:w="1512"/>
          </w:tcPr>
          <w:p>
            <w:pPr>
              <w:spacing w:after="20"/>
              <w:jc w:val="right"/>
            </w:pPr>
            <w:r>
              <w:rPr>
                <w:color w:val="1C3A36"/>
                <w:sz w:val="17"/>
              </w:rPr>
              <w:t>~20x</w:t>
            </w:r>
          </w:p>
        </w:tc>
        <w:tc>
          <w:tcPr>
            <w:tcW w:type="dxa" w:w="1152"/>
          </w:tcPr>
          <w:p>
            <w:pPr>
              <w:spacing w:after="20"/>
              <w:jc w:val="right"/>
            </w:pPr>
            <w:r>
              <w:rPr>
                <w:color w:val="1C3A36"/>
                <w:sz w:val="17"/>
              </w:rPr>
              <w:t>~35x</w:t>
            </w:r>
          </w:p>
        </w:tc>
        <w:tc>
          <w:tcPr>
            <w:tcW w:type="dxa" w:w="1152"/>
          </w:tcPr>
          <w:p>
            <w:pPr>
              <w:spacing w:after="20"/>
              <w:jc w:val="right"/>
            </w:pPr>
            <w:r>
              <w:rPr>
                <w:color w:val="1C3A36"/>
                <w:sz w:val="17"/>
              </w:rPr>
              <w:t>~0.8%</w:t>
            </w:r>
          </w:p>
        </w:tc>
        <w:tc>
          <w:tcPr>
            <w:tcW w:type="dxa" w:w="1152"/>
          </w:tcPr>
          <w:p>
            <w:pPr>
              <w:spacing w:after="20"/>
              <w:jc w:val="right"/>
            </w:pPr>
            <w:r>
              <w:rPr>
                <w:color w:val="1C3A36"/>
                <w:sz w:val="17"/>
              </w:rPr>
              <w:t>~4.5x</w:t>
            </w:r>
          </w:p>
        </w:tc>
      </w:tr>
      <w:tr>
        <w:tc>
          <w:tcPr>
            <w:tcW w:type="dxa" w:w="3312"/>
          </w:tcPr>
          <w:p>
            <w:pPr>
              <w:spacing w:after="20"/>
            </w:pPr>
            <w:r>
              <w:rPr>
                <w:color w:val="1C3A36"/>
                <w:sz w:val="17"/>
              </w:rPr>
              <w:t>Tabreed</w:t>
            </w:r>
          </w:p>
        </w:tc>
        <w:tc>
          <w:tcPr>
            <w:tcW w:type="dxa" w:w="1368"/>
          </w:tcPr>
          <w:p>
            <w:pPr>
              <w:spacing w:after="20"/>
              <w:jc w:val="right"/>
            </w:pPr>
            <w:r>
              <w:rPr>
                <w:color w:val="1C3A36"/>
                <w:sz w:val="17"/>
              </w:rPr>
              <w:t>DFM</w:t>
            </w:r>
          </w:p>
        </w:tc>
        <w:tc>
          <w:tcPr>
            <w:tcW w:type="dxa" w:w="1512"/>
          </w:tcPr>
          <w:p>
            <w:pPr>
              <w:spacing w:after="20"/>
              <w:jc w:val="right"/>
            </w:pPr>
            <w:r>
              <w:rPr>
                <w:color w:val="1C3A36"/>
                <w:sz w:val="17"/>
              </w:rPr>
              <w:t>~11x</w:t>
            </w:r>
          </w:p>
        </w:tc>
        <w:tc>
          <w:tcPr>
            <w:tcW w:type="dxa" w:w="1152"/>
          </w:tcPr>
          <w:p>
            <w:pPr>
              <w:spacing w:after="20"/>
              <w:jc w:val="right"/>
            </w:pPr>
            <w:r>
              <w:rPr>
                <w:color w:val="1C3A36"/>
                <w:sz w:val="17"/>
              </w:rPr>
              <w:t>~14x</w:t>
            </w:r>
          </w:p>
        </w:tc>
        <w:tc>
          <w:tcPr>
            <w:tcW w:type="dxa" w:w="1152"/>
          </w:tcPr>
          <w:p>
            <w:pPr>
              <w:spacing w:after="20"/>
              <w:jc w:val="right"/>
            </w:pPr>
            <w:r>
              <w:rPr>
                <w:color w:val="1C3A36"/>
                <w:sz w:val="17"/>
              </w:rPr>
              <w:t>~4.7%</w:t>
            </w:r>
          </w:p>
        </w:tc>
        <w:tc>
          <w:tcPr>
            <w:tcW w:type="dxa" w:w="1152"/>
          </w:tcPr>
          <w:p>
            <w:pPr>
              <w:spacing w:after="20"/>
              <w:jc w:val="right"/>
            </w:pPr>
            <w:r>
              <w:rPr>
                <w:color w:val="1C3A36"/>
                <w:sz w:val="17"/>
              </w:rPr>
              <w:t>~1.5x</w:t>
            </w:r>
          </w:p>
        </w:tc>
      </w:tr>
    </w:tbl>
    <w:p>
      <w:pPr>
        <w:spacing w:after="40"/>
      </w:pPr>
    </w:p>
    <w:p>
      <w:pPr>
        <w:spacing w:after="200" w:before="0"/>
      </w:pPr>
      <w:r>
        <w:rPr>
          <w:b w:val="0"/>
          <w:i/>
          <w:color w:val="6E7B77"/>
          <w:sz w:val="17"/>
        </w:rPr>
        <w:t>Peer levels are dated aggregator screens (~Jul-2026) used for context only; DEWA is priced on its own audited financials — aggregator numbers are excluded from the model itself, by design. ACWA is developer economics, not a utility comp: shown to mark where the set ends. Two mix cautions before comparing multiples: TAQA’s ~13x buys a different book — a material slice of its earnings is upstream oil &amp; gas alongside the regulated Abu Dhabi networks, a mix pure utilities do not carry; and Empower’s 12.7x prices a capital-light district-cooling franchise whose core plants are largely built, against a parent still mid-way through a 23-GW programme — part of the subsidiary premium is a capex-cycle artefact, not a quality verdict. The oddity worth a sentence stands: DEWA trades below its own 80%-held subsidiary on EV/EBITDA while out-yielding half the table.</w:t>
      </w:r>
    </w:p>
    <w:p>
      <w:pPr>
        <w:spacing w:after="80" w:before="200"/>
      </w:pPr>
      <w:r>
        <w:rPr>
          <w:b/>
          <w:i w:val="0"/>
          <w:color w:val="1C3A36"/>
          <w:sz w:val="24"/>
        </w:rPr>
        <w:t>B.2  Risk register</w:t>
      </w:r>
    </w:p>
    <w:p>
      <w:pPr>
        <w:pStyle w:val="ListBullet"/>
        <w:spacing w:after="60"/>
      </w:pPr>
      <w:r>
        <w:rPr>
          <w:b/>
          <w:color w:val="1C3A36"/>
          <w:sz w:val="21"/>
        </w:rPr>
        <w:t xml:space="preserve">Policy: </w:t>
      </w:r>
      <w:r>
        <w:rPr>
          <w:color w:val="1C3A36"/>
          <w:sz w:val="21"/>
        </w:rPr>
        <w:t>Post-2027 dividend policy set below expectations — the crux, both ways: the same decision that carries the upside carries the downside.</w:t>
      </w:r>
    </w:p>
    <w:p>
      <w:pPr>
        <w:pStyle w:val="ListBullet"/>
        <w:spacing w:after="60"/>
      </w:pPr>
      <w:r>
        <w:rPr>
          <w:b/>
          <w:color w:val="1C3A36"/>
          <w:sz w:val="21"/>
        </w:rPr>
        <w:t xml:space="preserve">Regulatory: </w:t>
      </w:r>
      <w:r>
        <w:rPr>
          <w:color w:val="1C3A36"/>
          <w:sz w:val="21"/>
        </w:rPr>
        <w:t>DSCE tariff / pass-through decisions compress the realised return spread; slab tariffs unchanged since 2011 could in principle be cut as well as raised.</w:t>
      </w:r>
    </w:p>
    <w:p>
      <w:pPr>
        <w:pStyle w:val="ListBullet"/>
        <w:spacing w:after="60"/>
      </w:pPr>
      <w:r>
        <w:rPr>
          <w:b/>
          <w:color w:val="1C3A36"/>
          <w:sz w:val="21"/>
        </w:rPr>
        <w:t xml:space="preserve">Geopolitical: </w:t>
      </w:r>
      <w:r>
        <w:rPr>
          <w:color w:val="1C3A36"/>
          <w:sz w:val="21"/>
        </w:rPr>
        <w:t>Regional escalation replays March-2026: DFM closure and a fast −10-15% drawdown; the MC left tail carries it, a portfolio cannot diversify it inside the UAE.</w:t>
      </w:r>
    </w:p>
    <w:p>
      <w:pPr>
        <w:pStyle w:val="ListBullet"/>
        <w:spacing w:after="60"/>
      </w:pPr>
      <w:r>
        <w:rPr>
          <w:b/>
          <w:color w:val="1C3A36"/>
          <w:sz w:val="21"/>
        </w:rPr>
        <w:t xml:space="preserve">Ownership: </w:t>
      </w:r>
      <w:r>
        <w:rPr>
          <w:color w:val="1C3A36"/>
          <w:sz w:val="21"/>
        </w:rPr>
        <w:t>Government 82% ownership: alignment is strong for the dividend, but the 18% float caps index weight, liquidity and the multiple the market will pay.</w:t>
      </w:r>
    </w:p>
    <w:p>
      <w:pPr>
        <w:pStyle w:val="ListBullet"/>
        <w:spacing w:after="60"/>
      </w:pPr>
      <w:r>
        <w:rPr>
          <w:b/>
          <w:color w:val="1C3A36"/>
          <w:sz w:val="21"/>
        </w:rPr>
        <w:t xml:space="preserve">Execution: </w:t>
      </w:r>
      <w:r>
        <w:rPr>
          <w:color w:val="1C3A36"/>
          <w:sz w:val="21"/>
        </w:rPr>
        <w:t>2030 capacity and Hassyan phasing slip; capex overruns squeeze FCF cover exactly when the policy window closes.</w:t>
      </w:r>
    </w:p>
    <w:p>
      <w:pPr>
        <w:pStyle w:val="ListBullet"/>
        <w:spacing w:after="60"/>
      </w:pPr>
      <w:r>
        <w:rPr>
          <w:b/>
          <w:color w:val="1C3A36"/>
          <w:sz w:val="21"/>
        </w:rPr>
        <w:t xml:space="preserve">Rates: </w:t>
      </w:r>
      <w:r>
        <w:rPr>
          <w:color w:val="1C3A36"/>
          <w:sz w:val="21"/>
        </w:rPr>
        <w:t>A hawkish rate surprise lifts Ke on a bond-proxy faster than earnings compensate; the §1.10 grids price it.</w:t>
      </w:r>
    </w:p>
    <w:p>
      <w:pPr>
        <w:spacing w:after="80" w:before="200"/>
      </w:pPr>
      <w:r>
        <w:rPr>
          <w:b/>
          <w:i w:val="0"/>
          <w:color w:val="1C3A36"/>
          <w:sz w:val="24"/>
        </w:rPr>
        <w:t>B.3  Research register (four rings, classified)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016"/>
        <w:gridCol w:w="2016"/>
        <w:gridCol w:w="2016"/>
        <w:gridCol w:w="2016"/>
        <w:gridCol w:w="2016"/>
      </w:tblGrid>
      <w:tr>
        <w:tc>
          <w:tcPr>
            <w:tcW w:type="dxa" w:w="432"/>
            <w:shd w:val="clear" w:color="auto" w:fill="EAF0EE"/>
          </w:tcPr>
          <w:p>
            <w:pPr>
              <w:spacing w:after="20"/>
            </w:pPr>
            <w:r>
              <w:rPr>
                <w:b/>
                <w:color w:val="1C3A36"/>
                <w:sz w:val="15"/>
              </w:rPr>
              <w:t>#</w:t>
            </w:r>
          </w:p>
        </w:tc>
        <w:tc>
          <w:tcPr>
            <w:tcW w:type="dxa" w:w="1152"/>
            <w:shd w:val="clear" w:color="auto" w:fill="EAF0EE"/>
          </w:tcPr>
          <w:p>
            <w:pPr>
              <w:spacing w:after="20"/>
            </w:pPr>
            <w:r>
              <w:rPr>
                <w:b/>
                <w:color w:val="1C3A36"/>
                <w:sz w:val="15"/>
              </w:rPr>
              <w:t>Ring</w:t>
            </w:r>
          </w:p>
        </w:tc>
        <w:tc>
          <w:tcPr>
            <w:tcW w:type="dxa" w:w="4752"/>
            <w:shd w:val="clear" w:color="auto" w:fill="EAF0EE"/>
          </w:tcPr>
          <w:p>
            <w:pPr>
              <w:spacing w:after="20"/>
            </w:pPr>
            <w:r>
              <w:rPr>
                <w:b/>
                <w:color w:val="1C3A36"/>
                <w:sz w:val="15"/>
              </w:rPr>
              <w:t>Finding</w:t>
            </w:r>
          </w:p>
        </w:tc>
        <w:tc>
          <w:tcPr>
            <w:tcW w:type="dxa" w:w="792"/>
            <w:shd w:val="clear" w:color="auto" w:fill="EAF0EE"/>
          </w:tcPr>
          <w:p>
            <w:pPr>
              <w:spacing w:after="20"/>
            </w:pPr>
            <w:r>
              <w:rPr>
                <w:b/>
                <w:color w:val="1C3A36"/>
                <w:sz w:val="15"/>
              </w:rPr>
              <w:t>Class</w:t>
            </w:r>
          </w:p>
        </w:tc>
        <w:tc>
          <w:tcPr>
            <w:tcW w:type="dxa" w:w="3384"/>
            <w:shd w:val="clear" w:color="auto" w:fill="EAF0EE"/>
          </w:tcPr>
          <w:p>
            <w:pPr>
              <w:spacing w:after="20"/>
            </w:pPr>
            <w:r>
              <w:rPr>
                <w:b/>
                <w:color w:val="1C3A36"/>
                <w:sz w:val="15"/>
              </w:rPr>
              <w:t>Source (dated)</w:t>
            </w:r>
          </w:p>
        </w:tc>
      </w:tr>
      <w:tr>
        <w:tc>
          <w:tcPr>
            <w:tcW w:type="dxa" w:w="432"/>
          </w:tcPr>
          <w:p>
            <w:pPr>
              <w:spacing w:after="20"/>
            </w:pPr>
            <w:r>
              <w:rPr>
                <w:color w:val="1C3A36"/>
                <w:sz w:val="15"/>
              </w:rPr>
              <w:t>1</w:t>
            </w:r>
          </w:p>
        </w:tc>
        <w:tc>
          <w:tcPr>
            <w:tcW w:type="dxa" w:w="1152"/>
          </w:tcPr>
          <w:p>
            <w:pPr>
              <w:spacing w:after="20"/>
            </w:pPr>
            <w:r>
              <w:rPr>
                <w:color w:val="1C3A36"/>
                <w:sz w:val="15"/>
              </w:rPr>
              <w:t>Global</w:t>
            </w:r>
          </w:p>
        </w:tc>
        <w:tc>
          <w:tcPr>
            <w:tcW w:type="dxa" w:w="4752"/>
          </w:tcPr>
          <w:p>
            <w:pPr>
              <w:spacing w:after="20"/>
            </w:pPr>
            <w:r>
              <w:rPr>
                <w:color w:val="1C3A36"/>
                <w:sz w:val="15"/>
              </w:rPr>
              <w:t>Fed funds path: cuts priced H2-26; the UAE peg imports US policy</w:t>
            </w:r>
          </w:p>
        </w:tc>
        <w:tc>
          <w:tcPr>
            <w:tcW w:type="dxa" w:w="792"/>
          </w:tcPr>
          <w:p>
            <w:pPr>
              <w:spacing w:after="20"/>
            </w:pPr>
            <w:r>
              <w:rPr>
                <w:color w:val="1C3A36"/>
                <w:sz w:val="15"/>
              </w:rPr>
              <w:t>B</w:t>
            </w:r>
          </w:p>
        </w:tc>
        <w:tc>
          <w:tcPr>
            <w:tcW w:type="dxa" w:w="3384"/>
          </w:tcPr>
          <w:p>
            <w:pPr>
              <w:spacing w:after="20"/>
            </w:pPr>
            <w:r>
              <w:rPr>
                <w:color w:val="1C3A36"/>
                <w:sz w:val="15"/>
              </w:rPr>
              <w:t>CME/FedWatch via press, Jun-2026</w:t>
            </w:r>
          </w:p>
        </w:tc>
      </w:tr>
      <w:tr>
        <w:tc>
          <w:tcPr>
            <w:tcW w:type="dxa" w:w="432"/>
          </w:tcPr>
          <w:p>
            <w:pPr>
              <w:spacing w:after="20"/>
            </w:pPr>
            <w:r>
              <w:rPr>
                <w:color w:val="1C3A36"/>
                <w:sz w:val="15"/>
              </w:rPr>
              <w:t>2</w:t>
            </w:r>
          </w:p>
        </w:tc>
        <w:tc>
          <w:tcPr>
            <w:tcW w:type="dxa" w:w="1152"/>
          </w:tcPr>
          <w:p>
            <w:pPr>
              <w:spacing w:after="20"/>
            </w:pPr>
            <w:r>
              <w:rPr>
                <w:color w:val="1C3A36"/>
                <w:sz w:val="15"/>
              </w:rPr>
              <w:t>Global</w:t>
            </w:r>
          </w:p>
        </w:tc>
        <w:tc>
          <w:tcPr>
            <w:tcW w:type="dxa" w:w="4752"/>
          </w:tcPr>
          <w:p>
            <w:pPr>
              <w:spacing w:after="20"/>
            </w:pPr>
            <w:r>
              <w:rPr>
                <w:color w:val="1C3A36"/>
                <w:sz w:val="15"/>
              </w:rPr>
              <w:t>Brent ~$65-80; fuel pass-through via the regulatory deferral</w:t>
            </w:r>
          </w:p>
        </w:tc>
        <w:tc>
          <w:tcPr>
            <w:tcW w:type="dxa" w:w="792"/>
          </w:tcPr>
          <w:p>
            <w:pPr>
              <w:spacing w:after="20"/>
            </w:pPr>
            <w:r>
              <w:rPr>
                <w:color w:val="1C3A36"/>
                <w:sz w:val="15"/>
              </w:rPr>
              <w:t>D</w:t>
            </w:r>
          </w:p>
        </w:tc>
        <w:tc>
          <w:tcPr>
            <w:tcW w:type="dxa" w:w="3384"/>
          </w:tcPr>
          <w:p>
            <w:pPr>
              <w:spacing w:after="20"/>
            </w:pPr>
            <w:r>
              <w:rPr>
                <w:color w:val="1C3A36"/>
                <w:sz w:val="15"/>
              </w:rPr>
              <w:t>market strip, Jul-2026</w:t>
            </w:r>
          </w:p>
        </w:tc>
      </w:tr>
      <w:tr>
        <w:tc>
          <w:tcPr>
            <w:tcW w:type="dxa" w:w="432"/>
          </w:tcPr>
          <w:p>
            <w:pPr>
              <w:spacing w:after="20"/>
            </w:pPr>
            <w:r>
              <w:rPr>
                <w:color w:val="1C3A36"/>
                <w:sz w:val="15"/>
              </w:rPr>
              <w:t>3</w:t>
            </w:r>
          </w:p>
        </w:tc>
        <w:tc>
          <w:tcPr>
            <w:tcW w:type="dxa" w:w="1152"/>
          </w:tcPr>
          <w:p>
            <w:pPr>
              <w:spacing w:after="20"/>
            </w:pPr>
            <w:r>
              <w:rPr>
                <w:color w:val="1C3A36"/>
                <w:sz w:val="15"/>
              </w:rPr>
              <w:t>Global</w:t>
            </w:r>
          </w:p>
        </w:tc>
        <w:tc>
          <w:tcPr>
            <w:tcW w:type="dxa" w:w="4752"/>
          </w:tcPr>
          <w:p>
            <w:pPr>
              <w:spacing w:after="20"/>
            </w:pPr>
            <w:r>
              <w:rPr>
                <w:color w:val="1C3A36"/>
                <w:sz w:val="15"/>
              </w:rPr>
              <w:t>Data-centre power demand supercycle; GCC positioning</w:t>
            </w:r>
          </w:p>
        </w:tc>
        <w:tc>
          <w:tcPr>
            <w:tcW w:type="dxa" w:w="792"/>
          </w:tcPr>
          <w:p>
            <w:pPr>
              <w:spacing w:after="20"/>
            </w:pPr>
            <w:r>
              <w:rPr>
                <w:color w:val="1C3A36"/>
                <w:sz w:val="15"/>
              </w:rPr>
              <w:t>S</w:t>
            </w:r>
          </w:p>
        </w:tc>
        <w:tc>
          <w:tcPr>
            <w:tcW w:type="dxa" w:w="3384"/>
          </w:tcPr>
          <w:p>
            <w:pPr>
              <w:spacing w:after="20"/>
            </w:pPr>
            <w:r>
              <w:rPr>
                <w:color w:val="1C3A36"/>
                <w:sz w:val="15"/>
              </w:rPr>
              <w:t>Wood Mackenzie, 2025-26</w:t>
            </w:r>
          </w:p>
        </w:tc>
      </w:tr>
      <w:tr>
        <w:tc>
          <w:tcPr>
            <w:tcW w:type="dxa" w:w="432"/>
          </w:tcPr>
          <w:p>
            <w:pPr>
              <w:spacing w:after="20"/>
            </w:pPr>
            <w:r>
              <w:rPr>
                <w:color w:val="1C3A36"/>
                <w:sz w:val="15"/>
              </w:rPr>
              <w:t>4</w:t>
            </w:r>
          </w:p>
        </w:tc>
        <w:tc>
          <w:tcPr>
            <w:tcW w:type="dxa" w:w="1152"/>
          </w:tcPr>
          <w:p>
            <w:pPr>
              <w:spacing w:after="20"/>
            </w:pPr>
            <w:r>
              <w:rPr>
                <w:color w:val="1C3A36"/>
                <w:sz w:val="15"/>
              </w:rPr>
              <w:t>Country</w:t>
            </w:r>
          </w:p>
        </w:tc>
        <w:tc>
          <w:tcPr>
            <w:tcW w:type="dxa" w:w="4752"/>
          </w:tcPr>
          <w:p>
            <w:pPr>
              <w:spacing w:after="20"/>
            </w:pPr>
            <w:r>
              <w:rPr>
                <w:color w:val="1C3A36"/>
                <w:sz w:val="15"/>
              </w:rPr>
              <w:t>UAE MoF AED T-Bond Jan-2031 YTM 4.30% — the DCF risk-free</w:t>
            </w:r>
          </w:p>
        </w:tc>
        <w:tc>
          <w:tcPr>
            <w:tcW w:type="dxa" w:w="792"/>
          </w:tcPr>
          <w:p>
            <w:pPr>
              <w:spacing w:after="20"/>
            </w:pPr>
            <w:r>
              <w:rPr>
                <w:color w:val="1C3A36"/>
                <w:sz w:val="15"/>
              </w:rPr>
              <w:t>B</w:t>
            </w:r>
          </w:p>
        </w:tc>
        <w:tc>
          <w:tcPr>
            <w:tcW w:type="dxa" w:w="3384"/>
          </w:tcPr>
          <w:p>
            <w:pPr>
              <w:spacing w:after="20"/>
            </w:pPr>
            <w:r>
              <w:rPr>
                <w:color w:val="1C3A36"/>
                <w:sz w:val="15"/>
              </w:rPr>
              <w:t>MoF auction result, 23-May-2026</w:t>
            </w:r>
          </w:p>
        </w:tc>
      </w:tr>
      <w:tr>
        <w:tc>
          <w:tcPr>
            <w:tcW w:type="dxa" w:w="432"/>
          </w:tcPr>
          <w:p>
            <w:pPr>
              <w:spacing w:after="20"/>
            </w:pPr>
            <w:r>
              <w:rPr>
                <w:color w:val="1C3A36"/>
                <w:sz w:val="15"/>
              </w:rPr>
              <w:t>5</w:t>
            </w:r>
          </w:p>
        </w:tc>
        <w:tc>
          <w:tcPr>
            <w:tcW w:type="dxa" w:w="1152"/>
          </w:tcPr>
          <w:p>
            <w:pPr>
              <w:spacing w:after="20"/>
            </w:pPr>
            <w:r>
              <w:rPr>
                <w:color w:val="1C3A36"/>
                <w:sz w:val="15"/>
              </w:rPr>
              <w:t>Country</w:t>
            </w:r>
          </w:p>
        </w:tc>
        <w:tc>
          <w:tcPr>
            <w:tcW w:type="dxa" w:w="4752"/>
          </w:tcPr>
          <w:p>
            <w:pPr>
              <w:spacing w:after="20"/>
            </w:pPr>
            <w:r>
              <w:rPr>
                <w:color w:val="1C3A36"/>
                <w:sz w:val="15"/>
              </w:rPr>
              <w:t>CBUAE base rate 3.65%, held — the MC carry anchor</w:t>
            </w:r>
          </w:p>
        </w:tc>
        <w:tc>
          <w:tcPr>
            <w:tcW w:type="dxa" w:w="792"/>
          </w:tcPr>
          <w:p>
            <w:pPr>
              <w:spacing w:after="20"/>
            </w:pPr>
            <w:r>
              <w:rPr>
                <w:color w:val="1C3A36"/>
                <w:sz w:val="15"/>
              </w:rPr>
              <w:t>B</w:t>
            </w:r>
          </w:p>
        </w:tc>
        <w:tc>
          <w:tcPr>
            <w:tcW w:type="dxa" w:w="3384"/>
          </w:tcPr>
          <w:p>
            <w:pPr>
              <w:spacing w:after="20"/>
            </w:pPr>
            <w:r>
              <w:rPr>
                <w:color w:val="1C3A36"/>
                <w:sz w:val="15"/>
              </w:rPr>
              <w:t>CBUAE, 17-Jun-2026</w:t>
            </w:r>
          </w:p>
        </w:tc>
      </w:tr>
      <w:tr>
        <w:tc>
          <w:tcPr>
            <w:tcW w:type="dxa" w:w="432"/>
          </w:tcPr>
          <w:p>
            <w:pPr>
              <w:spacing w:after="20"/>
            </w:pPr>
            <w:r>
              <w:rPr>
                <w:color w:val="1C3A36"/>
                <w:sz w:val="15"/>
              </w:rPr>
              <w:t>6</w:t>
            </w:r>
          </w:p>
        </w:tc>
        <w:tc>
          <w:tcPr>
            <w:tcW w:type="dxa" w:w="1152"/>
          </w:tcPr>
          <w:p>
            <w:pPr>
              <w:spacing w:after="20"/>
            </w:pPr>
            <w:r>
              <w:rPr>
                <w:color w:val="1C3A36"/>
                <w:sz w:val="15"/>
              </w:rPr>
              <w:t>Country</w:t>
            </w:r>
          </w:p>
        </w:tc>
        <w:tc>
          <w:tcPr>
            <w:tcW w:type="dxa" w:w="4752"/>
          </w:tcPr>
          <w:p>
            <w:pPr>
              <w:spacing w:after="20"/>
            </w:pPr>
            <w:r>
              <w:rPr>
                <w:color w:val="1C3A36"/>
                <w:sz w:val="15"/>
              </w:rPr>
              <w:t>Damodaran UAE Aa2 ERP 4.87% / Abu Dhabi CDS 4.93%</w:t>
            </w:r>
          </w:p>
        </w:tc>
        <w:tc>
          <w:tcPr>
            <w:tcW w:type="dxa" w:w="792"/>
          </w:tcPr>
          <w:p>
            <w:pPr>
              <w:spacing w:after="20"/>
            </w:pPr>
            <w:r>
              <w:rPr>
                <w:color w:val="1C3A36"/>
                <w:sz w:val="15"/>
              </w:rPr>
              <w:t>B</w:t>
            </w:r>
          </w:p>
        </w:tc>
        <w:tc>
          <w:tcPr>
            <w:tcW w:type="dxa" w:w="3384"/>
          </w:tcPr>
          <w:p>
            <w:pPr>
              <w:spacing w:after="20"/>
            </w:pPr>
            <w:r>
              <w:rPr>
                <w:color w:val="1C3A36"/>
                <w:sz w:val="15"/>
              </w:rPr>
              <w:t>ctryprem original file, Jan-2026</w:t>
            </w:r>
          </w:p>
        </w:tc>
      </w:tr>
      <w:tr>
        <w:tc>
          <w:tcPr>
            <w:tcW w:type="dxa" w:w="432"/>
          </w:tcPr>
          <w:p>
            <w:pPr>
              <w:spacing w:after="20"/>
            </w:pPr>
            <w:r>
              <w:rPr>
                <w:color w:val="1C3A36"/>
                <w:sz w:val="15"/>
              </w:rPr>
              <w:t>7</w:t>
            </w:r>
          </w:p>
        </w:tc>
        <w:tc>
          <w:tcPr>
            <w:tcW w:type="dxa" w:w="1152"/>
          </w:tcPr>
          <w:p>
            <w:pPr>
              <w:spacing w:after="20"/>
            </w:pPr>
            <w:r>
              <w:rPr>
                <w:color w:val="1C3A36"/>
                <w:sz w:val="15"/>
              </w:rPr>
              <w:t>Country</w:t>
            </w:r>
          </w:p>
        </w:tc>
        <w:tc>
          <w:tcPr>
            <w:tcW w:type="dxa" w:w="4752"/>
          </w:tcPr>
          <w:p>
            <w:pPr>
              <w:spacing w:after="20"/>
            </w:pPr>
            <w:r>
              <w:rPr>
                <w:color w:val="1C3A36"/>
                <w:sz w:val="15"/>
              </w:rPr>
              <w:t>Dubai D33: Industry-Friendly Power Policy; Shams rooftop cap ~2MW; no corporate PPAs</w:t>
            </w:r>
          </w:p>
        </w:tc>
        <w:tc>
          <w:tcPr>
            <w:tcW w:type="dxa" w:w="792"/>
          </w:tcPr>
          <w:p>
            <w:pPr>
              <w:spacing w:after="20"/>
            </w:pPr>
            <w:r>
              <w:rPr>
                <w:color w:val="1C3A36"/>
                <w:sz w:val="15"/>
              </w:rPr>
              <w:t>S</w:t>
            </w:r>
          </w:p>
        </w:tc>
        <w:tc>
          <w:tcPr>
            <w:tcW w:type="dxa" w:w="3384"/>
          </w:tcPr>
          <w:p>
            <w:pPr>
              <w:spacing w:after="20"/>
            </w:pPr>
            <w:r>
              <w:rPr>
                <w:color w:val="1C3A36"/>
                <w:sz w:val="15"/>
              </w:rPr>
              <w:t>Dubai govt releases, 2025-26</w:t>
            </w:r>
          </w:p>
        </w:tc>
      </w:tr>
      <w:tr>
        <w:tc>
          <w:tcPr>
            <w:tcW w:type="dxa" w:w="432"/>
          </w:tcPr>
          <w:p>
            <w:pPr>
              <w:spacing w:after="20"/>
            </w:pPr>
            <w:r>
              <w:rPr>
                <w:color w:val="1C3A36"/>
                <w:sz w:val="15"/>
              </w:rPr>
              <w:t>8</w:t>
            </w:r>
          </w:p>
        </w:tc>
        <w:tc>
          <w:tcPr>
            <w:tcW w:type="dxa" w:w="1152"/>
          </w:tcPr>
          <w:p>
            <w:pPr>
              <w:spacing w:after="20"/>
            </w:pPr>
            <w:r>
              <w:rPr>
                <w:color w:val="1C3A36"/>
                <w:sz w:val="15"/>
              </w:rPr>
              <w:t>Country</w:t>
            </w:r>
          </w:p>
        </w:tc>
        <w:tc>
          <w:tcPr>
            <w:tcW w:type="dxa" w:w="4752"/>
          </w:tcPr>
          <w:p>
            <w:pPr>
              <w:spacing w:after="20"/>
            </w:pPr>
            <w:r>
              <w:rPr>
                <w:color w:val="1C3A36"/>
                <w:sz w:val="15"/>
              </w:rPr>
              <w:t>DFM closed 2-3 Mar-2026 (escalation); −13.7% drawdown, recovered</w:t>
            </w:r>
          </w:p>
        </w:tc>
        <w:tc>
          <w:tcPr>
            <w:tcW w:type="dxa" w:w="792"/>
          </w:tcPr>
          <w:p>
            <w:pPr>
              <w:spacing w:after="20"/>
            </w:pPr>
            <w:r>
              <w:rPr>
                <w:color w:val="1C3A36"/>
                <w:sz w:val="15"/>
              </w:rPr>
              <w:t>C</w:t>
            </w:r>
          </w:p>
        </w:tc>
        <w:tc>
          <w:tcPr>
            <w:tcW w:type="dxa" w:w="3384"/>
          </w:tcPr>
          <w:p>
            <w:pPr>
              <w:spacing w:after="20"/>
            </w:pPr>
            <w:r>
              <w:rPr>
                <w:color w:val="1C3A36"/>
                <w:sz w:val="15"/>
              </w:rPr>
              <w:t>DFM notices; price history</w:t>
            </w:r>
          </w:p>
        </w:tc>
      </w:tr>
      <w:tr>
        <w:tc>
          <w:tcPr>
            <w:tcW w:type="dxa" w:w="432"/>
          </w:tcPr>
          <w:p>
            <w:pPr>
              <w:spacing w:after="20"/>
            </w:pPr>
            <w:r>
              <w:rPr>
                <w:color w:val="1C3A36"/>
                <w:sz w:val="15"/>
              </w:rPr>
              <w:t>9</w:t>
            </w:r>
          </w:p>
        </w:tc>
        <w:tc>
          <w:tcPr>
            <w:tcW w:type="dxa" w:w="1152"/>
          </w:tcPr>
          <w:p>
            <w:pPr>
              <w:spacing w:after="20"/>
            </w:pPr>
            <w:r>
              <w:rPr>
                <w:color w:val="1C3A36"/>
                <w:sz w:val="15"/>
              </w:rPr>
              <w:t>Industry</w:t>
            </w:r>
          </w:p>
        </w:tc>
        <w:tc>
          <w:tcPr>
            <w:tcW w:type="dxa" w:w="4752"/>
          </w:tcPr>
          <w:p>
            <w:pPr>
              <w:spacing w:after="20"/>
            </w:pPr>
            <w:r>
              <w:rPr>
                <w:color w:val="1C3A36"/>
                <w:sz w:val="15"/>
              </w:rPr>
              <w:t>UAE data-centre load 3 TWh → &gt;6 TWh by 2030; Stargate UAE; AWS-e&amp; $1bn</w:t>
            </w:r>
          </w:p>
        </w:tc>
        <w:tc>
          <w:tcPr>
            <w:tcW w:type="dxa" w:w="792"/>
          </w:tcPr>
          <w:p>
            <w:pPr>
              <w:spacing w:after="20"/>
            </w:pPr>
            <w:r>
              <w:rPr>
                <w:color w:val="1C3A36"/>
                <w:sz w:val="15"/>
              </w:rPr>
              <w:t>S</w:t>
            </w:r>
          </w:p>
        </w:tc>
        <w:tc>
          <w:tcPr>
            <w:tcW w:type="dxa" w:w="3384"/>
          </w:tcPr>
          <w:p>
            <w:pPr>
              <w:spacing w:after="20"/>
            </w:pPr>
            <w:r>
              <w:rPr>
                <w:color w:val="1C3A36"/>
                <w:sz w:val="15"/>
              </w:rPr>
              <w:t>WoodMac; company announcements</w:t>
            </w:r>
          </w:p>
        </w:tc>
      </w:tr>
      <w:tr>
        <w:tc>
          <w:tcPr>
            <w:tcW w:type="dxa" w:w="432"/>
          </w:tcPr>
          <w:p>
            <w:pPr>
              <w:spacing w:after="20"/>
            </w:pPr>
            <w:r>
              <w:rPr>
                <w:color w:val="1C3A36"/>
                <w:sz w:val="15"/>
              </w:rPr>
              <w:t>10</w:t>
            </w:r>
          </w:p>
        </w:tc>
        <w:tc>
          <w:tcPr>
            <w:tcW w:type="dxa" w:w="1152"/>
          </w:tcPr>
          <w:p>
            <w:pPr>
              <w:spacing w:after="20"/>
            </w:pPr>
            <w:r>
              <w:rPr>
                <w:color w:val="1C3A36"/>
                <w:sz w:val="15"/>
              </w:rPr>
              <w:t>Industry</w:t>
            </w:r>
          </w:p>
        </w:tc>
        <w:tc>
          <w:tcPr>
            <w:tcW w:type="dxa" w:w="4752"/>
          </w:tcPr>
          <w:p>
            <w:pPr>
              <w:spacing w:after="20"/>
            </w:pPr>
            <w:r>
              <w:rPr>
                <w:color w:val="1C3A36"/>
                <w:sz w:val="15"/>
              </w:rPr>
              <w:t>UAE power demand → 225 TWh by 2040 scenario</w:t>
            </w:r>
          </w:p>
        </w:tc>
        <w:tc>
          <w:tcPr>
            <w:tcW w:type="dxa" w:w="792"/>
          </w:tcPr>
          <w:p>
            <w:pPr>
              <w:spacing w:after="20"/>
            </w:pPr>
            <w:r>
              <w:rPr>
                <w:color w:val="1C3A36"/>
                <w:sz w:val="15"/>
              </w:rPr>
              <w:t>D</w:t>
            </w:r>
          </w:p>
        </w:tc>
        <w:tc>
          <w:tcPr>
            <w:tcW w:type="dxa" w:w="3384"/>
          </w:tcPr>
          <w:p>
            <w:pPr>
              <w:spacing w:after="20"/>
            </w:pPr>
            <w:r>
              <w:rPr>
                <w:color w:val="1C3A36"/>
                <w:sz w:val="15"/>
              </w:rPr>
              <w:t>sector studies, 2025</w:t>
            </w:r>
          </w:p>
        </w:tc>
      </w:tr>
      <w:tr>
        <w:tc>
          <w:tcPr>
            <w:tcW w:type="dxa" w:w="432"/>
          </w:tcPr>
          <w:p>
            <w:pPr>
              <w:spacing w:after="20"/>
            </w:pPr>
            <w:r>
              <w:rPr>
                <w:color w:val="1C3A36"/>
                <w:sz w:val="15"/>
              </w:rPr>
              <w:t>11</w:t>
            </w:r>
          </w:p>
        </w:tc>
        <w:tc>
          <w:tcPr>
            <w:tcW w:type="dxa" w:w="1152"/>
          </w:tcPr>
          <w:p>
            <w:pPr>
              <w:spacing w:after="20"/>
            </w:pPr>
            <w:r>
              <w:rPr>
                <w:color w:val="1C3A36"/>
                <w:sz w:val="15"/>
              </w:rPr>
              <w:t>Industry</w:t>
            </w:r>
          </w:p>
        </w:tc>
        <w:tc>
          <w:tcPr>
            <w:tcW w:type="dxa" w:w="4752"/>
          </w:tcPr>
          <w:p>
            <w:pPr>
              <w:spacing w:after="20"/>
            </w:pPr>
            <w:r>
              <w:rPr>
                <w:color w:val="1C3A36"/>
                <w:sz w:val="15"/>
              </w:rPr>
              <w:t>Tariff pass-through discussions ongoing; DSCE regulates</w:t>
            </w:r>
          </w:p>
        </w:tc>
        <w:tc>
          <w:tcPr>
            <w:tcW w:type="dxa" w:w="792"/>
          </w:tcPr>
          <w:p>
            <w:pPr>
              <w:spacing w:after="20"/>
            </w:pPr>
            <w:r>
              <w:rPr>
                <w:color w:val="1C3A36"/>
                <w:sz w:val="15"/>
              </w:rPr>
              <w:t>D</w:t>
            </w:r>
          </w:p>
        </w:tc>
        <w:tc>
          <w:tcPr>
            <w:tcW w:type="dxa" w:w="3384"/>
          </w:tcPr>
          <w:p>
            <w:pPr>
              <w:spacing w:after="20"/>
            </w:pPr>
            <w:r>
              <w:rPr>
                <w:color w:val="1C3A36"/>
                <w:sz w:val="15"/>
              </w:rPr>
              <w:t>Empower CFO remarks, May-2026</w:t>
            </w:r>
          </w:p>
        </w:tc>
      </w:tr>
      <w:tr>
        <w:tc>
          <w:tcPr>
            <w:tcW w:type="dxa" w:w="432"/>
          </w:tcPr>
          <w:p>
            <w:pPr>
              <w:spacing w:after="20"/>
            </w:pPr>
            <w:r>
              <w:rPr>
                <w:color w:val="1C3A36"/>
                <w:sz w:val="15"/>
              </w:rPr>
              <w:t>12</w:t>
            </w:r>
          </w:p>
        </w:tc>
        <w:tc>
          <w:tcPr>
            <w:tcW w:type="dxa" w:w="1152"/>
          </w:tcPr>
          <w:p>
            <w:pPr>
              <w:spacing w:after="20"/>
            </w:pPr>
            <w:r>
              <w:rPr>
                <w:color w:val="1C3A36"/>
                <w:sz w:val="15"/>
              </w:rPr>
              <w:t>Company</w:t>
            </w:r>
          </w:p>
        </w:tc>
        <w:tc>
          <w:tcPr>
            <w:tcW w:type="dxa" w:w="4752"/>
          </w:tcPr>
          <w:p>
            <w:pPr>
              <w:spacing w:after="20"/>
            </w:pPr>
            <w:r>
              <w:rPr>
                <w:color w:val="1C3A36"/>
                <w:sz w:val="15"/>
              </w:rPr>
              <w:t>FY25 audited: rev 32,842; EBITDA 17,661 engine / 17,329 company; att 8,347; ND 31,089</w:t>
            </w:r>
          </w:p>
        </w:tc>
        <w:tc>
          <w:tcPr>
            <w:tcW w:type="dxa" w:w="792"/>
          </w:tcPr>
          <w:p>
            <w:pPr>
              <w:spacing w:after="20"/>
            </w:pPr>
            <w:r>
              <w:rPr>
                <w:color w:val="1C3A36"/>
                <w:sz w:val="15"/>
              </w:rPr>
              <w:t>B</w:t>
            </w:r>
          </w:p>
        </w:tc>
        <w:tc>
          <w:tcPr>
            <w:tcW w:type="dxa" w:w="3384"/>
          </w:tcPr>
          <w:p>
            <w:pPr>
              <w:spacing w:after="20"/>
            </w:pPr>
            <w:r>
              <w:rPr>
                <w:color w:val="1C3A36"/>
                <w:sz w:val="15"/>
              </w:rPr>
              <w:t>KPMG-audited FS, 27-Feb-2026</w:t>
            </w:r>
          </w:p>
        </w:tc>
      </w:tr>
      <w:tr>
        <w:tc>
          <w:tcPr>
            <w:tcW w:type="dxa" w:w="432"/>
          </w:tcPr>
          <w:p>
            <w:pPr>
              <w:spacing w:after="20"/>
            </w:pPr>
            <w:r>
              <w:rPr>
                <w:color w:val="1C3A36"/>
                <w:sz w:val="15"/>
              </w:rPr>
              <w:t>13</w:t>
            </w:r>
          </w:p>
        </w:tc>
        <w:tc>
          <w:tcPr>
            <w:tcW w:type="dxa" w:w="1152"/>
          </w:tcPr>
          <w:p>
            <w:pPr>
              <w:spacing w:after="20"/>
            </w:pPr>
            <w:r>
              <w:rPr>
                <w:color w:val="1C3A36"/>
                <w:sz w:val="15"/>
              </w:rPr>
              <w:t>Company</w:t>
            </w:r>
          </w:p>
        </w:tc>
        <w:tc>
          <w:tcPr>
            <w:tcW w:type="dxa" w:w="4752"/>
          </w:tcPr>
          <w:p>
            <w:pPr>
              <w:spacing w:after="20"/>
            </w:pPr>
            <w:r>
              <w:rPr>
                <w:color w:val="1C3A36"/>
                <w:sz w:val="15"/>
              </w:rPr>
              <w:t>Q1-26: rev 6,450 (+8.2%); EBITDA 2,880 (+18.4%); NP att 940 (+89.9%)</w:t>
            </w:r>
          </w:p>
        </w:tc>
        <w:tc>
          <w:tcPr>
            <w:tcW w:type="dxa" w:w="792"/>
          </w:tcPr>
          <w:p>
            <w:pPr>
              <w:spacing w:after="20"/>
            </w:pPr>
            <w:r>
              <w:rPr>
                <w:color w:val="1C3A36"/>
                <w:sz w:val="15"/>
              </w:rPr>
              <w:t>B</w:t>
            </w:r>
          </w:p>
        </w:tc>
        <w:tc>
          <w:tcPr>
            <w:tcW w:type="dxa" w:w="3384"/>
          </w:tcPr>
          <w:p>
            <w:pPr>
              <w:spacing w:after="20"/>
            </w:pPr>
            <w:r>
              <w:rPr>
                <w:color w:val="1C3A36"/>
                <w:sz w:val="15"/>
              </w:rPr>
              <w:t>results release, 12-May-2026</w:t>
            </w:r>
          </w:p>
        </w:tc>
      </w:tr>
      <w:tr>
        <w:tc>
          <w:tcPr>
            <w:tcW w:type="dxa" w:w="432"/>
          </w:tcPr>
          <w:p>
            <w:pPr>
              <w:spacing w:after="20"/>
            </w:pPr>
            <w:r>
              <w:rPr>
                <w:color w:val="1C3A36"/>
                <w:sz w:val="15"/>
              </w:rPr>
              <w:t>14</w:t>
            </w:r>
          </w:p>
        </w:tc>
        <w:tc>
          <w:tcPr>
            <w:tcW w:type="dxa" w:w="1152"/>
          </w:tcPr>
          <w:p>
            <w:pPr>
              <w:spacing w:after="20"/>
            </w:pPr>
            <w:r>
              <w:rPr>
                <w:color w:val="1C3A36"/>
                <w:sz w:val="15"/>
              </w:rPr>
              <w:t>Company</w:t>
            </w:r>
          </w:p>
        </w:tc>
        <w:tc>
          <w:tcPr>
            <w:tcW w:type="dxa" w:w="4752"/>
          </w:tcPr>
          <w:p>
            <w:pPr>
              <w:spacing w:after="20"/>
            </w:pPr>
            <w:r>
              <w:rPr>
                <w:color w:val="1C3A36"/>
                <w:sz w:val="15"/>
              </w:rPr>
              <w:t>Empower 24% bought from Dubai Holding for AED 5,184mn → 80%</w:t>
            </w:r>
          </w:p>
        </w:tc>
        <w:tc>
          <w:tcPr>
            <w:tcW w:type="dxa" w:w="792"/>
          </w:tcPr>
          <w:p>
            <w:pPr>
              <w:spacing w:after="20"/>
            </w:pPr>
            <w:r>
              <w:rPr>
                <w:color w:val="1C3A36"/>
                <w:sz w:val="15"/>
              </w:rPr>
              <w:t>B</w:t>
            </w:r>
          </w:p>
        </w:tc>
        <w:tc>
          <w:tcPr>
            <w:tcW w:type="dxa" w:w="3384"/>
          </w:tcPr>
          <w:p>
            <w:pPr>
              <w:spacing w:after="20"/>
            </w:pPr>
            <w:r>
              <w:rPr>
                <w:color w:val="1C3A36"/>
                <w:sz w:val="15"/>
              </w:rPr>
              <w:t>named transaction, 10-Feb-2026 filing</w:t>
            </w:r>
          </w:p>
        </w:tc>
      </w:tr>
      <w:tr>
        <w:tc>
          <w:tcPr>
            <w:tcW w:type="dxa" w:w="432"/>
          </w:tcPr>
          <w:p>
            <w:pPr>
              <w:spacing w:after="20"/>
            </w:pPr>
            <w:r>
              <w:rPr>
                <w:color w:val="1C3A36"/>
                <w:sz w:val="15"/>
              </w:rPr>
              <w:t>15</w:t>
            </w:r>
          </w:p>
        </w:tc>
        <w:tc>
          <w:tcPr>
            <w:tcW w:type="dxa" w:w="1152"/>
          </w:tcPr>
          <w:p>
            <w:pPr>
              <w:spacing w:after="20"/>
            </w:pPr>
            <w:r>
              <w:rPr>
                <w:color w:val="1C3A36"/>
                <w:sz w:val="15"/>
              </w:rPr>
              <w:t>Company</w:t>
            </w:r>
          </w:p>
        </w:tc>
        <w:tc>
          <w:tcPr>
            <w:tcW w:type="dxa" w:w="4752"/>
          </w:tcPr>
          <w:p>
            <w:pPr>
              <w:spacing w:after="20"/>
            </w:pPr>
            <w:r>
              <w:rPr>
                <w:color w:val="1C3A36"/>
                <w:sz w:val="15"/>
              </w:rPr>
              <w:t>Dividend: min AED 6.2bn/yr, five years from Oct-2022. Post-2027 = the crux</w:t>
            </w:r>
          </w:p>
        </w:tc>
        <w:tc>
          <w:tcPr>
            <w:tcW w:type="dxa" w:w="792"/>
          </w:tcPr>
          <w:p>
            <w:pPr>
              <w:spacing w:after="20"/>
            </w:pPr>
            <w:r>
              <w:rPr>
                <w:color w:val="1C3A36"/>
                <w:sz w:val="15"/>
              </w:rPr>
              <w:t>S</w:t>
            </w:r>
          </w:p>
        </w:tc>
        <w:tc>
          <w:tcPr>
            <w:tcW w:type="dxa" w:w="3384"/>
          </w:tcPr>
          <w:p>
            <w:pPr>
              <w:spacing w:after="20"/>
            </w:pPr>
            <w:r>
              <w:rPr>
                <w:color w:val="1C3A36"/>
                <w:sz w:val="15"/>
              </w:rPr>
              <w:t>IPO prospectus + IR page</w:t>
            </w:r>
          </w:p>
        </w:tc>
      </w:tr>
      <w:tr>
        <w:tc>
          <w:tcPr>
            <w:tcW w:type="dxa" w:w="432"/>
          </w:tcPr>
          <w:p>
            <w:pPr>
              <w:spacing w:after="20"/>
            </w:pPr>
            <w:r>
              <w:rPr>
                <w:color w:val="1C3A36"/>
                <w:sz w:val="15"/>
              </w:rPr>
              <w:t>16</w:t>
            </w:r>
          </w:p>
        </w:tc>
        <w:tc>
          <w:tcPr>
            <w:tcW w:type="dxa" w:w="1152"/>
          </w:tcPr>
          <w:p>
            <w:pPr>
              <w:spacing w:after="20"/>
            </w:pPr>
            <w:r>
              <w:rPr>
                <w:color w:val="1C3A36"/>
                <w:sz w:val="15"/>
              </w:rPr>
              <w:t>Company</w:t>
            </w:r>
          </w:p>
        </w:tc>
        <w:tc>
          <w:tcPr>
            <w:tcW w:type="dxa" w:w="4752"/>
          </w:tcPr>
          <w:p>
            <w:pPr>
              <w:spacing w:after="20"/>
            </w:pPr>
            <w:r>
              <w:rPr>
                <w:color w:val="1C3A36"/>
                <w:sz w:val="15"/>
              </w:rPr>
              <w:t>Moody's A3 stable (upgraded from Baa2, 30-May-2024)</w:t>
            </w:r>
          </w:p>
        </w:tc>
        <w:tc>
          <w:tcPr>
            <w:tcW w:type="dxa" w:w="792"/>
          </w:tcPr>
          <w:p>
            <w:pPr>
              <w:spacing w:after="20"/>
            </w:pPr>
            <w:r>
              <w:rPr>
                <w:color w:val="1C3A36"/>
                <w:sz w:val="15"/>
              </w:rPr>
              <w:t>B</w:t>
            </w:r>
          </w:p>
        </w:tc>
        <w:tc>
          <w:tcPr>
            <w:tcW w:type="dxa" w:w="3384"/>
          </w:tcPr>
          <w:p>
            <w:pPr>
              <w:spacing w:after="20"/>
            </w:pPr>
            <w:r>
              <w:rPr>
                <w:color w:val="1C3A36"/>
                <w:sz w:val="15"/>
              </w:rPr>
              <w:t>Moody's rating action</w:t>
            </w:r>
          </w:p>
        </w:tc>
      </w:tr>
      <w:tr>
        <w:tc>
          <w:tcPr>
            <w:tcW w:type="dxa" w:w="432"/>
          </w:tcPr>
          <w:p>
            <w:pPr>
              <w:spacing w:after="20"/>
            </w:pPr>
            <w:r>
              <w:rPr>
                <w:color w:val="1C3A36"/>
                <w:sz w:val="15"/>
              </w:rPr>
              <w:t>17</w:t>
            </w:r>
          </w:p>
        </w:tc>
        <w:tc>
          <w:tcPr>
            <w:tcW w:type="dxa" w:w="1152"/>
          </w:tcPr>
          <w:p>
            <w:pPr>
              <w:spacing w:after="20"/>
            </w:pPr>
            <w:r>
              <w:rPr>
                <w:color w:val="1C3A36"/>
                <w:sz w:val="15"/>
              </w:rPr>
              <w:t>Company</w:t>
            </w:r>
          </w:p>
        </w:tc>
        <w:tc>
          <w:tcPr>
            <w:tcW w:type="dxa" w:w="4752"/>
          </w:tcPr>
          <w:p>
            <w:pPr>
              <w:spacing w:after="20"/>
            </w:pPr>
            <w:r>
              <w:rPr>
                <w:color w:val="1C3A36"/>
                <w:sz w:val="15"/>
              </w:rPr>
              <w:t>2030: &gt;23GW (8.3GW renewable), 735 MIGD; Hassyan +60 live, +120 due 2026; 1,800MW solar IPP 86% complete</w:t>
            </w:r>
          </w:p>
        </w:tc>
        <w:tc>
          <w:tcPr>
            <w:tcW w:type="dxa" w:w="792"/>
          </w:tcPr>
          <w:p>
            <w:pPr>
              <w:spacing w:after="20"/>
            </w:pPr>
            <w:r>
              <w:rPr>
                <w:color w:val="1C3A36"/>
                <w:sz w:val="15"/>
              </w:rPr>
              <w:t>S</w:t>
            </w:r>
          </w:p>
        </w:tc>
        <w:tc>
          <w:tcPr>
            <w:tcW w:type="dxa" w:w="3384"/>
          </w:tcPr>
          <w:p>
            <w:pPr>
              <w:spacing w:after="20"/>
            </w:pPr>
            <w:r>
              <w:rPr>
                <w:color w:val="1C3A36"/>
                <w:sz w:val="15"/>
              </w:rPr>
              <w:t>company releases; FY25 directors’ report</w:t>
            </w:r>
          </w:p>
        </w:tc>
      </w:tr>
      <w:tr>
        <w:tc>
          <w:tcPr>
            <w:tcW w:type="dxa" w:w="432"/>
          </w:tcPr>
          <w:p>
            <w:pPr>
              <w:spacing w:after="20"/>
            </w:pPr>
            <w:r>
              <w:rPr>
                <w:color w:val="1C3A36"/>
                <w:sz w:val="15"/>
              </w:rPr>
              <w:t>18</w:t>
            </w:r>
          </w:p>
        </w:tc>
        <w:tc>
          <w:tcPr>
            <w:tcW w:type="dxa" w:w="1152"/>
          </w:tcPr>
          <w:p>
            <w:pPr>
              <w:spacing w:after="20"/>
            </w:pPr>
            <w:r>
              <w:rPr>
                <w:color w:val="1C3A36"/>
                <w:sz w:val="15"/>
              </w:rPr>
              <w:t>Company</w:t>
            </w:r>
          </w:p>
        </w:tc>
        <w:tc>
          <w:tcPr>
            <w:tcW w:type="dxa" w:w="4752"/>
          </w:tcPr>
          <w:p>
            <w:pPr>
              <w:spacing w:after="20"/>
            </w:pPr>
            <w:r>
              <w:rPr>
                <w:color w:val="1C3A36"/>
                <w:sz w:val="15"/>
              </w:rPr>
              <w:t>FY2024 audited FS retrieved (KPMG, 27-Feb-2025): FY23 restated comparatives supersede all pre-restatement FY23 anchors</w:t>
            </w:r>
          </w:p>
        </w:tc>
        <w:tc>
          <w:tcPr>
            <w:tcW w:type="dxa" w:w="792"/>
          </w:tcPr>
          <w:p>
            <w:pPr>
              <w:spacing w:after="20"/>
            </w:pPr>
            <w:r>
              <w:rPr>
                <w:color w:val="1C3A36"/>
                <w:sz w:val="15"/>
              </w:rPr>
              <w:t>B</w:t>
            </w:r>
          </w:p>
        </w:tc>
        <w:tc>
          <w:tcPr>
            <w:tcW w:type="dxa" w:w="3384"/>
          </w:tcPr>
          <w:p>
            <w:pPr>
              <w:spacing w:after="20"/>
            </w:pPr>
            <w:r>
              <w:rPr>
                <w:color w:val="1C3A36"/>
                <w:sz w:val="15"/>
              </w:rPr>
              <w:t>DFM-hosted FY2024 consolidated FS, fetched 12-Jul-2026</w:t>
            </w:r>
          </w:p>
        </w:tc>
      </w:tr>
      <w:tr>
        <w:tc>
          <w:tcPr>
            <w:tcW w:type="dxa" w:w="432"/>
          </w:tcPr>
          <w:p>
            <w:pPr>
              <w:spacing w:after="20"/>
            </w:pPr>
            <w:r>
              <w:rPr>
                <w:color w:val="1C3A36"/>
                <w:sz w:val="15"/>
              </w:rPr>
              <w:t>19</w:t>
            </w:r>
          </w:p>
        </w:tc>
        <w:tc>
          <w:tcPr>
            <w:tcW w:type="dxa" w:w="1152"/>
          </w:tcPr>
          <w:p>
            <w:pPr>
              <w:spacing w:after="20"/>
            </w:pPr>
            <w:r>
              <w:rPr>
                <w:color w:val="1C3A36"/>
                <w:sz w:val="15"/>
              </w:rPr>
              <w:t>Company</w:t>
            </w:r>
          </w:p>
        </w:tc>
        <w:tc>
          <w:tcPr>
            <w:tcW w:type="dxa" w:w="4752"/>
          </w:tcPr>
          <w:p>
            <w:pPr>
              <w:spacing w:after="20"/>
            </w:pPr>
            <w:r>
              <w:rPr>
                <w:color w:val="1C3A36"/>
                <w:sz w:val="15"/>
              </w:rPr>
              <w:t>Audited FY2023 balance-sheet face obtained via Integrated Report 2023 (standalone FY23/FY24 FS PDFs are image-only scans)</w:t>
            </w:r>
          </w:p>
        </w:tc>
        <w:tc>
          <w:tcPr>
            <w:tcW w:type="dxa" w:w="792"/>
          </w:tcPr>
          <w:p>
            <w:pPr>
              <w:spacing w:after="20"/>
            </w:pPr>
            <w:r>
              <w:rPr>
                <w:color w:val="1C3A36"/>
                <w:sz w:val="15"/>
              </w:rPr>
              <w:t>B</w:t>
            </w:r>
          </w:p>
        </w:tc>
        <w:tc>
          <w:tcPr>
            <w:tcW w:type="dxa" w:w="3384"/>
          </w:tcPr>
          <w:p>
            <w:pPr>
              <w:spacing w:after="20"/>
            </w:pPr>
            <w:r>
              <w:rPr>
                <w:color w:val="1C3A36"/>
                <w:sz w:val="15"/>
              </w:rPr>
              <w:t>DEWA Integrated Report 2023, fetched 12-Jul-2026</w:t>
            </w:r>
          </w:p>
        </w:tc>
      </w:tr>
    </w:tbl>
    <w:p>
      <w:pPr>
        <w:spacing w:after="40"/>
      </w:pPr>
    </w:p>
    <w:p>
      <w:pPr>
        <w:spacing w:after="200" w:before="0"/>
      </w:pPr>
      <w:r>
        <w:rPr>
          <w:b w:val="0"/>
          <w:i/>
          <w:color w:val="6E7B77"/>
          <w:sz w:val="17"/>
        </w:rPr>
        <w:t>Class key: B = base-rate/quantitative · S = structural · D = directional · C = colour. All four rings — Global, Country, Industry, Company — were reviewed and classified before any forecast driver was set, and each driver in §1.7 carries a documented source. The register also lives as a machine-readable sheet in the companion Excel.</w:t>
      </w:r>
    </w:p>
    <w:p>
      <w:pPr>
        <w:spacing w:after="120" w:before="280"/>
      </w:pPr>
      <w:r>
        <w:rPr>
          <w:b/>
          <w:i w:val="0"/>
          <w:color w:val="1C3A36"/>
          <w:sz w:val="30"/>
        </w:rPr>
        <w:t>Appendix C  The expert valuation panel — four methods, shown workings, a falsifier each</w:t>
      </w:r>
    </w:p>
    <w:p>
      <w:pPr>
        <w:spacing w:after="120" w:before="0"/>
      </w:pPr>
      <w:r>
        <w:rPr>
          <w:b w:val="0"/>
          <w:i w:val="0"/>
          <w:color w:val="1C3A36"/>
          <w:sz w:val="21"/>
        </w:rPr>
        <w:t>Four experts from our standing expert panel, cast for this class of business: the industrial/utility trio — forensic accountant, earnings-power analyst, macro-policy strategist — plus the cash-returns analyst, added because the name is capital-heavy and his DCF/ROIC machine overlaps none of the other three. Labels only — Expert 1-4. Each states a tradition, shows the working, names its own weakest assumption, and posts a falsifier: the observable event that would prove it wrong.</w:t>
      </w:r>
    </w:p>
    <w:p>
      <w:pPr>
        <w:spacing w:after="80" w:before="200"/>
      </w:pPr>
      <w:r>
        <w:rPr>
          <w:b/>
          <w:i w:val="0"/>
          <w:color w:val="1C3A36"/>
          <w:sz w:val="24"/>
        </w:rPr>
        <w:t>C.1  Expert 1 — the forensic accountant: audit the book before pricing it</w:t>
      </w:r>
    </w:p>
    <w:p>
      <w:pPr>
        <w:spacing w:after="120" w:before="0"/>
      </w:pPr>
      <w:r>
        <w:rPr>
          <w:b w:val="0"/>
          <w:i w:val="0"/>
          <w:color w:val="1C3A36"/>
          <w:sz w:val="21"/>
        </w:rPr>
        <w:t>The tradition. Before any multiple or model, verify that the stated numbers are real: cash-back the earnings, stress the accruals, test whether the equity would survive contact with a sceptic. Only then price the verified book.</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6264"/>
            <w:shd w:val="clear" w:color="auto" w:fill="EAF0EE"/>
          </w:tcPr>
          <w:p>
            <w:pPr>
              <w:spacing w:after="20"/>
            </w:pPr>
            <w:r>
              <w:rPr>
                <w:b/>
                <w:color w:val="1C3A36"/>
                <w:sz w:val="17"/>
              </w:rPr>
              <w:t>Working</w:t>
            </w:r>
          </w:p>
        </w:tc>
        <w:tc>
          <w:tcPr>
            <w:tcW w:type="dxa" w:w="3312"/>
            <w:shd w:val="clear" w:color="auto" w:fill="EAF0EE"/>
          </w:tcPr>
          <w:p>
            <w:pPr>
              <w:spacing w:after="20"/>
            </w:pPr>
            <w:r>
              <w:rPr>
                <w:b/>
                <w:color w:val="1C3A36"/>
                <w:sz w:val="17"/>
              </w:rPr>
              <w:t>Reading</w:t>
            </w:r>
          </w:p>
        </w:tc>
      </w:tr>
      <w:tr>
        <w:tc>
          <w:tcPr>
            <w:tcW w:type="dxa" w:w="6264"/>
          </w:tcPr>
          <w:p>
            <w:pPr>
              <w:spacing w:after="20"/>
            </w:pPr>
            <w:r>
              <w:rPr>
                <w:color w:val="1C3A36"/>
                <w:sz w:val="17"/>
              </w:rPr>
              <w:t>Cash conversion: CFO 21,850 vs engine EBITDA 17,661</w:t>
            </w:r>
          </w:p>
        </w:tc>
        <w:tc>
          <w:tcPr>
            <w:tcW w:type="dxa" w:w="3312"/>
          </w:tcPr>
          <w:p>
            <w:pPr>
              <w:spacing w:after="20"/>
              <w:jc w:val="right"/>
            </w:pPr>
            <w:r>
              <w:rPr>
                <w:color w:val="1C3A36"/>
                <w:sz w:val="17"/>
              </w:rPr>
              <w:t>124% — the earnings arrive as cash, with room</w:t>
            </w:r>
          </w:p>
        </w:tc>
      </w:tr>
      <w:tr>
        <w:tc>
          <w:tcPr>
            <w:tcW w:type="dxa" w:w="6264"/>
          </w:tcPr>
          <w:p>
            <w:pPr>
              <w:spacing w:after="20"/>
            </w:pPr>
            <w:r>
              <w:rPr>
                <w:color w:val="1C3A36"/>
                <w:sz w:val="17"/>
              </w:rPr>
              <w:t>Accruals check: PAT 9,055 vs CFO 21,850</w:t>
            </w:r>
          </w:p>
        </w:tc>
        <w:tc>
          <w:tcPr>
            <w:tcW w:type="dxa" w:w="3312"/>
          </w:tcPr>
          <w:p>
            <w:pPr>
              <w:spacing w:after="20"/>
              <w:jc w:val="right"/>
            </w:pPr>
            <w:r>
              <w:rPr>
                <w:color w:val="1C3A36"/>
                <w:sz w:val="17"/>
              </w:rPr>
              <w:t>deeply cash-backed; the deferred-income add-back (−1,164) even understates it</w:t>
            </w:r>
          </w:p>
        </w:tc>
      </w:tr>
      <w:tr>
        <w:tc>
          <w:tcPr>
            <w:tcW w:type="dxa" w:w="6264"/>
          </w:tcPr>
          <w:p>
            <w:pPr>
              <w:spacing w:after="20"/>
            </w:pPr>
            <w:r>
              <w:rPr>
                <w:color w:val="1C3A36"/>
                <w:sz w:val="17"/>
              </w:rPr>
              <w:t>Customer-funded build: connection advances and deferred revenue inside AED 33.4bn of other long-term liabilities</w:t>
            </w:r>
          </w:p>
        </w:tc>
        <w:tc>
          <w:tcPr>
            <w:tcW w:type="dxa" w:w="3312"/>
          </w:tcPr>
          <w:p>
            <w:pPr>
              <w:spacing w:after="20"/>
              <w:jc w:val="right"/>
            </w:pPr>
            <w:r>
              <w:rPr>
                <w:color w:val="1C3A36"/>
                <w:sz w:val="17"/>
              </w:rPr>
              <w:t>a liability that never consumes cash — customers pre-pay the network</w:t>
            </w:r>
          </w:p>
        </w:tc>
      </w:tr>
      <w:tr>
        <w:tc>
          <w:tcPr>
            <w:tcW w:type="dxa" w:w="6264"/>
          </w:tcPr>
          <w:p>
            <w:pPr>
              <w:spacing w:after="20"/>
            </w:pPr>
            <w:r>
              <w:rPr>
                <w:color w:val="1C3A36"/>
                <w:sz w:val="17"/>
              </w:rPr>
              <w:t>Book verification: total equity 97,770 = 94,988 opening + 9,055 profit − 1,046 OCI + 2,166 contributions − 32 repayment − 7,360 dividends</w:t>
            </w:r>
          </w:p>
        </w:tc>
        <w:tc>
          <w:tcPr>
            <w:tcW w:type="dxa" w:w="3312"/>
          </w:tcPr>
          <w:p>
            <w:pPr>
              <w:spacing w:after="20"/>
              <w:jc w:val="right"/>
            </w:pPr>
            <w:r>
              <w:rPr>
                <w:color w:val="1C3A36"/>
                <w:sz w:val="17"/>
              </w:rPr>
              <w:t>ties the audited equity statement exactly</w:t>
            </w:r>
          </w:p>
        </w:tc>
      </w:tr>
      <w:tr>
        <w:tc>
          <w:tcPr>
            <w:tcW w:type="dxa" w:w="6264"/>
          </w:tcPr>
          <w:p>
            <w:pPr>
              <w:spacing w:after="20"/>
            </w:pPr>
            <w:r>
              <w:rPr>
                <w:color w:val="1C3A36"/>
                <w:sz w:val="17"/>
              </w:rPr>
              <w:t>Verified owners’ book value per share</w:t>
            </w:r>
          </w:p>
        </w:tc>
        <w:tc>
          <w:tcPr>
            <w:tcW w:type="dxa" w:w="3312"/>
          </w:tcPr>
          <w:p>
            <w:pPr>
              <w:spacing w:after="20"/>
              <w:jc w:val="right"/>
            </w:pPr>
            <w:r>
              <w:rPr>
                <w:color w:val="1C3A36"/>
                <w:sz w:val="17"/>
              </w:rPr>
              <w:t>AED 1.820</w:t>
            </w:r>
          </w:p>
        </w:tc>
      </w:tr>
      <w:tr>
        <w:tc>
          <w:tcPr>
            <w:tcW w:type="dxa" w:w="6264"/>
          </w:tcPr>
          <w:p>
            <w:pPr>
              <w:spacing w:after="20"/>
            </w:pPr>
            <w:r>
              <w:rPr>
                <w:color w:val="1C3A36"/>
                <w:sz w:val="17"/>
              </w:rPr>
              <w:t>His multiple: (ROE − g) / (Ke − g) on his own conservative ROE band 8.8-10.0%, g 2.25-2.75%</w:t>
            </w:r>
          </w:p>
        </w:tc>
        <w:tc>
          <w:tcPr>
            <w:tcW w:type="dxa" w:w="3312"/>
          </w:tcPr>
          <w:p>
            <w:pPr>
              <w:spacing w:after="20"/>
              <w:jc w:val="right"/>
            </w:pPr>
            <w:r>
              <w:rPr>
                <w:color w:val="1C3A36"/>
                <w:sz w:val="17"/>
              </w:rPr>
              <w:t>1.29x / 1.57x / 1.81x</w:t>
            </w:r>
          </w:p>
        </w:tc>
      </w:tr>
      <w:tr>
        <w:tc>
          <w:tcPr>
            <w:tcW w:type="dxa" w:w="6264"/>
          </w:tcPr>
          <w:p>
            <w:pPr>
              <w:spacing w:after="20"/>
            </w:pPr>
            <w:r>
              <w:rPr>
                <w:color w:val="1C3A36"/>
                <w:sz w:val="17"/>
              </w:rPr>
              <w:t>Value: 1.820 × the band</w:t>
            </w:r>
          </w:p>
        </w:tc>
        <w:tc>
          <w:tcPr>
            <w:tcW w:type="dxa" w:w="3312"/>
          </w:tcPr>
          <w:p>
            <w:pPr>
              <w:spacing w:after="20"/>
              <w:jc w:val="right"/>
            </w:pPr>
            <w:r>
              <w:rPr>
                <w:color w:val="1C3A36"/>
                <w:sz w:val="17"/>
              </w:rPr>
              <w:t>2.35 / 2.85 / 3.30</w:t>
            </w:r>
          </w:p>
        </w:tc>
      </w:tr>
    </w:tbl>
    <w:p>
      <w:pPr>
        <w:spacing w:after="40"/>
      </w:pPr>
    </w:p>
    <w:p>
      <w:pPr>
        <w:spacing w:after="120" w:before="0"/>
      </w:pPr>
      <w:r>
        <w:rPr>
          <w:b w:val="0"/>
          <w:i w:val="0"/>
          <w:color w:val="1C3A36"/>
          <w:sz w:val="21"/>
        </w:rPr>
        <w:t>Published range: bear 2.35 / base 2.85 / bull 3.30. On today’s price: the market pays 1.53x a book this expert certifies as conservatively stated and cash-generative; spot is defensible only if the return spread compresses. Weakest assumption: the Land-Department fair values inside the capital contribution — appraisal marks on land a utility can never sell; he haircuts the multiple rather than the book for it. Falsifier: cash conversion below 90% or a receivables accrual build for two consecutive halves — the book stops being self-verifying and the floor under the multiple goes with it.</w:t>
      </w:r>
    </w:p>
    <w:p>
      <w:pPr>
        <w:spacing w:after="80" w:before="200"/>
      </w:pPr>
      <w:r>
        <w:rPr>
          <w:b/>
          <w:i w:val="0"/>
          <w:color w:val="1C3A36"/>
          <w:sz w:val="24"/>
        </w:rPr>
        <w:t>C.2  Expert 2 — the earnings-power analyst: normalise, then multiply</w:t>
      </w:r>
    </w:p>
    <w:p>
      <w:pPr>
        <w:spacing w:after="120" w:before="0"/>
      </w:pPr>
      <w:r>
        <w:rPr>
          <w:b w:val="0"/>
          <w:i w:val="0"/>
          <w:color w:val="1C3A36"/>
          <w:sz w:val="21"/>
        </w:rPr>
        <w:t>The tradition. Strip the noise, find the earnings power a private buyer could underwrite, and pay a through-cycle multiple for it — nothing exotic, ruthlessly anchored to what comparable regulated earnings actually fetch.</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6264"/>
            <w:shd w:val="clear" w:color="auto" w:fill="EAF0EE"/>
          </w:tcPr>
          <w:p>
            <w:pPr>
              <w:spacing w:after="20"/>
            </w:pPr>
            <w:r>
              <w:rPr>
                <w:b/>
                <w:color w:val="1C3A36"/>
                <w:sz w:val="17"/>
              </w:rPr>
              <w:t>Working</w:t>
            </w:r>
          </w:p>
        </w:tc>
        <w:tc>
          <w:tcPr>
            <w:tcW w:type="dxa" w:w="3312"/>
            <w:shd w:val="clear" w:color="auto" w:fill="EAF0EE"/>
          </w:tcPr>
          <w:p>
            <w:pPr>
              <w:spacing w:after="20"/>
            </w:pPr>
            <w:r>
              <w:rPr>
                <w:b/>
                <w:color w:val="1C3A36"/>
                <w:sz w:val="17"/>
              </w:rPr>
              <w:t>Reading</w:t>
            </w:r>
          </w:p>
        </w:tc>
      </w:tr>
      <w:tr>
        <w:tc>
          <w:tcPr>
            <w:tcW w:type="dxa" w:w="6264"/>
          </w:tcPr>
          <w:p>
            <w:pPr>
              <w:spacing w:after="20"/>
            </w:pPr>
            <w:r>
              <w:rPr>
                <w:color w:val="1C3A36"/>
                <w:sz w:val="17"/>
              </w:rPr>
              <w:t>Normalised forward earnings: FY26E EPS (post-Empower, 9.5% tax)</w:t>
            </w:r>
          </w:p>
        </w:tc>
        <w:tc>
          <w:tcPr>
            <w:tcW w:type="dxa" w:w="3312"/>
          </w:tcPr>
          <w:p>
            <w:pPr>
              <w:spacing w:after="20"/>
              <w:jc w:val="right"/>
            </w:pPr>
            <w:r>
              <w:rPr>
                <w:color w:val="1C3A36"/>
                <w:sz w:val="17"/>
              </w:rPr>
              <w:t>AED 0.190</w:t>
            </w:r>
          </w:p>
        </w:tc>
      </w:tr>
      <w:tr>
        <w:tc>
          <w:tcPr>
            <w:tcW w:type="dxa" w:w="6264"/>
          </w:tcPr>
          <w:p>
            <w:pPr>
              <w:spacing w:after="20"/>
            </w:pPr>
            <w:r>
              <w:rPr>
                <w:color w:val="1C3A36"/>
                <w:sz w:val="17"/>
              </w:rPr>
              <w:t>Quality check: FY25 delivered 0.167; the customer base compounds 4-5%</w:t>
            </w:r>
          </w:p>
        </w:tc>
        <w:tc>
          <w:tcPr>
            <w:tcW w:type="dxa" w:w="3312"/>
          </w:tcPr>
          <w:p>
            <w:pPr>
              <w:spacing w:after="20"/>
              <w:jc w:val="right"/>
            </w:pPr>
            <w:r>
              <w:rPr>
                <w:color w:val="1C3A36"/>
                <w:sz w:val="17"/>
              </w:rPr>
              <w:t>the 0.190 is growth, not adjustment</w:t>
            </w:r>
          </w:p>
        </w:tc>
      </w:tr>
      <w:tr>
        <w:tc>
          <w:tcPr>
            <w:tcW w:type="dxa" w:w="6264"/>
          </w:tcPr>
          <w:p>
            <w:pPr>
              <w:spacing w:after="20"/>
            </w:pPr>
            <w:r>
              <w:rPr>
                <w:color w:val="1C3A36"/>
                <w:sz w:val="17"/>
              </w:rPr>
              <w:t>Through-cycle regulated-utility P/E band (SEC ~15x, Tabreed ~14x; TAQA ~26x excluded as scarcity pricing)</w:t>
            </w:r>
          </w:p>
        </w:tc>
        <w:tc>
          <w:tcPr>
            <w:tcW w:type="dxa" w:w="3312"/>
          </w:tcPr>
          <w:p>
            <w:pPr>
              <w:spacing w:after="20"/>
              <w:jc w:val="right"/>
            </w:pPr>
            <w:r>
              <w:rPr>
                <w:color w:val="1C3A36"/>
                <w:sz w:val="17"/>
              </w:rPr>
              <w:t>13x / 16x / 18x</w:t>
            </w:r>
          </w:p>
        </w:tc>
      </w:tr>
      <w:tr>
        <w:tc>
          <w:tcPr>
            <w:tcW w:type="dxa" w:w="6264"/>
          </w:tcPr>
          <w:p>
            <w:pPr>
              <w:spacing w:after="20"/>
            </w:pPr>
            <w:r>
              <w:rPr>
                <w:color w:val="1C3A36"/>
                <w:sz w:val="17"/>
              </w:rPr>
              <w:t>Value: 0.190 × the band</w:t>
            </w:r>
          </w:p>
        </w:tc>
        <w:tc>
          <w:tcPr>
            <w:tcW w:type="dxa" w:w="3312"/>
          </w:tcPr>
          <w:p>
            <w:pPr>
              <w:spacing w:after="20"/>
              <w:jc w:val="right"/>
            </w:pPr>
            <w:r>
              <w:rPr>
                <w:color w:val="1C3A36"/>
                <w:sz w:val="17"/>
              </w:rPr>
              <w:t>2.47 / 3.04 / 3.42</w:t>
            </w:r>
          </w:p>
        </w:tc>
      </w:tr>
      <w:tr>
        <w:tc>
          <w:tcPr>
            <w:tcW w:type="dxa" w:w="6264"/>
          </w:tcPr>
          <w:p>
            <w:pPr>
              <w:spacing w:after="20"/>
            </w:pPr>
            <w:r>
              <w:rPr>
                <w:color w:val="1C3A36"/>
                <w:sz w:val="17"/>
              </w:rPr>
              <w:t>Cross-check at 10x FY26E EV/EBITDA, net of PF debt and the marked NCI</w:t>
            </w:r>
          </w:p>
        </w:tc>
        <w:tc>
          <w:tcPr>
            <w:tcW w:type="dxa" w:w="3312"/>
          </w:tcPr>
          <w:p>
            <w:pPr>
              <w:spacing w:after="20"/>
              <w:jc w:val="right"/>
            </w:pPr>
            <w:r>
              <w:rPr>
                <w:color w:val="1C3A36"/>
                <w:sz w:val="17"/>
              </w:rPr>
              <w:t>lands ≈AED 2.9 — the two yardsticks agree</w:t>
            </w:r>
          </w:p>
        </w:tc>
      </w:tr>
    </w:tbl>
    <w:p>
      <w:pPr>
        <w:spacing w:after="40"/>
      </w:pPr>
    </w:p>
    <w:p>
      <w:pPr>
        <w:spacing w:after="120" w:before="0"/>
      </w:pPr>
      <w:r>
        <w:rPr>
          <w:b w:val="0"/>
          <w:i w:val="0"/>
          <w:color w:val="1C3A36"/>
          <w:sz w:val="21"/>
        </w:rPr>
        <w:t>Published range: bear 2.47 / base 3.04 / bull 3.42. On today’s price: spot at 14.7x FY26E sits inside his band but below his base — the market pays a low-teens multiple for mid-single-digit regulated growth with a 4.4% yield attached, which he reads as the multiple pricing the policy silence, not the earnings. Weakest assumption: the band itself — GCC utility multiples are thin, dispersed and partly policy-set; ±1x moves the base ±AED 0.19. Falsifier: an H1-2026 print with attributable EPS growth below ~8% year-on-year, which would mean the “normalised” 0.190 was optimism and the base slides to 15x on a lower number.</w:t>
      </w:r>
    </w:p>
    <w:p>
      <w:pPr>
        <w:spacing w:after="80" w:before="200"/>
      </w:pPr>
      <w:r>
        <w:rPr>
          <w:b/>
          <w:i w:val="0"/>
          <w:color w:val="1C3A36"/>
          <w:sz w:val="24"/>
        </w:rPr>
        <w:t>C.3  Expert 3 — the macro-policy strategist: price the state tree</w:t>
      </w:r>
    </w:p>
    <w:p>
      <w:pPr>
        <w:spacing w:after="120" w:before="0"/>
      </w:pPr>
      <w:r>
        <w:rPr>
          <w:b w:val="0"/>
          <w:i w:val="0"/>
          <w:color w:val="1C3A36"/>
          <w:sz w:val="21"/>
        </w:rPr>
        <w:t>The tradition. When the binding constraint on a valuation is a single policy decision — here the October-2027 reset — the honest method is to name the states, price the whole instrument under each, and weight them. This is the only expert in the room whose machine prices the October-2027 decision explicitly, state by state, rather than through a growth rate or a multiple.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4320"/>
            <w:shd w:val="clear" w:color="auto" w:fill="EAF0EE"/>
          </w:tcPr>
          <w:p>
            <w:pPr>
              <w:spacing w:after="20"/>
            </w:pPr>
            <w:r>
              <w:rPr>
                <w:b/>
                <w:color w:val="1C3A36"/>
                <w:sz w:val="17"/>
              </w:rPr>
              <w:t>Regime</w:t>
            </w:r>
          </w:p>
        </w:tc>
        <w:tc>
          <w:tcPr>
            <w:tcW w:type="dxa" w:w="792"/>
            <w:shd w:val="clear" w:color="auto" w:fill="EAF0EE"/>
          </w:tcPr>
          <w:p>
            <w:pPr>
              <w:spacing w:after="20"/>
            </w:pPr>
            <w:r>
              <w:rPr>
                <w:b/>
                <w:color w:val="1C3A36"/>
                <w:sz w:val="17"/>
              </w:rPr>
              <w:t>P</w:t>
            </w:r>
          </w:p>
        </w:tc>
        <w:tc>
          <w:tcPr>
            <w:tcW w:type="dxa" w:w="3384"/>
            <w:shd w:val="clear" w:color="auto" w:fill="EAF0EE"/>
          </w:tcPr>
          <w:p>
            <w:pPr>
              <w:spacing w:after="20"/>
            </w:pPr>
            <w:r>
              <w:rPr>
                <w:b/>
                <w:color w:val="1C3A36"/>
                <w:sz w:val="17"/>
              </w:rPr>
              <w:t>What it does</w:t>
            </w:r>
          </w:p>
        </w:tc>
        <w:tc>
          <w:tcPr>
            <w:tcW w:type="dxa" w:w="1224"/>
            <w:shd w:val="clear" w:color="auto" w:fill="EAF0EE"/>
          </w:tcPr>
          <w:p>
            <w:pPr>
              <w:spacing w:after="20"/>
            </w:pPr>
            <w:r>
              <w:rPr>
                <w:b/>
                <w:color w:val="1C3A36"/>
                <w:sz w:val="17"/>
              </w:rPr>
              <w:t>AED/sh</w:t>
            </w:r>
          </w:p>
        </w:tc>
      </w:tr>
      <w:tr>
        <w:tc>
          <w:tcPr>
            <w:tcW w:type="dxa" w:w="4320"/>
          </w:tcPr>
          <w:p>
            <w:pPr>
              <w:spacing w:after="20"/>
            </w:pPr>
            <w:r>
              <w:rPr>
                <w:color w:val="1C3A36"/>
                <w:sz w:val="17"/>
              </w:rPr>
              <w:t>A — frozen floor: 0.124 rolled flat indefinitely</w:t>
            </w:r>
          </w:p>
        </w:tc>
        <w:tc>
          <w:tcPr>
            <w:tcW w:type="dxa" w:w="792"/>
          </w:tcPr>
          <w:p>
            <w:pPr>
              <w:spacing w:after="20"/>
              <w:jc w:val="right"/>
            </w:pPr>
            <w:r>
              <w:rPr>
                <w:color w:val="1C3A36"/>
                <w:sz w:val="17"/>
              </w:rPr>
              <w:t>35%</w:t>
            </w:r>
          </w:p>
        </w:tc>
        <w:tc>
          <w:tcPr>
            <w:tcW w:type="dxa" w:w="3384"/>
          </w:tcPr>
          <w:p>
            <w:pPr>
              <w:spacing w:after="20"/>
              <w:jc w:val="right"/>
            </w:pPr>
            <w:r>
              <w:rPr>
                <w:color w:val="1C3A36"/>
                <w:sz w:val="17"/>
              </w:rPr>
              <w:t>the bear DDM; the market’s current price of the future</w:t>
            </w:r>
          </w:p>
        </w:tc>
        <w:tc>
          <w:tcPr>
            <w:tcW w:type="dxa" w:w="1224"/>
          </w:tcPr>
          <w:p>
            <w:pPr>
              <w:spacing w:after="20"/>
              <w:jc w:val="right"/>
            </w:pPr>
            <w:r>
              <w:rPr>
                <w:color w:val="1C3A36"/>
                <w:sz w:val="17"/>
              </w:rPr>
              <w:t>2.09</w:t>
            </w:r>
          </w:p>
        </w:tc>
      </w:tr>
      <w:tr>
        <w:tc>
          <w:tcPr>
            <w:tcW w:type="dxa" w:w="4320"/>
          </w:tcPr>
          <w:p>
            <w:pPr>
              <w:spacing w:after="20"/>
            </w:pPr>
            <w:r>
              <w:rPr>
                <w:color w:val="1C3A36"/>
                <w:sz w:val="17"/>
              </w:rPr>
              <w:t>B — CPI-linked step-ups: policy grows with the city</w:t>
            </w:r>
          </w:p>
        </w:tc>
        <w:tc>
          <w:tcPr>
            <w:tcW w:type="dxa" w:w="792"/>
          </w:tcPr>
          <w:p>
            <w:pPr>
              <w:spacing w:after="20"/>
              <w:jc w:val="right"/>
            </w:pPr>
            <w:r>
              <w:rPr>
                <w:color w:val="1C3A36"/>
                <w:sz w:val="17"/>
              </w:rPr>
              <w:t>40%</w:t>
            </w:r>
          </w:p>
        </w:tc>
        <w:tc>
          <w:tcPr>
            <w:tcW w:type="dxa" w:w="3384"/>
          </w:tcPr>
          <w:p>
            <w:pPr>
              <w:spacing w:after="20"/>
              <w:jc w:val="right"/>
            </w:pPr>
            <w:r>
              <w:rPr>
                <w:color w:val="1C3A36"/>
                <w:sz w:val="17"/>
              </w:rPr>
              <w:t>the base DDM; the modal outcome for an 82% owner</w:t>
            </w:r>
          </w:p>
        </w:tc>
        <w:tc>
          <w:tcPr>
            <w:tcW w:type="dxa" w:w="1224"/>
          </w:tcPr>
          <w:p>
            <w:pPr>
              <w:spacing w:after="20"/>
              <w:jc w:val="right"/>
            </w:pPr>
            <w:r>
              <w:rPr>
                <w:color w:val="1C3A36"/>
                <w:sz w:val="17"/>
              </w:rPr>
              <w:t>3.83</w:t>
            </w:r>
          </w:p>
        </w:tc>
      </w:tr>
      <w:tr>
        <w:tc>
          <w:tcPr>
            <w:tcW w:type="dxa" w:w="4320"/>
          </w:tcPr>
          <w:p>
            <w:pPr>
              <w:spacing w:after="20"/>
            </w:pPr>
            <w:r>
              <w:rPr>
                <w:color w:val="1C3A36"/>
                <w:sz w:val="17"/>
              </w:rPr>
              <w:t>C — payout-ratio policy at 75-80% of earnings</w:t>
            </w:r>
          </w:p>
        </w:tc>
        <w:tc>
          <w:tcPr>
            <w:tcW w:type="dxa" w:w="792"/>
          </w:tcPr>
          <w:p>
            <w:pPr>
              <w:spacing w:after="20"/>
              <w:jc w:val="right"/>
            </w:pPr>
            <w:r>
              <w:rPr>
                <w:color w:val="1C3A36"/>
                <w:sz w:val="17"/>
              </w:rPr>
              <w:t>25%</w:t>
            </w:r>
          </w:p>
        </w:tc>
        <w:tc>
          <w:tcPr>
            <w:tcW w:type="dxa" w:w="3384"/>
          </w:tcPr>
          <w:p>
            <w:pPr>
              <w:spacing w:after="20"/>
              <w:jc w:val="right"/>
            </w:pPr>
            <w:r>
              <w:rPr>
                <w:color w:val="1C3A36"/>
                <w:sz w:val="17"/>
              </w:rPr>
              <w:t>the bull DDM, haircut for transition conservatism</w:t>
            </w:r>
          </w:p>
        </w:tc>
        <w:tc>
          <w:tcPr>
            <w:tcW w:type="dxa" w:w="1224"/>
          </w:tcPr>
          <w:p>
            <w:pPr>
              <w:spacing w:after="20"/>
              <w:jc w:val="right"/>
            </w:pPr>
            <w:r>
              <w:rPr>
                <w:color w:val="1C3A36"/>
                <w:sz w:val="17"/>
              </w:rPr>
              <w:t>4.60</w:t>
            </w:r>
          </w:p>
        </w:tc>
      </w:tr>
      <w:tr>
        <w:tc>
          <w:tcPr>
            <w:tcW w:type="dxa" w:w="4320"/>
            <w:shd w:val="clear" w:color="auto" w:fill="F6F1E6"/>
          </w:tcPr>
          <w:p>
            <w:pPr>
              <w:spacing w:after="20"/>
            </w:pPr>
            <w:r>
              <w:rPr>
                <w:b/>
                <w:color w:val="1C3A36"/>
                <w:sz w:val="17"/>
              </w:rPr>
              <w:t>Probability-weighted value</w:t>
            </w:r>
          </w:p>
        </w:tc>
        <w:tc>
          <w:tcPr>
            <w:tcW w:type="dxa" w:w="792"/>
            <w:shd w:val="clear" w:color="auto" w:fill="F6F1E6"/>
          </w:tcPr>
          <w:p>
            <w:pPr>
              <w:spacing w:after="20"/>
              <w:jc w:val="right"/>
            </w:pPr>
            <w:r>
              <w:rPr>
                <w:b/>
                <w:color w:val="1C3A36"/>
                <w:sz w:val="17"/>
              </w:rPr>
            </w:r>
          </w:p>
        </w:tc>
        <w:tc>
          <w:tcPr>
            <w:tcW w:type="dxa" w:w="3384"/>
            <w:shd w:val="clear" w:color="auto" w:fill="F6F1E6"/>
          </w:tcPr>
          <w:p>
            <w:pPr>
              <w:spacing w:after="20"/>
              <w:jc w:val="right"/>
            </w:pPr>
            <w:r>
              <w:rPr>
                <w:b/>
                <w:color w:val="1C3A36"/>
                <w:sz w:val="17"/>
              </w:rPr>
              <w:t>0.35×2.09 + 0.40×3.83 + 0.25×4.60</w:t>
            </w:r>
          </w:p>
        </w:tc>
        <w:tc>
          <w:tcPr>
            <w:tcW w:type="dxa" w:w="1224"/>
            <w:shd w:val="clear" w:color="auto" w:fill="F6F1E6"/>
          </w:tcPr>
          <w:p>
            <w:pPr>
              <w:spacing w:after="20"/>
              <w:jc w:val="right"/>
            </w:pPr>
            <w:r>
              <w:rPr>
                <w:b/>
                <w:color w:val="1C3A36"/>
                <w:sz w:val="17"/>
              </w:rPr>
              <w:t>3.42</w:t>
            </w:r>
          </w:p>
        </w:tc>
      </w:tr>
    </w:tbl>
    <w:p>
      <w:pPr>
        <w:spacing w:after="40"/>
      </w:pPr>
    </w:p>
    <w:p>
      <w:pPr>
        <w:spacing w:after="120" w:before="0"/>
      </w:pPr>
      <w:r>
        <w:rPr>
          <w:b w:val="0"/>
          <w:i w:val="0"/>
          <w:color w:val="1C3A36"/>
          <w:sz w:val="21"/>
        </w:rPr>
        <w:t>Published base 3.52 (the tree plus the option value of an early signal), bear/bull 2.30/4.60. Sensitivity, in real units — the asymmetry is the finding: shifting 10 points of probability from B to A cuts the value AED 0.17; the same 10 points from B to C adds 0.08 — but shifting from A to C swings 0.25. On today’s price: spot is approximately this tree with regimes B and C deleted — the market is assigning nearly zero to any policy that grows. Weakest assumption: the weights themselves; policy timing is genuinely unknowable. Falsifier: an H1-2026 or FY-2026 results call that explicitly defers all policy guidance past 2027 kills the early-signal leg and collapses the tree toward Regime A.</w:t>
      </w:r>
    </w:p>
    <w:p>
      <w:pPr>
        <w:spacing w:after="80" w:before="200"/>
      </w:pPr>
      <w:r>
        <w:rPr>
          <w:b/>
          <w:i w:val="0"/>
          <w:color w:val="1C3A36"/>
          <w:sz w:val="24"/>
        </w:rPr>
        <w:t>C.4  Expert 4 — the cash-returns analyst: price the machine’s cash, not its story</w:t>
      </w:r>
    </w:p>
    <w:p>
      <w:pPr>
        <w:spacing w:after="120" w:before="0"/>
      </w:pPr>
      <w:r>
        <w:rPr>
          <w:b w:val="0"/>
          <w:i w:val="0"/>
          <w:color w:val="1C3A36"/>
          <w:sz w:val="21"/>
        </w:rPr>
        <w:t>The tradition. Utility value lives in the asset base and the spread it is allowed to earn — and the proof of a spread is cash, not accruals: an invested-capital engine of AED 128.9bn earning ROIC 7.69% against a WACC of 6.24%, a ~145bp spread on a quasi-regulated base, protected by pass-through mechanics and an owner-regulator with no incentive to squeeze its own dividend.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6264"/>
            <w:shd w:val="clear" w:color="auto" w:fill="EAF0EE"/>
          </w:tcPr>
          <w:p>
            <w:pPr>
              <w:spacing w:after="20"/>
            </w:pPr>
            <w:r>
              <w:rPr>
                <w:b/>
                <w:color w:val="1C3A36"/>
                <w:sz w:val="17"/>
              </w:rPr>
              <w:t>Working</w:t>
            </w:r>
          </w:p>
        </w:tc>
        <w:tc>
          <w:tcPr>
            <w:tcW w:type="dxa" w:w="3312"/>
            <w:shd w:val="clear" w:color="auto" w:fill="EAF0EE"/>
          </w:tcPr>
          <w:p>
            <w:pPr>
              <w:spacing w:after="20"/>
            </w:pPr>
            <w:r>
              <w:rPr>
                <w:b/>
                <w:color w:val="1C3A36"/>
                <w:sz w:val="17"/>
              </w:rPr>
              <w:t>Value</w:t>
            </w:r>
          </w:p>
        </w:tc>
      </w:tr>
      <w:tr>
        <w:tc>
          <w:tcPr>
            <w:tcW w:type="dxa" w:w="6264"/>
          </w:tcPr>
          <w:p>
            <w:pPr>
              <w:spacing w:after="20"/>
            </w:pPr>
            <w:r>
              <w:rPr>
                <w:color w:val="1C3A36"/>
                <w:sz w:val="17"/>
              </w:rPr>
              <w:t>Invested capital (equity + net debt, FY25)</w:t>
            </w:r>
          </w:p>
        </w:tc>
        <w:tc>
          <w:tcPr>
            <w:tcW w:type="dxa" w:w="3312"/>
          </w:tcPr>
          <w:p>
            <w:pPr>
              <w:spacing w:after="20"/>
              <w:jc w:val="right"/>
            </w:pPr>
            <w:r>
              <w:rPr>
                <w:color w:val="1C3A36"/>
                <w:sz w:val="17"/>
              </w:rPr>
              <w:t>AED 128,859mn</w:t>
            </w:r>
          </w:p>
        </w:tc>
      </w:tr>
      <w:tr>
        <w:tc>
          <w:tcPr>
            <w:tcW w:type="dxa" w:w="6264"/>
          </w:tcPr>
          <w:p>
            <w:pPr>
              <w:spacing w:after="20"/>
            </w:pPr>
            <w:r>
              <w:rPr>
                <w:color w:val="1C3A36"/>
                <w:sz w:val="17"/>
              </w:rPr>
              <w:t>ROIC (NOPAT / IC)</w:t>
            </w:r>
          </w:p>
        </w:tc>
        <w:tc>
          <w:tcPr>
            <w:tcW w:type="dxa" w:w="3312"/>
          </w:tcPr>
          <w:p>
            <w:pPr>
              <w:spacing w:after="20"/>
              <w:jc w:val="right"/>
            </w:pPr>
            <w:r>
              <w:rPr>
                <w:color w:val="1C3A36"/>
                <w:sz w:val="17"/>
              </w:rPr>
              <w:t>7.69%</w:t>
            </w:r>
          </w:p>
        </w:tc>
      </w:tr>
      <w:tr>
        <w:tc>
          <w:tcPr>
            <w:tcW w:type="dxa" w:w="6264"/>
          </w:tcPr>
          <w:p>
            <w:pPr>
              <w:spacing w:after="20"/>
            </w:pPr>
            <w:r>
              <w:rPr>
                <w:color w:val="1C3A36"/>
                <w:sz w:val="17"/>
              </w:rPr>
              <w:t>Value-driver EV: IC × (ROIC − g) / (WACC − g), g 2.5%</w:t>
            </w:r>
          </w:p>
        </w:tc>
        <w:tc>
          <w:tcPr>
            <w:tcW w:type="dxa" w:w="3312"/>
          </w:tcPr>
          <w:p>
            <w:pPr>
              <w:spacing w:after="20"/>
              <w:jc w:val="right"/>
            </w:pPr>
            <w:r>
              <w:rPr>
                <w:color w:val="1C3A36"/>
                <w:sz w:val="17"/>
              </w:rPr>
              <w:t>AED 178,700mn</w:t>
            </w:r>
          </w:p>
        </w:tc>
      </w:tr>
      <w:tr>
        <w:tc>
          <w:tcPr>
            <w:tcW w:type="dxa" w:w="6264"/>
          </w:tcPr>
          <w:p>
            <w:pPr>
              <w:spacing w:after="20"/>
            </w:pPr>
            <w:r>
              <w:rPr>
                <w:color w:val="1C3A36"/>
                <w:sz w:val="17"/>
              </w:rPr>
              <w:t>+ margin-walk uplift demonstrated in the FY26-30 build</w:t>
            </w:r>
          </w:p>
        </w:tc>
        <w:tc>
          <w:tcPr>
            <w:tcW w:type="dxa" w:w="3312"/>
          </w:tcPr>
          <w:p>
            <w:pPr>
              <w:spacing w:after="20"/>
              <w:jc w:val="right"/>
            </w:pPr>
            <w:r>
              <w:rPr>
                <w:color w:val="1C3A36"/>
                <w:sz w:val="17"/>
              </w:rPr>
              <w:t>+ ~AED 22,000mn</w:t>
            </w:r>
          </w:p>
        </w:tc>
      </w:tr>
      <w:tr>
        <w:tc>
          <w:tcPr>
            <w:tcW w:type="dxa" w:w="6264"/>
          </w:tcPr>
          <w:p>
            <w:pPr>
              <w:spacing w:after="20"/>
            </w:pPr>
            <w:r>
              <w:rPr>
                <w:color w:val="1C3A36"/>
                <w:sz w:val="17"/>
              </w:rPr>
              <w:t>Cash cross-check — FCF yield: (CFO 21,850 − capex 10,590) / market cap 139,500</w:t>
            </w:r>
          </w:p>
        </w:tc>
        <w:tc>
          <w:tcPr>
            <w:tcW w:type="dxa" w:w="3312"/>
          </w:tcPr>
          <w:p>
            <w:pPr>
              <w:spacing w:after="20"/>
              <w:jc w:val="right"/>
            </w:pPr>
            <w:r>
              <w:rPr>
                <w:color w:val="1C3A36"/>
                <w:sz w:val="17"/>
              </w:rPr>
              <w:t>8.1% against a 6.7% Ke — the machine pays for itself</w:t>
            </w:r>
          </w:p>
        </w:tc>
      </w:tr>
      <w:tr>
        <w:tc>
          <w:tcPr>
            <w:tcW w:type="dxa" w:w="6264"/>
          </w:tcPr>
          <w:p>
            <w:pPr>
              <w:spacing w:after="20"/>
            </w:pPr>
            <w:r>
              <w:rPr>
                <w:color w:val="1C3A36"/>
                <w:sz w:val="17"/>
              </w:rPr>
              <w:t>– Net debt PF – NCI → equity per share (base)</w:t>
            </w:r>
          </w:p>
        </w:tc>
        <w:tc>
          <w:tcPr>
            <w:tcW w:type="dxa" w:w="3312"/>
          </w:tcPr>
          <w:p>
            <w:pPr>
              <w:spacing w:after="20"/>
              <w:jc w:val="right"/>
            </w:pPr>
            <w:r>
              <w:rPr>
                <w:color w:val="1C3A36"/>
                <w:sz w:val="17"/>
              </w:rPr>
              <w:t>AED 3.11</w:t>
            </w:r>
          </w:p>
        </w:tc>
      </w:tr>
      <w:tr>
        <w:tc>
          <w:tcPr>
            <w:tcW w:type="dxa" w:w="6264"/>
          </w:tcPr>
          <w:p>
            <w:pPr>
              <w:spacing w:after="20"/>
            </w:pPr>
            <w:r>
              <w:rPr>
                <w:color w:val="1C3A36"/>
                <w:sz w:val="17"/>
              </w:rPr>
              <w:t>Range: spread −100bp / base / spread +80bp and g 3.0%</w:t>
            </w:r>
          </w:p>
        </w:tc>
        <w:tc>
          <w:tcPr>
            <w:tcW w:type="dxa" w:w="3312"/>
          </w:tcPr>
          <w:p>
            <w:pPr>
              <w:spacing w:after="20"/>
              <w:jc w:val="right"/>
            </w:pPr>
            <w:r>
              <w:rPr>
                <w:color w:val="1C3A36"/>
                <w:sz w:val="17"/>
              </w:rPr>
              <w:t>2.55 / 3.11 / 3.75</w:t>
            </w:r>
          </w:p>
        </w:tc>
      </w:tr>
    </w:tbl>
    <w:p>
      <w:pPr>
        <w:spacing w:after="40"/>
      </w:pPr>
    </w:p>
    <w:p>
      <w:pPr>
        <w:spacing w:after="120" w:before="0"/>
      </w:pPr>
      <w:r>
        <w:rPr>
          <w:b w:val="0"/>
          <w:i w:val="0"/>
          <w:color w:val="1C3A36"/>
          <w:sz w:val="21"/>
        </w:rPr>
        <w:t>On today’s price: spot pays for the asset base at roughly a zero-spread valuation — as if the machine earned exactly its cost of capital, which the audited numbers contradict by ~145bp. Weakest assumption: spread persistence; a regulator can compress in one ruling what took a decade to build. Falsifier: a DSCE tariff decision compressing the realised spread below ~100bp — the same falsifier as the justified-P/B lens, because they are cousins.</w:t>
      </w:r>
    </w:p>
    <w:p>
      <w:pPr>
        <w:spacing w:after="80" w:before="200"/>
      </w:pPr>
      <w:r>
        <w:rPr>
          <w:b/>
          <w:i w:val="0"/>
          <w:color w:val="1C3A36"/>
          <w:sz w:val="24"/>
        </w:rPr>
        <w:t>C.5  Cross-examination</w:t>
      </w:r>
    </w:p>
    <w:p>
      <w:pPr>
        <w:spacing w:after="120" w:before="0"/>
      </w:pPr>
      <w:r>
        <w:rPr>
          <w:b w:val="0"/>
          <w:i w:val="0"/>
          <w:color w:val="1C3A36"/>
          <w:sz w:val="21"/>
        </w:rPr>
        <w:t>Expert 1 to the room: “I certify the book; I do not certify your futures. The earnings man pays sixteen times a number that embeds a policy the board has not made, and the strategist’s tree waters three branches when only one will exist. Price what the auditor signed: 1.82 dirhams of verified equity earning 250 basis points over its cost. Everything above 3.30 is a press release.”</w:t>
      </w:r>
    </w:p>
    <w:p>
      <w:pPr>
        <w:spacing w:after="120" w:before="0"/>
      </w:pPr>
      <w:r>
        <w:rPr>
          <w:b w:val="0"/>
          <w:i w:val="0"/>
          <w:color w:val="1C3A36"/>
          <w:sz w:val="21"/>
        </w:rPr>
        <w:t>Expert 2 to the room: “The accountant prices the past and calls it prudence — earnings power is not a story, it is customer meters already installed and billing. And to the strategist: your Regime C is my 18x bull case wearing a costume; we agree far more than the room admits.”</w:t>
      </w:r>
    </w:p>
    <w:p>
      <w:pPr>
        <w:spacing w:after="120" w:before="0"/>
      </w:pPr>
      <w:r>
        <w:rPr>
          <w:b w:val="0"/>
          <w:i w:val="0"/>
          <w:color w:val="1C3A36"/>
          <w:sz w:val="21"/>
        </w:rPr>
        <w:t>Expert 3 to the room: “You are all extrapolating a regime whose expiry date is printed in the prospectus. Pricing DEWA off the current coupon through October 2027 is precise about the past and silent about the only question that matters. My weights may be wrong; refusing to weight the states at all is not caution — it is a 100% bet on Regime A, which is exactly the bet the market has on at 2.79.”</w:t>
      </w:r>
    </w:p>
    <w:p>
      <w:pPr>
        <w:spacing w:after="120" w:before="0"/>
      </w:pPr>
      <w:r>
        <w:rPr>
          <w:b w:val="0"/>
          <w:i w:val="0"/>
          <w:color w:val="1C3A36"/>
          <w:sz w:val="21"/>
        </w:rPr>
        <w:t>Expert 4 to the room: “The accountant’s floor and my machine are the same object measured differently — his verified book earns my spread. Where I break with the earnings man is the denominator: multiples inherit the market’s mood, cash yields do not. An 8% free-cash yield on a monopoly against a 6.7% cost of equity is the one number in this appendix that requires no belief about 2027 at all.”</w:t>
      </w:r>
    </w:p>
    <w:p>
      <w:pPr>
        <w:spacing w:after="80" w:before="200"/>
      </w:pPr>
      <w:r>
        <w:rPr>
          <w:b/>
          <w:i w:val="0"/>
          <w:color w:val="1C3A36"/>
          <w:sz w:val="24"/>
        </w:rPr>
        <w:t>C.6  The four in one room</w:t>
      </w:r>
    </w:p>
    <w:p>
      <w:pPr>
        <w:spacing w:after="40"/>
        <w:jc w:val="center"/>
      </w:pPr>
      <w:r>
        <w:drawing>
          <wp:inline xmlns:a="http://schemas.openxmlformats.org/drawingml/2006/main" xmlns:pic="http://schemas.openxmlformats.org/drawingml/2006/picture">
            <wp:extent cx="6309360" cy="1952224"/>
            <wp:docPr id="10" name="Picture 10"/>
            <wp:cNvGraphicFramePr>
              <a:graphicFrameLocks noChangeAspect="1"/>
            </wp:cNvGraphicFramePr>
            <a:graphic>
              <a:graphicData uri="http://schemas.openxmlformats.org/drawingml/2006/picture">
                <pic:pic>
                  <pic:nvPicPr>
                    <pic:cNvPr id="0" name="f10_experts.png"/>
                    <pic:cNvPicPr/>
                  </pic:nvPicPr>
                  <pic:blipFill>
                    <a:blip r:embed="rId18"/>
                    <a:stretch>
                      <a:fillRect/>
                    </a:stretch>
                  </pic:blipFill>
                  <pic:spPr>
                    <a:xfrm>
                      <a:off x="0" y="0"/>
                      <a:ext cx="6309360" cy="1952224"/>
                    </a:xfrm>
                    <a:prstGeom prst="rect"/>
                  </pic:spPr>
                </pic:pic>
              </a:graphicData>
            </a:graphic>
          </wp:inline>
        </w:drawing>
      </w:r>
    </w:p>
    <w:p>
      <w:pPr>
        <w:spacing w:after="200" w:before="0"/>
      </w:pPr>
      <w:r>
        <w:rPr>
          <w:b w:val="0"/>
          <w:i/>
          <w:color w:val="6E7B77"/>
          <w:sz w:val="17"/>
        </w:rPr>
        <w:t>Figure 10. The panel’s ranges against spot and the weighted-central band. Bases 2.85 / 3.04 / 3.52 / 3.11 straddle the study central 3.32; no expert sits below spot at base.</w:t>
      </w:r>
    </w:p>
    <w:p>
      <w:pPr>
        <w:spacing w:after="120" w:before="0"/>
      </w:pPr>
      <w:r>
        <w:rPr>
          <w:b w:val="0"/>
          <w:i w:val="0"/>
          <w:color w:val="1C3A36"/>
          <w:sz w:val="21"/>
        </w:rPr>
        <w:t>Convergence reading. Four genuinely different machines — a verified book, an earnings multiple, a policy tree, a cash-returns engine — land their base cases within AED 0.67 of one another and all above spot; the study’s weighted central 3.32 sits inside the panel’s span rather than at its edge. Note what did not happen: no expert lands below AED 2.30 even on bear settings, because every downside case is about paying too much for policy optionality, never about impairment of the operating franchise. The disagreement in the room is not whether DEWA is cheap at 2.79; it is how much of the post-2027 upside to pay for today — and each expert has posted the dated event that would settle the argument against him.</w:t>
      </w:r>
    </w:p>
    <w:p>
      <w:pPr>
        <w:spacing w:after="120" w:before="280"/>
      </w:pPr>
      <w:r>
        <w:rPr>
          <w:b/>
          <w:i w:val="0"/>
          <w:color w:val="1C3A36"/>
          <w:sz w:val="30"/>
        </w:rPr>
        <w:t>About this series</w:t>
      </w:r>
    </w:p>
    <w:p>
      <w:pPr>
        <w:spacing w:after="120" w:before="0"/>
      </w:pPr>
      <w:r>
        <w:rPr>
          <w:b w:val="0"/>
          <w:i w:val="0"/>
          <w:color w:val="1C3A36"/>
          <w:sz w:val="21"/>
        </w:rPr>
        <w:t>Testahil publishes independent, bilingual equity research built on fair-value ranges and probability distributions — never ratings, buy/sell calls or price targets. Every published forecast is registered in a public, append-only Calibration Ledger and graded when it matures; the grades are published whether they flatter us or not. Every forecast is preceded by a five-year rolling backtest of the engine on the stock’s own history; this one recorded a parity verdict — calibrated and market-panel validated, no single-name edge claimed — and is published under that tier. This study registers two cohorts: T+20 maturing ~7-Aug-2026 and T+60 maturing ~2-Oct-2026, each against the frozen percentiles printed in §3.</w:t>
      </w:r>
    </w:p>
    <w:p>
      <w:pPr>
        <w:spacing w:after="120" w:before="280"/>
      </w:pPr>
      <w:r>
        <w:rPr>
          <w:b/>
          <w:i w:val="0"/>
          <w:color w:val="1C3A36"/>
          <w:sz w:val="30"/>
        </w:rPr>
        <w:t>Disclosure &amp; disclaimer</w:t>
      </w:r>
    </w:p>
    <w:p>
      <w:pPr>
        <w:spacing w:after="120" w:before="0"/>
      </w:pPr>
      <w:r>
        <w:rPr>
          <w:b w:val="0"/>
          <w:i w:val="0"/>
          <w:color w:val="6E7B77"/>
          <w:sz w:val="17"/>
        </w:rPr>
        <w:t>1. Testahil is not licensed by the UAE Securities and Commodities Authority, the DFSA, the Egyptian Financial Regulatory Authority, or any other financial regulator. 2. This document is educational analysis only and is not investment advice, an offer, or a solicitation; it presents fair-value ranges and probability distributions, never recommendations or price targets. 3. All financial-statement figures derive from the company’s official audited financial statements and disclosures; market data are dated where used and may have changed. 4. Forecasts are uncertain by construction; the Monte Carlo bands are calibrated estimates, not guarantees, and the calibration status of every name is published in the public Ledger. 5. The preparer may hold, and may in the future take or dispose of, a position in the security discussed in this report; no compensation is received from any issuer. 6. Nothing here considers any reader’s objectives or circumstances; readers must take their own advice. © Testahil 2026 — testahil.com</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1C3A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