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(weighted central) </w:t>
      </w:r>
      <w:r>
        <w:rPr>
          <w:b/>
          <w:i w:val="0"/>
          <w:color w:val="896F36"/>
          <w:sz w:val="26"/>
        </w:rPr>
        <w:t>SAR 109 per share</w:t>
      </w:r>
      <w:r>
        <w:rPr>
          <w:b w:val="0"/>
          <w:i w:val="0"/>
          <w:color w:val="1C3A36"/>
          <w:sz w:val="22"/>
        </w:rPr>
        <w:t xml:space="preserve">   ·   full span SAR 64–198   ·   spot SAR 104.80 (4%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86 and SAR 128 per share; weighting them gives a central of SAR 109, about 4%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equity near 37% and a return on invested capital of about 31% in 2025 (normalising toward the mid-20s in the forecast), and pays out a little over half its earnings.</w:t>
      </w:r>
    </w:p>
    <w:p>
      <w:pPr>
        <w:spacing w:after="120" w:before="0"/>
      </w:pPr>
      <w:r>
        <w:rPr>
          <w:b w:val="0"/>
          <w:i w:val="0"/>
          <w:color w:val="1C3A36"/>
          <w:sz w:val="21"/>
        </w:rPr>
        <w:t>Our central fair-value estimate is SAR 109 per share, about 4% above the SAR 104.80 price. The intrinsic discounted-cash-flow lens is the most positive at SAR 128; a cautious exit-multiple reading is the least, at SAR 86; the earnings-power and book-value lenses sit in between at SAR 102 and SAR 95. The single most important assumption is the sustained gross margin: at the recent half-year’s 15.3% the cash-flow lens is worth SAR 128; if the 2025 full-year 16.0% holds it is worth SAR 140; if it compresses to 14.5% it is worth SAR 116.</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Weight</w:t>
            </w:r>
          </w:p>
        </w:tc>
        <w:tc>
          <w:tcPr>
            <w:tcW w:type="dxa" w:w="1368"/>
            <w:shd w:val="clear" w:color="auto" w:fill="EAF0EE"/>
          </w:tcPr>
          <w:p>
            <w:pPr>
              <w:spacing w:after="20"/>
            </w:pPr>
            <w:r>
              <w:rPr>
                <w:b/>
                <w:color w:val="1C3A36"/>
                <w:sz w:val="18"/>
              </w:rPr>
              <w:t>vs spot</w:t>
            </w:r>
          </w:p>
        </w:tc>
      </w:tr>
      <w:tr>
        <w:tc>
          <w:tcPr>
            <w:tcW w:type="dxa" w:w="2736"/>
          </w:tcPr>
          <w:p>
            <w:pPr>
              <w:spacing w:after="20"/>
            </w:pPr>
            <w:r>
              <w:rPr>
                <w:color w:val="1C3A36"/>
                <w:sz w:val="18"/>
              </w:rPr>
              <w:t>Discounted cash flow (primary)</w:t>
            </w:r>
          </w:p>
        </w:tc>
        <w:tc>
          <w:tcPr>
            <w:tcW w:type="dxa" w:w="1224"/>
          </w:tcPr>
          <w:p>
            <w:pPr>
              <w:spacing w:after="20"/>
              <w:jc w:val="right"/>
            </w:pPr>
            <w:r>
              <w:rPr>
                <w:color w:val="1C3A36"/>
                <w:sz w:val="18"/>
              </w:rPr>
              <w:t>81</w:t>
            </w:r>
          </w:p>
        </w:tc>
        <w:tc>
          <w:tcPr>
            <w:tcW w:type="dxa" w:w="1224"/>
          </w:tcPr>
          <w:p>
            <w:pPr>
              <w:spacing w:after="20"/>
              <w:jc w:val="right"/>
            </w:pPr>
            <w:r>
              <w:rPr>
                <w:color w:val="1C3A36"/>
                <w:sz w:val="18"/>
              </w:rPr>
              <w:t>128</w:t>
            </w:r>
          </w:p>
        </w:tc>
        <w:tc>
          <w:tcPr>
            <w:tcW w:type="dxa" w:w="1224"/>
          </w:tcPr>
          <w:p>
            <w:pPr>
              <w:spacing w:after="20"/>
              <w:jc w:val="right"/>
            </w:pPr>
            <w:r>
              <w:rPr>
                <w:color w:val="1C3A36"/>
                <w:sz w:val="18"/>
              </w:rPr>
              <w:t>198</w:t>
            </w:r>
          </w:p>
        </w:tc>
        <w:tc>
          <w:tcPr>
            <w:tcW w:type="dxa" w:w="1152"/>
          </w:tcPr>
          <w:p>
            <w:pPr>
              <w:spacing w:after="20"/>
              <w:jc w:val="right"/>
            </w:pPr>
            <w:r>
              <w:rPr>
                <w:color w:val="1C3A36"/>
                <w:sz w:val="18"/>
              </w:rPr>
              <w:t>45%</w:t>
            </w:r>
          </w:p>
        </w:tc>
        <w:tc>
          <w:tcPr>
            <w:tcW w:type="dxa" w:w="1368"/>
          </w:tcPr>
          <w:p>
            <w:pPr>
              <w:spacing w:after="20"/>
              <w:jc w:val="right"/>
            </w:pPr>
            <w:r>
              <w:rPr>
                <w:color w:val="1C3A36"/>
                <w:sz w:val="18"/>
              </w:rPr>
              <w:t>22%</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69</w:t>
            </w:r>
          </w:p>
        </w:tc>
        <w:tc>
          <w:tcPr>
            <w:tcW w:type="dxa" w:w="1224"/>
          </w:tcPr>
          <w:p>
            <w:pPr>
              <w:spacing w:after="20"/>
              <w:jc w:val="right"/>
            </w:pPr>
            <w:r>
              <w:rPr>
                <w:color w:val="1C3A36"/>
                <w:sz w:val="18"/>
              </w:rPr>
              <w:t>86</w:t>
            </w:r>
          </w:p>
        </w:tc>
        <w:tc>
          <w:tcPr>
            <w:tcW w:type="dxa" w:w="1224"/>
          </w:tcPr>
          <w:p>
            <w:pPr>
              <w:spacing w:after="20"/>
              <w:jc w:val="right"/>
            </w:pPr>
            <w:r>
              <w:rPr>
                <w:color w:val="1C3A36"/>
                <w:sz w:val="18"/>
              </w:rPr>
              <w:t>99</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-18%</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15%</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64</w:t>
            </w:r>
          </w:p>
        </w:tc>
        <w:tc>
          <w:tcPr>
            <w:tcW w:type="dxa" w:w="1224"/>
            <w:shd w:val="clear" w:color="auto" w:fill="F6F1E6"/>
          </w:tcPr>
          <w:p>
            <w:pPr>
              <w:spacing w:after="20"/>
              <w:jc w:val="right"/>
            </w:pPr>
            <w:r>
              <w:rPr>
                <w:b/>
                <w:color w:val="1C3A36"/>
                <w:sz w:val="18"/>
              </w:rPr>
              <w:t>109</w:t>
            </w:r>
          </w:p>
        </w:tc>
        <w:tc>
          <w:tcPr>
            <w:tcW w:type="dxa" w:w="1224"/>
            <w:shd w:val="clear" w:color="auto" w:fill="F6F1E6"/>
          </w:tcPr>
          <w:p>
            <w:pPr>
              <w:spacing w:after="20"/>
              <w:jc w:val="right"/>
            </w:pPr>
            <w:r>
              <w:rPr>
                <w:b/>
                <w:color w:val="1C3A36"/>
                <w:sz w:val="18"/>
              </w:rPr>
              <w:t>198</w:t>
            </w:r>
          </w:p>
        </w:tc>
        <w:tc>
          <w:tcPr>
            <w:tcW w:type="dxa" w:w="1152"/>
            <w:shd w:val="clear" w:color="auto" w:fill="F6F1E6"/>
          </w:tcPr>
          <w:p>
            <w:pPr>
              <w:spacing w:after="20"/>
              <w:jc w:val="right"/>
            </w:pPr>
            <w:r>
              <w:rPr>
                <w:b/>
                <w:color w:val="1C3A36"/>
                <w:sz w:val="18"/>
              </w:rPr>
              <w:t>100%</w:t>
            </w:r>
          </w:p>
        </w:tc>
        <w:tc>
          <w:tcPr>
            <w:tcW w:type="dxa" w:w="1368"/>
            <w:shd w:val="clear" w:color="auto" w:fill="F6F1E6"/>
          </w:tcPr>
          <w:p>
            <w:pPr>
              <w:spacing w:after="20"/>
              <w:jc w:val="right"/>
            </w:pPr>
            <w:r>
              <w:rPr>
                <w:b/>
                <w:color w:val="1C3A36"/>
                <w:sz w:val="18"/>
              </w:rPr>
              <w:t>4%</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126</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20%</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81%</w:t>
      </w:r>
      <w:r>
        <w:rPr>
          <w:b w:val="0"/>
          <w:i w:val="0"/>
          <w:color w:val="1C3A36"/>
          <w:sz w:val="19"/>
        </w:rPr>
        <w:t xml:space="preserve">.  Enterprise value / EBITDA (on FY2025 EBITDA) </w:t>
      </w:r>
      <w:r>
        <w:rPr>
          <w:b/>
          <w:i w:val="0"/>
          <w:color w:val="1C3A36"/>
          <w:sz w:val="19"/>
        </w:rPr>
        <w:t>11.9x</w:t>
      </w:r>
      <w:r>
        <w:rPr>
          <w:b w:val="0"/>
          <w:i w:val="0"/>
          <w:color w:val="1C3A36"/>
          <w:sz w:val="19"/>
        </w:rPr>
        <w:t>; price / FY2025 earnings 14.5x. Cost of capital 10.5% today, easing to 9.5%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128/share. On the 2025 full-year 16.0%: SAR 140. On a further compression to 14.5%: SAR 116.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Two 2025 acquisitions reshaped the group’s perimeter and explain the balance-sheet step-ups. In April 2025 it bought the remaining 50% of Qatar Cables, taking that subsidiary to full ownership; and with a control date of 28 November 2025 it acquired 51% of Artikul Aziya Kabel in Uzbekistan for SAR 147.7mn. The Uzbek deal added goodwill (group intangibles and goodwill rose from SAR 57mn to SAR 138mn) and brought in the SAR 63mn non-controlling interest now on the balance sheet — both deducted in the valuation bridge.</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zakat-and-tax rate of 9.5% — just above the 9.0% the group actually paid in 2025, allowing for a rising foreign-profit share — depreciation is added back, and capital expenditure and the investment in working capital are subtracted, to give free cash flow to the firm. Each year is discounted at its own cost of capital (at year-end), gliding from 10.5% to 9.5%.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11,499</w:t>
            </w:r>
          </w:p>
        </w:tc>
        <w:tc>
          <w:tcPr>
            <w:tcW w:type="dxa" w:w="1411"/>
          </w:tcPr>
          <w:p>
            <w:pPr>
              <w:spacing w:after="20"/>
              <w:jc w:val="right"/>
            </w:pPr>
            <w:r>
              <w:rPr>
                <w:color w:val="1C3A36"/>
                <w:sz w:val="17"/>
              </w:rPr>
              <w:t>12,392</w:t>
            </w:r>
          </w:p>
        </w:tc>
        <w:tc>
          <w:tcPr>
            <w:tcW w:type="dxa" w:w="1411"/>
          </w:tcPr>
          <w:p>
            <w:pPr>
              <w:spacing w:after="20"/>
              <w:jc w:val="right"/>
            </w:pPr>
            <w:r>
              <w:rPr>
                <w:color w:val="1C3A36"/>
                <w:sz w:val="17"/>
              </w:rPr>
              <w:t>13,340</w:t>
            </w:r>
          </w:p>
        </w:tc>
        <w:tc>
          <w:tcPr>
            <w:tcW w:type="dxa" w:w="1411"/>
          </w:tcPr>
          <w:p>
            <w:pPr>
              <w:spacing w:after="20"/>
              <w:jc w:val="right"/>
            </w:pPr>
            <w:r>
              <w:rPr>
                <w:color w:val="1C3A36"/>
                <w:sz w:val="17"/>
              </w:rPr>
              <w:t>14,235</w:t>
            </w:r>
          </w:p>
        </w:tc>
        <w:tc>
          <w:tcPr>
            <w:tcW w:type="dxa" w:w="1411"/>
          </w:tcPr>
          <w:p>
            <w:pPr>
              <w:spacing w:after="20"/>
              <w:jc w:val="right"/>
            </w:pPr>
            <w:r>
              <w:rPr>
                <w:color w:val="1C3A36"/>
                <w:sz w:val="17"/>
              </w:rPr>
              <w:t>15,111</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1,354</w:t>
            </w:r>
          </w:p>
        </w:tc>
        <w:tc>
          <w:tcPr>
            <w:tcW w:type="dxa" w:w="1411"/>
          </w:tcPr>
          <w:p>
            <w:pPr>
              <w:spacing w:after="20"/>
              <w:jc w:val="right"/>
            </w:pPr>
            <w:r>
              <w:rPr>
                <w:color w:val="1C3A36"/>
                <w:sz w:val="17"/>
              </w:rPr>
              <w:t>1,471</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1,710</w:t>
            </w:r>
          </w:p>
        </w:tc>
        <w:tc>
          <w:tcPr>
            <w:tcW w:type="dxa" w:w="1411"/>
          </w:tcPr>
          <w:p>
            <w:pPr>
              <w:spacing w:after="20"/>
              <w:jc w:val="right"/>
            </w:pPr>
            <w:r>
              <w:rPr>
                <w:color w:val="1C3A36"/>
                <w:sz w:val="17"/>
              </w:rPr>
              <w:t>1,814</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12.0%</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EBIT</w:t>
            </w:r>
          </w:p>
        </w:tc>
        <w:tc>
          <w:tcPr>
            <w:tcW w:type="dxa" w:w="1411"/>
          </w:tcPr>
          <w:p>
            <w:pPr>
              <w:spacing w:after="20"/>
              <w:jc w:val="right"/>
            </w:pPr>
            <w:r>
              <w:rPr>
                <w:color w:val="1C3A36"/>
                <w:sz w:val="17"/>
              </w:rPr>
              <w:t>1,256</w:t>
            </w:r>
          </w:p>
        </w:tc>
        <w:tc>
          <w:tcPr>
            <w:tcW w:type="dxa" w:w="1411"/>
          </w:tcPr>
          <w:p>
            <w:pPr>
              <w:spacing w:after="20"/>
              <w:jc w:val="right"/>
            </w:pPr>
            <w:r>
              <w:rPr>
                <w:color w:val="1C3A36"/>
                <w:sz w:val="17"/>
              </w:rPr>
              <w:t>1,365</w:t>
            </w:r>
          </w:p>
        </w:tc>
        <w:tc>
          <w:tcPr>
            <w:tcW w:type="dxa" w:w="1411"/>
          </w:tcPr>
          <w:p>
            <w:pPr>
              <w:spacing w:after="20"/>
              <w:jc w:val="right"/>
            </w:pPr>
            <w:r>
              <w:rPr>
                <w:color w:val="1C3A36"/>
                <w:sz w:val="17"/>
              </w:rPr>
              <w:t>1,476</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1,686</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1,137</w:t>
            </w:r>
          </w:p>
        </w:tc>
        <w:tc>
          <w:tcPr>
            <w:tcW w:type="dxa" w:w="1411"/>
          </w:tcPr>
          <w:p>
            <w:pPr>
              <w:spacing w:after="20"/>
              <w:jc w:val="right"/>
            </w:pPr>
            <w:r>
              <w:rPr>
                <w:color w:val="1C3A36"/>
                <w:sz w:val="17"/>
              </w:rPr>
              <w:t>1,236</w:t>
            </w:r>
          </w:p>
        </w:tc>
        <w:tc>
          <w:tcPr>
            <w:tcW w:type="dxa" w:w="1411"/>
          </w:tcPr>
          <w:p>
            <w:pPr>
              <w:spacing w:after="20"/>
              <w:jc w:val="right"/>
            </w:pPr>
            <w:r>
              <w:rPr>
                <w:color w:val="1C3A36"/>
                <w:sz w:val="17"/>
              </w:rPr>
              <w:t>1,336</w:t>
            </w:r>
          </w:p>
        </w:tc>
        <w:tc>
          <w:tcPr>
            <w:tcW w:type="dxa" w:w="1411"/>
          </w:tcPr>
          <w:p>
            <w:pPr>
              <w:spacing w:after="20"/>
              <w:jc w:val="right"/>
            </w:pPr>
            <w:r>
              <w:rPr>
                <w:color w:val="1C3A36"/>
                <w:sz w:val="17"/>
              </w:rPr>
              <w:t>1,438</w:t>
            </w:r>
          </w:p>
        </w:tc>
        <w:tc>
          <w:tcPr>
            <w:tcW w:type="dxa" w:w="1411"/>
          </w:tcPr>
          <w:p>
            <w:pPr>
              <w:spacing w:after="20"/>
              <w:jc w:val="right"/>
            </w:pPr>
            <w:r>
              <w:rPr>
                <w:color w:val="1C3A36"/>
                <w:sz w:val="17"/>
              </w:rPr>
              <w:t>1,526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218</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286</w:t>
            </w:r>
          </w:p>
        </w:tc>
        <w:tc>
          <w:tcPr>
            <w:tcW w:type="dxa" w:w="1411"/>
          </w:tcPr>
          <w:p>
            <w:pPr>
              <w:spacing w:after="20"/>
              <w:jc w:val="right"/>
            </w:pPr>
            <w:r>
              <w:rPr>
                <w:color w:val="1C3A36"/>
                <w:sz w:val="17"/>
              </w:rPr>
              <w:t>250</w:t>
            </w:r>
          </w:p>
        </w:tc>
        <w:tc>
          <w:tcPr>
            <w:tcW w:type="dxa" w:w="1411"/>
          </w:tcPr>
          <w:p>
            <w:pPr>
              <w:spacing w:after="20"/>
              <w:jc w:val="right"/>
            </w:pPr>
            <w:r>
              <w:rPr>
                <w:color w:val="1C3A36"/>
                <w:sz w:val="17"/>
              </w:rPr>
              <w:t>266</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245</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730</w:t>
            </w:r>
          </w:p>
        </w:tc>
        <w:tc>
          <w:tcPr>
            <w:tcW w:type="dxa" w:w="1411"/>
          </w:tcPr>
          <w:p>
            <w:pPr>
              <w:spacing w:after="20"/>
              <w:jc w:val="right"/>
            </w:pPr>
            <w:r>
              <w:rPr>
                <w:color w:val="1C3A36"/>
                <w:sz w:val="17"/>
              </w:rPr>
              <w:t>868</w:t>
            </w:r>
          </w:p>
        </w:tc>
        <w:tc>
          <w:tcPr>
            <w:tcW w:type="dxa" w:w="1411"/>
          </w:tcPr>
          <w:p>
            <w:pPr>
              <w:spacing w:after="20"/>
              <w:jc w:val="right"/>
            </w:pPr>
            <w:r>
              <w:rPr>
                <w:color w:val="1C3A36"/>
                <w:sz w:val="17"/>
              </w:rPr>
              <w:t>957</w:t>
            </w:r>
          </w:p>
        </w:tc>
        <w:tc>
          <w:tcPr>
            <w:tcW w:type="dxa" w:w="1411"/>
          </w:tcPr>
          <w:p>
            <w:pPr>
              <w:spacing w:after="20"/>
              <w:jc w:val="right"/>
            </w:pPr>
            <w:r>
              <w:rPr>
                <w:color w:val="1C3A36"/>
                <w:sz w:val="17"/>
              </w:rPr>
              <w:t>1,080</w:t>
            </w:r>
          </w:p>
        </w:tc>
        <w:tc>
          <w:tcPr>
            <w:tcW w:type="dxa" w:w="1411"/>
          </w:tcPr>
          <w:p>
            <w:pPr>
              <w:spacing w:after="20"/>
              <w:jc w:val="right"/>
            </w:pPr>
            <w:r>
              <w:rPr>
                <w:color w:val="1C3A36"/>
                <w:sz w:val="17"/>
              </w:rPr>
              <w:t>1,167</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0.9052</w:t>
            </w:r>
          </w:p>
        </w:tc>
        <w:tc>
          <w:tcPr>
            <w:tcW w:type="dxa" w:w="1411"/>
          </w:tcPr>
          <w:p>
            <w:pPr>
              <w:spacing w:after="20"/>
              <w:jc w:val="right"/>
            </w:pPr>
            <w:r>
              <w:rPr>
                <w:color w:val="1C3A36"/>
                <w:sz w:val="17"/>
              </w:rPr>
              <w:t>0.8212</w:t>
            </w:r>
          </w:p>
        </w:tc>
        <w:tc>
          <w:tcPr>
            <w:tcW w:type="dxa" w:w="1411"/>
          </w:tcPr>
          <w:p>
            <w:pPr>
              <w:spacing w:after="20"/>
              <w:jc w:val="right"/>
            </w:pPr>
            <w:r>
              <w:rPr>
                <w:color w:val="1C3A36"/>
                <w:sz w:val="17"/>
              </w:rPr>
              <w:t>0.7467</w:t>
            </w:r>
          </w:p>
        </w:tc>
        <w:tc>
          <w:tcPr>
            <w:tcW w:type="dxa" w:w="1411"/>
          </w:tcPr>
          <w:p>
            <w:pPr>
              <w:spacing w:after="20"/>
              <w:jc w:val="right"/>
            </w:pPr>
            <w:r>
              <w:rPr>
                <w:color w:val="1C3A36"/>
                <w:sz w:val="17"/>
              </w:rPr>
              <w:t>0.6805</w:t>
            </w:r>
          </w:p>
        </w:tc>
        <w:tc>
          <w:tcPr>
            <w:tcW w:type="dxa" w:w="1411"/>
          </w:tcPr>
          <w:p>
            <w:pPr>
              <w:spacing w:after="20"/>
              <w:jc w:val="right"/>
            </w:pPr>
            <w:r>
              <w:rPr>
                <w:color w:val="1C3A36"/>
                <w:sz w:val="17"/>
              </w:rPr>
              <w:t>0.6216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660</w:t>
            </w:r>
          </w:p>
        </w:tc>
        <w:tc>
          <w:tcPr>
            <w:tcW w:type="dxa" w:w="1411"/>
          </w:tcPr>
          <w:p>
            <w:pPr>
              <w:spacing w:after="20"/>
              <w:jc w:val="right"/>
            </w:pPr>
            <w:r>
              <w:rPr>
                <w:color w:val="1C3A36"/>
                <w:sz w:val="17"/>
              </w:rPr>
              <w:t>713</w:t>
            </w:r>
          </w:p>
        </w:tc>
        <w:tc>
          <w:tcPr>
            <w:tcW w:type="dxa" w:w="1411"/>
          </w:tcPr>
          <w:p>
            <w:pPr>
              <w:spacing w:after="20"/>
              <w:jc w:val="right"/>
            </w:pPr>
            <w:r>
              <w:rPr>
                <w:color w:val="1C3A36"/>
                <w:sz w:val="17"/>
              </w:rPr>
              <w:t>714</w:t>
            </w:r>
          </w:p>
        </w:tc>
        <w:tc>
          <w:tcPr>
            <w:tcW w:type="dxa" w:w="1411"/>
          </w:tcPr>
          <w:p>
            <w:pPr>
              <w:spacing w:after="20"/>
              <w:jc w:val="right"/>
            </w:pPr>
            <w:r>
              <w:rPr>
                <w:color w:val="1C3A36"/>
                <w:sz w:val="17"/>
              </w:rPr>
              <w:t>735</w:t>
            </w:r>
          </w:p>
        </w:tc>
        <w:tc>
          <w:tcPr>
            <w:tcW w:type="dxa" w:w="1411"/>
          </w:tcPr>
          <w:p>
            <w:pPr>
              <w:spacing w:after="20"/>
              <w:jc w:val="right"/>
            </w:pPr>
            <w:r>
              <w:rPr>
                <w:color w:val="1C3A36"/>
                <w:sz w:val="17"/>
              </w:rPr>
              <w:t>726</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3,548mn</w:t>
      </w:r>
      <w:r>
        <w:rPr>
          <w:b w:val="0"/>
          <w:i w:val="0"/>
          <w:color w:val="1C3A36"/>
          <w:sz w:val="19"/>
        </w:rPr>
        <w:t xml:space="preserve">; the present value of the terminal value is SAR </w:t>
      </w:r>
      <w:r>
        <w:rPr>
          <w:b/>
          <w:i w:val="0"/>
          <w:color w:val="1C3A36"/>
          <w:sz w:val="19"/>
        </w:rPr>
        <w:t>15,136mn</w:t>
      </w:r>
      <w:r>
        <w:rPr>
          <w:b w:val="0"/>
          <w:i w:val="0"/>
          <w:color w:val="1C3A36"/>
          <w:sz w:val="19"/>
        </w:rPr>
        <w:t xml:space="preserve"> (81% of enterprise value); together the enterprise value is SAR </w:t>
      </w:r>
      <w:r>
        <w:rPr>
          <w:b/>
          <w:i w:val="0"/>
          <w:color w:val="896F36"/>
          <w:sz w:val="19"/>
        </w:rPr>
        <w:t>18,684mn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18,684</w:t>
            </w:r>
          </w:p>
        </w:tc>
      </w:tr>
      <w:tr>
        <w:tc>
          <w:tcPr>
            <w:tcW w:type="dxa" w:w="6624"/>
          </w:tcPr>
          <w:p>
            <w:pPr>
              <w:spacing w:after="20"/>
            </w:pPr>
            <w:r>
              <w:rPr>
                <w:color w:val="1C3A36"/>
                <w:sz w:val="18"/>
              </w:rPr>
              <w:t xml:space="preserve">   of which terminal value (81% of EV)</w:t>
            </w:r>
          </w:p>
        </w:tc>
        <w:tc>
          <w:tcPr>
            <w:tcW w:type="dxa" w:w="2016"/>
          </w:tcPr>
          <w:p>
            <w:pPr>
              <w:spacing w:after="20"/>
              <w:jc w:val="right"/>
            </w:pPr>
            <w:r>
              <w:rPr>
                <w:color w:val="1C3A36"/>
                <w:sz w:val="18"/>
              </w:rPr>
              <w:t>15,136</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18,288</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122.15</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127.91</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and a value of SAR 95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FY2025 EBITDA and 14.5x FY2025 earnings. Developed-market cable majors (Prysmian, Nexans) trade around 7–9x forward EBITDA; fast-growing emerging-market peers (Polycab, KEI in India) carry a large growth premium at 20–30x. Applying a 9.5x multiple — with the developed majors, a deliberate discount to Riyadh Cables’ own trailing multiple — to 2027 EBITDA of SAR 1,471mn, discounting it, and adding the interim cash flows, gives SAR 86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11.9% on current-scale revenue of SAR 11,499mn, after depreciation, financing and tax, yields normalised earnings of about SAR 7.50 per share. At a through-cycle 13x — appropriate for a high-return, low-leverage regional leader with a roughly 11%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86 to SAR 128. We weight the discounted cash flow most (45%) because the company’s cash flows are directly modelled from a disclosed cost structure; the relative and earnings-power lenses each 20%; and book value least (15%), because book understates a business earning a return on equity near 37%. The weighted central is SAR 109.</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and it is not grown as one business. The model is built on the three disclosed reporting segments, each on its own driver, and summed. Cables and wires — 98% of revenue — is the metal converter: a cable-tonnage index priced as metal content (on its own copper-and-aluminium path) plus a conversion cost (on domestic inflation) plus a conversion spread, with volume growing 10.0% in 2026 tapering to 5.0%, anchored on the reviewed half-year statement that 2026 revenue rose 9.5% "due to the increase in the volume of quantities sold." High-voltage turnkey projects — a lumpy project business — grow on their own path at their disclosed 8% segment margin, and the small Other leg likewise. Metal prices are held broadly flat. The group gross margin is then the blended OUTPUT of the three legs — 15.2% in 2026 rising gently to 15.4%, never back to the 2024–25 peak. Along that expected metal path the cable leg’s conversion spread is set to earn the target margin, so the reported margin holds; an unexpected metal move — the one the sensitivity prices — is not repriced in the spread and therefore dilutes the margin, exactly as the first half of 2026 showed. (The cost-by-nature split is disclosed only at group level, so the group metal is carried in the cable leg and the two small legs carry their disclosed segment margins — immaterial at 2.4% of revenue.)</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and within the half it was still easing: the second quarter’s 15.0% sat below the first quarter’s 15.6%.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0.48% and its equity risk premium 4.94% (a 4.20% mature-market base plus a 0.74% country premium). We take the ten-year Saudi sukuk yield at 5.50% — re-derived this edition from the published SAR government-sukuk curve after an earlier estimate sat below it — subtract the sovereign’s own default spread to avoid charging country risk twice, and add beta times the premium. Beta is 1.129, from Riyadh Cables’ own weekly returns against the Tadawul All Share Index over its 185-week listed history; it is a noisy estimate (R-squared about 0.15, standard error 0.31, a 90% confidence interval of roughly 0.6 to 1.6), which the sensitivity carries. That gives a cost of equity of 10.6%. Debt is marginal — Islamic Murabaha at about 5.9%, above the sovereign as a same-currency corporate must be — and its weight is struck on NET financial debt (borrowings less cash); with an almost all-equity balance sheet the weighted cost is 10.5%, easing to 9.5%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5.02%</w:t>
            </w:r>
          </w:p>
        </w:tc>
        <w:tc>
          <w:tcPr>
            <w:tcW w:type="dxa" w:w="1944"/>
          </w:tcPr>
          <w:p>
            <w:pPr>
              <w:spacing w:after="20"/>
              <w:jc w:val="right"/>
            </w:pPr>
            <w:r>
              <w:rPr>
                <w:color w:val="1C3A36"/>
                <w:sz w:val="18"/>
              </w:rPr>
              <w:t>5.02%</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4.70%</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10.60%</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10.47%</w:t>
            </w:r>
          </w:p>
        </w:tc>
        <w:tc>
          <w:tcPr>
            <w:tcW w:type="dxa" w:w="1944"/>
            <w:shd w:val="clear" w:color="auto" w:fill="F6F1E6"/>
          </w:tcPr>
          <w:p>
            <w:pPr>
              <w:spacing w:after="20"/>
              <w:jc w:val="right"/>
            </w:pPr>
            <w:r>
              <w:rPr>
                <w:b/>
                <w:color w:val="1C3A36"/>
                <w:sz w:val="18"/>
              </w:rPr>
              <w:t>9.48%</w:t>
            </w:r>
          </w:p>
        </w:tc>
      </w:tr>
    </w:tbl>
    <w:p>
      <w:pPr>
        <w:spacing w:after="40"/>
      </w:pPr>
    </w:p>
    <w:p>
      <w:pPr>
        <w:spacing w:after="120" w:before="0"/>
      </w:pPr>
      <w:r>
        <w:rPr>
          <w:b w:val="0"/>
          <w:i w:val="0"/>
          <w:color w:val="6E7B77"/>
          <w:sz w:val="18"/>
        </w:rPr>
        <w:t>Two terminal conventions are worth flagging. The terminal structure carries a 5% net-debt weight, modestly above today’s 2.4%, to acknowledge the structural working-capital leverage a cable maker runs — a small lever, not a geared structure the company has ever operated. And the terminal risk-free rate is held flat at its normalised current level rather than marked down, so the terminal cost of equity falls only as beta reverts to one and the country premium compresses, never by cutting the risk-free to lift value.</w:t>
      </w: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near the low of their 52-week range (about SAR 100 to SAR 143) and below all four of their moving averages — roughly 1% under the 20-session average, 8% under the 50-session and 14% under the 200-session — after retracing much of the multi-year advance that followed the December 2022 listing.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in its outer bands and conservative in its inner one. Tested across the stock’s full trading history, its 80% and 90% bands contained 80% and 90% of actual outcomes — on target — while the 50% band contained 70%, wider than its label, so the inner band overstates the likely dispersion rather than understating it. The model’s implied ranks were close to uniform (a mean of 0.49 against an ideal of 0.50). On scored accuracy the cone was statistically indistinguishable from simply assuming the price follows a random walk over the roughly three and a half years the shares have been listed; it neither reliably beat that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128) is the highest: it rewards a high return on capital, durable mid-single-digit growth and a low Saudi cost of capital, and it is terminal-heavy (81% of value beyond year five). The relative lens (SAR 86) is the most cautious: it holds the company to a mid-range exit multiple below where it trades today. Earnings power (SAR 102) and book value (SAR 95) sit between. Read together, the market price sits below the cash-flow lens and above the earnings-power, book and exit-multiple lenses; the reading depends entirely on how much weight one puts on the intrinsic economics versus the exit multiple. The weighted central of SAR 109 is 4% above the market price.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(the FY2025 final was SAR 2.25/share), the small treasury holding of 282,500 bought-back shares, and any change in payout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109)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116.</w:t>
      </w:r>
    </w:p>
    <w:p>
      <w:pPr>
        <w:pStyle w:val="ListBullet"/>
        <w:spacing w:after="60"/>
      </w:pPr>
      <w:r>
        <w:rPr>
          <w:b/>
          <w:color w:val="1C3A36"/>
          <w:sz w:val="21"/>
        </w:rPr>
        <w:t>Terminal reliance —</w:t>
      </w:r>
      <w:r>
        <w:rPr>
          <w:color w:val="1C3A36"/>
          <w:sz w:val="21"/>
        </w:rPr>
        <w:t xml:space="preserve"> the value is terminal-heavy (81%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11,499</w:t>
            </w:r>
          </w:p>
        </w:tc>
        <w:tc>
          <w:tcPr>
            <w:tcW w:type="dxa" w:w="1152"/>
          </w:tcPr>
          <w:p>
            <w:pPr>
              <w:spacing w:after="20"/>
              <w:jc w:val="right"/>
            </w:pPr>
            <w:r>
              <w:rPr>
                <w:color w:val="1C3A36"/>
                <w:sz w:val="16"/>
              </w:rPr>
              <w:t>12,392</w:t>
            </w:r>
          </w:p>
        </w:tc>
        <w:tc>
          <w:tcPr>
            <w:tcW w:type="dxa" w:w="1152"/>
          </w:tcPr>
          <w:p>
            <w:pPr>
              <w:spacing w:after="20"/>
              <w:jc w:val="right"/>
            </w:pPr>
            <w:r>
              <w:rPr>
                <w:color w:val="1C3A36"/>
                <w:sz w:val="16"/>
              </w:rPr>
              <w:t>13,340</w:t>
            </w:r>
          </w:p>
        </w:tc>
        <w:tc>
          <w:tcPr>
            <w:tcW w:type="dxa" w:w="1152"/>
          </w:tcPr>
          <w:p>
            <w:pPr>
              <w:spacing w:after="20"/>
              <w:jc w:val="right"/>
            </w:pPr>
            <w:r>
              <w:rPr>
                <w:color w:val="1C3A36"/>
                <w:sz w:val="16"/>
              </w:rPr>
              <w:t>14,235</w:t>
            </w:r>
          </w:p>
        </w:tc>
        <w:tc>
          <w:tcPr>
            <w:tcW w:type="dxa" w:w="1152"/>
          </w:tcPr>
          <w:p>
            <w:pPr>
              <w:spacing w:after="20"/>
              <w:jc w:val="right"/>
            </w:pPr>
            <w:r>
              <w:rPr>
                <w:color w:val="1C3A36"/>
                <w:sz w:val="16"/>
              </w:rPr>
              <w:t>15,111</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1,750</w:t>
            </w:r>
          </w:p>
        </w:tc>
        <w:tc>
          <w:tcPr>
            <w:tcW w:type="dxa" w:w="1152"/>
          </w:tcPr>
          <w:p>
            <w:pPr>
              <w:spacing w:after="20"/>
              <w:jc w:val="right"/>
            </w:pPr>
            <w:r>
              <w:rPr>
                <w:color w:val="1C3A36"/>
                <w:sz w:val="16"/>
              </w:rPr>
              <w:t>1,898</w:t>
            </w:r>
          </w:p>
        </w:tc>
        <w:tc>
          <w:tcPr>
            <w:tcW w:type="dxa" w:w="1152"/>
          </w:tcPr>
          <w:p>
            <w:pPr>
              <w:spacing w:after="20"/>
              <w:jc w:val="right"/>
            </w:pPr>
            <w:r>
              <w:rPr>
                <w:color w:val="1C3A36"/>
                <w:sz w:val="16"/>
              </w:rPr>
              <w:t>2,043</w:t>
            </w:r>
          </w:p>
        </w:tc>
        <w:tc>
          <w:tcPr>
            <w:tcW w:type="dxa" w:w="1152"/>
          </w:tcPr>
          <w:p>
            <w:pPr>
              <w:spacing w:after="20"/>
              <w:jc w:val="right"/>
            </w:pPr>
            <w:r>
              <w:rPr>
                <w:color w:val="1C3A36"/>
                <w:sz w:val="16"/>
              </w:rPr>
              <w:t>2,187</w:t>
            </w:r>
          </w:p>
        </w:tc>
        <w:tc>
          <w:tcPr>
            <w:tcW w:type="dxa" w:w="1152"/>
          </w:tcPr>
          <w:p>
            <w:pPr>
              <w:spacing w:after="20"/>
              <w:jc w:val="right"/>
            </w:pPr>
            <w:r>
              <w:rPr>
                <w:color w:val="1C3A36"/>
                <w:sz w:val="16"/>
              </w:rPr>
              <w:t>2,321</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1,354</w:t>
            </w:r>
          </w:p>
        </w:tc>
        <w:tc>
          <w:tcPr>
            <w:tcW w:type="dxa" w:w="1152"/>
          </w:tcPr>
          <w:p>
            <w:pPr>
              <w:spacing w:after="20"/>
              <w:jc w:val="right"/>
            </w:pPr>
            <w:r>
              <w:rPr>
                <w:color w:val="1C3A36"/>
                <w:sz w:val="16"/>
              </w:rPr>
              <w:t>1,471</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1,710</w:t>
            </w:r>
          </w:p>
        </w:tc>
        <w:tc>
          <w:tcPr>
            <w:tcW w:type="dxa" w:w="1152"/>
          </w:tcPr>
          <w:p>
            <w:pPr>
              <w:spacing w:after="20"/>
              <w:jc w:val="right"/>
            </w:pPr>
            <w:r>
              <w:rPr>
                <w:color w:val="1C3A36"/>
                <w:sz w:val="16"/>
              </w:rPr>
              <w:t>1,814</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1,256</w:t>
            </w:r>
          </w:p>
        </w:tc>
        <w:tc>
          <w:tcPr>
            <w:tcW w:type="dxa" w:w="1152"/>
          </w:tcPr>
          <w:p>
            <w:pPr>
              <w:spacing w:after="20"/>
              <w:jc w:val="right"/>
            </w:pPr>
            <w:r>
              <w:rPr>
                <w:color w:val="1C3A36"/>
                <w:sz w:val="16"/>
              </w:rPr>
              <w:t>1,365</w:t>
            </w:r>
          </w:p>
        </w:tc>
        <w:tc>
          <w:tcPr>
            <w:tcW w:type="dxa" w:w="1152"/>
          </w:tcPr>
          <w:p>
            <w:pPr>
              <w:spacing w:after="20"/>
              <w:jc w:val="right"/>
            </w:pPr>
            <w:r>
              <w:rPr>
                <w:color w:val="1C3A36"/>
                <w:sz w:val="16"/>
              </w:rPr>
              <w:t>1,476</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1,686</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1,229</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1,461</w:t>
            </w:r>
          </w:p>
        </w:tc>
        <w:tc>
          <w:tcPr>
            <w:tcW w:type="dxa" w:w="1152"/>
          </w:tcPr>
          <w:p>
            <w:pPr>
              <w:spacing w:after="20"/>
              <w:jc w:val="right"/>
            </w:pPr>
            <w:r>
              <w:rPr>
                <w:color w:val="1C3A36"/>
                <w:sz w:val="16"/>
              </w:rPr>
              <w:t>1,583</w:t>
            </w:r>
          </w:p>
        </w:tc>
        <w:tc>
          <w:tcPr>
            <w:tcW w:type="dxa" w:w="1152"/>
          </w:tcPr>
          <w:p>
            <w:pPr>
              <w:spacing w:after="20"/>
              <w:jc w:val="right"/>
            </w:pPr>
            <w:r>
              <w:rPr>
                <w:color w:val="1C3A36"/>
                <w:sz w:val="16"/>
              </w:rPr>
              <w:t>1,693</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1,112</w:t>
            </w:r>
          </w:p>
        </w:tc>
        <w:tc>
          <w:tcPr>
            <w:tcW w:type="dxa" w:w="1152"/>
          </w:tcPr>
          <w:p>
            <w:pPr>
              <w:spacing w:after="20"/>
              <w:jc w:val="right"/>
            </w:pPr>
            <w:r>
              <w:rPr>
                <w:color w:val="1C3A36"/>
                <w:sz w:val="16"/>
              </w:rPr>
              <w:t>1,215</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1,433</w:t>
            </w:r>
          </w:p>
        </w:tc>
        <w:tc>
          <w:tcPr>
            <w:tcW w:type="dxa" w:w="1152"/>
          </w:tcPr>
          <w:p>
            <w:pPr>
              <w:spacing w:after="20"/>
              <w:jc w:val="right"/>
            </w:pPr>
            <w:r>
              <w:rPr>
                <w:color w:val="1C3A36"/>
                <w:sz w:val="16"/>
              </w:rPr>
              <w:t>1,532</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3,220</w:t>
            </w:r>
          </w:p>
        </w:tc>
        <w:tc>
          <w:tcPr>
            <w:tcW w:type="dxa" w:w="1411"/>
          </w:tcPr>
          <w:p>
            <w:pPr>
              <w:spacing w:after="20"/>
              <w:jc w:val="right"/>
            </w:pPr>
            <w:r>
              <w:rPr>
                <w:color w:val="1C3A36"/>
                <w:sz w:val="16"/>
              </w:rPr>
              <w:t>3,470</w:t>
            </w:r>
          </w:p>
        </w:tc>
        <w:tc>
          <w:tcPr>
            <w:tcW w:type="dxa" w:w="1411"/>
          </w:tcPr>
          <w:p>
            <w:pPr>
              <w:spacing w:after="20"/>
              <w:jc w:val="right"/>
            </w:pPr>
            <w:r>
              <w:rPr>
                <w:color w:val="1C3A36"/>
                <w:sz w:val="16"/>
              </w:rPr>
              <w:t>3,735</w:t>
            </w:r>
          </w:p>
        </w:tc>
        <w:tc>
          <w:tcPr>
            <w:tcW w:type="dxa" w:w="1411"/>
          </w:tcPr>
          <w:p>
            <w:pPr>
              <w:spacing w:after="20"/>
              <w:jc w:val="right"/>
            </w:pPr>
            <w:r>
              <w:rPr>
                <w:color w:val="1C3A36"/>
                <w:sz w:val="16"/>
              </w:rPr>
              <w:t>3,986</w:t>
            </w:r>
          </w:p>
        </w:tc>
        <w:tc>
          <w:tcPr>
            <w:tcW w:type="dxa" w:w="1411"/>
          </w:tcPr>
          <w:p>
            <w:pPr>
              <w:spacing w:after="20"/>
              <w:jc w:val="right"/>
            </w:pPr>
            <w:r>
              <w:rPr>
                <w:color w:val="1C3A36"/>
                <w:sz w:val="16"/>
              </w:rPr>
              <w:t>4,231</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289</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-111</w:t>
            </w:r>
          </w:p>
        </w:tc>
        <w:tc>
          <w:tcPr>
            <w:tcW w:type="dxa" w:w="1411"/>
          </w:tcPr>
          <w:p>
            <w:pPr>
              <w:spacing w:after="20"/>
              <w:jc w:val="right"/>
            </w:pPr>
            <w:r>
              <w:rPr>
                <w:color w:val="1C3A36"/>
                <w:sz w:val="16"/>
              </w:rPr>
              <w:t>-402</w:t>
            </w:r>
          </w:p>
        </w:tc>
        <w:tc>
          <w:tcPr>
            <w:tcW w:type="dxa" w:w="1411"/>
          </w:tcPr>
          <w:p>
            <w:pPr>
              <w:spacing w:after="20"/>
              <w:jc w:val="right"/>
            </w:pPr>
            <w:r>
              <w:rPr>
                <w:color w:val="1C3A36"/>
                <w:sz w:val="16"/>
              </w:rPr>
              <w:t>-736</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218</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730</w:t>
            </w:r>
          </w:p>
        </w:tc>
        <w:tc>
          <w:tcPr>
            <w:tcW w:type="dxa" w:w="1411"/>
          </w:tcPr>
          <w:p>
            <w:pPr>
              <w:spacing w:after="20"/>
              <w:jc w:val="right"/>
            </w:pPr>
            <w:r>
              <w:rPr>
                <w:color w:val="1C3A36"/>
                <w:sz w:val="16"/>
              </w:rPr>
              <w:t>868</w:t>
            </w:r>
          </w:p>
        </w:tc>
        <w:tc>
          <w:tcPr>
            <w:tcW w:type="dxa" w:w="1411"/>
          </w:tcPr>
          <w:p>
            <w:pPr>
              <w:spacing w:after="20"/>
              <w:jc w:val="right"/>
            </w:pPr>
            <w:r>
              <w:rPr>
                <w:color w:val="1C3A36"/>
                <w:sz w:val="16"/>
              </w:rPr>
              <w:t>957</w:t>
            </w:r>
          </w:p>
        </w:tc>
        <w:tc>
          <w:tcPr>
            <w:tcW w:type="dxa" w:w="1411"/>
          </w:tcPr>
          <w:p>
            <w:pPr>
              <w:spacing w:after="20"/>
              <w:jc w:val="right"/>
            </w:pPr>
            <w:r>
              <w:rPr>
                <w:color w:val="1C3A36"/>
                <w:sz w:val="16"/>
              </w:rPr>
              <w:t>1,080</w:t>
            </w:r>
          </w:p>
        </w:tc>
        <w:tc>
          <w:tcPr>
            <w:tcW w:type="dxa" w:w="1411"/>
          </w:tcPr>
          <w:p>
            <w:pPr>
              <w:spacing w:after="20"/>
              <w:jc w:val="right"/>
            </w:pPr>
            <w:r>
              <w:rPr>
                <w:color w:val="1C3A36"/>
                <w:sz w:val="16"/>
              </w:rPr>
              <w:t>1,167</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609</w:t>
            </w:r>
          </w:p>
        </w:tc>
        <w:tc>
          <w:tcPr>
            <w:tcW w:type="dxa" w:w="1411"/>
          </w:tcPr>
          <w:p>
            <w:pPr>
              <w:spacing w:after="20"/>
              <w:jc w:val="right"/>
            </w:pPr>
            <w:r>
              <w:rPr>
                <w:color w:val="1C3A36"/>
                <w:sz w:val="16"/>
              </w:rPr>
              <w:t>665</w:t>
            </w:r>
          </w:p>
        </w:tc>
        <w:tc>
          <w:tcPr>
            <w:tcW w:type="dxa" w:w="1411"/>
          </w:tcPr>
          <w:p>
            <w:pPr>
              <w:spacing w:after="20"/>
              <w:jc w:val="right"/>
            </w:pPr>
            <w:r>
              <w:rPr>
                <w:color w:val="1C3A36"/>
                <w:sz w:val="16"/>
              </w:rPr>
              <w:t>724</w:t>
            </w:r>
          </w:p>
        </w:tc>
        <w:tc>
          <w:tcPr>
            <w:tcW w:type="dxa" w:w="1411"/>
          </w:tcPr>
          <w:p>
            <w:pPr>
              <w:spacing w:after="20"/>
              <w:jc w:val="right"/>
            </w:pPr>
            <w:r>
              <w:rPr>
                <w:color w:val="1C3A36"/>
                <w:sz w:val="16"/>
              </w:rPr>
              <w:t>785</w:t>
            </w:r>
          </w:p>
        </w:tc>
        <w:tc>
          <w:tcPr>
            <w:tcW w:type="dxa" w:w="1411"/>
          </w:tcPr>
          <w:p>
            <w:pPr>
              <w:spacing w:after="20"/>
              <w:jc w:val="right"/>
            </w:pPr>
            <w:r>
              <w:rPr>
                <w:color w:val="1C3A36"/>
                <w:sz w:val="16"/>
              </w:rPr>
              <w:t>839</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1,107</w:t>
            </w:r>
          </w:p>
        </w:tc>
        <w:tc>
          <w:tcPr>
            <w:tcW w:type="dxa" w:w="1411"/>
          </w:tcPr>
          <w:p>
            <w:pPr>
              <w:spacing w:after="20"/>
              <w:jc w:val="right"/>
            </w:pPr>
            <w:r>
              <w:rPr>
                <w:color w:val="1C3A36"/>
                <w:sz w:val="16"/>
              </w:rPr>
              <w:t>1,210</w:t>
            </w:r>
          </w:p>
        </w:tc>
        <w:tc>
          <w:tcPr>
            <w:tcW w:type="dxa" w:w="1411"/>
          </w:tcPr>
          <w:p>
            <w:pPr>
              <w:spacing w:after="20"/>
              <w:jc w:val="right"/>
            </w:pPr>
            <w:r>
              <w:rPr>
                <w:color w:val="1C3A36"/>
                <w:sz w:val="16"/>
              </w:rPr>
              <w:t>1,317</w:t>
            </w:r>
          </w:p>
        </w:tc>
        <w:tc>
          <w:tcPr>
            <w:tcW w:type="dxa" w:w="1411"/>
          </w:tcPr>
          <w:p>
            <w:pPr>
              <w:spacing w:after="20"/>
              <w:jc w:val="right"/>
            </w:pPr>
            <w:r>
              <w:rPr>
                <w:color w:val="1C3A36"/>
                <w:sz w:val="16"/>
              </w:rPr>
              <w:t>1,427</w:t>
            </w:r>
          </w:p>
        </w:tc>
        <w:tc>
          <w:tcPr>
            <w:tcW w:type="dxa" w:w="1411"/>
          </w:tcPr>
          <w:p>
            <w:pPr>
              <w:spacing w:after="20"/>
              <w:jc w:val="right"/>
            </w:pPr>
            <w:r>
              <w:rPr>
                <w:color w:val="1C3A36"/>
                <w:sz w:val="16"/>
              </w:rPr>
              <w:t>1,526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11.9% on revenue of SAR 13,340mn gives EBIT of SAR 1,476mn; after net interest of SAR 15mn, tax and minorities, earnings are SAR 8.80 per share; at 13.0x that is SAR 120 (range SAR 91–148).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1,068mn, less after-tax interest, is owner cash of about SAR 1,059mn; grown at 4% and capitalised at 9.7% gives SAR 135 (range SAR 92–165).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13,988mn) gives SAR 126 per share (range SAR 92–145).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low-30s% return on capital will fade, which is why the terminal return on capital is struck near 25% and terminal growth at 4%.</w:t>
      </w:r>
    </w:p>
    <w:p>
      <w:pPr>
        <w:spacing w:after="80" w:before="200"/>
      </w:pPr>
      <w:r>
        <w:rPr>
          <w:b/>
          <w:i w:val="0"/>
          <w:color w:val="1C3A36"/>
          <w:sz w:val="24"/>
        </w:rPr>
        <w:t>C.5  The three in one room</w:t>
      </w:r>
    </w:p>
    <w:p>
      <w:pPr>
        <w:spacing w:after="120" w:before="0"/>
      </w:pPr>
      <w:r>
        <w:rPr>
          <w:b w:val="0"/>
          <w:i w:val="0"/>
          <w:color w:val="1C3A36"/>
          <w:sz w:val="21"/>
        </w:rPr>
        <w:t>The three methods land at SAR 120, SAR 135 and SAR 126, a median of SAR 126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