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07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257</w:t>
            </w:r>
          </w:p>
        </w:tc>
      </w:tr>
      <w:tr>
        <w:tc>
          <w:tcPr>
            <w:tcW w:type="dxa" w:w="6236"/>
          </w:tcPr>
          <w:p>
            <w:r/>
            <w:r>
              <w:rPr>
                <w:color w:val="1A1D21"/>
                <w:sz w:val="18"/>
              </w:rPr>
              <w:t>Bind on a class of company (CLASS)</w:t>
            </w:r>
          </w:p>
        </w:tc>
        <w:tc>
          <w:tcPr>
            <w:tcW w:type="dxa" w:w="2721"/>
          </w:tcPr>
          <w:p>
            <w:r/>
            <w:r>
              <w:rPr>
                <w:color w:val="1A1D21"/>
                <w:sz w:val="18"/>
              </w:rPr>
              <w:t>31</w:t>
            </w:r>
          </w:p>
        </w:tc>
      </w:tr>
      <w:tr>
        <w:tc>
          <w:tcPr>
            <w:tcW w:type="dxa" w:w="6236"/>
          </w:tcPr>
          <w:p>
            <w:r/>
            <w:r>
              <w:rPr>
                <w:color w:val="1A1D21"/>
                <w:sz w:val="18"/>
              </w:rPr>
              <w:t>Bind on a single company (STOCK)</w:t>
            </w:r>
          </w:p>
        </w:tc>
        <w:tc>
          <w:tcPr>
            <w:tcW w:type="dxa" w:w="2721"/>
          </w:tcPr>
          <w:p>
            <w:r/>
            <w:r>
              <w:rPr>
                <w:color w:val="1A1D21"/>
                <w:sz w:val="18"/>
              </w:rPr>
              <w:t>10</w:t>
            </w:r>
          </w:p>
        </w:tc>
      </w:tr>
      <w:tr>
        <w:tc>
          <w:tcPr>
            <w:tcW w:type="dxa" w:w="6236"/>
          </w:tcPr>
          <w:p>
            <w:r/>
            <w:r>
              <w:rPr>
                <w:color w:val="1A1D21"/>
                <w:sz w:val="18"/>
              </w:rPr>
              <w:t>Total</w:t>
            </w:r>
          </w:p>
        </w:tc>
        <w:tc>
          <w:tcPr>
            <w:tcW w:type="dxa" w:w="2721"/>
          </w:tcPr>
          <w:p>
            <w:r/>
            <w:r>
              <w:rPr>
                <w:color w:val="1A1D21"/>
                <w:sz w:val="18"/>
              </w:rPr>
              <w:t>298</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62</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26</w:t>
            </w:r>
          </w:p>
        </w:tc>
      </w:tr>
      <w:tr>
        <w:tc>
          <w:tcPr>
            <w:tcW w:type="dxa" w:w="6236"/>
          </w:tcPr>
          <w:p>
            <w:r/>
            <w:r>
              <w:rPr>
                <w:color w:val="1A1D21"/>
                <w:sz w:val="18"/>
              </w:rPr>
              <w:t>Found while building</w:t>
            </w:r>
          </w:p>
        </w:tc>
        <w:tc>
          <w:tcPr>
            <w:tcW w:type="dxa" w:w="2721"/>
          </w:tcPr>
          <w:p>
            <w:r/>
            <w:r>
              <w:rPr>
                <w:color w:val="1A1D21"/>
                <w:sz w:val="18"/>
              </w:rPr>
              <w:t>194</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10 (AMOC, ARCC, EGCH, ELEC, GBCO, PHAR, PHDC, SCEM, SWDY,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20</w:t>
            </w:r>
          </w:p>
        </w:tc>
        <w:tc>
          <w:tcPr>
            <w:tcW w:type="dxa" w:w="1587"/>
          </w:tcPr>
          <w:p>
            <w:r/>
            <w:r>
              <w:rPr>
                <w:color w:val="1A1D21"/>
                <w:sz w:val="18"/>
              </w:rPr>
              <w:t>414</w:t>
            </w:r>
          </w:p>
        </w:tc>
      </w:tr>
    </w:tbl>
    <w:p/>
    <w:p>
      <w:pPr>
        <w:spacing w:after="120"/>
      </w:pPr>
      <w:r>
        <w:rPr>
          <w:b/>
          <w:i w:val="0"/>
          <w:color w:val="1A1D21"/>
          <w:sz w:val="21"/>
        </w:rPr>
        <w:t>The price engine is well tested; the fundamental method is not. 20 names carry price-engine evidence, DU (18 forecasts) and GBCO (56) among them. The fundamental method has been through a full training run on AMOC and ARCC and EGCH and ELEC and GBCO and PHAR and PHDC and SCEM and SWDY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414 forecasts across 20 names.</w:t>
      </w:r>
    </w:p>
    <w:p>
      <w:pPr>
        <w:spacing w:after="120"/>
      </w:pPr>
      <w:r>
        <w:rPr>
          <w:b w:val="0"/>
          <w:i w:val="0"/>
          <w:color w:val="1A1D21"/>
          <w:sz w:val="21"/>
        </w:rPr>
        <w:t>Not yet acted on (64):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L-352 — The gap between a company's prices and its costs barely moves; the rate they both rise at moves enormously; L-353 — Holding a price or a cost still is the worst thing a forecast can do with it; L-354 — A range built from a handful of past errors is not the interval it looks like; L-356 — The forecasting method could not be tested on ELEC at all; L-357 — An index of filings is not an archive of filings; L-358 — A study's historicals can be unverifiable and still pass every gate; L-359 — Check that a "filed record" was filed before reasoning from it; L-360 — The accounting-policies note usually gives a range, not a life; L-361 — A borrowing rate below the sovereign is the arithmetic failing, not the company borrowing cheaply; L-362 — Operating profit forecasts run about 46% too low for GBCO; L-363 — The finance cost forecast loses to assuming no change; L-364 — The revenue bias changes direction between regimes; L-365 — Dna forecasts run about 1.6 times too high for PHAR; L-366 — Price per pack forecasts run about 42% too low for PHAR; L-367 — Cogs wages forecasts run about 27% too low for SCEM; L-368 — Revenue forecasts run about 1.8 times too low for SCEM; L-369 — The finance expense error is the company, not the currency; L-370 — D11 depreciation forecasts run about 2.5 times too low for SWDY; L-371 — D15 finance costs forecasts run about 2.4 times too low for SWDY; L-372 — D1 cable volume t forecasts run about 28% too high for SWDY; L-373 — D5 contracting revenue forecasts run about 39% too low for SWDY; L-374 — The A gross profit error is the company, not the currency; L-375 — The A cost of revenue bias changes direction between regimes.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SIX OF THE EIGHT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BOROUGE IS SHARPER STILL because it quantified BOTH ends: a life extension of up to ten years applied prospectively FROM 1 JULY 2025, worth USD 90.3mn that year and an expected USD 179.2mn the next — almost exactly twice, which is what a half-year of it should be — so the same accumulated balance supports 14.98, 17.99 and about 22.42 years depending only on which charge is in the denominator. AMR fails on the residual clause alone with no reassessment, which is worth recording because it is the one case where the residual might genuinely be immaterial. AND THERE IS A JURISDICTIONAL PATTERN, offered as a hypothesis rather than a finding: the name the route has UNLOCKED discloses depreciation as RATES applied to cost with no residual mentioned, the Egyptian presentation, while all four that stopped on 5 September are UAE filers using the IFRS residual-value form. ONE name remains untested, AMOC, and it is Egyptian — so the hypothesis rests on four UAE failures against ONE Egyptian success with ONE test left, which is a thin basis and is stated as one.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pPr>
        <w:keepNext/>
        <w:spacing w:before="240" w:after="60"/>
      </w:pPr>
      <w:r>
        <w:rPr>
          <w:b/>
          <w:color w:val="1A1D21"/>
          <w:sz w:val="22"/>
        </w:rPr>
        <w:t>L-334  A CLAIM ABOUT A POPULATION MADE FROM THE SHAPE OF THE PROBLEM IS A GUESS, AND IT READS EXACTLY LIKE A MEASUREMENT</w:t>
      </w:r>
    </w:p>
    <w:p>
      <w:pPr>
        <w:keepNext/>
        <w:spacing w:after="100"/>
      </w:pPr>
      <w:r>
        <w:rPr>
          <w:b/>
          <w:color w:val="1D6FA3"/>
          <w:sz w:val="16"/>
        </w:rPr>
        <w:t>EVERY STUDY</w:t>
      </w:r>
      <w:r>
        <w:rPr>
          <w:color w:val="5B6570"/>
          <w:sz w:val="16"/>
        </w:rPr>
        <w:t xml:space="preserve">   applies to every study   ·   learned from a self-audit, three population claims in one night, 5 September 2026</w:t>
      </w:r>
    </w:p>
    <w:p>
      <w:pPr>
        <w:spacing w:after="100"/>
      </w:pPr>
      <w:r>
        <w:rPr>
          <w:b w:val="0"/>
          <w:i w:val="0"/>
          <w:color w:val="1A1D21"/>
          <w:sz w:val="21"/>
        </w:rPr>
        <w:t>The dangerous ones are not wild guesses; they are the plausible summaries a competent reading of the situation produces — 'the causes split three ways', 'both remaining names are Egyptian', 'these studies still carry the retired blend'. Each is the kind of sentence somebody writes to organise their own thinking and then leaves in a commit message, a state file or a standing lesson, where the next reader takes it for something that was counted. THE TEST IS MECHANICAL AND CHEAP: before a sentence naming a set, a count or a shared cause goes anywhere durable, OPEN THE FILES AND COUNT. On the cases that produced this lesson it took five minutes each and the guesses were wrong every time. AND WHEN ONE IS FOUND WRONG, CORRECT THE STRENGTH OF THE CLAIM AND NOT ONLY ITS ARITHMETIC — a hypothesis resting on four failures against one success with one test left is a different object from the same sentence with the count patched.</w:t>
      </w:r>
    </w:p>
    <w:p>
      <w:pPr>
        <w:spacing w:after="60"/>
        <w:ind w:left="283"/>
      </w:pPr>
      <w:r>
        <w:rPr>
          <w:b w:val="0"/>
          <w:i w:val="0"/>
          <w:color w:val="5B6570"/>
          <w:sz w:val="19"/>
        </w:rPr>
        <w:t>How we know.  (1) 'Two names remain on the retired construction and both are Egyptian' — wrong in both halves: one remained, and the other was a UAE filer, which also thinned the jurisdictional hypothesis the sentence was supporting. (2) 'The seven unreadable studies split three ways and some fixes are cheap' — the filename and dict-shape causes were real and NEITHER WAS SUFFICIENT; underneath, all seven need a valuation decision. (3) 'AMR and probably ADNOCDIST, ADNOCDRILL and BOROUGE carry the retired blend' — right for one, wrong for two, which carry a dual framing and a published range instead. Every one was written before the files were opened, and every one was corrected by opening them.</w:t>
      </w:r>
    </w:p>
    <w:p>
      <w:pPr>
        <w:spacing w:after="160"/>
        <w:ind w:left="283"/>
      </w:pPr>
      <w:r>
        <w:rPr>
          <w:b w:val="0"/>
          <w:i w:val="0"/>
          <w:color w:val="5B6570"/>
          <w:sz w:val="19"/>
        </w:rPr>
        <w:t>What would overturn it.  Nothing overturns it. What limits it is that a guess EXPLICITLY labelled as one, in a place that expects hypotheses, is a legitimate and useful thing to write down — the offence is the guess that travels into a durable record wearing a measurement's clothes.</w:t>
      </w:r>
    </w:p>
    <w:p>
      <w:pPr>
        <w:keepNext/>
        <w:spacing w:before="240" w:after="60"/>
      </w:pPr>
      <w:r>
        <w:rPr>
          <w:b/>
          <w:color w:val="1A1D21"/>
          <w:sz w:val="22"/>
        </w:rPr>
        <w:t>L-335  OPENING THE FILE IS NOT THE CHECK; THE CHECK IS NOT STOPPING AT THE FIRST READING THAT FITS</w:t>
      </w:r>
    </w:p>
    <w:p>
      <w:pPr>
        <w:keepNext/>
        <w:spacing w:after="100"/>
      </w:pPr>
      <w:r>
        <w:rPr>
          <w:b/>
          <w:color w:val="1D6FA3"/>
          <w:sz w:val="16"/>
        </w:rPr>
        <w:t>EVERY STUDY</w:t>
      </w:r>
      <w:r>
        <w:rPr>
          <w:color w:val="5B6570"/>
          <w:sz w:val="16"/>
        </w:rPr>
        <w:t xml:space="preserve">   applies to every study   ·   learned from a self-audit, the unreadable-studies diagnosis, three wrong versions, 5 September 2026</w:t>
      </w:r>
    </w:p>
    <w:p>
      <w:pPr>
        <w:spacing w:after="100"/>
      </w:pPr>
      <w:r>
        <w:rPr>
          <w:b w:val="0"/>
          <w:i w:val="0"/>
          <w:color w:val="1A1D21"/>
          <w:sz w:val="21"/>
        </w:rPr>
        <w:t>[L-334] says to open the files before writing a sentence that names a set. Within the hour of registering it I did open a file, read its top-level keys, found two fields called centre_A and centre_B, and wrote that the study 'carries two decided centres — a dual framing, not a blend, and it needs no valuation judgement at all'. Each centre was a typed four-lens weighted blend, and the weights were one level down in a field called items_A. THE READING WAS COHERENT, FITTED EVERY FACT IN VIEW, AND WAS WRONG — which is what makes this distinct from not looking. A partial reading does not feel partial; it feels like understanding, and the feeling arrives at exactly the moment the first consistent story forms. THE PRACTICAL FORM: when a structure is about to be characterised — 'this is a blend', 'these are branches', 'this is a range' — follow it to the LEAF that carries the arithmetic, and name that leaf in whatever is written. A claim that cites a line number cannot be made from the top-level keys.</w:t>
      </w:r>
    </w:p>
    <w:p>
      <w:pPr>
        <w:spacing w:after="60"/>
        <w:ind w:left="283"/>
      </w:pPr>
      <w:r>
        <w:rPr>
          <w:b w:val="0"/>
          <w:i w:val="0"/>
          <w:color w:val="5B6570"/>
          <w:sz w:val="19"/>
        </w:rPr>
        <w:t>How we know.  The corrected note names the exact line or field carrying each study's construction — lenses.items_A, fair_value.weights, compute.py:722, compute.py:505, compute.py:258-260, stc_compute.py:277, lenses.weights — and writing that column is what forced every row to be verified rather than inferred. It also overturned the note's own structure: all seven studies turned out to carry the same defect, so the 'ordered by what each needs' sequencing rested on a distinction that does not exist. THE CITATION COLUMN IS THE INSTRUMENT, not the discipline of the person filling it in.</w:t>
      </w:r>
    </w:p>
    <w:p>
      <w:pPr>
        <w:spacing w:after="160"/>
        <w:ind w:left="283"/>
      </w:pPr>
      <w:r>
        <w:rPr>
          <w:b w:val="0"/>
          <w:i w:val="0"/>
          <w:color w:val="5B6570"/>
          <w:sz w:val="19"/>
        </w:rPr>
        <w:t>What would overturn it.  A structure genuinely characterisable from its top level — which exists, and is why this is a habit rather than a bar: the test is whether the characterisation could be WRONG one level down, and if it could, go there.</w:t>
      </w:r>
    </w:p>
    <w:p>
      <w:pPr>
        <w:keepNext/>
        <w:spacing w:before="240" w:after="60"/>
      </w:pPr>
      <w:r>
        <w:rPr>
          <w:b/>
          <w:color w:val="1A1D21"/>
          <w:sz w:val="22"/>
        </w:rPr>
        <w:t>L-336  A SHARED INSTRUMENT IS ONLY SHARED IF SOMEBODY RUNS IT, AND THE HAND LIST WINS BECAUSE IT IS FASTER TO TYPE</w:t>
      </w:r>
    </w:p>
    <w:p>
      <w:pPr>
        <w:keepNext/>
        <w:spacing w:after="100"/>
      </w:pPr>
      <w:r>
        <w:rPr>
          <w:b/>
          <w:color w:val="1D6FA3"/>
          <w:sz w:val="16"/>
        </w:rPr>
        <w:t>EVERY STUDY</w:t>
      </w:r>
      <w:r>
        <w:rPr>
          <w:color w:val="5B6570"/>
          <w:sz w:val="16"/>
        </w:rPr>
        <w:t xml:space="preserve">   applies to every study   ·   learned from a self-audit, the BOROUGE push, caught by CI rather than by the sweep that preceded it, 5 September 2026</w:t>
      </w:r>
    </w:p>
    <w:p>
      <w:pPr>
        <w:spacing w:after="100"/>
      </w:pPr>
      <w:r>
        <w:rPr>
          <w:b w:val="0"/>
          <w:i w:val="0"/>
          <w:color w:val="1A1D21"/>
          <w:sz w:val="21"/>
        </w:rPr>
        <w:t>scripts/run_ci_gates.py exists precisely so a local sweep cannot drift from CI: it parses the workflow YAML and runs every step it finds, and its own docstring records the day somebody reported every gate green off a hand-maintained list while CI had been red for a day. Two days later this session did the identical thing — swept twenty-one check scripts named from memory, reported every one green, and pushed. CI was red on engine/fv_movement.py check, which is a workflow step rather than a scripts/check_*.py file and therefore invisible to a list built by guessing at filenames; two of the guessed names did not even exist and were reported as absent rather than as a hole in the sweep. The register was genuinely behind: a study had been rebuilt and its recorded branches never updated. The instrument was in the repository, was correct, was built for this exact failure, and was not run.</w:t>
      </w:r>
    </w:p>
    <w:p>
      <w:pPr>
        <w:spacing w:after="60"/>
        <w:ind w:left="283"/>
      </w:pPr>
      <w:r>
        <w:rPr>
          <w:b w:val="0"/>
          <w:i w:val="0"/>
          <w:color w:val="5B6570"/>
          <w:sz w:val="19"/>
        </w:rPr>
        <w:t>How we know.  The hand sweep reported 21 of 21 green and named two scripts that do not exist. CI ran two jobs and both failed on the same step, which the hand sweep never contained. Running scripts/run_ci_gates.py on the workflow reproduces the failure without a push.</w:t>
      </w:r>
    </w:p>
    <w:p>
      <w:pPr>
        <w:spacing w:after="160"/>
        <w:ind w:left="283"/>
      </w:pPr>
      <w:r>
        <w:rPr>
          <w:b w:val="0"/>
          <w:i w:val="0"/>
          <w:color w:val="5B6570"/>
          <w:sz w:val="19"/>
        </w:rPr>
        <w:t>What would overturn it.  Nothing overturns it. What would BLUNT it is a runner that cannot execute a workflow's steps locally at all — then the hand list is the only instrument there is, and the honest report says which population it covered rather than 'every gate'.</w:t>
      </w:r>
    </w:p>
    <w:p>
      <w:pPr>
        <w:keepNext/>
        <w:spacing w:before="240" w:after="60"/>
      </w:pPr>
      <w:r>
        <w:rPr>
          <w:b/>
          <w:color w:val="1A1D21"/>
          <w:sz w:val="22"/>
        </w:rPr>
        <w:t>L-337  A TAXONOMY KEYED ON WHAT SOMETHING IS CALLED WILL REFUSE AN ANSWER IT ALREADY HOLDS</w:t>
      </w:r>
    </w:p>
    <w:p>
      <w:pPr>
        <w:keepNext/>
        <w:spacing w:after="100"/>
      </w:pPr>
      <w:r>
        <w:rPr>
          <w:b/>
          <w:color w:val="1D6FA3"/>
          <w:sz w:val="16"/>
        </w:rPr>
        <w:t>EVERY STUDY</w:t>
      </w:r>
      <w:r>
        <w:rPr>
          <w:color w:val="5B6570"/>
          <w:sz w:val="16"/>
        </w:rPr>
        <w:t xml:space="preserve">   applies to every study   ·   learned from a found while building, GBCO read against research_protocol.LENS_REGISTRY, 5 September 2026</w:t>
      </w:r>
    </w:p>
    <w:p>
      <w:pPr>
        <w:spacing w:after="100"/>
      </w:pPr>
      <w:r>
        <w:rPr>
          <w:b w:val="0"/>
          <w:i w:val="0"/>
          <w:color w:val="1A1D21"/>
          <w:sz w:val="21"/>
        </w:rPr>
        <w:t>The lens registry is a closed enumeration keyed on industry names, and what it stores against each name is a LENS SET. Nine studies now cannot publish a lens record, and the sharpest of them is the one where the registry already contains the right answer: GB Corp is valued on split legs with a sum-of-the-parts primary and a relative multiple and book beside it, which is EXACTLY the set stored under 'holding company' — and it may not use that row, because GB Corp is an auto assembler with a captive lender and a holding company IS its stakes. The refusal is on the row's NAME and on nothing else. Where the key and the payload answer different questions, every new case is either a new key for a payload that already exists or a subject filed under the wrong name, and neither is a taxonomy.</w:t>
      </w:r>
    </w:p>
    <w:p>
      <w:pPr>
        <w:spacing w:after="60"/>
        <w:ind w:left="283"/>
      </w:pPr>
      <w:r>
        <w:rPr>
          <w:b w:val="0"/>
          <w:i w:val="0"/>
          <w:color w:val="5B6570"/>
          <w:sz w:val="19"/>
        </w:rPr>
        <w:t>How we know.  Thirteen rows; three of them store an identical lens set under three industry names. Of the nine names blocked, not one needs a lens the registry lacks. GBCO needs a set the registry stores once, under a name that is a real and different subject.</w:t>
      </w:r>
    </w:p>
    <w:p>
      <w:pPr>
        <w:spacing w:after="160"/>
        <w:ind w:left="283"/>
      </w:pPr>
      <w:r>
        <w:rPr>
          <w:b w:val="0"/>
          <w:i w:val="0"/>
          <w:color w:val="5B6570"/>
          <w:sz w:val="19"/>
        </w:rPr>
        <w:t>What would overturn it.  It is overturned if a blocked name turns up needing a LENS the registry does not hold — that would be a genuine gap in coverage rather than in naming, and the fix would be a new row rather than a renamed one. EMPOWER is the near miss: its blend carries a normalised-earnings lens that appears in no row, and that lens has to GO rather than be added, so it does not overturn this.</w:t>
      </w:r>
    </w:p>
    <w:p>
      <w:pPr>
        <w:keepNext/>
        <w:spacing w:before="240" w:after="60"/>
      </w:pPr>
      <w:r>
        <w:rPr>
          <w:b/>
          <w:color w:val="1A1D21"/>
          <w:sz w:val="22"/>
        </w:rPr>
        <w:t>L-338  THE RATIO THAT SAYS WHETHER A BASE IS OLD NEEDS NO DEPRECIATION CHARGE, WHICH IS WHY IT SURVIVES A CONTAMINATED ONE</w:t>
      </w:r>
    </w:p>
    <w:p>
      <w:pPr>
        <w:keepNext/>
        <w:spacing w:after="100"/>
      </w:pPr>
      <w:r>
        <w:rPr>
          <w:b/>
          <w:color w:val="1D6FA3"/>
          <w:sz w:val="16"/>
        </w:rPr>
        <w:t>EVERY STUDY</w:t>
      </w:r>
      <w:r>
        <w:rPr>
          <w:color w:val="5B6570"/>
          <w:sz w:val="16"/>
        </w:rPr>
        <w:t xml:space="preserve">   applies to every study   ·   learned from a found while building, the STC terminal evidence, 5 September 2026</w:t>
      </w:r>
    </w:p>
    <w:p>
      <w:pPr>
        <w:spacing w:after="100"/>
      </w:pPr>
      <w:r>
        <w:rPr>
          <w:b w:val="0"/>
          <w:i w:val="0"/>
          <w:color w:val="1A1D21"/>
          <w:sz w:val="21"/>
        </w:rPr>
        <w:t>Both identities used to age a fixed-asset base divide by the YEAR'S CHARGE — gross cost over charge gives the weighted life, accumulated over charge gives the charge-weighted age — and in most filings that line reads 'depreciation AND IMPAIRMENT' with no split disclosed, so both quantities carry whatever impairment is inside it. The DEPRECIATED SHARE, accumulated depreciation over depreciable gross cost, has no charge in it at all. It answers the question the terminal actually turns on — is this base young or old — and it is immune to the contamination, because the impairment sits in both columns of the roll-forward rather than in the ratio between them. Where the charge is contaminated, say so and give the direction, and lead with the ratio that is not.</w:t>
      </w:r>
    </w:p>
    <w:p>
      <w:pPr>
        <w:spacing w:after="60"/>
        <w:ind w:left="283"/>
      </w:pPr>
      <w:r>
        <w:rPr>
          <w:b w:val="0"/>
          <w:i w:val="0"/>
          <w:color w:val="5B6570"/>
          <w:sz w:val="19"/>
        </w:rPr>
        <w:t>How we know.  STC's note reads 'Depreciation and impairment' with no split. The implied life moves from 20.86 to 22.12 years and the measured age from 15.23 to 16.15 depending which of the two disclosed charge figures is used — about 6% on each — while the depreciated share is 73.0% on either, because the charge cancels. The direction is knowable too: impairment inside the charge shortens both, which understates the escalation to current cost, which understates maintenance, which overstates value.</w:t>
      </w:r>
    </w:p>
    <w:p>
      <w:pPr>
        <w:spacing w:after="160"/>
        <w:ind w:left="283"/>
      </w:pPr>
      <w:r>
        <w:rPr>
          <w:b w:val="0"/>
          <w:i w:val="0"/>
          <w:color w:val="5B6570"/>
          <w:sz w:val="19"/>
        </w:rPr>
        <w:t>What would overturn it.  It is overturned where impairment is written off against the COST column rather than the accumulated column, which some presentations do — then the depreciated share moves with the impairment as well and the immunity is gone. Read which column the roll-forward puts it in before relying on this.</w:t>
      </w:r>
    </w:p>
    <w:p>
      <w:pPr>
        <w:keepNext/>
        <w:spacing w:before="240" w:after="60"/>
      </w:pPr>
      <w:r>
        <w:rPr>
          <w:b/>
          <w:color w:val="1A1D21"/>
          <w:sz w:val="22"/>
        </w:rPr>
        <w:t>L-339  A BLOCKER RECORDED INSIDE A STUDY'S OWN ARTEFACT IS RE-CHECKED BY NOTHING, AND IT GOES ON ASKING AFTER IT HAS BEEN ANSWERED</w:t>
      </w:r>
    </w:p>
    <w:p>
      <w:pPr>
        <w:keepNext/>
        <w:spacing w:after="100"/>
      </w:pPr>
      <w:r>
        <w:rPr>
          <w:b/>
          <w:color w:val="1D6FA3"/>
          <w:sz w:val="16"/>
        </w:rPr>
        <w:t>EVERY STUDY</w:t>
      </w:r>
      <w:r>
        <w:rPr>
          <w:color w:val="5B6570"/>
          <w:sz w:val="16"/>
        </w:rPr>
        <w:t xml:space="preserve">   applies to every study   ·   learned from a found while building, GBCO and STC read to the leaf, 5 September 2026</w:t>
      </w:r>
    </w:p>
    <w:p>
      <w:pPr>
        <w:spacing w:after="100"/>
      </w:pPr>
      <w:r>
        <w:rPr>
          <w:b w:val="0"/>
          <w:i w:val="0"/>
          <w:color w:val="1A1D21"/>
          <w:sz w:val="21"/>
        </w:rPr>
        <w:t>[R-IND-01] made a question to the principal an ARTEFACT rather than a message, and its gate re-checks every open entry against every live ref precisely so an entry cannot go on asking for something already supplied. That polices the escalation REGISTER. A blocker written into a study's own JSON is outside it: nothing globs for one, nothing re-tests its resolving condition, and it reads as current for as long as it sits there. Two studies carried the identical field — 'this market's own sovereign default spread, on both bases, read fresh from the original source; not reconstructed from memory: stop and inform' — and a rule adopted three days earlier had put exactly those figures in the house macro path for every market. Where a process records that it is waiting for something, the record has to be somewhere a checker can find it, or the waiting is permanent.</w:t>
      </w:r>
    </w:p>
    <w:p>
      <w:pPr>
        <w:spacing w:after="60"/>
        <w:ind w:left="283"/>
      </w:pPr>
      <w:r>
        <w:rPr>
          <w:b w:val="0"/>
          <w:i w:val="0"/>
          <w:color w:val="5B6570"/>
          <w:sz w:val="19"/>
        </w:rPr>
        <w:t>How we know.  A sweep of every JSON in every study directory for a field naming a blocker returns exactly two, both wacc_reissue_blocked_on, both asking for a sovereign default spread. engine/macro_paths/EG.json carries Egypt's at 6.37% rating and 3.41% market; SA.json carries Saudi Arabia's at 0.51% and 0.98%. Both were sourced and dated on 2-3 September; both blockers were written in July and August.</w:t>
      </w:r>
    </w:p>
    <w:p>
      <w:pPr>
        <w:spacing w:after="160"/>
        <w:ind w:left="283"/>
      </w:pPr>
      <w:r>
        <w:rPr>
          <w:b w:val="0"/>
          <w:i w:val="0"/>
          <w:color w:val="5B6570"/>
          <w:sz w:val="19"/>
        </w:rPr>
        <w:t>What would overturn it.  It is overturned by a checker that reads study artefacts for blocker fields and re-tests each one — which is the obvious fix and is not made here, because two instances is a thin population to design a gate against and the cheaper move is to write blockers into the escalation register, where a gate already exists.</w:t>
      </w:r>
    </w:p>
    <w:p>
      <w:pPr>
        <w:keepNext/>
        <w:spacing w:before="240" w:after="60"/>
      </w:pPr>
      <w:r>
        <w:rPr>
          <w:b/>
          <w:color w:val="1A1D21"/>
          <w:sz w:val="22"/>
        </w:rPr>
        <w:t>L-340  A GATE'S POPULATION IS DEFINED BY A SHAPE AND THE THING IT GOVERNS KEEPS ARRIVING IN ANOTHER ONE</w:t>
      </w:r>
    </w:p>
    <w:p>
      <w:pPr>
        <w:keepNext/>
        <w:spacing w:after="100"/>
      </w:pPr>
      <w:r>
        <w:rPr>
          <w:b/>
          <w:color w:val="1D6FA3"/>
          <w:sz w:val="16"/>
        </w:rPr>
        <w:t>EVERY STUDY</w:t>
      </w:r>
      <w:r>
        <w:rPr>
          <w:color w:val="5B6570"/>
          <w:sz w:val="16"/>
        </w:rPr>
        <w:t xml:space="preserve">   applies to every study   ·   learned from a self-audit, the terminal, band-vocabulary and exemplar-debt gates, all found on 5 September 2026</w:t>
      </w:r>
    </w:p>
    <w:p>
      <w:pPr>
        <w:spacing w:after="100"/>
      </w:pPr>
      <w:r>
        <w:rPr>
          <w:b w:val="0"/>
          <w:i w:val="0"/>
          <w:color w:val="1A1D21"/>
          <w:sz w:val="21"/>
        </w:rPr>
        <w:t>Three gates were found blind on one night, each for the same reason and none of them for a reason anyone would call carelessness. The 1/g terminal gate sorted studies into `unreadable` and `scored` and never named the state between them — the terminal resolves, the charge does not — so four studies sat in a bucket nothing reported, one of them carrying the retired construction in plain sight in its own compute.py. The verdict-vocabulary gate holds a list of banned phrasings, was widened two days earlier with a comment saying a rule like this 'is not enforced by banning the word people happened to use for it last time', and was then defeated by a HYPHEN: it looks for 'random walk' and three delivered documents wrote 'random-walk benchmark' and 'no-information benchmark'. The exemplar-debt gate matched a ratchet entry only as a list item equal to a ticker, while three ratchets store their entries as a dict keyed by ticker and two as document paths — so the gate whose whole purpose is to notice the exemplar acquiring debt reported one entry where there were five. IN EVERY CASE THE RULE WAS RIGHT, THE CODE WAS CORRECT FOR WHAT IT LOOKED AT, AND THE POPULATION WAS A GUESS ABOUT WHAT THE WORLD WOULD LOOK LIKE. Where a gate enumerates, enumerate the SHAPES the thing actually arrives in, and make the residue a named bucket rather than an absence.</w:t>
      </w:r>
    </w:p>
    <w:p>
      <w:pPr>
        <w:spacing w:after="60"/>
        <w:ind w:left="283"/>
      </w:pPr>
      <w:r>
        <w:rPr>
          <w:b w:val="0"/>
          <w:i w:val="0"/>
          <w:color w:val="5B6570"/>
          <w:sz w:val="19"/>
        </w:rPr>
        <w:t>How we know.  check_terminal_floor: 24 directories, 20 readable, 16 scored, and the missing 4 reported nowhere. check_band_vocabulary: 3 delivered documents publishing the retired skill verdict, one of them the exemplar, none matched. check_exemplar_debt: 1 entry reported against 5 on disk, and the rule's own adoption note records 8.</w:t>
      </w:r>
    </w:p>
    <w:p>
      <w:pPr>
        <w:spacing w:after="160"/>
        <w:ind w:left="283"/>
      </w:pPr>
      <w:r>
        <w:rPr>
          <w:b w:val="0"/>
          <w:i w:val="0"/>
          <w:color w:val="5B6570"/>
          <w:sz w:val="19"/>
        </w:rPr>
        <w:t>What would overturn it.  It is overturned where a residue is genuinely empty by construction and can be proved so — then naming the bucket adds a line nobody reads. What does NOT overturn it is a residue that happens to be empty today, which is the state every one of these three was in on the day it was written.</w:t>
      </w:r>
    </w:p>
    <w:p>
      <w:pPr>
        <w:keepNext/>
        <w:spacing w:before="240" w:after="60"/>
      </w:pPr>
      <w:r>
        <w:rPr>
          <w:b/>
          <w:color w:val="1A1D21"/>
          <w:sz w:val="22"/>
        </w:rPr>
        <w:t>L-341  TAKING THE SHARED INSTRUMENT IS WHAT HID THE GATE FROM THE META-CHECK, AND THE ADVICE WAS STILL RIGHT</w:t>
      </w:r>
    </w:p>
    <w:p>
      <w:pPr>
        <w:keepNext/>
        <w:spacing w:after="100"/>
      </w:pPr>
      <w:r>
        <w:rPr>
          <w:b/>
          <w:color w:val="1D6FA3"/>
          <w:sz w:val="16"/>
        </w:rPr>
        <w:t>EVERY STUDY</w:t>
      </w:r>
      <w:r>
        <w:rPr>
          <w:color w:val="5B6570"/>
          <w:sz w:val="16"/>
        </w:rPr>
        <w:t xml:space="preserve">   applies to every study   ·   learned from a self-audit, the new-study gauntlet, 5 September 2026</w:t>
      </w:r>
    </w:p>
    <w:p>
      <w:pPr>
        <w:spacing w:after="100"/>
      </w:pPr>
      <w:r>
        <w:rPr>
          <w:b w:val="0"/>
          <w:i w:val="0"/>
          <w:color w:val="1A1D21"/>
          <w:sz w:val="21"/>
        </w:rPr>
        <w:t>The new-study gauntlet decides which gates it must hold against an empty study directory by scanning each gate's own SOURCE for a study path — a rule its own comment already widened once, when five gates turned out to construct the path rather than glob it. One gate defeated even that, and for the best possible reason: it hands its population to a shared census module, so the glob lives there and its own source carried no study path at all. IT HAS RUN OVER EVERY STUDY DIRECTORY SINCE THE DAY IT WAS WRITTEN AND THE GAUNTLET HAD NEVER TESTED IT. What surfaced it was luck: an unrelated comment added to that gate for another reason happened to name a study path, and the gauntlet went red the next time it ran. THE TENSION IS REAL AND THE RESOLUTION IS NOT TO STOP SHARING: a detector that reads only the caller punishes exactly the behaviour this house asks for — import the shared instrument rather than hand-rolling one. So the detector follows first-party imports one level down, and a gate that delegates its population is still a gate over that population.</w:t>
      </w:r>
    </w:p>
    <w:p>
      <w:pPr>
        <w:spacing w:after="60"/>
        <w:ind w:left="283"/>
      </w:pPr>
      <w:r>
        <w:rPr>
          <w:b w:val="0"/>
          <w:i w:val="0"/>
          <w:color w:val="5B6570"/>
          <w:sz w:val="19"/>
        </w:rPr>
        <w:t>How we know.  The gauntlet reported 28 of 28 gates refusing a new study while a 29th, running over every study directory through an imported census, was named in none of its three lists. With the study-path comments stripped out of that gate's source, the widened import route still detects it; the literal scan does not.</w:t>
      </w:r>
    </w:p>
    <w:p>
      <w:pPr>
        <w:spacing w:after="160"/>
        <w:ind w:left="283"/>
      </w:pPr>
      <w:r>
        <w:rPr>
          <w:b w:val="0"/>
          <w:i w:val="0"/>
          <w:color w:val="5B6570"/>
          <w:sz w:val="19"/>
        </w:rPr>
        <w:t>What would overturn it.  It is overturned by a detector that resolves the population at RUNTIME rather than by reading source — which would be strictly better and needs every gate to declare its population in a form a caller can query. One level of import is the cheap approximation, and a gate that delegates two levels down is still invisible.</w:t>
      </w:r>
    </w:p>
    <w:p>
      <w:pPr>
        <w:keepNext/>
        <w:spacing w:before="240" w:after="60"/>
      </w:pPr>
      <w:r>
        <w:rPr>
          <w:b/>
          <w:color w:val="1A1D21"/>
          <w:sz w:val="22"/>
        </w:rPr>
        <w:t>L-342  A DECOMPOSITION WHOSE STEPS ALL READ THE SAME MUTABLE FILE COLLAPSES SILENTLY, AND THE COLLAPSED VERSION STILL WALKS</w:t>
      </w:r>
    </w:p>
    <w:p>
      <w:pPr>
        <w:keepNext/>
        <w:spacing w:after="100"/>
      </w:pPr>
      <w:r>
        <w:rPr>
          <w:b/>
          <w:color w:val="1D6FA3"/>
          <w:sz w:val="16"/>
        </w:rPr>
        <w:t>EVERY STUDY</w:t>
      </w:r>
      <w:r>
        <w:rPr>
          <w:color w:val="5B6570"/>
          <w:sz w:val="16"/>
        </w:rPr>
        <w:t xml:space="preserve">   applies to every study   ·   learned from a found while building, the STC rebuild ledger, 5 September 2026</w:t>
      </w:r>
    </w:p>
    <w:p>
      <w:pPr>
        <w:spacing w:after="100"/>
      </w:pPr>
      <w:r>
        <w:rPr>
          <w:b w:val="0"/>
          <w:i w:val="0"/>
          <w:color w:val="1A1D21"/>
          <w:sz w:val="21"/>
        </w:rPr>
        <w:t>A rebuild ledger records what each correction was worth by storing the answer either side of it. The first draft of one read every lever's answer out of the study's CURRENT numbers file, which is the only place the answer lives — so the moment a fourth lever landed, the third lever's 'after' silently became the fourth's: the third read -18.27% where it was worth -13.75%, and the fourth read +0.00% where it was worth -5.25%. NOTHING ABOUT THAT IS DETECTABLE FROM THE LEDGER. The chain still starts where it started and ends where it ends, every link still joins, the cumulative figure is still exactly right, and the gate that walks it passes. One lever had simply been credited with another's work. THE FIX IS NOT CARE, IT IS AN IMMUTABLE SOURCE — each landed lever's answer now comes from the COMMIT that landed it, because version control is the only record in the room that the next run cannot overwrite. The same defect had been guarded against an hour earlier on a different artefact, by naming that file for its lever set so a later run writes a different file; the guard was right, and it was applied to the file somebody happened to be thinking about while the main record went on being read the wrong way.</w:t>
      </w:r>
    </w:p>
    <w:p>
      <w:pPr>
        <w:spacing w:after="60"/>
        <w:ind w:left="283"/>
      </w:pPr>
      <w:r>
        <w:rPr>
          <w:b w:val="0"/>
          <w:i w:val="0"/>
          <w:color w:val="5B6570"/>
          <w:sz w:val="19"/>
        </w:rPr>
        <w:t>How we know.  Levers read -18.27% and +0.00% against their true -13.75% and -5.25%; the cumulative -11.40% and both endpoints were unchanged either way, and the ledger gate passed both versions.</w:t>
      </w:r>
    </w:p>
    <w:p>
      <w:pPr>
        <w:spacing w:after="160"/>
        <w:ind w:left="283"/>
      </w:pPr>
      <w:r>
        <w:rPr>
          <w:b w:val="0"/>
          <w:i w:val="0"/>
          <w:color w:val="5B6570"/>
          <w:sz w:val="19"/>
        </w:rPr>
        <w:t>What would overturn it.  It is overturned where a process genuinely writes an immutable artefact per step — a per-state file named for its own step, which is the same remedy one level earlier and needs no version control at all. What would NOT overturn it is a checker on the ledger: a collapsed decomposition is internally consistent, so no amount of checking the record against itself can see it.</w:t>
      </w:r>
    </w:p>
    <w:p>
      <w:pPr>
        <w:keepNext/>
        <w:spacing w:before="240" w:after="60"/>
      </w:pPr>
      <w:r>
        <w:rPr>
          <w:b/>
          <w:color w:val="1A1D21"/>
          <w:sz w:val="22"/>
        </w:rPr>
        <w:t>L-343  RECORDING A FAILED SEARCH IS RIGHT, AND IT TURNS THE FAILURE INTO A COMMITTED FACT UNLESS THE RECORD SEPARATES WHAT WAS TRIED FROM WHAT EXISTS</w:t>
      </w:r>
    </w:p>
    <w:p>
      <w:pPr>
        <w:keepNext/>
        <w:spacing w:after="100"/>
      </w:pPr>
      <w:r>
        <w:rPr>
          <w:b/>
          <w:color w:val="1D6FA3"/>
          <w:sz w:val="16"/>
        </w:rPr>
        <w:t>EVERY STUDY</w:t>
      </w:r>
      <w:r>
        <w:rPr>
          <w:color w:val="5B6570"/>
          <w:sz w:val="16"/>
        </w:rPr>
        <w:t xml:space="preserve">   applies to every study   ·   learned from a found while building, STC's source register, 5 September 2026</w:t>
      </w:r>
    </w:p>
    <w:p>
      <w:pPr>
        <w:spacing w:after="100"/>
      </w:pPr>
      <w:r>
        <w:rPr>
          <w:b w:val="0"/>
          <w:i w:val="0"/>
          <w:color w:val="1A1D21"/>
          <w:sz w:val="21"/>
        </w:rPr>
        <w:t>A study's source register listed four investor-relations URLs, each returning the site's own 404 page under an HTTP 200, and concluded that the investor-relations path in the delivered study no longer resolved. Every word of that was true about those four URLs. It was false about the site: the sitemap listed a whole investor section including the presentations page, carrying every earnings deck and call transcript back to 2017 — and the sitemap was ALREADY the route that had found the financial statements in the same session. Nobody pointed it at the presentations. THE DISCIPLINE THAT CAUSED THIS IS THE RIGHT ONE: writing down what was attempted and what came back is exactly what the protocol asks for, and it is why the four URLs were on the page at all. What it lacked was the distinction between the two claims — 'these four addresses returned nothing' and 'this channel is gone' — because a register is precisely the artefact a later session trusts instead of searching again, so a negative written into one becomes durable in a way a failed command never is. The cost here was a study forecasting two thirds of its revenue from an extrapolated segment rate while the subscriber counts that would let it be built as volume times price sat one sitemap away, and the correction immediately showed the growth was VOLUME with price per subscriber falling about 3%, which the extrapolated rate nets out and hides.</w:t>
      </w:r>
    </w:p>
    <w:p>
      <w:pPr>
        <w:spacing w:after="60"/>
        <w:ind w:left="283"/>
      </w:pPr>
      <w:r>
        <w:rPr>
          <w:b w:val="0"/>
          <w:i w:val="0"/>
          <w:color w:val="5B6570"/>
          <w:sz w:val="19"/>
        </w:rPr>
        <w:t>How we know.  Four URLs recorded as failing; www.stc.com.sa/sitemap.xml listed the investor section and the presentations page resolved first try, carrying decks back to 2017.</w:t>
      </w:r>
    </w:p>
    <w:p>
      <w:pPr>
        <w:spacing w:after="160"/>
        <w:ind w:left="283"/>
      </w:pPr>
      <w:r>
        <w:rPr>
          <w:b w:val="0"/>
          <w:i w:val="0"/>
          <w:color w:val="5B6570"/>
          <w:sz w:val="19"/>
        </w:rPr>
        <w:t>What would overturn it.  It is overturned where a register records only the attempts and never a conclusion about the world — then there is no false claim to inherit. What would NOT overturn it is trying harder: four careful probes is not a small effort, and the defect was in what their failure was written up as, not in how many there were.</w:t>
      </w:r>
    </w:p>
    <w:p>
      <w:pPr>
        <w:keepNext/>
        <w:spacing w:before="240" w:after="60"/>
      </w:pPr>
      <w:r>
        <w:rPr>
          <w:b/>
          <w:color w:val="1A1D21"/>
          <w:sz w:val="22"/>
        </w:rPr>
        <w:t>L-344  A BUILD READS THE LINE IT EXPECTS AND NOT THE NOTE THE LINE POINTS AT, AND EVERY GATE IN THE ROOM IS BLIND TO IT</w:t>
      </w:r>
    </w:p>
    <w:p>
      <w:pPr>
        <w:keepNext/>
        <w:spacing w:after="100"/>
      </w:pPr>
      <w:r>
        <w:rPr>
          <w:b/>
          <w:color w:val="1D6FA3"/>
          <w:sz w:val="16"/>
        </w:rPr>
        <w:t>EVERY STUDY</w:t>
      </w:r>
      <w:r>
        <w:rPr>
          <w:color w:val="5B6570"/>
          <w:sz w:val="16"/>
        </w:rPr>
        <w:t xml:space="preserve">   applies to every study   ·   learned from a found while building, STC, AMOC and SCEM, August-September 2026</w:t>
      </w:r>
    </w:p>
    <w:p>
      <w:pPr>
        <w:spacing w:after="100"/>
      </w:pPr>
      <w:r>
        <w:rPr>
          <w:b w:val="0"/>
          <w:i w:val="0"/>
          <w:color w:val="1A1D21"/>
          <w:sz w:val="21"/>
        </w:rPr>
        <w:t>Three defects of one shape landed in a single study in a single session, and all three were figures sitting in a note the build had never opened, inside documents it had already fetched and parsed cell by cell. The associates line was carried at a quarter of the filed figure because the note splitting it was not read; the reviewed half-year was downloaded and the forecast built as though it did not exist; and a claim ahead of equity — consideration owed to a regulator for licences already capitalised — sat on its own row inside "financial liabilities and others" while the bridge read the borrowings lines beside it and stopped. The same shape had already produced AMOC's unopened reviewed statements and SCEM's audited statements sitting unread on the company's own website, so it is three companies rather than one quirk. WHAT MAKES IT INVISIBLE is that nothing is wrong with the figure that WAS read: it is correctly extracted, correctly footed and correctly sourced, so provenance, arithmetic, four- field registers and recalculation are all clean. The defect is an ABSENCE, and an absence has no cell to check. Two of the three raised the value and one lowered it, which is the useful part: it is a reading habit and not a lean, and a habit is cheaper to fix than a bias. THE PRACTICAL FORM: where a line on the face of a statement carries a note reference, the note is opened before the line is used, and a bridge is built from the NOTES rather than from the face — the face aggregates, and what it aggregates is where the claims hide.</w:t>
      </w:r>
    </w:p>
    <w:p>
      <w:pPr>
        <w:spacing w:after="60"/>
        <w:ind w:left="283"/>
      </w:pPr>
      <w:r>
        <w:rPr>
          <w:b w:val="0"/>
          <w:i w:val="0"/>
          <w:color w:val="5B6570"/>
          <w:sz w:val="19"/>
        </w:rPr>
        <w:t>How we know.  Associates 4,641 carried against a filed 12,909.648; a reviewed half with an EBITDA margin 89 basis points above the forecast built without it; spectrum-licence liabilities of 3,443.044 outside borrowings and outside the bridge, worth -1.79% of the central.</w:t>
      </w:r>
    </w:p>
    <w:p>
      <w:pPr>
        <w:spacing w:after="160"/>
        <w:ind w:left="283"/>
      </w:pPr>
      <w:r>
        <w:rPr>
          <w:b w:val="0"/>
          <w:i w:val="0"/>
          <w:color w:val="5B6570"/>
          <w:sz w:val="19"/>
        </w:rPr>
        <w:t>What would overturn it.  It is overturned if a study is found where opening every referenced note changed nothing material across a whole build — which would say the face of the statements is usually sufficient and these were three unlucky names. What would NOT overturn it is a gate catching one of these: none of the existing gates can, because each defect is a figure that is absent rather than wrong.</w:t>
      </w:r>
    </w:p>
    <w:p>
      <w:pPr>
        <w:keepNext/>
        <w:spacing w:before="240" w:after="60"/>
      </w:pPr>
      <w:r>
        <w:rPr>
          <w:b/>
          <w:color w:val="1A1D21"/>
          <w:sz w:val="22"/>
        </w:rPr>
        <w:t>L-345  A RULE THAT ENUMERATES ITS SURFACES IS ONLY CHECKED ON THE SURFACES SOMEBODY WIRED UP</w:t>
      </w:r>
    </w:p>
    <w:p>
      <w:pPr>
        <w:keepNext/>
        <w:spacing w:after="100"/>
      </w:pPr>
      <w:r>
        <w:rPr>
          <w:b/>
          <w:color w:val="1D6FA3"/>
          <w:sz w:val="16"/>
        </w:rPr>
        <w:t>EVERY STUDY</w:t>
      </w:r>
      <w:r>
        <w:rPr>
          <w:color w:val="5B6570"/>
          <w:sz w:val="16"/>
        </w:rPr>
        <w:t xml:space="preserve">   applies to every study   ·   learned from a found while building, The skill-verdict sweep, 5 September 2026</w:t>
      </w:r>
    </w:p>
    <w:p>
      <w:pPr>
        <w:spacing w:after="100"/>
      </w:pPr>
      <w:r>
        <w:rPr>
          <w:b w:val="0"/>
          <w:i w:val="0"/>
          <w:color w:val="1A1D21"/>
          <w:sz w:val="21"/>
        </w:rPr>
        <w:t>The retired skill verdict may reach "no page, figure, document or deck". Its gate grew one surface at a time — the pages first, the figures' caption template next, the Word documents a fortnight later — and nobody ever pointed it at the WORKBOOK, which is delivered in the same folder, on the same day, to the same reader. Five delivered workbooks still carried the verdict, three of them the literal word in capitals, and TWO WERE BUILT THAT WEEK: those studies were swept, passed, and shipped it in the file beside the document. The missing surface was not obscure and nobody decided to leave it out; it simply was never counted. THE PRACTICAL FORM: when a rule names a set of surfaces, read the set back off the CHECKER rather than off the rule, and make the difference explicit. A gate that reads three of four named surfaces reports clean on the fourth for ever, and reports it in exactly the words a fully wired gate would use.</w:t>
      </w:r>
    </w:p>
    <w:p>
      <w:pPr>
        <w:spacing w:after="60"/>
        <w:ind w:left="283"/>
      </w:pPr>
      <w:r>
        <w:rPr>
          <w:b w:val="0"/>
          <w:i w:val="0"/>
          <w:color w:val="5B6570"/>
          <w:sz w:val="19"/>
        </w:rPr>
        <w:t>How we know.  Eight verdict hits across five delivered workbooks at their latest edition, found by a sweep and by no gate; all five fixed rather than ratcheted, so the exemplar's debt did not grow.</w:t>
      </w:r>
    </w:p>
    <w:p>
      <w:pPr>
        <w:spacing w:after="160"/>
        <w:ind w:left="283"/>
      </w:pPr>
      <w:r>
        <w:rPr>
          <w:b w:val="0"/>
          <w:i w:val="0"/>
          <w:color w:val="5B6570"/>
          <w:sz w:val="19"/>
        </w:rPr>
        <w:t>What would overturn it.  It is overturned where a rule's surfaces cannot be enumerated at all — then the gate is doing the best available thing and the gap is in the rule. What would NOT overturn it is the gate being correct on the surfaces it does read: it was, on all three, which is why nothing looked wrong.</w:t>
      </w:r>
    </w:p>
    <w:p>
      <w:pPr>
        <w:keepNext/>
        <w:spacing w:before="240" w:after="60"/>
      </w:pPr>
      <w:r>
        <w:rPr>
          <w:b/>
          <w:color w:val="1A1D21"/>
          <w:sz w:val="22"/>
        </w:rPr>
        <w:t>L-346  AN INSTRUMENT THAT MATCHES FIGURES AGAINST A MODEL CANNOT SEE A FIGURE USED IN THE WRONG PLACE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reconciliation instrument reported zero unmatched across every percentage and multiple in its delivered document, and the opening paragraph of its own valuation section was wrong in four places at once: revenue compounding at 3.0% against a committed 2.4%, a margin GLIDING UP to 32.5% where the model runs flat and slightly DOWN, a capital intensity of 16.5% fading to 15.0% which is MANAGEMENT'S GUIDANCE BAND and is the construction that study had just retired, and a tax rate of 9.7% against the 8.03% applied. THE REASON THE INSTRUMENT WAS BLIND IS STRUCTURAL AND NOT A BUG: every one of those figures exists somewhere in the committed record — a sensitivity step, a filed year, a guidance range, a forecast-year earnings figure — so a rendering set wide enough to admit the legitimate uses admits the illegitimate ones too. Being in the record is exactly what makes a misplaced figure look right. THE PRACTICAL FORM: the figure check and a CLAIM sweep are different instruments and neither is optional. The claim sweep tests assertions rather than numerals — a guidance band consumed, a glide asserted, a floor named, a lens said to sit above a price it sits below — and it is written by reading the document, which is what tells you which arithmetic to write.</w:t>
      </w:r>
    </w:p>
    <w:p>
      <w:pPr>
        <w:spacing w:after="60"/>
        <w:ind w:left="283"/>
      </w:pPr>
      <w:r>
        <w:rPr>
          <w:b w:val="0"/>
          <w:i w:val="0"/>
          <w:color w:val="5B6570"/>
          <w:sz w:val="19"/>
        </w:rPr>
        <w:t>How we know.  Eleven defects of this class in one document after the instrument reported zero unmatched, and after a page-by-page read had already found and fixed nine others. The claim sweep that caught them tests twelve shapes and is four lines of regular expressions.</w:t>
      </w:r>
    </w:p>
    <w:p>
      <w:pPr>
        <w:spacing w:after="160"/>
        <w:ind w:left="283"/>
      </w:pPr>
      <w:r>
        <w:rPr>
          <w:b w:val="0"/>
          <w:i w:val="0"/>
          <w:color w:val="5B6570"/>
          <w:sz w:val="19"/>
        </w:rPr>
        <w:t>What would overturn it.  It is overturned by a rendering set that can distinguish a figure's USE from its presence — which would mean matching each figure to the specific committed value it renders rather than to any of them. That is buildable and nobody has built it; until then the two instruments are complementary. What would NOT overturn it is a wider or narrower rendering set: narrower produces false positives on legitimate uses, wider hides more.</w:t>
      </w:r>
    </w:p>
    <w:p>
      <w:pPr>
        <w:keepNext/>
        <w:spacing w:before="240" w:after="60"/>
      </w:pPr>
      <w:r>
        <w:rPr>
          <w:b/>
          <w:color w:val="1A1D21"/>
          <w:sz w:val="22"/>
        </w:rPr>
        <w:t>L-347  FIXING A TABLE DOES NOT FIX THE SENTENCE THAT RESTATES IT</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normalisation was rebuilt after a workbook reconciliation exposed it, and an assertion now holds the rebuilt table to its own arithmetic at every build. The paragraph three inches above it went on stating the RETIRED arithmetic in words — "~SAR 14.4 bn (reported 14.8 bn less the zakat credit), or EPS ~2.89" — which is the filed profit less the NET zakat line rather than the disclosed one-off inside it, against a rebuilt 13.2 bn and 2.65. The same shape appeared three more times in one document: a cost-of-capital table rebuilt from the record while the prose sentence restating it kept the retired beta; a cover table moved onto the filed years while its introduction still framed the guidance band; a football-field figure recomputed while its caption still described the three-lever bear case that had been replaced by a one-lever one. NO ASSERTION REACHES A SENTENCE. THE PRACTICAL FORM: when a construction changes, grep the delivered text for the OLD construction by name — not for its numbers, which is what the figure check already does — because the sentence that restates a table is written once and never rebuilt.</w:t>
      </w:r>
    </w:p>
    <w:p>
      <w:pPr>
        <w:spacing w:after="60"/>
        <w:ind w:left="283"/>
      </w:pPr>
      <w:r>
        <w:rPr>
          <w:b w:val="0"/>
          <w:i w:val="0"/>
          <w:color w:val="5B6570"/>
          <w:sz w:val="19"/>
        </w:rPr>
        <w:t>How we know.  Four instances in one document, each surviving the rebuild of the exact table it described, and each invisible to a figure check because its figures were legitimate elsewhere.</w:t>
      </w:r>
    </w:p>
    <w:p>
      <w:pPr>
        <w:spacing w:after="160"/>
        <w:ind w:left="283"/>
      </w:pPr>
      <w:r>
        <w:rPr>
          <w:b w:val="0"/>
          <w:i w:val="0"/>
          <w:color w:val="5B6570"/>
          <w:sz w:val="19"/>
        </w:rPr>
        <w:t>What would overturn it.  It is overturned where prose is generated from the same record as the table it describes, which removes the possibility rather than checking for it — several of these were fixed that way and the fix is available whenever a sentence's claim is arithmetic. It does NOT apply to genuinely narrative prose, which cannot be generated and must be swept.</w:t>
      </w:r>
    </w:p>
    <w:p>
      <w:pPr>
        <w:keepNext/>
        <w:spacing w:before="240" w:after="60"/>
      </w:pPr>
      <w:r>
        <w:rPr>
          <w:b/>
          <w:color w:val="1A1D21"/>
          <w:sz w:val="22"/>
        </w:rPr>
        <w:t>L-348  A STUDY'S OWN PRICE MAP MUST REPRODUCE THE COMMITTED FIT, AND ONE THAT RE-DERIVES IT WILL DISAGREE WITH THE SITE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delivered study's probability section ran a simulation of its own rather than calling the production chain, and it was wrong in five ways at once against the fit its market actually runs: Student-t innovations hardcoded at five degrees of freedom against a fitted fifteen, NO width calibration at all against a fitted 1.056, zero drift on a market carrying an ACTIVE momentum lean, a horizon fixed at sixty sessions where the horizons are calendar, and a sixteen-factor stack of nine typed jump probabilities with typed impacts whose own printed caption conceded that none of them was calibrated. THE CONSEQUENCE WAS NOT A ROUNDING DIFFERENCE: it published a different cone from the one the site publishes for that name on that day — a three-month median of 45.06 against 45.30, a 95th percentile of 51.21 against 52.20, and a thirteen per cent chance of touching a level against twenty. A reader holding both would have found two answers to one question, and the one with the invented event probabilities was the one wearing the study's covers. THE PRACTICAL FORM: a study REPRODUCES the committed fit by calling the same function the roll-forward calls, and asserts the reproduction rather than trusting it. Re-implementing an engine to describe it grades something other than what ships.</w:t>
      </w:r>
    </w:p>
    <w:p>
      <w:pPr>
        <w:spacing w:after="60"/>
        <w:ind w:left="283"/>
      </w:pPr>
      <w:r>
        <w:rPr>
          <w:b w:val="0"/>
          <w:i w:val="0"/>
          <w:color w:val="5B6570"/>
          <w:sz w:val="19"/>
        </w:rPr>
        <w:t>How we know.  Re-pointed at the production strike, the study reproduces the published row to the cent at both horizons and the touch ladder to the point, across eight levels and two horizons. The study's own walk-forward artefact was the same defect one layer down: sixty origins from an uncleaned frame, disagreeing with the committed panel on the very first row because the data-quality gate had not been applied.</w:t>
      </w:r>
    </w:p>
    <w:p>
      <w:pPr>
        <w:spacing w:after="160"/>
        <w:ind w:left="283"/>
      </w:pPr>
      <w:r>
        <w:rPr>
          <w:b w:val="0"/>
          <w:i w:val="0"/>
          <w:color w:val="5B6570"/>
          <w:sz w:val="19"/>
        </w:rPr>
        <w:t>What would overturn it.  It is overturned where a study legitimately needs a construction the production engine does not offer — a counterfactual, an ablation, a diagnostic. Those are internal and must be LABELLED as not the published cone; what is forbidden is a study-local construction PRESENTED as the house's price map.</w:t>
      </w:r>
    </w:p>
    <w:p>
      <w:pPr>
        <w:keepNext/>
        <w:spacing w:before="240" w:after="60"/>
      </w:pPr>
      <w:r>
        <w:rPr>
          <w:b/>
          <w:color w:val="1A1D21"/>
          <w:sz w:val="22"/>
        </w:rPr>
        <w:t>L-349  A DIRECTIONAL CLAIM IS TESTABLE FROM THE RECORD, AND THE NAIVE TEST IS NOT</w:t>
      </w:r>
    </w:p>
    <w:p>
      <w:pPr>
        <w:keepNext/>
        <w:spacing w:after="100"/>
      </w:pPr>
      <w:r>
        <w:rPr>
          <w:b/>
          <w:color w:val="1D6FA3"/>
          <w:sz w:val="16"/>
        </w:rPr>
        <w:t>EVERY STUDY</w:t>
      </w:r>
      <w:r>
        <w:rPr>
          <w:color w:val="5B6570"/>
          <w:sz w:val="16"/>
        </w:rPr>
        <w:t xml:space="preserve">   applies to every study   ·   learned from a found while building, A book-wide directional sweep run while auditing STC, 5 September 2026</w:t>
      </w:r>
    </w:p>
    <w:p>
      <w:pPr>
        <w:spacing w:after="100"/>
      </w:pPr>
      <w:r>
        <w:rPr>
          <w:b w:val="0"/>
          <w:i w:val="0"/>
          <w:color w:val="1A1D21"/>
          <w:sz w:val="21"/>
        </w:rPr>
        <w:t>"X sits above the market price" is a claim a study can be held to using only its own committed values and no model at all, which makes it look like an easy gate. MEASURED ACROSS TWENTY-THREE DELIVERED STUDIES it is not: a first draft flagged 11 of 119 such sentences, a second draft — re-pointed to skip probability reads, to skip a spot compared with itself, and to take the NEAREST figure rather than the last in a window — flagged 16 of 57, WORSE at 28.1%, and inspection put almost all of it on the instrument rather than on the book. It read "30% above the market price" as a value of 3.0; it took the top of a printed range as the subject of a sentence about that range's bottom corner; it ran one table cell's figure into the next row's direction word. THE SUBJECT OF A DIRECTIONAL SENTENCE IS NOT RECOVERABLE FROM THE PAGE, which is the same residue the waterfall gate hit and has the same answer: the test moves to whoever knows, because the BUILDER knows which value the sentence is about and the page never says. WHAT THE SWEEP DID FIND, and no gate in this repository could see either, is two delivered studies whose lens-comparison prose contradicts their own committed record — every individual figure correct, the relationship between them wrong.</w:t>
      </w:r>
    </w:p>
    <w:p>
      <w:pPr>
        <w:spacing w:after="60"/>
        <w:ind w:left="283"/>
      </w:pPr>
      <w:r>
        <w:rPr>
          <w:b w:val="0"/>
          <w:i w:val="0"/>
          <w:color w:val="5B6570"/>
          <w:sz w:val="19"/>
        </w:rPr>
        <w:t>How we know.  ARCC's section 4 states "two of them sit ABOVE the market price" against a committed spot of 77.00 and committed lens values of 66.53, 65.57 and 45.65 — ALL THREE BELOW — then lists three names under "two" and quotes 49.64 and 55.21, neither of which is in its committed lens set: a sentence written for the values that study held before it was re-struck. GBCO's football-field caption reads "Central fair value ~EGP 35.7/share, 14% below spot" where its own stated spot is 31.25, so the magnitude is right and the direction inverted. False-positive rates measured at 9.2% and 28.1% on two drafts of the detector.</w:t>
      </w:r>
    </w:p>
    <w:p>
      <w:pPr>
        <w:spacing w:after="160"/>
        <w:ind w:left="283"/>
      </w:pPr>
      <w:r>
        <w:rPr>
          <w:b w:val="0"/>
          <w:i w:val="0"/>
          <w:color w:val="5B6570"/>
          <w:sz w:val="19"/>
        </w:rPr>
        <w:t>What would overturn it.  It is overturned by a detector that resolves a sentence's SUBJECT reliably from the page — the residue here is entirely that problem and not the arithmetic, which is trivial. It would also be overturned, in the direction that matters, by studies DECLARING their directional claims the way a waterfall declares its steps: the claim becomes checkable at build time and the page-side detector stops being needed. What would NOT overturn it is a wider tolerance, which is the free parameter the promotion rule forbids.</w:t>
      </w:r>
    </w:p>
    <w:p>
      <w:pPr>
        <w:keepNext/>
        <w:spacing w:before="240" w:after="60"/>
      </w:pPr>
      <w:r>
        <w:rPr>
          <w:b/>
          <w:color w:val="1A1D21"/>
          <w:sz w:val="22"/>
        </w:rPr>
        <w:t>L-350  A DELIVERED SET IS THREE FILES AND EVERY INSTRUMENT IN THE BOOK WAS POINTED AT TWO</w:t>
      </w:r>
    </w:p>
    <w:p>
      <w:pPr>
        <w:keepNext/>
        <w:spacing w:after="100"/>
      </w:pPr>
      <w:r>
        <w:rPr>
          <w:b/>
          <w:color w:val="1D6FA3"/>
          <w:sz w:val="16"/>
        </w:rPr>
        <w:t>EVERY STUDY</w:t>
      </w:r>
      <w:r>
        <w:rPr>
          <w:color w:val="5B6570"/>
          <w:sz w:val="16"/>
        </w:rPr>
        <w:t xml:space="preserve">   applies to every study   ·   learned from a found while building, STC audit item 15a, 5 September 2026</w:t>
      </w:r>
    </w:p>
    <w:p>
      <w:pPr>
        <w:spacing w:after="100"/>
      </w:pPr>
      <w:r>
        <w:rPr>
          <w:b w:val="0"/>
          <w:i w:val="0"/>
          <w:color w:val="1A1D21"/>
          <w:sz w:val="21"/>
        </w:rPr>
        <w:t>Every study declares its own document population, and every one of the twenty-four declares the same pair: the study and the bibliography. The WORKBOOK a reader also receives was scanned by nothing — not the prose-figure instrument, not the external-reader scrub, not the shape-matching vocabulary gate. It is not an oversight anybody would notice, because a population written as a list looks complete from the inside and omits whatever nobody thought of on the day it was written. The fix is one line per study and a string-cell reader in the shared module; the finding is that a rule saying EVERY DELIVERED DOCUMENT was being read as every document somebody remembered to name.</w:t>
      </w:r>
    </w:p>
    <w:p>
      <w:pPr>
        <w:spacing w:after="60"/>
        <w:ind w:left="283"/>
      </w:pPr>
      <w:r>
        <w:rPr>
          <w:b w:val="0"/>
          <w:i w:val="0"/>
          <w:color w:val="5B6570"/>
          <w:sz w:val="19"/>
        </w:rPr>
        <w:t>How we know.  Extending STC's two instruments to its own workbook found eleven defects in one pass, every one beside a cell computing the right answer: a spot of 43.58 against a delivered 43.86, a share count of 4,989.8mn against 4,993.024mn, a market capitalisation of 217,455 against 218,994, an equity weight of 90.6% against a cell computing 90.3%, a balance sheet named as the first quarter's when the bridge stands on the reviewed half, a caption promising a retired four-lens blend, a beta cell describing a nine-week daily regression on a vendor's index quotes that the model had replaced, a beta sensitivity grid WITHOUT THE ADOPTED BETA ON IT, a Monte Carlo caption reading "Zero drift" against a committed live momentum lean, a sovereign rate derived from a broker's note, and an average twelve-month target price. Four internal-vocabulary leaks came out of the same pass.</w:t>
      </w:r>
    </w:p>
    <w:p>
      <w:pPr>
        <w:spacing w:after="160"/>
        <w:ind w:left="283"/>
      </w:pPr>
      <w:r>
        <w:rPr>
          <w:b w:val="0"/>
          <w:i w:val="0"/>
          <w:color w:val="5B6570"/>
          <w:sz w:val="19"/>
        </w:rPr>
        <w:t>What would overturn it.  It is overturned by a study whose delivered set is genuinely two files, which is a fact about that study rather than about the rule. What would NOT overturn it is a study declaring the workbook and finding nothing: an instrument that comes back clean on a population it was finally pointed at is the instrument working, not evidence the population did not matter.</w:t>
      </w:r>
    </w:p>
    <w:p>
      <w:pPr>
        <w:keepNext/>
        <w:spacing w:before="240" w:after="60"/>
      </w:pPr>
      <w:r>
        <w:rPr>
          <w:b/>
          <w:color w:val="1A1D21"/>
          <w:sz w:val="22"/>
        </w:rPr>
        <w:t>L-351  A CHECK SOMEBODY HAS TO REMEMBER TO RUN IS RUN UNTIL THE DAY IT MATTERS</w:t>
      </w:r>
    </w:p>
    <w:p>
      <w:pPr>
        <w:keepNext/>
        <w:spacing w:after="100"/>
      </w:pPr>
      <w:r>
        <w:rPr>
          <w:b/>
          <w:color w:val="1D6FA3"/>
          <w:sz w:val="16"/>
        </w:rPr>
        <w:t>EVERY STUDY</w:t>
      </w:r>
      <w:r>
        <w:rPr>
          <w:color w:val="5B6570"/>
          <w:sz w:val="16"/>
        </w:rPr>
        <w:t xml:space="preserve">   applies to every study   ·   learned from a found while building, The workbook-values gate's first run, 5 September 2026</w:t>
      </w:r>
    </w:p>
    <w:p>
      <w:pPr>
        <w:spacing w:after="100"/>
      </w:pPr>
      <w:r>
        <w:rPr>
          <w:b w:val="0"/>
          <w:i w:val="0"/>
          <w:color w:val="1A1D21"/>
          <w:sz w:val="21"/>
        </w:rPr>
        <w:t>Depth-bar standard 3 has required an independent recalculation of the delivered workbook since the standard was written, every study's QC gate carries a row attesting it, and twenty-two of twenty-four studies carry the instrument to do it. Nothing outside a study directory ran any of them: every occurrence of the word was a sentence in a comment. The instruments are careful, correct and cheap — the whole book runs in under two minutes — and the moment a rebuild lands is exactly the moment nobody runs them, which is the moment the answer has just moved. WHERE A STUDY BUILDS ITS OWN CHECK, SOMETHING OUTSIDE THE STUDY HAS TO PULL THE TRIGGER.</w:t>
      </w:r>
    </w:p>
    <w:p>
      <w:pPr>
        <w:spacing w:after="60"/>
        <w:ind w:left="283"/>
      </w:pPr>
      <w:r>
        <w:rPr>
          <w:b w:val="0"/>
          <w:i w:val="0"/>
          <w:color w:val="5B6570"/>
          <w:sz w:val="19"/>
        </w:rPr>
        <w:t>How we know.  Running all twenty-two found two red. SWDY's delivered workbook publishes SAR 59.3132 where its delivered document publishes 55.4822, +6.9%, with ZERO formula errors: DCF!C25 still carries the g x IC terminal [R-TERM-01] retired, which the study's own compute.py computes and labels "published unused, feeds nothing" (-6.5% alone), and SOTP Bridge!C12 carries no line for the employees' statutory share of profit the model deducts at 12.19% (+14.4% alone) — with the builder's own expected-value map holding the RIGHT figure for both cells. Its recalc.py names all 27 disagreeing cells in under a second and had not been run since the rebuild. AMOC's refuses outright, still written for a nine-sheet workbook the study replaced with a sixteen-sheet one.</w:t>
      </w:r>
    </w:p>
    <w:p>
      <w:pPr>
        <w:spacing w:after="160"/>
        <w:ind w:left="283"/>
      </w:pPr>
      <w:r>
        <w:rPr>
          <w:b w:val="0"/>
          <w:i w:val="0"/>
          <w:color w:val="5B6570"/>
          <w:sz w:val="19"/>
        </w:rPr>
        <w:t>What would overturn it.  It is overturned by evidence that these checks are in fact run at every rebuild without a gate — which the two red studies are direct evidence against. It would be strengthened, not overturned, by a study whose check is red for a reason the gate should not fire on: that is a re-pointing question about one instrument, not about whether the trigger is pulled.</w:t>
      </w:r>
    </w:p>
    <w:p>
      <w:pPr>
        <w:keepNext/>
        <w:spacing w:before="240" w:after="60"/>
      </w:pPr>
      <w:r>
        <w:rPr>
          <w:b/>
          <w:color w:val="1A1D21"/>
          <w:sz w:val="22"/>
        </w:rPr>
        <w:t>L-352  The gap between a company's prices and its costs barely moves; the rate they both rise at moves enormously.</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It is tempting to spend the work on margins — will this line squeeze, will that one improve. On the record, the gap between what a company charges and what it pays holds almost still, while the rate at which both climb runs anywhere from sixteen to forty-six per cent a year. Get the rate right first. Getting the gap right and the rate wrong is optimising the smaller of the two by a factor of about a hundred.</w:t>
      </w:r>
    </w:p>
    <w:p>
      <w:pPr>
        <w:spacing w:after="60"/>
        <w:ind w:left="283"/>
      </w:pPr>
      <w:r>
        <w:rPr>
          <w:b w:val="0"/>
          <w:i w:val="0"/>
          <w:color w:val="5B6570"/>
          <w:sz w:val="19"/>
        </w:rPr>
        <w:t>How we know.  Realised escalation of revenue against cost, from each run's own filed accounts: TMGH 2011-2025, +16.0% a year against +15.5%, a drift of -0.37% a year; PHDC 2015-2023 per delivered unit, +22.7% against +23.5%, +0.61%; AMOC FY2021-FY2025 per tonne, +44.6% against +46.0%, +0.97%. Twenty-six name-years across two classes, drift inside one per cent a year and NOT one-signed — which is a flat spread rather than a slow trend. Over the same window AMOC's escalation rate was 44.6% a year and its model used zero, worth 0.52 log points of bias on its own.</w:t>
      </w:r>
    </w:p>
    <w:p>
      <w:pPr>
        <w:spacing w:after="160"/>
        <w:ind w:left="283"/>
      </w:pPr>
      <w:r>
        <w:rPr>
          <w:b w:val="0"/>
          <w:i w:val="0"/>
          <w:color w:val="5B6570"/>
          <w:sz w:val="19"/>
        </w:rPr>
        <w:t>What would overturn it.  A long window — five years or more — where the cost drift exceeds two per cent a year, or a systematic difference in drift between classes. Two developers here run -0.37% and +0.61% and the one refiner +0.97%, which is no separation at all on three names, so a class split would overturn the scope rather than the finding.</w:t>
      </w:r>
    </w:p>
    <w:p>
      <w:pPr>
        <w:keepNext/>
        <w:spacing w:before="240" w:after="60"/>
      </w:pPr>
      <w:r>
        <w:rPr>
          <w:b/>
          <w:color w:val="1A1D21"/>
          <w:sz w:val="22"/>
        </w:rPr>
        <w:t>L-353  Holding a price or a cost still is the worst thing a forecast can do with it.</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Where a model cannot forecast something — a commodity price, an exchange rate — the cautious-looking move is to hold it where it is. That is not caution. Standing still inside an economy that is moving is a forecast too, and on the record it is the worst of the available ones, because it is the only rule that is guaranteed to be wrong by the whole of whatever happened.</w:t>
      </w:r>
    </w:p>
    <w:p>
      <w:pPr>
        <w:spacing w:after="60"/>
        <w:ind w:left="283"/>
      </w:pPr>
      <w:r>
        <w:rPr>
          <w:b w:val="0"/>
          <w:i w:val="0"/>
          <w:color w:val="5B6570"/>
          <w:sz w:val="19"/>
        </w:rPr>
        <w:t>How we know.  Four rules a study could have followed at each origin, none of them fitted, scored against what the company then reported: freezing, the origin's last published consumer inflation, purchasing-power parity on the inflation differential, and the company's own trailing three-year escalation. Freezing was the WORST on every name that could be measured — mean absolute log error 0.346 on PHDC, 0.236 on AMOC, 0.364 on TMGH — and on the paired cells the trailing rule was 42% better, consumer inflation 27% and parity 23%. One of these models freezes its main driver by construction, and that alone is 0.52 log points of its bias.</w:t>
      </w:r>
    </w:p>
    <w:p>
      <w:pPr>
        <w:spacing w:after="160"/>
        <w:ind w:left="283"/>
      </w:pPr>
      <w:r>
        <w:rPr>
          <w:b w:val="0"/>
          <w:i w:val="0"/>
          <w:color w:val="5B6570"/>
          <w:sz w:val="19"/>
        </w:rPr>
        <w:t>What would overturn it.  A name where freezing genuinely beats every alternative over a window of four years or more — which would most plausibly be a company on a hard peg selling a contractually fixed price, where standing still is what the contract actually says.</w:t>
      </w:r>
    </w:p>
    <w:p>
      <w:pPr>
        <w:keepNext/>
        <w:spacing w:before="240" w:after="60"/>
      </w:pPr>
      <w:r>
        <w:rPr>
          <w:b/>
          <w:color w:val="1A1D21"/>
          <w:sz w:val="22"/>
        </w:rPr>
        <w:t>L-354  A range built from a handful of past errors is not the interval it looks like.</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When a method publishes its far years as a range taken from how wrong it has been before, that range is the spread of four to eight observations. The chance the next outcome lands inside such a spread is around two in three, not nine in ten — and it gets worse further out, exactly where the range is doing the work. Say the count, and say what a spread of that count can mean.</w:t>
      </w:r>
    </w:p>
    <w:p>
      <w:pPr>
        <w:spacing w:after="60"/>
        <w:ind w:left="283"/>
      </w:pPr>
      <w:r>
        <w:rPr>
          <w:b w:val="0"/>
          <w:i w:val="0"/>
          <w:color w:val="5B6570"/>
          <w:sz w:val="19"/>
        </w:rPr>
        <w:t>How we know.  Every published far-year range tested walk-forward, with the band built only from origins before the one being tested: 259 cells, 55.6% coverage against an expected 63.5% under exchangeability, p=0.010. It degrades monotonically — -1.9 points at one year to -31.7 at five, where the band catches 29% of outcomes and sixteen of its seventeen misses are on the low side. It under-covers in BOTH regimes, by more outside the devaluation years than inside them, so it is not one bad period.</w:t>
      </w:r>
    </w:p>
    <w:p>
      <w:pPr>
        <w:spacing w:after="160"/>
        <w:ind w:left="283"/>
      </w:pPr>
      <w:r>
        <w:rPr>
          <w:b w:val="0"/>
          <w:i w:val="0"/>
          <w:color w:val="5B6570"/>
          <w:sz w:val="19"/>
        </w:rPr>
        <w:t>What would overturn it.  A range built from enough observations to be an interval rather than a span, or a construction other than min-max. The finding is about the min-max span of a small sample, and a different construction is a different claim.</w:t>
      </w:r>
    </w:p>
    <w:p>
      <w:pPr>
        <w:keepNext/>
        <w:spacing w:before="240" w:after="60"/>
      </w:pPr>
      <w:r>
        <w:rPr>
          <w:b/>
          <w:color w:val="1A1D21"/>
          <w:sz w:val="22"/>
        </w:rPr>
        <w:t>L-355  A probe that guesses what something is called returns a number, not an error — which is why the guess survives.</w:t>
      </w:r>
    </w:p>
    <w:p>
      <w:pPr>
        <w:keepNext/>
        <w:spacing w:after="100"/>
      </w:pPr>
      <w:r>
        <w:rPr>
          <w:b/>
          <w:color w:val="1D6FA3"/>
          <w:sz w:val="16"/>
        </w:rPr>
        <w:t>EVERY STUDY</w:t>
      </w:r>
      <w:r>
        <w:rPr>
          <w:color w:val="5B6570"/>
          <w:sz w:val="16"/>
        </w:rPr>
        <w:t xml:space="preserve">   applies to every study   ·   learned from a found while building, ten first-attempt measurements across one working session, 07-09-2026, every one wrong the same way</w:t>
      </w:r>
    </w:p>
    <w:p>
      <w:pPr>
        <w:spacing w:after="100"/>
      </w:pPr>
      <w:r>
        <w:rPr>
          <w:b w:val="0"/>
          <w:i w:val="0"/>
          <w:color w:val="1A1D21"/>
          <w:sz w:val="21"/>
        </w:rPr>
        <w:t>Reading a record means agreeing with it about names: the key a field is under, the spelling of a label, the way a file is dated, which direction a ratio runs. Where a reader assumes one of those and the record uses another, nothing raises. The reader finds less than is there and prints the smaller figure, and that figure is indistinguishable from a measurement. Read what the record DECLARES about itself before inferring anything from its shape, and where a reader finds nothing, treat that as evidence about the reader first.</w:t>
      </w:r>
    </w:p>
    <w:p>
      <w:pPr>
        <w:spacing w:after="60"/>
        <w:ind w:left="283"/>
      </w:pPr>
      <w:r>
        <w:rPr>
          <w:b w:val="0"/>
          <w:i w:val="0"/>
          <w:color w:val="5B6570"/>
          <w:sz w:val="19"/>
        </w:rPr>
        <w:t>How we know.  Measured on the session's own working: a directory excluded by substring swallowed .github and condemned two files that were on disk; a provenance field read under one of its two spellings reported 58% of 3,862 inputs missing something none of them lacked; an artefact grepped under one of its three names reported two breaches where there is one; a ratchet walked without distinguishing debt from its opposite inflated the programme's headline count 49 against 45; a band read for its key names rather than its own declared basis field reported an acceptance criterion MET that is NOT MET; and a document picker sorting DD-MM-YYYY strings lexicographically read superseded editions. NONE raised. Every one produced a plausible figure, and three of them were reported before being corrected.</w:t>
      </w:r>
    </w:p>
    <w:p>
      <w:pPr>
        <w:spacing w:after="160"/>
        <w:ind w:left="283"/>
      </w:pPr>
      <w:r>
        <w:rPr>
          <w:b w:val="0"/>
          <w:i w:val="0"/>
          <w:color w:val="5B6570"/>
          <w:sz w:val="19"/>
        </w:rPr>
        <w:t>What would overturn it.  A session in which a first-attempt measurement is wrong for some OTHER reason — an arithmetic slip, a wrong population, a bad assumption about the world rather than about a name. The claim is about naming specifically; a different failure mode would say this one is not the dominant hazard it appeared to be.</w:t>
      </w:r>
    </w:p>
    <w:p>
      <w:pPr>
        <w:keepNext/>
        <w:spacing w:before="240" w:after="60"/>
      </w:pPr>
      <w:r>
        <w:rPr>
          <w:b/>
          <w:color w:val="1A1D21"/>
          <w:sz w:val="22"/>
        </w:rPr>
        <w:t>L-357  An index of filings is not an archive of filings.</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company can list its statements on its own website and serve none of them. The list looks like evidence the documents exist and are obtainable; only fetching each one tells you which. Record the outcome per file, not per page.</w:t>
      </w:r>
    </w:p>
    <w:p>
      <w:pPr>
        <w:spacing w:after="60"/>
        <w:ind w:left="283"/>
      </w:pPr>
      <w:r>
        <w:rPr>
          <w:b w:val="0"/>
          <w:i w:val="0"/>
          <w:color w:val="5B6570"/>
          <w:sz w:val="19"/>
        </w:rPr>
        <w:t>How we know.  61 statement files listed; 19 on the live host and 0 of those fetchable; 42 on a host whose DNS does not resolve; the index's last period is 2025-09-30 while the last statement on the basis the study models is FY2020.</w:t>
      </w:r>
    </w:p>
    <w:p>
      <w:pPr>
        <w:spacing w:after="160"/>
        <w:ind w:left="283"/>
      </w:pPr>
      <w:r>
        <w:rPr>
          <w:b w:val="0"/>
          <w:i w:val="0"/>
          <w:color w:val="5B6570"/>
          <w:sz w:val="19"/>
        </w:rPr>
        <w:t>What would overturn it.  An index whose listings are shown to be reliably fetchable, making the per-file probe redundant.</w:t>
      </w:r>
    </w:p>
    <w:p>
      <w:pPr>
        <w:keepNext/>
        <w:spacing w:before="240" w:after="60"/>
      </w:pPr>
      <w:r>
        <w:rPr>
          <w:b/>
          <w:color w:val="1A1D21"/>
          <w:sz w:val="22"/>
        </w:rPr>
        <w:t>L-358  A study's historicals can be unverifiable and still pass every gate.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Where a company stops publishing on the basis a study models, the study's history quietly becomes a vendor's account of it. Every arithmetic check still passes, because the numbers are internally consistent — they are simply nobody's filed numbers. The test is to measure the study's panel against the filings that DO exist and against the wedge between the two bases, rather than to assume the difference is the consolidation.</w:t>
      </w:r>
    </w:p>
    <w:p>
      <w:pPr>
        <w:spacing w:after="60"/>
        <w:ind w:left="283"/>
      </w:pPr>
      <w:r>
        <w:rPr>
          <w:b w:val="0"/>
          <w:i w:val="0"/>
          <w:color w:val="5B6570"/>
          <w:sz w:val="19"/>
        </w:rPr>
        <w:t>How we know.  At the one year existing on both bases the group is 1.73x the parent on revenue and 2.04x on net profit. The study's FY2023 revenue is 1.79x the parent — consistent with a consolidated figure — while its net profit is 3.09x, 1.51 times beyond what the measured wedge delivers.</w:t>
      </w:r>
    </w:p>
    <w:p>
      <w:pPr>
        <w:spacing w:after="160"/>
        <w:ind w:left="283"/>
      </w:pPr>
      <w:r>
        <w:rPr>
          <w:b w:val="0"/>
          <w:i w:val="0"/>
          <w:color w:val="5B6570"/>
          <w:sz w:val="19"/>
        </w:rPr>
        <w:t>What would overturn it.  A study whose vendor panel is later reconciled line by line to filings on the same basis, showing the check adds nothing.</w:t>
      </w:r>
    </w:p>
    <w:p>
      <w:pPr>
        <w:keepNext/>
        <w:spacing w:before="240" w:after="60"/>
      </w:pPr>
      <w:r>
        <w:rPr>
          <w:b/>
          <w:color w:val="1A1D21"/>
          <w:sz w:val="22"/>
        </w:rPr>
        <w:t>L-359  Check that a "filed record" was filed before reasoning from it.</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review can reach the right conclusion about a study and still take its benchmark from the study's own inputs. Calling a number the company's own record makes it read as external evidence when it is the thing under test, and the argument then runs in a circle nobody can see.</w:t>
      </w:r>
    </w:p>
    <w:p>
      <w:pPr>
        <w:spacing w:after="60"/>
        <w:ind w:left="283"/>
      </w:pPr>
      <w:r>
        <w:rPr>
          <w:b w:val="0"/>
          <w:i w:val="0"/>
          <w:color w:val="5B6570"/>
          <w:sz w:val="19"/>
        </w:rPr>
        <w:t>How we know.  A review described a terminal-margin range of 25.33%-30.68% as the company's own filed record; it is the study's committed hist_is, and two of its three years have no filing at all. The filed range on the basis that can be checked is 1.43%-17.49%, which puts the forecast of 12.30% INSIDE it rather than at half the lowest filed year, and puts the price's reverse read at 1.6 times the highest filed margin.</w:t>
      </w:r>
    </w:p>
    <w:p>
      <w:pPr>
        <w:spacing w:after="160"/>
        <w:ind w:left="283"/>
      </w:pPr>
      <w:r>
        <w:rPr>
          <w:b w:val="0"/>
          <w:i w:val="0"/>
          <w:color w:val="5B6570"/>
          <w:sz w:val="19"/>
        </w:rPr>
        <w:t>What would overturn it.  A house convention that tags every committed historical with whether it came from a filing, making the confusion impossible to make.</w:t>
      </w:r>
    </w:p>
    <w:p>
      <w:pPr>
        <w:keepNext/>
        <w:spacing w:before="240" w:after="60"/>
      </w:pPr>
      <w:r>
        <w:rPr>
          <w:b/>
          <w:color w:val="1A1D21"/>
          <w:sz w:val="22"/>
        </w:rPr>
        <w:t>L-360  The accounting-policies note usually gives a range, not a life.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[R-TERM-01] needs one disclosed useful life and the policy note rarely supplies one. Reading a span and picking a point inside it is the choice the rule exists to forbid, so the honest output is the derived identity and a band.</w:t>
      </w:r>
    </w:p>
    <w:p>
      <w:pPr>
        <w:spacing w:after="60"/>
        <w:ind w:left="283"/>
      </w:pPr>
      <w:r>
        <w:rPr>
          <w:b w:val="0"/>
          <w:i w:val="0"/>
          <w:color w:val="5B6570"/>
          <w:sz w:val="19"/>
        </w:rPr>
        <w:t>How we know.  Route (1) gave spans only (10-50, 4-25, 5-20, 5-20, 5, 5-10); no dominant class, no weighting. Route (2) — depreciable gross cost over the annual charge — gives 24.13 years on the full base and 17.54 excluding the 27.3% of that base the note itself discloses as fully depreciated and still in use, with a prior-year control at 24.99.</w:t>
      </w:r>
    </w:p>
    <w:p>
      <w:pPr>
        <w:spacing w:after="160"/>
        <w:ind w:left="283"/>
      </w:pPr>
      <w:r>
        <w:rPr>
          <w:b w:val="0"/>
          <w:i w:val="0"/>
          <w:color w:val="5B6570"/>
          <w:sz w:val="19"/>
        </w:rPr>
        <w:t>What would overturn it.  A run of filings that do disclose a scalar or a dominant class, making route (1) the normal case rather than the exception.</w:t>
      </w:r>
    </w:p>
    <w:p>
      <w:pPr>
        <w:keepNext/>
        <w:spacing w:before="240" w:after="60"/>
      </w:pPr>
      <w:r>
        <w:rPr>
          <w:b/>
          <w:color w:val="1A1D21"/>
          <w:sz w:val="22"/>
        </w:rPr>
        <w:t>L-361  A borrowing rate below the sovereign is the arithmetic failing, not the company borrowing cheaply.</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Dividing the finance charge by a liabilities total that includes trade payables, related-party balances, tax and provisions understates the rate. The useful part is that the error announces itself: a corporate cannot fund below its own government, so a rate under the sovereign is a denominator problem and can be caught without knowing the right answer.</w:t>
      </w:r>
    </w:p>
    <w:p>
      <w:pPr>
        <w:spacing w:after="60"/>
        <w:ind w:left="283"/>
      </w:pPr>
      <w:r>
        <w:rPr>
          <w:b w:val="0"/>
          <w:i w:val="0"/>
          <w:color w:val="5B6570"/>
          <w:sz w:val="19"/>
        </w:rPr>
        <w:t>How we know.  On the borrowings that actually bear interest the rate runs 8.49%, 8.98%, 18.25%; on total liabilities 4.48%, 5.88%, 14.10% — understated by 3.09 to 4.15 points, and below the Egyptian sovereign in 2 of 3 years.</w:t>
      </w:r>
    </w:p>
    <w:p>
      <w:pPr>
        <w:spacing w:after="160"/>
        <w:ind w:left="283"/>
      </w:pPr>
      <w:r>
        <w:rPr>
          <w:b w:val="0"/>
          <w:i w:val="0"/>
          <w:color w:val="5B6570"/>
          <w:sz w:val="19"/>
        </w:rPr>
        <w:t>What would overturn it.  A jurisdiction where a corporate genuinely funds below its sovereign, which would make the check fire on work that is right.</w:t>
      </w:r>
    </w:p>
    <w:p>
      <w:pPr>
        <w:keepNext/>
        <w:spacing w:before="240" w:after="60"/>
      </w:pPr>
      <w:r>
        <w:rPr>
          <w:b/>
          <w:color w:val="1A1D21"/>
          <w:sz w:val="22"/>
        </w:rPr>
        <w:t>L-362  Operating profit forecasts run about 46% too low for GBCO.</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-0.379 log (about 46% too low), average miss 0.436, wrong in the same direction in 89% of cases, and the sign holds across every bootstrap block tested (n=35).</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L-364  The revenue bias changes direction between regimes.</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It runs one way in one period and the other way in the next. Averaging them produces a correction that is wrong in both. Record it, do not correct for it.</w:t>
      </w:r>
    </w:p>
    <w:p>
      <w:pPr>
        <w:spacing w:after="60"/>
        <w:ind w:left="283"/>
      </w:pPr>
      <w:r>
        <w:rPr>
          <w:b w:val="0"/>
          <w:i w:val="0"/>
          <w:color w:val="5B6570"/>
          <w:sz w:val="19"/>
        </w:rPr>
        <w:t>How we know.  By era: post-float 2017-2021 +0.093; devaluation cycle 2022-2025 -0.078.</w:t>
      </w:r>
    </w:p>
    <w:p>
      <w:pPr>
        <w:spacing w:after="160"/>
        <w:ind w:left="283"/>
      </w:pPr>
      <w:r>
        <w:rPr>
          <w:b w:val="0"/>
          <w:i w:val="0"/>
          <w:color w:val="5B6570"/>
          <w:sz w:val="19"/>
        </w:rPr>
        <w:t>What would overturn it.  A longer record in which one sign dominates across all regimes.</w:t>
      </w:r>
    </w:p>
    <w:p>
      <w:pPr>
        <w:keepNext/>
        <w:spacing w:before="240" w:after="60"/>
      </w:pPr>
      <w:r>
        <w:rPr>
          <w:b/>
          <w:color w:val="1A1D21"/>
          <w:sz w:val="22"/>
        </w:rPr>
        <w:t>L-365  Dna forecasts run about 1.6 times too high for PHAR.</w:t>
      </w:r>
    </w:p>
    <w:p>
      <w:pPr>
        <w:keepNext/>
        <w:spacing w:after="100"/>
      </w:pPr>
      <w:r>
        <w:rPr>
          <w:b/>
          <w:color w:val="1D6FA3"/>
          <w:sz w:val="16"/>
        </w:rPr>
        <w:t>EVERY STUDY</w:t>
      </w:r>
      <w:r>
        <w:rPr>
          <w:color w:val="5B6570"/>
          <w:sz w:val="16"/>
        </w:rPr>
        <w:t xml:space="preserve">   applies to every study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+0.499 log (about 1.6 times too high), average miss 0.499,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L-369  The finance expense error is the company, not the currency.</w:t>
      </w:r>
    </w:p>
    <w:p>
      <w:pPr>
        <w:keepNext/>
        <w:spacing w:after="100"/>
      </w:pPr>
      <w:r>
        <w:rPr>
          <w:b/>
          <w:color w:val="1D6FA3"/>
          <w:sz w:val="16"/>
        </w:rPr>
        <w:t>EVERY STUDY</w:t>
      </w:r>
      <w:r>
        <w:rPr>
          <w:color w:val="5B6570"/>
          <w:sz w:val="16"/>
        </w:rPr>
        <w:t xml:space="preserve">   applies to every study   ·   learned from a fundamental walk-forward test, SCEM walk-forward, date not recorded</w:t>
      </w:r>
      <w:r>
        <w:rPr>
          <w:b/>
          <w:color w:val="B03A2E"/>
          <w:sz w:val="16"/>
        </w:rPr>
        <w:t xml:space="preserve">   ·   STATUS: PROVISIONAL</w:t>
      </w:r>
    </w:p>
    <w:p>
      <w:pPr>
        <w:spacing w:after="100"/>
      </w:pPr>
      <w:r>
        <w:rPr>
          <w:b w:val="0"/>
          <w:i w:val="0"/>
          <w:color w:val="1A1D21"/>
          <w:sz w:val="21"/>
        </w:rPr>
        <w:t>Re-running every forecast with perfect foresight of inflation barely improves it. So devaluation is not the explanation, and looking for a macro fix would waste the effort.</w:t>
      </w:r>
    </w:p>
    <w:p>
      <w:pPr>
        <w:spacing w:after="60"/>
        <w:ind w:left="283"/>
      </w:pPr>
      <w:r>
        <w:rPr>
          <w:b w:val="0"/>
          <w:i w:val="0"/>
          <w:color w:val="5B6570"/>
          <w:sz w:val="19"/>
        </w:rPr>
        <w:t>How we know.  Average miss 0.794 as known, 0.794 with perfect foresight of inflation — the macro share is only 0.0%.</w:t>
      </w:r>
    </w:p>
    <w:p>
      <w:pPr>
        <w:spacing w:after="160"/>
        <w:ind w:left="283"/>
      </w:pPr>
      <w:r>
        <w:rPr>
          <w:b w:val="0"/>
          <w:i w:val="0"/>
          <w:color w:val="5B6570"/>
          <w:sz w:val="19"/>
        </w:rPr>
        <w:t>What would overturn it.  A market or period where the same decomposition puts most of the error on the macro path.</w:t>
      </w:r>
    </w:p>
    <w:p>
      <w:pPr>
        <w:keepNext/>
        <w:spacing w:before="240" w:after="60"/>
      </w:pPr>
      <w:r>
        <w:rPr>
          <w:b/>
          <w:color w:val="1A1D21"/>
          <w:sz w:val="22"/>
        </w:rPr>
        <w:t>L-370  D11 depreciation forecasts run about 2.5 times too low for SWDY.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-0.931 log (about 2.5 times too low), average miss 0.931, wrong in the same direction in 100% of cases, and the sign holds across every bootstrap block tested (n=30).</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L-371  D15 finance costs forecasts run about 2.4 times too low for SWDY.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-0.880 log (about 2.4 times too low), average miss 0.919, wrong in the same direction in 91% of cases, and the sign holds across every bootstrap block tested (n=45).</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L-374  The A gross profit error is the company, not the currency.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Re-running every forecast with perfect foresight of inflation barely improves it. So devaluation is not the explanation, and looking for a macro fix would waste the effort.</w:t>
      </w:r>
    </w:p>
    <w:p>
      <w:pPr>
        <w:spacing w:after="60"/>
        <w:ind w:left="283"/>
      </w:pPr>
      <w:r>
        <w:rPr>
          <w:b w:val="0"/>
          <w:i w:val="0"/>
          <w:color w:val="5B6570"/>
          <w:sz w:val="19"/>
        </w:rPr>
        <w:t>How we know.  Average miss 0.563 as known, 0.563 with perfect foresight of inflation — the macro share is only -61.7%.</w:t>
      </w:r>
    </w:p>
    <w:p>
      <w:pPr>
        <w:spacing w:after="160"/>
        <w:ind w:left="283"/>
      </w:pPr>
      <w:r>
        <w:rPr>
          <w:b w:val="0"/>
          <w:i w:val="0"/>
          <w:color w:val="5B6570"/>
          <w:sz w:val="19"/>
        </w:rPr>
        <w:t>What would overturn it.  A market or period where the same decomposition puts most of the error on the macro path.</w:t>
      </w:r>
    </w:p>
    <w:p>
      <w:pPr>
        <w:keepNext/>
        <w:spacing w:before="240" w:after="60"/>
      </w:pPr>
      <w:r>
        <w:rPr>
          <w:b/>
          <w:color w:val="1A1D21"/>
          <w:sz w:val="22"/>
        </w:rPr>
        <w:t>L-375  The A cost of revenue bias changes direction between regimes.</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It runs one way in one period and the other way in the next. Averaging them produces a correction that is wrong in both. Record it, do not correct for it.</w:t>
      </w:r>
    </w:p>
    <w:p>
      <w:pPr>
        <w:spacing w:after="60"/>
        <w:ind w:left="283"/>
      </w:pPr>
      <w:r>
        <w:rPr>
          <w:b w:val="0"/>
          <w:i w:val="0"/>
          <w:color w:val="5B6570"/>
          <w:sz w:val="19"/>
        </w:rPr>
        <w:t>How we know.  By era: pre-float +0.026; first float -0.024; second float -0.460.</w:t>
      </w:r>
    </w:p>
    <w:p>
      <w:pPr>
        <w:spacing w:after="160"/>
        <w:ind w:left="283"/>
      </w:pPr>
      <w:r>
        <w:rPr>
          <w:b w:val="0"/>
          <w:i w:val="0"/>
          <w:color w:val="5B6570"/>
          <w:sz w:val="19"/>
        </w:rPr>
        <w:t>What would overturn it.  A longer record in which one sign dominates across all regimes.</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keepNext/>
        <w:spacing w:before="240" w:after="60"/>
      </w:pPr>
      <w:r>
        <w:rPr>
          <w:b/>
          <w:color w:val="1A1D21"/>
          <w:sz w:val="22"/>
        </w:rPr>
        <w:t>L-368  Revenue forecasts run about 1.8 times too low for SCEM.</w:t>
      </w:r>
    </w:p>
    <w:p>
      <w:pPr>
        <w:keepNext/>
        <w:spacing w:after="100"/>
      </w:pPr>
      <w:r>
        <w:rPr>
          <w:b/>
          <w:color w:val="7E4A94"/>
          <w:sz w:val="16"/>
        </w:rPr>
        <w:t>A CLASS OF COMPANY</w:t>
      </w:r>
      <w:r>
        <w:rPr>
          <w:color w:val="5B6570"/>
          <w:sz w:val="16"/>
        </w:rPr>
        <w:t xml:space="preserve">   applies to every cement and heavy industrial   ·   learned from a fundamental walk-forward test, SCEM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-0.561 log (about 1.8 times too low), average miss 0.561,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keepNext/>
        <w:spacing w:before="240" w:after="60"/>
      </w:pPr>
      <w:r>
        <w:rPr>
          <w:b/>
          <w:color w:val="1A1D21"/>
          <w:sz w:val="22"/>
        </w:rPr>
        <w:t>L-366  Price per pack forecasts run about 42% too low for PHAR.</w:t>
      </w:r>
    </w:p>
    <w:p>
      <w:pPr>
        <w:keepNext/>
        <w:spacing w:after="100"/>
      </w:pPr>
      <w:r>
        <w:rPr>
          <w:b/>
          <w:color w:val="7E4A94"/>
          <w:sz w:val="16"/>
        </w:rPr>
        <w:t>A CLASS OF COMPANY</w:t>
      </w:r>
      <w:r>
        <w:rPr>
          <w:color w:val="5B6570"/>
          <w:sz w:val="16"/>
        </w:rPr>
        <w:t xml:space="preserve">   applies to every pharmaceutical manufacturer, generic and branded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-0.352 log (about 42% too low), average miss 0.375, wrong in the same direction in 89%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pPr>
        <w:keepNext/>
        <w:spacing w:before="240" w:after="60"/>
      </w:pPr>
      <w:r>
        <w:rPr>
          <w:b/>
          <w:color w:val="1A1D21"/>
          <w:sz w:val="22"/>
        </w:rPr>
        <w:t>L-372  D1 cable volume t forecasts run about 28% too high for SWDY.</w:t>
      </w:r>
    </w:p>
    <w:p>
      <w:pPr>
        <w:keepNext/>
        <w:spacing w:after="100"/>
      </w:pPr>
      <w:r>
        <w:rPr>
          <w:b/>
          <w:color w:val="7E4A94"/>
          <w:sz w:val="16"/>
        </w:rPr>
        <w:t>A CLASS OF COMPANY</w:t>
      </w:r>
      <w:r>
        <w:rPr>
          <w:color w:val="5B6570"/>
          <w:sz w:val="16"/>
        </w:rPr>
        <w:t xml:space="preserve">   applies to every diversified industrial with a contracting arm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+0.250 log (about 28% too high), average miss 0.256, wrong in the same direction in 95% of cases, and the sign holds across every bootstrap block tested (n=20).</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L-373  D5 contracting revenue forecasts run about 39% too low for SWDY.</w:t>
      </w:r>
    </w:p>
    <w:p>
      <w:pPr>
        <w:keepNext/>
        <w:spacing w:after="100"/>
      </w:pPr>
      <w:r>
        <w:rPr>
          <w:b/>
          <w:color w:val="7E4A94"/>
          <w:sz w:val="16"/>
        </w:rPr>
        <w:t>A CLASS OF COMPANY</w:t>
      </w:r>
      <w:r>
        <w:rPr>
          <w:color w:val="5B6570"/>
          <w:sz w:val="16"/>
        </w:rPr>
        <w:t xml:space="preserve">   applies to every diversified industrial with a contracting arm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-0.326 log (about 39% too low), average miss 0.390, wrong in the same direction in 76% of cases, and the sign holds across every bootstrap block tested (n=45).</w:t>
      </w:r>
    </w:p>
    <w:p>
      <w:pPr>
        <w:spacing w:after="160"/>
        <w:ind w:left="283"/>
      </w:pPr>
      <w:r>
        <w:rPr>
          <w:b w:val="0"/>
          <w:i w:val="0"/>
          <w:color w:val="5B6570"/>
          <w:sz w:val="19"/>
        </w:rPr>
        <w:t>What would overturn it.  A later run of the same name where the sign no longer holds across bootstrap blocks.</w:t>
      </w:r>
    </w:p>
    <w:p>
      <w:pPr>
        <w:pStyle w:val="Heading2"/>
      </w:pPr>
      <w:r>
        <w:t>Automotive assembler and distributor with a captive lender</w:t>
      </w:r>
    </w:p>
    <w:p>
      <w:pPr>
        <w:keepNext/>
        <w:spacing w:before="240" w:after="60"/>
      </w:pPr>
      <w:r>
        <w:rPr>
          <w:b/>
          <w:color w:val="1A1D21"/>
          <w:sz w:val="22"/>
        </w:rPr>
        <w:t>L-376  A captive lender's own equity is not a valuation base until what that equity holds has been taken out of it.</w:t>
      </w:r>
    </w:p>
    <w:p>
      <w:pPr>
        <w:keepNext/>
        <w:spacing w:after="100"/>
      </w:pPr>
      <w:r>
        <w:rPr>
          <w:b/>
          <w:color w:val="7E4A94"/>
          <w:sz w:val="16"/>
        </w:rPr>
        <w:t>A CLASS OF COMPANY</w:t>
      </w:r>
      <w:r>
        <w:rPr>
          <w:color w:val="5B6570"/>
          <w:sz w:val="16"/>
        </w:rPr>
        <w:t xml:space="preserve">   applies to every automotive assembler and distributor with a captive lender   ·   learned from a found while building, GBCO walk-forward, date not recorded</w:t>
      </w:r>
    </w:p>
    <w:p>
      <w:pPr>
        <w:spacing w:after="100"/>
      </w:pPr>
      <w:r>
        <w:rPr>
          <w:b w:val="0"/>
          <w:i w:val="0"/>
          <w:color w:val="1A1D21"/>
          <w:sz w:val="21"/>
        </w:rPr>
        <w:t>A financing arm inside an operating group usually holds the group's investments as well as its loan book, so its reported equity funds two different things. Value the leg on that whole figure and you have paid for the investments twice — once inside the lender and once when the sum of the parts adds them back at their own mark. Take the investments out of the equity first, and take their income out of the return you measure on it.</w:t>
      </w:r>
    </w:p>
    <w:p>
      <w:pPr>
        <w:spacing w:after="60"/>
        <w:ind w:left="283"/>
      </w:pPr>
      <w:r>
        <w:rPr>
          <w:b w:val="0"/>
          <w:i w:val="0"/>
          <w:color w:val="5B6570"/>
          <w:sz w:val="19"/>
        </w:rPr>
        <w:t>How we know.  GB Capital's segment shareholders' equity before non- controlling interests was EGP 22,497.8mn at 30 June 2026 and the associates carried inside it were EGP 16,230.5mn, so the equity actually funding the lending business was 6,267.3mn — 28% of the reported figure. The company's own adjusted return on average equity implies a base near 9,046mn whose NUMERATOR carries EGP 986.4mn of associate income, and the delivered study used a typed 9,500 taken from that basis.</w:t>
      </w:r>
    </w:p>
    <w:p>
      <w:pPr>
        <w:spacing w:after="160"/>
        <w:ind w:left="283"/>
      </w:pPr>
      <w:r>
        <w:rPr>
          <w:b w:val="0"/>
          <w:i w:val="0"/>
          <w:color w:val="5B6570"/>
          <w:sz w:val="19"/>
        </w:rPr>
        <w:t>What would overturn it.  A group of this class whose financing segment carries no investments inside its own equity, so the identity returns the same base the company's own return measure implies and there is nothing to remove.</w:t>
      </w:r>
    </w:p>
    <w:p>
      <w:pPr>
        <w:keepNext/>
        <w:spacing w:before="240" w:after="60"/>
      </w:pPr>
      <w:r>
        <w:rPr>
          <w:b/>
          <w:color w:val="1A1D21"/>
          <w:sz w:val="22"/>
        </w:rPr>
        <w:t>L-377  Group earnings in this class cannot be normalised, because the associate marks move them more than the operating business does.</w:t>
      </w:r>
    </w:p>
    <w:p>
      <w:pPr>
        <w:keepNext/>
        <w:spacing w:after="100"/>
      </w:pPr>
      <w:r>
        <w:rPr>
          <w:b/>
          <w:color w:val="7E4A94"/>
          <w:sz w:val="16"/>
        </w:rPr>
        <w:t>A CLASS OF COMPANY</w:t>
      </w:r>
      <w:r>
        <w:rPr>
          <w:color w:val="5B6570"/>
          <w:sz w:val="16"/>
        </w:rPr>
        <w:t xml:space="preserve">   applies to every automotive assembler and distributor with a captive lender   ·   learned from a found while building, GBCO walk-forward, date not recorded</w:t>
      </w:r>
    </w:p>
    <w:p>
      <w:pPr>
        <w:spacing w:after="100"/>
      </w:pPr>
      <w:r>
        <w:rPr>
          <w:b w:val="0"/>
          <w:i w:val="0"/>
          <w:color w:val="1A1D21"/>
          <w:sz w:val="21"/>
        </w:rPr>
        <w:t>A normalised-earnings lens asks what the company earns in an ordinary year. Where a large minority holding is equity- accounted, the reported line swings on that holding's results and on revaluations, so an average of it is an average of something the operating business does not control. Publish the operating legs and the holding separately instead.</w:t>
      </w:r>
    </w:p>
    <w:p>
      <w:pPr>
        <w:spacing w:after="60"/>
        <w:ind w:left="283"/>
      </w:pPr>
      <w:r>
        <w:rPr>
          <w:b w:val="0"/>
          <w:i w:val="0"/>
          <w:color w:val="5B6570"/>
          <w:sz w:val="19"/>
        </w:rPr>
        <w:t>How we know.  Investment gains from associates ran EGP 451.6mn, 294.6mn and 131.6mn across three consecutive quarters to 2Q26 while GB Capital's own operating profit over the same quarters ran 156.5mn, 187.0mn and 387.4mn — the associate line was larger than the operating line in two of the three and moved in the opposite direction. The delivered study gave a normalised lens a quarter of its weight on six typed figures.</w:t>
      </w:r>
    </w:p>
    <w:p>
      <w:pPr>
        <w:spacing w:after="160"/>
        <w:ind w:left="283"/>
      </w:pPr>
      <w:r>
        <w:rPr>
          <w:b w:val="0"/>
          <w:i w:val="0"/>
          <w:color w:val="5B6570"/>
          <w:sz w:val="19"/>
        </w:rPr>
        <w:t>What would overturn it.  A company of this class whose equity-accounted holdings are small enough that the reported earnings track the operating legs, which would make a normalised read of the group meaningful again.</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ELEC</w:t>
      </w:r>
    </w:p>
    <w:p>
      <w:pPr>
        <w:keepNext/>
        <w:spacing w:before="240" w:after="60"/>
      </w:pPr>
      <w:r>
        <w:rPr>
          <w:b/>
          <w:color w:val="1A1D21"/>
          <w:sz w:val="22"/>
        </w:rPr>
        <w:t>L-356  The forecasting method could not be tested on ELEC at all.</w:t>
      </w:r>
    </w:p>
    <w:p>
      <w:pPr>
        <w:keepNext/>
        <w:spacing w:after="100"/>
      </w:pPr>
      <w:r>
        <w:rPr>
          <w:b/>
          <w:color w:val="B03A2E"/>
          <w:sz w:val="16"/>
        </w:rPr>
        <w:t>ONE COMPANY ONLY</w:t>
      </w:r>
      <w:r>
        <w:rPr>
          <w:color w:val="5B6570"/>
          <w:sz w:val="16"/>
        </w:rPr>
        <w:t xml:space="preserve">   applies to ELEC only   ·   learned from a fundamental walk-forward test, ELEC walk-forward, date not recorded</w:t>
      </w:r>
      <w:r>
        <w:rPr>
          <w:b/>
          <w:color w:val="B03A2E"/>
          <w:sz w:val="16"/>
        </w:rPr>
        <w:t xml:space="preserve">   ·   STATUS: PROVISIONAL</w:t>
      </w:r>
    </w:p>
    <w:p>
      <w:pPr>
        <w:spacing w:after="100"/>
      </w:pPr>
      <w:r>
        <w:rPr>
          <w:b w:val="0"/>
          <w:i w:val="0"/>
          <w:color w:val="1A1D21"/>
          <w:sz w:val="21"/>
        </w:rPr>
        <w:t>A walk-forward needs an origin to project from and a later actual to score against. Where the archive is too short there is no test to run, and saying so is the result — not a gap to be filled by stretching the window.</w:t>
      </w:r>
    </w:p>
    <w:p>
      <w:pPr>
        <w:spacing w:after="60"/>
        <w:ind w:left="283"/>
      </w:pPr>
      <w:r>
        <w:rPr>
          <w:b w:val="0"/>
          <w:i w:val="0"/>
          <w:color w:val="5B6570"/>
          <w:sz w:val="19"/>
        </w:rPr>
        <w:t>How we know.  4 sourceable fiscal years on the best available basis against a bar of 5, and 0 scoreable origins: the last sourceable actual is FY2023, so the last possible origin is FY2022 at h=1, and FY2022 needs five years of history to it (FY2018-FY2022) which do not exist on any basis in hand.</w:t>
      </w:r>
    </w:p>
    <w:p>
      <w:pPr>
        <w:spacing w:after="160"/>
        <w:ind w:left="283"/>
      </w:pPr>
      <w:r>
        <w:rPr>
          <w:b w:val="0"/>
          <w:i w:val="0"/>
          <w:color w:val="5B6570"/>
          <w:sz w:val="19"/>
        </w:rPr>
        <w:t>What would overturn it.  A filing archive that becomes reachable, or filings supplied directly, taking the sourceable span to five years or more on one basis.</w:t>
      </w:r>
    </w:p>
    <w:p>
      <w:pPr>
        <w:pStyle w:val="Heading2"/>
      </w:pPr>
      <w:r>
        <w:t>GBCO</w:t>
      </w:r>
    </w:p>
    <w:p>
      <w:pPr>
        <w:keepNext/>
        <w:spacing w:before="240" w:after="60"/>
      </w:pPr>
      <w:r>
        <w:rPr>
          <w:b/>
          <w:color w:val="1A1D21"/>
          <w:sz w:val="22"/>
        </w:rPr>
        <w:t>L-363  The finance cost forecast loses to assuming no change.</w:t>
      </w:r>
    </w:p>
    <w:p>
      <w:pPr>
        <w:keepNext/>
        <w:spacing w:after="100"/>
      </w:pPr>
      <w:r>
        <w:rPr>
          <w:b/>
          <w:color w:val="B03A2E"/>
          <w:sz w:val="16"/>
        </w:rPr>
        <w:t>ONE COMPANY ONLY</w:t>
      </w:r>
      <w:r>
        <w:rPr>
          <w:color w:val="5B6570"/>
          <w:sz w:val="16"/>
        </w:rPr>
        <w:t xml:space="preserve">   applies to GBCO only   ·   learned from a fundamental walk-forward test, GBCO walk-forward, date not recorded</w:t>
      </w:r>
      <w:r>
        <w:rPr>
          <w:b/>
          <w:color w:val="B03A2E"/>
          <w:sz w:val="16"/>
        </w:rPr>
        <w:t xml:space="preserve">   ·   STATUS: PROVISIONAL</w:t>
      </w:r>
    </w:p>
    <w:p>
      <w:pPr>
        <w:spacing w:after="100"/>
      </w:pPr>
      <w:r>
        <w:rPr>
          <w:b w:val="0"/>
          <w:i w:val="0"/>
          <w:color w:val="1A1D21"/>
          <w:sz w:val="21"/>
        </w:rPr>
        <w:t>At 5 of 5 horizons, simply carrying last year's number forward beat the model. A method that cannot beat 'no change' has not earned the precision it displays, and should be published as a range or not at all.</w:t>
      </w:r>
    </w:p>
    <w:p>
      <w:pPr>
        <w:spacing w:after="60"/>
        <w:ind w:left="283"/>
      </w:pPr>
      <w:r>
        <w:rPr>
          <w:b w:val="0"/>
          <w:i w:val="0"/>
          <w:color w:val="5B6570"/>
          <w:sz w:val="19"/>
        </w:rPr>
        <w:t>How we know.  Negative skill against the freeze benchmark at horizons h1, h2, h3, h4, h5, worst -0.485.</w:t>
      </w:r>
    </w:p>
    <w:p>
      <w:pPr>
        <w:spacing w:after="160"/>
        <w:ind w:left="283"/>
      </w:pPr>
      <w:r>
        <w:rPr>
          <w:b w:val="0"/>
          <w:i w:val="0"/>
          <w:color w:val="5B6570"/>
          <w:sz w:val="19"/>
        </w:rPr>
        <w:t>What would overturn it.  A later run where the model beats the freeze benchmark at a majority of horizons.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pPr>
        <w:pStyle w:val="Heading2"/>
      </w:pPr>
      <w:r>
        <w:t>SCEM</w:t>
      </w:r>
    </w:p>
    <w:p>
      <w:pPr>
        <w:keepNext/>
        <w:spacing w:before="240" w:after="60"/>
      </w:pPr>
      <w:r>
        <w:rPr>
          <w:b/>
          <w:color w:val="1A1D21"/>
          <w:sz w:val="22"/>
        </w:rPr>
        <w:t>L-367  Cogs wages forecasts run about 27% too low for SCEM.</w:t>
      </w:r>
    </w:p>
    <w:p>
      <w:pPr>
        <w:keepNext/>
        <w:spacing w:after="100"/>
      </w:pPr>
      <w:r>
        <w:rPr>
          <w:b/>
          <w:color w:val="B03A2E"/>
          <w:sz w:val="16"/>
        </w:rPr>
        <w:t>ONE COMPANY ONLY</w:t>
      </w:r>
      <w:r>
        <w:rPr>
          <w:color w:val="5B6570"/>
          <w:sz w:val="16"/>
        </w:rPr>
        <w:t xml:space="preserve">   applies to SCEM only   ·   learned from a fundamental walk-forward test, SCEM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-0.241 log (about 27% too low), average miss 0.241,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