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Savola Group Company (Saudi Exchange: 2050) — Bibliography and Source Register</w:t>
      </w:r>
    </w:p>
    <w:p>
      <w:pPr>
        <w:spacing w:after="100" w:before="0"/>
      </w:pPr>
      <w:r>
        <w:rPr>
          <w:b w:val="0"/>
          <w:i w:val="0"/>
          <w:color w:val="6E7B77"/>
          <w:sz w:val="19"/>
        </w:rPr>
        <w:t>Companion document to the valuation study dated 19 August 2026 (second edition — critique response; supersedes the 18 August first edition).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and re-run the model (the companion workbook reprices live). Second, where a disclosure could not be reached or does not exist,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8352"/>
      </w:tblGrid>
      <w:tr>
        <w:tc>
          <w:tcPr>
            <w:tcW w:type="dxa" w:w="1872"/>
            <w:shd w:val="clear" w:color="auto" w:fill="EAF0EE"/>
          </w:tcPr>
          <w:p>
            <w:pPr>
              <w:spacing w:after="20"/>
            </w:pPr>
            <w:r>
              <w:rPr>
                <w:b/>
                <w:color w:val="1C3A36"/>
                <w:sz w:val="17"/>
              </w:rPr>
              <w:t>Layer</w:t>
            </w:r>
          </w:p>
        </w:tc>
        <w:tc>
          <w:tcPr>
            <w:tcW w:type="dxa" w:w="8352"/>
            <w:shd w:val="clear" w:color="auto" w:fill="EAF0EE"/>
          </w:tcPr>
          <w:p>
            <w:pPr>
              <w:spacing w:after="20"/>
            </w:pPr>
            <w:r>
              <w:rPr>
                <w:b/>
                <w:color w:val="1C3A36"/>
                <w:sz w:val="17"/>
              </w:rPr>
              <w:t>What it holds</w:t>
            </w:r>
          </w:p>
        </w:tc>
      </w:tr>
      <w:tr>
        <w:tc>
          <w:tcPr>
            <w:tcW w:type="dxa" w:w="1872"/>
          </w:tcPr>
          <w:p>
            <w:pPr>
              <w:spacing w:after="20"/>
            </w:pPr>
            <w:r>
              <w:rPr>
                <w:color w:val="1C3A36"/>
                <w:sz w:val="17"/>
              </w:rPr>
              <w:t>Company</w:t>
            </w:r>
          </w:p>
        </w:tc>
        <w:tc>
          <w:tcPr>
            <w:tcW w:type="dxa" w:w="8352"/>
          </w:tcPr>
          <w:p>
            <w:pPr>
              <w:spacing w:after="20"/>
            </w:pPr>
            <w:r>
              <w:rPr>
                <w:color w:val="1C3A36"/>
                <w:sz w:val="17"/>
              </w:rPr>
              <w:t>the company's own audited/reviewed statements, releases, presentations and exchange filings — the only permitted source for its reported history</w:t>
            </w:r>
          </w:p>
        </w:tc>
      </w:tr>
      <w:tr>
        <w:tc>
          <w:tcPr>
            <w:tcW w:type="dxa" w:w="1872"/>
          </w:tcPr>
          <w:p>
            <w:pPr>
              <w:spacing w:after="20"/>
            </w:pPr>
            <w:r>
              <w:rPr>
                <w:color w:val="1C3A36"/>
                <w:sz w:val="17"/>
              </w:rPr>
              <w:t>Company/derived</w:t>
            </w:r>
          </w:p>
        </w:tc>
        <w:tc>
          <w:tcPr>
            <w:tcW w:type="dxa" w:w="8352"/>
          </w:tcPr>
          <w:p>
            <w:pPr>
              <w:spacing w:after="20"/>
            </w:pPr>
            <w:r>
              <w:rPr>
                <w:color w:val="1C3A36"/>
                <w:sz w:val="17"/>
              </w:rPr>
              <w:t>arithmetic on audited figures (ratios, day counts, residuals that must foot to an audited total — each derivation is stated)</w:t>
            </w:r>
          </w:p>
        </w:tc>
      </w:tr>
      <w:tr>
        <w:tc>
          <w:tcPr>
            <w:tcW w:type="dxa" w:w="1872"/>
          </w:tcPr>
          <w:p>
            <w:pPr>
              <w:spacing w:after="20"/>
            </w:pPr>
            <w:r>
              <w:rPr>
                <w:color w:val="1C3A36"/>
                <w:sz w:val="17"/>
              </w:rPr>
              <w:t>Market</w:t>
            </w:r>
          </w:p>
        </w:tc>
        <w:tc>
          <w:tcPr>
            <w:tcW w:type="dxa" w:w="8352"/>
          </w:tcPr>
          <w:p>
            <w:pPr>
              <w:spacing w:after="20"/>
            </w:pPr>
            <w:r>
              <w:rPr>
                <w:color w:val="1C3A36"/>
                <w:sz w:val="17"/>
              </w:rPr>
              <w:t>traded prices and rates: the share price, Herfy's price, peer multiples, interbank rates, the study's own beta regression</w:t>
            </w:r>
          </w:p>
        </w:tc>
      </w:tr>
      <w:tr>
        <w:tc>
          <w:tcPr>
            <w:tcW w:type="dxa" w:w="1872"/>
          </w:tcPr>
          <w:p>
            <w:pPr>
              <w:spacing w:after="20"/>
            </w:pPr>
            <w:r>
              <w:rPr>
                <w:color w:val="1C3A36"/>
                <w:sz w:val="17"/>
              </w:rPr>
              <w:t>Country</w:t>
            </w:r>
          </w:p>
        </w:tc>
        <w:tc>
          <w:tcPr>
            <w:tcW w:type="dxa" w:w="8352"/>
          </w:tcPr>
          <w:p>
            <w:pPr>
              <w:spacing w:after="20"/>
            </w:pPr>
            <w:r>
              <w:rPr>
                <w:color w:val="1C3A36"/>
                <w:sz w:val="17"/>
              </w:rPr>
              <w:t>sovereign data: yields, spreads, risk premia, inflation</w:t>
            </w:r>
          </w:p>
        </w:tc>
      </w:tr>
      <w:tr>
        <w:tc>
          <w:tcPr>
            <w:tcW w:type="dxa" w:w="1872"/>
          </w:tcPr>
          <w:p>
            <w:pPr>
              <w:spacing w:after="20"/>
            </w:pPr>
            <w:r>
              <w:rPr>
                <w:color w:val="1C3A36"/>
                <w:sz w:val="17"/>
              </w:rPr>
              <w:t>Global</w:t>
            </w:r>
          </w:p>
        </w:tc>
        <w:tc>
          <w:tcPr>
            <w:tcW w:type="dxa" w:w="8352"/>
          </w:tcPr>
          <w:p>
            <w:pPr>
              <w:spacing w:after="20"/>
            </w:pPr>
            <w:r>
              <w:rPr>
                <w:color w:val="1C3A36"/>
                <w:sz w:val="17"/>
              </w:rPr>
              <w:t>the dollar curve and the commodity complex</w:t>
            </w:r>
          </w:p>
        </w:tc>
      </w:tr>
      <w:tr>
        <w:tc>
          <w:tcPr>
            <w:tcW w:type="dxa" w:w="1872"/>
          </w:tcPr>
          <w:p>
            <w:pPr>
              <w:spacing w:after="20"/>
            </w:pPr>
            <w:r>
              <w:rPr>
                <w:color w:val="1C3A36"/>
                <w:sz w:val="17"/>
              </w:rPr>
              <w:t>House</w:t>
            </w:r>
          </w:p>
        </w:tc>
        <w:tc>
          <w:tcPr>
            <w:tcW w:type="dxa" w:w="8352"/>
          </w:tcPr>
          <w:p>
            <w:pPr>
              <w:spacing w:after="20"/>
            </w:pPr>
            <w:r>
              <w:rPr>
                <w:color w:val="1C3A36"/>
                <w:sz w:val="17"/>
              </w:rPr>
              <w:t>the analyst's judgements: growth paths, held margins, weights, the terminal — each with its reasoning and its overturn condition</w:t>
            </w:r>
          </w:p>
        </w:tc>
      </w:tr>
    </w:tbl>
    <w:p>
      <w:pPr>
        <w:spacing w:after="40"/>
      </w:pPr>
    </w:p>
    <w:p>
      <w:pPr>
        <w:spacing w:after="60" w:before="160"/>
      </w:pPr>
      <w:r>
        <w:rPr>
          <w:b/>
          <w:i w:val="0"/>
          <w:color w:val="1C3A36"/>
          <w:sz w:val="22"/>
        </w:rPr>
        <w:t>Primary documents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520"/>
        <w:gridCol w:w="1152"/>
        <w:gridCol w:w="3384"/>
      </w:tblGrid>
      <w:tr>
        <w:tc>
          <w:tcPr>
            <w:tcW w:type="dxa" w:w="3168"/>
            <w:shd w:val="clear" w:color="auto" w:fill="EAF0EE"/>
          </w:tcPr>
          <w:p>
            <w:pPr>
              <w:spacing w:after="20"/>
            </w:pPr>
            <w:r>
              <w:rPr>
                <w:b/>
                <w:color w:val="1C3A36"/>
                <w:sz w:val="16"/>
              </w:rPr>
              <w:t>Document</w:t>
            </w:r>
          </w:p>
        </w:tc>
        <w:tc>
          <w:tcPr>
            <w:tcW w:type="dxa" w:w="2520"/>
            <w:shd w:val="clear" w:color="auto" w:fill="EAF0EE"/>
          </w:tcPr>
          <w:p>
            <w:pPr>
              <w:spacing w:after="20"/>
            </w:pPr>
            <w:r>
              <w:rPr>
                <w:b/>
                <w:color w:val="1C3A36"/>
                <w:sz w:val="16"/>
              </w:rPr>
              <w:t>Publisher / auditor</w:t>
            </w:r>
          </w:p>
        </w:tc>
        <w:tc>
          <w:tcPr>
            <w:tcW w:type="dxa" w:w="1152"/>
            <w:shd w:val="clear" w:color="auto" w:fill="EAF0EE"/>
          </w:tcPr>
          <w:p>
            <w:pPr>
              <w:spacing w:after="20"/>
            </w:pPr>
            <w:r>
              <w:rPr>
                <w:b/>
                <w:color w:val="1C3A36"/>
                <w:sz w:val="16"/>
              </w:rPr>
              <w:t>Dated</w:t>
            </w:r>
          </w:p>
        </w:tc>
        <w:tc>
          <w:tcPr>
            <w:tcW w:type="dxa" w:w="3384"/>
            <w:shd w:val="clear" w:color="auto" w:fill="EAF0EE"/>
          </w:tcPr>
          <w:p>
            <w:pPr>
              <w:spacing w:after="20"/>
            </w:pPr>
            <w:r>
              <w:rPr>
                <w:b/>
                <w:color w:val="1C3A36"/>
                <w:sz w:val="16"/>
              </w:rPr>
              <w:t>What was taken</w:t>
            </w:r>
          </w:p>
        </w:tc>
      </w:tr>
      <w:tr>
        <w:tc>
          <w:tcPr>
            <w:tcW w:type="dxa" w:w="3168"/>
          </w:tcPr>
          <w:p>
            <w:pPr>
              <w:spacing w:after="20"/>
            </w:pPr>
            <w:r>
              <w:rPr>
                <w:color w:val="1C3A36"/>
                <w:sz w:val="16"/>
              </w:rPr>
              <w:t>FY2025 consolidated financial statements (audited)</w:t>
            </w:r>
          </w:p>
        </w:tc>
        <w:tc>
          <w:tcPr>
            <w:tcW w:type="dxa" w:w="2520"/>
          </w:tcPr>
          <w:p>
            <w:pPr>
              <w:spacing w:after="20"/>
            </w:pPr>
            <w:r>
              <w:rPr>
                <w:color w:val="1C3A36"/>
                <w:sz w:val="16"/>
              </w:rPr>
              <w:t>Savola Group; Deloitte &amp; Touche, unmodified opinion</w:t>
            </w:r>
          </w:p>
        </w:tc>
        <w:tc>
          <w:tcPr>
            <w:tcW w:type="dxa" w:w="1152"/>
          </w:tcPr>
          <w:p>
            <w:pPr>
              <w:spacing w:after="20"/>
            </w:pPr>
            <w:r>
              <w:rPr>
                <w:color w:val="1C3A36"/>
                <w:sz w:val="16"/>
              </w:rPr>
              <w:t>05-Mar-2026</w:t>
            </w:r>
          </w:p>
        </w:tc>
        <w:tc>
          <w:tcPr>
            <w:tcW w:type="dxa" w:w="3384"/>
          </w:tcPr>
          <w:p>
            <w:pPr>
              <w:spacing w:after="20"/>
            </w:pPr>
            <w:r>
              <w:rPr>
                <w:color w:val="1C3A36"/>
                <w:sz w:val="16"/>
              </w:rPr>
              <w:t>the base year in full: statements, five-segment note, category detail, notes 1-46</w:t>
            </w:r>
          </w:p>
        </w:tc>
      </w:tr>
      <w:tr>
        <w:tc>
          <w:tcPr>
            <w:tcW w:type="dxa" w:w="3168"/>
          </w:tcPr>
          <w:p>
            <w:pPr>
              <w:spacing w:after="20"/>
            </w:pPr>
            <w:r>
              <w:rPr>
                <w:color w:val="1C3A36"/>
                <w:sz w:val="16"/>
              </w:rPr>
              <w:t>FY2024 consolidated financial statements (audited)</w:t>
            </w:r>
          </w:p>
        </w:tc>
        <w:tc>
          <w:tcPr>
            <w:tcW w:type="dxa" w:w="2520"/>
          </w:tcPr>
          <w:p>
            <w:pPr>
              <w:spacing w:after="20"/>
            </w:pPr>
            <w:r>
              <w:rPr>
                <w:color w:val="1C3A36"/>
                <w:sz w:val="16"/>
              </w:rPr>
              <w:t>Savola Group; KPMG</w:t>
            </w:r>
          </w:p>
        </w:tc>
        <w:tc>
          <w:tcPr>
            <w:tcW w:type="dxa" w:w="1152"/>
          </w:tcPr>
          <w:p>
            <w:pPr>
              <w:spacing w:after="20"/>
            </w:pPr>
            <w:r>
              <w:rPr>
                <w:color w:val="1C3A36"/>
                <w:sz w:val="16"/>
              </w:rPr>
              <w:t>10-Mar-2025</w:t>
            </w:r>
          </w:p>
        </w:tc>
        <w:tc>
          <w:tcPr>
            <w:tcW w:type="dxa" w:w="3384"/>
          </w:tcPr>
          <w:p>
            <w:pPr>
              <w:spacing w:after="20"/>
            </w:pPr>
            <w:r>
              <w:rPr>
                <w:color w:val="1C3A36"/>
                <w:sz w:val="16"/>
              </w:rPr>
              <w:t>FY2023 comparatives; the rights issue, capital reduction and Almarai distribution mechanics</w:t>
            </w:r>
          </w:p>
        </w:tc>
      </w:tr>
      <w:tr>
        <w:tc>
          <w:tcPr>
            <w:tcW w:type="dxa" w:w="3168"/>
          </w:tcPr>
          <w:p>
            <w:pPr>
              <w:spacing w:after="20"/>
            </w:pPr>
            <w:r>
              <w:rPr>
                <w:color w:val="1C3A36"/>
                <w:sz w:val="16"/>
              </w:rPr>
              <w:t>FY2023 consolidated financial statements (audited)</w:t>
            </w:r>
          </w:p>
        </w:tc>
        <w:tc>
          <w:tcPr>
            <w:tcW w:type="dxa" w:w="2520"/>
          </w:tcPr>
          <w:p>
            <w:pPr>
              <w:spacing w:after="20"/>
            </w:pPr>
            <w:r>
              <w:rPr>
                <w:color w:val="1C3A36"/>
                <w:sz w:val="16"/>
              </w:rPr>
              <w:t>Savola Group</w:t>
            </w:r>
          </w:p>
        </w:tc>
        <w:tc>
          <w:tcPr>
            <w:tcW w:type="dxa" w:w="1152"/>
          </w:tcPr>
          <w:p>
            <w:pPr>
              <w:spacing w:after="20"/>
            </w:pPr>
            <w:r>
              <w:rPr>
                <w:color w:val="1C3A36"/>
                <w:sz w:val="16"/>
              </w:rPr>
              <w:t>14-Mar-2024</w:t>
            </w:r>
          </w:p>
        </w:tc>
        <w:tc>
          <w:tcPr>
            <w:tcW w:type="dxa" w:w="3384"/>
          </w:tcPr>
          <w:p>
            <w:pPr>
              <w:spacing w:after="20"/>
            </w:pPr>
            <w:r>
              <w:rPr>
                <w:color w:val="1C3A36"/>
                <w:sz w:val="16"/>
              </w:rPr>
              <w:t>FY2022 comparatives; the pre-reset balance sheet</w:t>
            </w:r>
          </w:p>
        </w:tc>
      </w:tr>
      <w:tr>
        <w:tc>
          <w:tcPr>
            <w:tcW w:type="dxa" w:w="3168"/>
          </w:tcPr>
          <w:p>
            <w:pPr>
              <w:spacing w:after="20"/>
            </w:pPr>
            <w:r>
              <w:rPr>
                <w:color w:val="1C3A36"/>
                <w:sz w:val="16"/>
              </w:rPr>
              <w:t>Q1-2026 interim condensed statements (reviewed)</w:t>
            </w:r>
          </w:p>
        </w:tc>
        <w:tc>
          <w:tcPr>
            <w:tcW w:type="dxa" w:w="2520"/>
          </w:tcPr>
          <w:p>
            <w:pPr>
              <w:spacing w:after="20"/>
            </w:pPr>
            <w:r>
              <w:rPr>
                <w:color w:val="1C3A36"/>
                <w:sz w:val="16"/>
              </w:rPr>
              <w:t>Savola Group</w:t>
            </w:r>
          </w:p>
        </w:tc>
        <w:tc>
          <w:tcPr>
            <w:tcW w:type="dxa" w:w="1152"/>
          </w:tcPr>
          <w:p>
            <w:pPr>
              <w:spacing w:after="20"/>
            </w:pPr>
            <w:r>
              <w:rPr>
                <w:color w:val="1C3A36"/>
                <w:sz w:val="16"/>
              </w:rPr>
              <w:t>06-May-2026</w:t>
            </w:r>
          </w:p>
        </w:tc>
        <w:tc>
          <w:tcPr>
            <w:tcW w:type="dxa" w:w="3384"/>
          </w:tcPr>
          <w:p>
            <w:pPr>
              <w:spacing w:after="20"/>
            </w:pPr>
            <w:r>
              <w:rPr>
                <w:color w:val="1C3A36"/>
                <w:sz w:val="16"/>
              </w:rPr>
              <w:t>first-quarter actuals and the 31-Mar-2026 balance sheet</w:t>
            </w:r>
          </w:p>
        </w:tc>
      </w:tr>
      <w:tr>
        <w:tc>
          <w:tcPr>
            <w:tcW w:type="dxa" w:w="3168"/>
          </w:tcPr>
          <w:p>
            <w:pPr>
              <w:spacing w:after="20"/>
            </w:pPr>
            <w:r>
              <w:rPr>
                <w:color w:val="1C3A36"/>
                <w:sz w:val="16"/>
              </w:rPr>
              <w:t>Q2-2026 interim condensed statements (reviewed)</w:t>
            </w:r>
          </w:p>
        </w:tc>
        <w:tc>
          <w:tcPr>
            <w:tcW w:type="dxa" w:w="2520"/>
          </w:tcPr>
          <w:p>
            <w:pPr>
              <w:spacing w:after="20"/>
            </w:pPr>
            <w:r>
              <w:rPr>
                <w:color w:val="1C3A36"/>
                <w:sz w:val="16"/>
              </w:rPr>
              <w:t>Savola Group</w:t>
            </w:r>
          </w:p>
        </w:tc>
        <w:tc>
          <w:tcPr>
            <w:tcW w:type="dxa" w:w="1152"/>
          </w:tcPr>
          <w:p>
            <w:pPr>
              <w:spacing w:after="20"/>
            </w:pPr>
            <w:r>
              <w:rPr>
                <w:color w:val="1C3A36"/>
                <w:sz w:val="16"/>
              </w:rPr>
              <w:t>05-Aug-2026</w:t>
            </w:r>
          </w:p>
        </w:tc>
        <w:tc>
          <w:tcPr>
            <w:tcW w:type="dxa" w:w="3384"/>
          </w:tcPr>
          <w:p>
            <w:pPr>
              <w:spacing w:after="20"/>
            </w:pPr>
            <w:r>
              <w:rPr>
                <w:color w:val="1C3A36"/>
                <w:sz w:val="16"/>
              </w:rPr>
              <w:t>the Al Mehbaj consideration (note 19: SR 11.4mn); the 30-Jun-2026 balance sheet (loans 2,664.5, leases 3,716.8, equity 5,360.5 — the WACC weights and the book-lens base); the ex-treasury EPS divisor (296.682mn); the Tiryaki share settlement</w:t>
            </w:r>
          </w:p>
        </w:tc>
      </w:tr>
      <w:tr>
        <w:tc>
          <w:tcPr>
            <w:tcW w:type="dxa" w:w="3168"/>
          </w:tcPr>
          <w:p>
            <w:pPr>
              <w:spacing w:after="20"/>
            </w:pPr>
            <w:r>
              <w:rPr>
                <w:color w:val="1C3A36"/>
                <w:sz w:val="16"/>
              </w:rPr>
              <w:t>H1-2026 earnings release</w:t>
            </w:r>
          </w:p>
        </w:tc>
        <w:tc>
          <w:tcPr>
            <w:tcW w:type="dxa" w:w="2520"/>
          </w:tcPr>
          <w:p>
            <w:pPr>
              <w:spacing w:after="20"/>
            </w:pPr>
            <w:r>
              <w:rPr>
                <w:color w:val="1C3A36"/>
                <w:sz w:val="16"/>
              </w:rPr>
              <w:t>Savola Group</w:t>
            </w:r>
          </w:p>
        </w:tc>
        <w:tc>
          <w:tcPr>
            <w:tcW w:type="dxa" w:w="1152"/>
          </w:tcPr>
          <w:p>
            <w:pPr>
              <w:spacing w:after="20"/>
            </w:pPr>
            <w:r>
              <w:rPr>
                <w:color w:val="1C3A36"/>
                <w:sz w:val="16"/>
              </w:rPr>
              <w:t>06-Aug-2026</w:t>
            </w:r>
          </w:p>
        </w:tc>
        <w:tc>
          <w:tcPr>
            <w:tcW w:type="dxa" w:w="3384"/>
          </w:tcPr>
          <w:p>
            <w:pPr>
              <w:spacing w:after="20"/>
            </w:pPr>
            <w:r>
              <w:rPr>
                <w:color w:val="1C3A36"/>
                <w:sz w:val="16"/>
              </w:rPr>
              <w:t>half-year actuals, net debt, capital expenditure, the Sudan exit, the Mehbaj acquisition, the second-half cost warning</w:t>
            </w:r>
          </w:p>
        </w:tc>
      </w:tr>
      <w:tr>
        <w:tc>
          <w:tcPr>
            <w:tcW w:type="dxa" w:w="3168"/>
          </w:tcPr>
          <w:p>
            <w:pPr>
              <w:spacing w:after="20"/>
            </w:pPr>
            <w:r>
              <w:rPr>
                <w:color w:val="1C3A36"/>
                <w:sz w:val="16"/>
              </w:rPr>
              <w:t>Q2-2026 investor presentation</w:t>
            </w:r>
          </w:p>
        </w:tc>
        <w:tc>
          <w:tcPr>
            <w:tcW w:type="dxa" w:w="2520"/>
          </w:tcPr>
          <w:p>
            <w:pPr>
              <w:spacing w:after="20"/>
            </w:pPr>
            <w:r>
              <w:rPr>
                <w:color w:val="1C3A36"/>
                <w:sz w:val="16"/>
              </w:rPr>
              <w:t>Savola Group</w:t>
            </w:r>
          </w:p>
        </w:tc>
        <w:tc>
          <w:tcPr>
            <w:tcW w:type="dxa" w:w="1152"/>
          </w:tcPr>
          <w:p>
            <w:pPr>
              <w:spacing w:after="20"/>
            </w:pPr>
            <w:r>
              <w:rPr>
                <w:color w:val="1C3A36"/>
                <w:sz w:val="16"/>
              </w:rPr>
              <w:t>06-Aug-2026</w:t>
            </w:r>
          </w:p>
        </w:tc>
        <w:tc>
          <w:tcPr>
            <w:tcW w:type="dxa" w:w="3384"/>
          </w:tcPr>
          <w:p>
            <w:pPr>
              <w:spacing w:after="20"/>
            </w:pPr>
            <w:r>
              <w:rPr>
                <w:color w:val="1C3A36"/>
                <w:sz w:val="16"/>
              </w:rPr>
              <w:t>category volumes and unit gross profits, the store network, segment debt/leases</w:t>
            </w:r>
          </w:p>
        </w:tc>
      </w:tr>
      <w:tr>
        <w:tc>
          <w:tcPr>
            <w:tcW w:type="dxa" w:w="3168"/>
          </w:tcPr>
          <w:p>
            <w:pPr>
              <w:spacing w:after="20"/>
            </w:pPr>
            <w:r>
              <w:rPr>
                <w:color w:val="1C3A36"/>
                <w:sz w:val="16"/>
              </w:rPr>
              <w:t>FY2025 investor presentation</w:t>
            </w:r>
          </w:p>
        </w:tc>
        <w:tc>
          <w:tcPr>
            <w:tcW w:type="dxa" w:w="2520"/>
          </w:tcPr>
          <w:p>
            <w:pPr>
              <w:spacing w:after="20"/>
            </w:pPr>
            <w:r>
              <w:rPr>
                <w:color w:val="1C3A36"/>
                <w:sz w:val="16"/>
              </w:rPr>
              <w:t>Savola Group</w:t>
            </w:r>
          </w:p>
        </w:tc>
        <w:tc>
          <w:tcPr>
            <w:tcW w:type="dxa" w:w="1152"/>
          </w:tcPr>
          <w:p>
            <w:pPr>
              <w:spacing w:after="20"/>
            </w:pPr>
            <w:r>
              <w:rPr>
                <w:color w:val="1C3A36"/>
                <w:sz w:val="16"/>
              </w:rPr>
              <w:t>09-Mar-2026</w:t>
            </w:r>
          </w:p>
        </w:tc>
        <w:tc>
          <w:tcPr>
            <w:tcW w:type="dxa" w:w="3384"/>
          </w:tcPr>
          <w:p>
            <w:pPr>
              <w:spacing w:after="20"/>
            </w:pPr>
            <w:r>
              <w:rPr>
                <w:color w:val="1C3A36"/>
                <w:sz w:val="16"/>
              </w:rPr>
              <w:t>full-year category units, the reported-to-recurring bridge, capex by unit</w:t>
            </w:r>
          </w:p>
        </w:tc>
      </w:tr>
      <w:tr>
        <w:tc>
          <w:tcPr>
            <w:tcW w:type="dxa" w:w="3168"/>
          </w:tcPr>
          <w:p>
            <w:pPr>
              <w:spacing w:after="20"/>
            </w:pPr>
            <w:r>
              <w:rPr>
                <w:color w:val="1C3A36"/>
                <w:sz w:val="16"/>
              </w:rPr>
              <w:t>Annual Report 2025</w:t>
            </w:r>
          </w:p>
        </w:tc>
        <w:tc>
          <w:tcPr>
            <w:tcW w:type="dxa" w:w="2520"/>
          </w:tcPr>
          <w:p>
            <w:pPr>
              <w:spacing w:after="20"/>
            </w:pPr>
            <w:r>
              <w:rPr>
                <w:color w:val="1C3A36"/>
                <w:sz w:val="16"/>
              </w:rPr>
              <w:t>Savola Group</w:t>
            </w:r>
          </w:p>
        </w:tc>
        <w:tc>
          <w:tcPr>
            <w:tcW w:type="dxa" w:w="1152"/>
          </w:tcPr>
          <w:p>
            <w:pPr>
              <w:spacing w:after="20"/>
            </w:pPr>
            <w:r>
              <w:rPr>
                <w:color w:val="1C3A36"/>
                <w:sz w:val="16"/>
              </w:rPr>
              <w:t>30-Mar-2026</w:t>
            </w:r>
          </w:p>
        </w:tc>
        <w:tc>
          <w:tcPr>
            <w:tcW w:type="dxa" w:w="3384"/>
          </w:tcPr>
          <w:p>
            <w:pPr>
              <w:spacing w:after="20"/>
            </w:pPr>
            <w:r>
              <w:rPr>
                <w:color w:val="1C3A36"/>
                <w:sz w:val="16"/>
              </w:rPr>
              <w:t>the dividend policy, governance and related-party context, the store programme</w:t>
            </w:r>
          </w:p>
        </w:tc>
      </w:tr>
      <w:tr>
        <w:tc>
          <w:tcPr>
            <w:tcW w:type="dxa" w:w="3168"/>
          </w:tcPr>
          <w:p>
            <w:pPr>
              <w:spacing w:after="20"/>
            </w:pPr>
            <w:r>
              <w:rPr>
                <w:color w:val="1C3A36"/>
                <w:sz w:val="16"/>
              </w:rPr>
              <w:t>Saudi Exchange announcements (FY2025 results; FY2025 dividend; Q1-2026 results)</w:t>
            </w:r>
          </w:p>
        </w:tc>
        <w:tc>
          <w:tcPr>
            <w:tcW w:type="dxa" w:w="2520"/>
          </w:tcPr>
          <w:p>
            <w:pPr>
              <w:spacing w:after="20"/>
            </w:pPr>
            <w:r>
              <w:rPr>
                <w:color w:val="1C3A36"/>
                <w:sz w:val="16"/>
              </w:rPr>
              <w:t>Saudi Exchange / Savola Group</w:t>
            </w:r>
          </w:p>
        </w:tc>
        <w:tc>
          <w:tcPr>
            <w:tcW w:type="dxa" w:w="1152"/>
          </w:tcPr>
          <w:p>
            <w:pPr>
              <w:spacing w:after="20"/>
            </w:pPr>
            <w:r>
              <w:rPr>
                <w:color w:val="1C3A36"/>
                <w:sz w:val="16"/>
              </w:rPr>
              <w:t>Mar-May 2026</w:t>
            </w:r>
          </w:p>
        </w:tc>
        <w:tc>
          <w:tcPr>
            <w:tcW w:type="dxa" w:w="3384"/>
          </w:tcPr>
          <w:p>
            <w:pPr>
              <w:spacing w:after="20"/>
            </w:pPr>
            <w:r>
              <w:rPr>
                <w:color w:val="1C3A36"/>
                <w:sz w:val="16"/>
              </w:rPr>
              <w:t>the official results tables and the dividend terms (SAR 1.70, ex 07-May-2026)</w:t>
            </w:r>
          </w:p>
        </w:tc>
      </w:tr>
      <w:tr>
        <w:tc>
          <w:tcPr>
            <w:tcW w:type="dxa" w:w="3168"/>
          </w:tcPr>
          <w:p>
            <w:pPr>
              <w:spacing w:after="20"/>
            </w:pPr>
            <w:r>
              <w:rPr>
                <w:color w:val="1C3A36"/>
                <w:sz w:val="16"/>
              </w:rPr>
              <w:t>US Treasury constant-maturity yields</w:t>
            </w:r>
          </w:p>
        </w:tc>
        <w:tc>
          <w:tcPr>
            <w:tcW w:type="dxa" w:w="2520"/>
          </w:tcPr>
          <w:p>
            <w:pPr>
              <w:spacing w:after="20"/>
            </w:pPr>
            <w:r>
              <w:rPr>
                <w:color w:val="1C3A36"/>
                <w:sz w:val="16"/>
              </w:rPr>
              <w:t>Federal Reserve (FRED)</w:t>
            </w:r>
          </w:p>
        </w:tc>
        <w:tc>
          <w:tcPr>
            <w:tcW w:type="dxa" w:w="1152"/>
          </w:tcPr>
          <w:p>
            <w:pPr>
              <w:spacing w:after="20"/>
            </w:pPr>
            <w:r>
              <w:rPr>
                <w:color w:val="1C3A36"/>
                <w:sz w:val="16"/>
              </w:rPr>
              <w:t>14-Aug-2026</w:t>
            </w:r>
          </w:p>
        </w:tc>
        <w:tc>
          <w:tcPr>
            <w:tcW w:type="dxa" w:w="3384"/>
          </w:tcPr>
          <w:p>
            <w:pPr>
              <w:spacing w:after="20"/>
            </w:pPr>
            <w:r>
              <w:rPr>
                <w:color w:val="1C3A36"/>
                <w:sz w:val="16"/>
              </w:rPr>
              <w:t>US 10Y 4.68% and 1Y 3.98% — the risk-free construction's dollar leg</w:t>
            </w:r>
          </w:p>
        </w:tc>
      </w:tr>
      <w:tr>
        <w:tc>
          <w:tcPr>
            <w:tcW w:type="dxa" w:w="3168"/>
          </w:tcPr>
          <w:p>
            <w:pPr>
              <w:spacing w:after="20"/>
            </w:pPr>
            <w:r>
              <w:rPr>
                <w:color w:val="1C3A36"/>
                <w:sz w:val="16"/>
              </w:rPr>
              <w:t>FTSE Saudi Government Bond Index (SAGBI) factsheet</w:t>
            </w:r>
          </w:p>
        </w:tc>
        <w:tc>
          <w:tcPr>
            <w:tcW w:type="dxa" w:w="2520"/>
          </w:tcPr>
          <w:p>
            <w:pPr>
              <w:spacing w:after="20"/>
            </w:pPr>
            <w:r>
              <w:rPr>
                <w:color w:val="1C3A36"/>
                <w:sz w:val="16"/>
              </w:rPr>
              <w:t>FTSE Russell</w:t>
            </w:r>
          </w:p>
        </w:tc>
        <w:tc>
          <w:tcPr>
            <w:tcW w:type="dxa" w:w="1152"/>
          </w:tcPr>
          <w:p>
            <w:pPr>
              <w:spacing w:after="20"/>
            </w:pPr>
            <w:r>
              <w:rPr>
                <w:color w:val="1C3A36"/>
                <w:sz w:val="16"/>
              </w:rPr>
              <w:t>31-Jul-2026</w:t>
            </w:r>
          </w:p>
        </w:tc>
        <w:tc>
          <w:tcPr>
            <w:tcW w:type="dxa" w:w="3384"/>
          </w:tcPr>
          <w:p>
            <w:pPr>
              <w:spacing w:after="20"/>
            </w:pPr>
            <w:r>
              <w:rPr>
                <w:color w:val="1C3A36"/>
                <w:sz w:val="16"/>
              </w:rPr>
              <w:t>the OBSERVED SAR sovereign curve: 7-10y bucket yield 5.52% at 8.24y average life (whole index 5.48%; curve 5.22-5.83%) — the risk-free rate</w:t>
            </w:r>
          </w:p>
        </w:tc>
      </w:tr>
      <w:tr>
        <w:tc>
          <w:tcPr>
            <w:tcW w:type="dxa" w:w="3168"/>
          </w:tcPr>
          <w:p>
            <w:pPr>
              <w:spacing w:after="20"/>
            </w:pPr>
            <w:r>
              <w:rPr>
                <w:color w:val="1C3A36"/>
                <w:sz w:val="16"/>
              </w:rPr>
              <w:t>iBoxx Tadawul SAR Government Sukuk Index publications</w:t>
            </w:r>
          </w:p>
        </w:tc>
        <w:tc>
          <w:tcPr>
            <w:tcW w:type="dxa" w:w="2520"/>
          </w:tcPr>
          <w:p>
            <w:pPr>
              <w:spacing w:after="20"/>
            </w:pPr>
            <w:r>
              <w:rPr>
                <w:color w:val="1C3A36"/>
                <w:sz w:val="16"/>
              </w:rPr>
              <w:t>Saudi Exchange / S&amp;P DJI</w:t>
            </w:r>
          </w:p>
        </w:tc>
        <w:tc>
          <w:tcPr>
            <w:tcW w:type="dxa" w:w="1152"/>
          </w:tcPr>
          <w:p>
            <w:pPr>
              <w:spacing w:after="20"/>
            </w:pPr>
            <w:r>
              <w:rPr>
                <w:color w:val="1C3A36"/>
                <w:sz w:val="16"/>
              </w:rPr>
              <w:t>31-Mar-2026</w:t>
            </w:r>
          </w:p>
        </w:tc>
        <w:tc>
          <w:tcPr>
            <w:tcW w:type="dxa" w:w="3384"/>
          </w:tcPr>
          <w:p>
            <w:pPr>
              <w:spacing w:after="20"/>
            </w:pPr>
            <w:r>
              <w:rPr>
                <w:color w:val="1C3A36"/>
                <w:sz w:val="16"/>
              </w:rPr>
              <w:t>corroboration: 5.44% annual yield at 6.07y duration</w:t>
            </w:r>
          </w:p>
        </w:tc>
      </w:tr>
      <w:tr>
        <w:tc>
          <w:tcPr>
            <w:tcW w:type="dxa" w:w="3168"/>
          </w:tcPr>
          <w:p>
            <w:pPr>
              <w:spacing w:after="20"/>
            </w:pPr>
            <w:r>
              <w:rPr>
                <w:color w:val="1C3A36"/>
                <w:sz w:val="16"/>
              </w:rPr>
              <w:t>Sovereign risk dataset (July 2026 update)</w:t>
            </w:r>
          </w:p>
        </w:tc>
        <w:tc>
          <w:tcPr>
            <w:tcW w:type="dxa" w:w="2520"/>
          </w:tcPr>
          <w:p>
            <w:pPr>
              <w:spacing w:after="20"/>
            </w:pPr>
            <w:r>
              <w:rPr>
                <w:color w:val="1C3A36"/>
                <w:sz w:val="16"/>
              </w:rPr>
              <w:t>NYU Stern (Damodaran)</w:t>
            </w:r>
          </w:p>
        </w:tc>
        <w:tc>
          <w:tcPr>
            <w:tcW w:type="dxa" w:w="1152"/>
          </w:tcPr>
          <w:p>
            <w:pPr>
              <w:spacing w:after="20"/>
            </w:pPr>
            <w:r>
              <w:rPr>
                <w:color w:val="1C3A36"/>
                <w:sz w:val="16"/>
              </w:rPr>
              <w:t>01-Jul-2026</w:t>
            </w:r>
          </w:p>
        </w:tc>
        <w:tc>
          <w:tcPr>
            <w:tcW w:type="dxa" w:w="3384"/>
          </w:tcPr>
          <w:p>
            <w:pPr>
              <w:spacing w:after="20"/>
            </w:pPr>
            <w:r>
              <w:rPr>
                <w:color w:val="1C3A36"/>
                <w:sz w:val="16"/>
              </w:rPr>
              <w:t>Saudi Aa3 adjusted default spread 0.48%; total equity risk premium 4.94% (4.20% mature + 0.74% country) — the rating-basis legs</w:t>
            </w:r>
          </w:p>
        </w:tc>
      </w:tr>
      <w:tr>
        <w:tc>
          <w:tcPr>
            <w:tcW w:type="dxa" w:w="3168"/>
          </w:tcPr>
          <w:p>
            <w:pPr>
              <w:spacing w:after="20"/>
            </w:pPr>
            <w:r>
              <w:rPr>
                <w:color w:val="1C3A36"/>
                <w:sz w:val="16"/>
              </w:rPr>
              <w:t>Sovereign risk dataset (January 2026 update)</w:t>
            </w:r>
          </w:p>
        </w:tc>
        <w:tc>
          <w:tcPr>
            <w:tcW w:type="dxa" w:w="2520"/>
          </w:tcPr>
          <w:p>
            <w:pPr>
              <w:spacing w:after="20"/>
            </w:pPr>
            <w:r>
              <w:rPr>
                <w:color w:val="1C3A36"/>
                <w:sz w:val="16"/>
              </w:rPr>
              <w:t>NYU Stern (Damodaran)</w:t>
            </w:r>
          </w:p>
        </w:tc>
        <w:tc>
          <w:tcPr>
            <w:tcW w:type="dxa" w:w="1152"/>
          </w:tcPr>
          <w:p>
            <w:pPr>
              <w:spacing w:after="20"/>
            </w:pPr>
            <w:r>
              <w:rPr>
                <w:color w:val="1C3A36"/>
                <w:sz w:val="16"/>
              </w:rPr>
              <w:t>05-Jan-2026</w:t>
            </w:r>
          </w:p>
        </w:tc>
        <w:tc>
          <w:tcPr>
            <w:tcW w:type="dxa" w:w="3384"/>
          </w:tcPr>
          <w:p>
            <w:pPr>
              <w:spacing w:after="20"/>
            </w:pPr>
            <w:r>
              <w:rPr>
                <w:color w:val="1C3A36"/>
                <w:sz w:val="16"/>
              </w:rPr>
              <w:t>the CDS-basis legs only (CDS 0.98% / ERP 5.72%) — the July CDS file was not retrievable; flagged wherever the CDS basis is quoted</w:t>
            </w:r>
          </w:p>
        </w:tc>
      </w:tr>
      <w:tr>
        <w:tc>
          <w:tcPr>
            <w:tcW w:type="dxa" w:w="3168"/>
          </w:tcPr>
          <w:p>
            <w:pPr>
              <w:spacing w:after="20"/>
            </w:pPr>
            <w:r>
              <w:rPr>
                <w:color w:val="1C3A36"/>
                <w:sz w:val="16"/>
              </w:rPr>
              <w:t>Saudi sovereign issuance</w:t>
            </w:r>
          </w:p>
        </w:tc>
        <w:tc>
          <w:tcPr>
            <w:tcW w:type="dxa" w:w="2520"/>
          </w:tcPr>
          <w:p>
            <w:pPr>
              <w:spacing w:after="20"/>
            </w:pPr>
            <w:r>
              <w:rPr>
                <w:color w:val="1C3A36"/>
                <w:sz w:val="16"/>
              </w:rPr>
              <w:t>Emirates NBD Research note; NDMC announcements</w:t>
            </w:r>
          </w:p>
        </w:tc>
        <w:tc>
          <w:tcPr>
            <w:tcW w:type="dxa" w:w="1152"/>
          </w:tcPr>
          <w:p>
            <w:pPr>
              <w:spacing w:after="20"/>
            </w:pPr>
            <w:r>
              <w:rPr>
                <w:color w:val="1C3A36"/>
                <w:sz w:val="16"/>
              </w:rPr>
              <w:t>Jan / Aug 2026</w:t>
            </w:r>
          </w:p>
        </w:tc>
        <w:tc>
          <w:tcPr>
            <w:tcW w:type="dxa" w:w="3384"/>
          </w:tcPr>
          <w:p>
            <w:pPr>
              <w:spacing w:after="20"/>
            </w:pPr>
            <w:r>
              <w:rPr>
                <w:color w:val="1C3A36"/>
                <w:sz w:val="16"/>
              </w:rPr>
              <w:t>context for the retired proxy construction; the 1Y SAR savings-sukuk rate (4.70%) still anchors the surplus-cash yield</w:t>
            </w:r>
          </w:p>
        </w:tc>
      </w:tr>
      <w:tr>
        <w:tc>
          <w:tcPr>
            <w:tcW w:type="dxa" w:w="3168"/>
          </w:tcPr>
          <w:p>
            <w:pPr>
              <w:spacing w:after="20"/>
            </w:pPr>
            <w:r>
              <w:rPr>
                <w:color w:val="1C3A36"/>
                <w:sz w:val="16"/>
              </w:rPr>
              <w:t>FAO Food Price Index</w:t>
            </w:r>
          </w:p>
        </w:tc>
        <w:tc>
          <w:tcPr>
            <w:tcW w:type="dxa" w:w="2520"/>
          </w:tcPr>
          <w:p>
            <w:pPr>
              <w:spacing w:after="20"/>
            </w:pPr>
            <w:r>
              <w:rPr>
                <w:color w:val="1C3A36"/>
                <w:sz w:val="16"/>
              </w:rPr>
              <w:t>FAO</w:t>
            </w:r>
          </w:p>
        </w:tc>
        <w:tc>
          <w:tcPr>
            <w:tcW w:type="dxa" w:w="1152"/>
          </w:tcPr>
          <w:p>
            <w:pPr>
              <w:spacing w:after="20"/>
            </w:pPr>
            <w:r>
              <w:rPr>
                <w:color w:val="1C3A36"/>
                <w:sz w:val="16"/>
              </w:rPr>
              <w:t>07-Aug-2026</w:t>
            </w:r>
          </w:p>
        </w:tc>
        <w:tc>
          <w:tcPr>
            <w:tcW w:type="dxa" w:w="3384"/>
          </w:tcPr>
          <w:p>
            <w:pPr>
              <w:spacing w:after="20"/>
            </w:pPr>
            <w:r>
              <w:rPr>
                <w:color w:val="1C3A36"/>
                <w:sz w:val="16"/>
              </w:rPr>
              <w:t>vegetable oils at a four-year high; sugar −8% year on year; wheat firming</w:t>
            </w:r>
          </w:p>
        </w:tc>
      </w:tr>
      <w:tr>
        <w:tc>
          <w:tcPr>
            <w:tcW w:type="dxa" w:w="3168"/>
          </w:tcPr>
          <w:p>
            <w:pPr>
              <w:spacing w:after="20"/>
            </w:pPr>
            <w:r>
              <w:rPr>
                <w:color w:val="1C3A36"/>
                <w:sz w:val="16"/>
              </w:rPr>
              <w:t>Consumer price index, July 2026</w:t>
            </w:r>
          </w:p>
        </w:tc>
        <w:tc>
          <w:tcPr>
            <w:tcW w:type="dxa" w:w="2520"/>
          </w:tcPr>
          <w:p>
            <w:pPr>
              <w:spacing w:after="20"/>
            </w:pPr>
            <w:r>
              <w:rPr>
                <w:color w:val="1C3A36"/>
                <w:sz w:val="16"/>
              </w:rPr>
              <w:t>GASTAT (via press reports of the release)</w:t>
            </w:r>
          </w:p>
        </w:tc>
        <w:tc>
          <w:tcPr>
            <w:tcW w:type="dxa" w:w="1152"/>
          </w:tcPr>
          <w:p>
            <w:pPr>
              <w:spacing w:after="20"/>
            </w:pPr>
            <w:r>
              <w:rPr>
                <w:color w:val="1C3A36"/>
                <w:sz w:val="16"/>
              </w:rPr>
              <w:t>14-Aug-2026</w:t>
            </w:r>
          </w:p>
        </w:tc>
        <w:tc>
          <w:tcPr>
            <w:tcW w:type="dxa" w:w="3384"/>
          </w:tcPr>
          <w:p>
            <w:pPr>
              <w:spacing w:after="20"/>
            </w:pPr>
            <w:r>
              <w:rPr>
                <w:color w:val="1C3A36"/>
                <w:sz w:val="16"/>
              </w:rPr>
              <w:t>Saudi CPI +1.8%</w:t>
            </w:r>
          </w:p>
        </w:tc>
      </w:tr>
      <w:tr>
        <w:tc>
          <w:tcPr>
            <w:tcW w:type="dxa" w:w="3168"/>
          </w:tcPr>
          <w:p>
            <w:pPr>
              <w:spacing w:after="20"/>
            </w:pPr>
            <w:r>
              <w:rPr>
                <w:color w:val="1C3A36"/>
                <w:sz w:val="16"/>
              </w:rPr>
              <w:t>Market quotes (Savola, Herfy, Almarai, Al Othaim, BinDawood, NADEC, Wilmar; 3M SAIBOR) — SETTLED closes of 18-Aug-2026, each verified against the following session's prior-close field</w:t>
            </w:r>
          </w:p>
        </w:tc>
        <w:tc>
          <w:tcPr>
            <w:tcW w:type="dxa" w:w="2520"/>
          </w:tcPr>
          <w:p>
            <w:pPr>
              <w:spacing w:after="20"/>
            </w:pPr>
            <w:r>
              <w:rPr>
                <w:color w:val="1C3A36"/>
                <w:sz w:val="16"/>
              </w:rPr>
              <w:t>Argaam (prior-close verification); stockanalysis.com; TradingEconomics — market data only</w:t>
            </w:r>
          </w:p>
        </w:tc>
        <w:tc>
          <w:tcPr>
            <w:tcW w:type="dxa" w:w="1152"/>
          </w:tcPr>
          <w:p>
            <w:pPr>
              <w:spacing w:after="20"/>
            </w:pPr>
            <w:r>
              <w:rPr>
                <w:color w:val="1C3A36"/>
                <w:sz w:val="16"/>
              </w:rPr>
              <w:t>19-Aug-2026</w:t>
            </w:r>
          </w:p>
        </w:tc>
        <w:tc>
          <w:tcPr>
            <w:tcW w:type="dxa" w:w="3384"/>
          </w:tcPr>
          <w:p>
            <w:pPr>
              <w:spacing w:after="20"/>
            </w:pPr>
            <w:r>
              <w:rPr>
                <w:color w:val="1C3A36"/>
                <w:sz w:val="16"/>
              </w:rPr>
              <w:t>prices and trailing multiples for the cross-checks and the bridge's Herfy leg — never a source for any Savola reported figure. Al Othaim's 11-Aug-2026 H1 loss announcement disqualifies its trailing multiple (n/m)</w:t>
            </w:r>
          </w:p>
        </w:tc>
      </w:tr>
    </w:tbl>
    <w:p>
      <w:pPr>
        <w:spacing w:after="40"/>
      </w:pPr>
    </w:p>
    <w:p>
      <w:pPr>
        <w:spacing w:after="60" w:before="160"/>
      </w:pPr>
      <w:r>
        <w:rPr>
          <w:b/>
          <w:i w:val="0"/>
          <w:color w:val="1C3A36"/>
          <w:sz w:val="22"/>
        </w:rPr>
        <w:t>The input register — every input, with value, source, date and layer</w:t>
      </w:r>
    </w:p>
    <w:p>
      <w:pPr>
        <w:spacing w:after="100" w:before="0"/>
      </w:pPr>
      <w:r>
        <w:rPr>
          <w:b w:val="0"/>
          <w:i w:val="0"/>
          <w:color w:val="1C3A36"/>
          <w:sz w:val="18"/>
        </w:rPr>
        <w:t>Grouped by layer. Values are as the model consumes them (SAR millions unless the row says otherwise; paths list the five forecast years FY2026E-FY2030E).</w:t>
      </w:r>
    </w:p>
    <w:p>
      <w:pPr>
        <w:spacing w:after="60" w:before="160"/>
      </w:pPr>
      <w:r>
        <w:rPr>
          <w:b/>
          <w:i w:val="0"/>
          <w:color w:val="1C3A36"/>
          <w:sz w:val="22"/>
        </w:rPr>
        <w:t>Layer: Company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accrued_fy25</w:t>
            </w:r>
          </w:p>
        </w:tc>
        <w:tc>
          <w:tcPr>
            <w:tcW w:type="dxa" w:w="1656"/>
          </w:tcPr>
          <w:p>
            <w:pPr>
              <w:spacing w:after="20"/>
            </w:pPr>
            <w:r>
              <w:rPr>
                <w:color w:val="1C3A36"/>
                <w:sz w:val="15"/>
              </w:rPr>
              <w:t>2,829.4</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adm_fy23</w:t>
            </w:r>
          </w:p>
        </w:tc>
        <w:tc>
          <w:tcPr>
            <w:tcW w:type="dxa" w:w="1656"/>
          </w:tcPr>
          <w:p>
            <w:pPr>
              <w:spacing w:after="20"/>
            </w:pPr>
            <w:r>
              <w:rPr>
                <w:color w:val="1C3A36"/>
                <w:sz w:val="15"/>
              </w:rPr>
              <w:t>869.8</w:t>
            </w:r>
          </w:p>
        </w:tc>
        <w:tc>
          <w:tcPr>
            <w:tcW w:type="dxa" w:w="5400"/>
          </w:tcPr>
          <w:p>
            <w:pPr>
              <w:spacing w:after="20"/>
            </w:pPr>
            <w:r>
              <w:rPr>
                <w:color w:val="1C3A36"/>
                <w:sz w:val="15"/>
              </w:rPr>
              <w:t>Audited consolidated FS FY2024, savola.com (KPMG, 10-Mar-2025), FY2023 comparative, administrative</w:t>
            </w:r>
          </w:p>
        </w:tc>
        <w:tc>
          <w:tcPr>
            <w:tcW w:type="dxa" w:w="1080"/>
          </w:tcPr>
          <w:p>
            <w:pPr>
              <w:spacing w:after="20"/>
            </w:pPr>
            <w:r>
              <w:rPr>
                <w:color w:val="1C3A36"/>
                <w:sz w:val="15"/>
              </w:rPr>
              <w:t>2025-03-10</w:t>
            </w:r>
          </w:p>
        </w:tc>
      </w:tr>
      <w:tr>
        <w:tc>
          <w:tcPr>
            <w:tcW w:type="dxa" w:w="2088"/>
          </w:tcPr>
          <w:p>
            <w:pPr>
              <w:spacing w:after="20"/>
            </w:pPr>
            <w:r>
              <w:rPr>
                <w:color w:val="1C3A36"/>
                <w:sz w:val="15"/>
              </w:rPr>
              <w:t>adm_fy24</w:t>
            </w:r>
          </w:p>
        </w:tc>
        <w:tc>
          <w:tcPr>
            <w:tcW w:type="dxa" w:w="1656"/>
          </w:tcPr>
          <w:p>
            <w:pPr>
              <w:spacing w:after="20"/>
            </w:pPr>
            <w:r>
              <w:rPr>
                <w:color w:val="1C3A36"/>
                <w:sz w:val="15"/>
              </w:rPr>
              <w:t>901.7</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adm_fy25</w:t>
            </w:r>
          </w:p>
        </w:tc>
        <w:tc>
          <w:tcPr>
            <w:tcW w:type="dxa" w:w="1656"/>
          </w:tcPr>
          <w:p>
            <w:pPr>
              <w:spacing w:after="20"/>
            </w:pPr>
            <w:r>
              <w:rPr>
                <w:color w:val="1C3A36"/>
                <w:sz w:val="15"/>
              </w:rPr>
              <w:t>820.2</w:t>
            </w:r>
          </w:p>
        </w:tc>
        <w:tc>
          <w:tcPr>
            <w:tcW w:type="dxa" w:w="5400"/>
          </w:tcPr>
          <w:p>
            <w:pPr>
              <w:spacing w:after="20"/>
            </w:pPr>
            <w:r>
              <w:rPr>
                <w:color w:val="1C3A36"/>
                <w:sz w:val="15"/>
              </w:rPr>
              <w:t>Audited consolidated FS FY2025, savola.com/en/investors/financial-statements (Deloitte &amp; Touche, unmodified opinion, authorized 05-Mar-2026), note 37</w:t>
            </w:r>
          </w:p>
        </w:tc>
        <w:tc>
          <w:tcPr>
            <w:tcW w:type="dxa" w:w="1080"/>
          </w:tcPr>
          <w:p>
            <w:pPr>
              <w:spacing w:after="20"/>
            </w:pPr>
            <w:r>
              <w:rPr>
                <w:color w:val="1C3A36"/>
                <w:sz w:val="15"/>
              </w:rPr>
              <w:t>2026-03-05</w:t>
            </w:r>
          </w:p>
        </w:tc>
      </w:tr>
      <w:tr>
        <w:tc>
          <w:tcPr>
            <w:tcW w:type="dxa" w:w="2088"/>
          </w:tcPr>
          <w:p>
            <w:pPr>
              <w:spacing w:after="20"/>
            </w:pPr>
            <w:r>
              <w:rPr>
                <w:color w:val="1C3A36"/>
                <w:sz w:val="15"/>
              </w:rPr>
              <w:t>assoc_fy25</w:t>
            </w:r>
          </w:p>
        </w:tc>
        <w:tc>
          <w:tcPr>
            <w:tcW w:type="dxa" w:w="1656"/>
          </w:tcPr>
          <w:p>
            <w:pPr>
              <w:spacing w:after="20"/>
            </w:pPr>
            <w:r>
              <w:rPr>
                <w:color w:val="1C3A36"/>
                <w:sz w:val="15"/>
              </w:rPr>
              <w:t>51.775</w:t>
            </w:r>
          </w:p>
        </w:tc>
        <w:tc>
          <w:tcPr>
            <w:tcW w:type="dxa" w:w="5400"/>
          </w:tcPr>
          <w:p>
            <w:pPr>
              <w:spacing w:after="20"/>
            </w:pPr>
            <w:r>
              <w:rPr>
                <w:color w:val="1C3A36"/>
                <w:sz w:val="15"/>
              </w:rPr>
              <w:t>Audited consolidated FS FY2025, savola.com/en/investors/financial-statements (Deloitte &amp; Touche, unmodified opinion, authorized 05-Mar-2026): share of results of equity-accounted investees (Kinan), net of zakat and tax</w:t>
            </w:r>
          </w:p>
        </w:tc>
        <w:tc>
          <w:tcPr>
            <w:tcW w:type="dxa" w:w="1080"/>
          </w:tcPr>
          <w:p>
            <w:pPr>
              <w:spacing w:after="20"/>
            </w:pPr>
            <w:r>
              <w:rPr>
                <w:color w:val="1C3A36"/>
                <w:sz w:val="15"/>
              </w:rPr>
              <w:t>2026-03-05</w:t>
            </w:r>
          </w:p>
        </w:tc>
      </w:tr>
      <w:tr>
        <w:tc>
          <w:tcPr>
            <w:tcW w:type="dxa" w:w="2088"/>
          </w:tcPr>
          <w:p>
            <w:pPr>
              <w:spacing w:after="20"/>
            </w:pPr>
            <w:r>
              <w:rPr>
                <w:color w:val="1C3A36"/>
                <w:sz w:val="15"/>
              </w:rPr>
              <w:t>cash_fy25</w:t>
            </w:r>
          </w:p>
        </w:tc>
        <w:tc>
          <w:tcPr>
            <w:tcW w:type="dxa" w:w="1656"/>
          </w:tcPr>
          <w:p>
            <w:pPr>
              <w:spacing w:after="20"/>
            </w:pPr>
            <w:r>
              <w:rPr>
                <w:color w:val="1C3A36"/>
                <w:sz w:val="15"/>
              </w:rPr>
              <w:t>904.1</w:t>
            </w:r>
          </w:p>
        </w:tc>
        <w:tc>
          <w:tcPr>
            <w:tcW w:type="dxa" w:w="5400"/>
          </w:tcPr>
          <w:p>
            <w:pPr>
              <w:spacing w:after="20"/>
            </w:pPr>
            <w:r>
              <w:rPr>
                <w:color w:val="1C3A36"/>
                <w:sz w:val="15"/>
              </w:rPr>
              <w:t>Audited consolidated FS FY2025, savola.com/en/investors/financial-statements (Deloitte &amp; Touche, unmodified opinion, authorized 05-Mar-2026), note 15 (incl. &lt;3-month deposits 306.7)</w:t>
            </w:r>
          </w:p>
        </w:tc>
        <w:tc>
          <w:tcPr>
            <w:tcW w:type="dxa" w:w="1080"/>
          </w:tcPr>
          <w:p>
            <w:pPr>
              <w:spacing w:after="20"/>
            </w:pPr>
            <w:r>
              <w:rPr>
                <w:color w:val="1C3A36"/>
                <w:sz w:val="15"/>
              </w:rPr>
              <w:t>2026-03-05</w:t>
            </w:r>
          </w:p>
        </w:tc>
      </w:tr>
      <w:tr>
        <w:tc>
          <w:tcPr>
            <w:tcW w:type="dxa" w:w="2088"/>
          </w:tcPr>
          <w:p>
            <w:pPr>
              <w:spacing w:after="20"/>
            </w:pPr>
            <w:r>
              <w:rPr>
                <w:color w:val="1C3A36"/>
                <w:sz w:val="15"/>
              </w:rPr>
              <w:t>cash_jun26</w:t>
            </w:r>
          </w:p>
        </w:tc>
        <w:tc>
          <w:tcPr>
            <w:tcW w:type="dxa" w:w="1656"/>
          </w:tcPr>
          <w:p>
            <w:pPr>
              <w:spacing w:after="20"/>
            </w:pPr>
            <w:r>
              <w:rPr>
                <w:color w:val="1C3A36"/>
                <w:sz w:val="15"/>
              </w:rPr>
              <w:t>1,051.4</w:t>
            </w:r>
          </w:p>
        </w:tc>
        <w:tc>
          <w:tcPr>
            <w:tcW w:type="dxa" w:w="5400"/>
          </w:tcPr>
          <w:p>
            <w:pPr>
              <w:spacing w:after="20"/>
            </w:pPr>
            <w:r>
              <w:rPr>
                <w:color w:val="1C3A36"/>
                <w:sz w:val="15"/>
              </w:rPr>
              <w:t>Q2-2026 reviewed interim FS: cash and cash equivalents at 30-Jun-2026 (context for the weight construction; weights use gross debt)</w:t>
            </w:r>
          </w:p>
        </w:tc>
        <w:tc>
          <w:tcPr>
            <w:tcW w:type="dxa" w:w="1080"/>
          </w:tcPr>
          <w:p>
            <w:pPr>
              <w:spacing w:after="20"/>
            </w:pPr>
            <w:r>
              <w:rPr>
                <w:color w:val="1C3A36"/>
                <w:sz w:val="15"/>
              </w:rPr>
              <w:t>2026-08-05</w:t>
            </w:r>
          </w:p>
        </w:tc>
      </w:tr>
      <w:tr>
        <w:tc>
          <w:tcPr>
            <w:tcW w:type="dxa" w:w="2088"/>
          </w:tcPr>
          <w:p>
            <w:pPr>
              <w:spacing w:after="20"/>
            </w:pPr>
            <w:r>
              <w:rPr>
                <w:color w:val="1C3A36"/>
                <w:sz w:val="15"/>
              </w:rPr>
              <w:t>cogs_fy23</w:t>
            </w:r>
          </w:p>
        </w:tc>
        <w:tc>
          <w:tcPr>
            <w:tcW w:type="dxa" w:w="1656"/>
          </w:tcPr>
          <w:p>
            <w:pPr>
              <w:spacing w:after="20"/>
            </w:pPr>
            <w:r>
              <w:rPr>
                <w:color w:val="1C3A36"/>
                <w:sz w:val="15"/>
              </w:rPr>
              <w:t>19,103.7</w:t>
            </w:r>
          </w:p>
        </w:tc>
        <w:tc>
          <w:tcPr>
            <w:tcW w:type="dxa" w:w="5400"/>
          </w:tcPr>
          <w:p>
            <w:pPr>
              <w:spacing w:after="20"/>
            </w:pPr>
            <w:r>
              <w:rPr>
                <w:color w:val="1C3A36"/>
                <w:sz w:val="15"/>
              </w:rPr>
              <w:t>Audited consolidated FS FY2024, savola.com (KPMG, 10-Mar-2025), FY2023 comparative</w:t>
            </w:r>
          </w:p>
        </w:tc>
        <w:tc>
          <w:tcPr>
            <w:tcW w:type="dxa" w:w="1080"/>
          </w:tcPr>
          <w:p>
            <w:pPr>
              <w:spacing w:after="20"/>
            </w:pPr>
            <w:r>
              <w:rPr>
                <w:color w:val="1C3A36"/>
                <w:sz w:val="15"/>
              </w:rPr>
              <w:t>2025-03-10</w:t>
            </w:r>
          </w:p>
        </w:tc>
      </w:tr>
      <w:tr>
        <w:tc>
          <w:tcPr>
            <w:tcW w:type="dxa" w:w="2088"/>
          </w:tcPr>
          <w:p>
            <w:pPr>
              <w:spacing w:after="20"/>
            </w:pPr>
            <w:r>
              <w:rPr>
                <w:color w:val="1C3A36"/>
                <w:sz w:val="15"/>
              </w:rPr>
              <w:t>cogs_fy24</w:t>
            </w:r>
          </w:p>
        </w:tc>
        <w:tc>
          <w:tcPr>
            <w:tcW w:type="dxa" w:w="1656"/>
          </w:tcPr>
          <w:p>
            <w:pPr>
              <w:spacing w:after="20"/>
            </w:pPr>
            <w:r>
              <w:rPr>
                <w:color w:val="1C3A36"/>
                <w:sz w:val="15"/>
              </w:rPr>
              <w:t>18,212.9</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cogs_fy25</w:t>
            </w:r>
          </w:p>
        </w:tc>
        <w:tc>
          <w:tcPr>
            <w:tcW w:type="dxa" w:w="1656"/>
          </w:tcPr>
          <w:p>
            <w:pPr>
              <w:spacing w:after="20"/>
            </w:pPr>
            <w:r>
              <w:rPr>
                <w:color w:val="1C3A36"/>
                <w:sz w:val="15"/>
              </w:rPr>
              <w:t>20,992.2</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contract_fy25</w:t>
            </w:r>
          </w:p>
        </w:tc>
        <w:tc>
          <w:tcPr>
            <w:tcW w:type="dxa" w:w="1656"/>
          </w:tcPr>
          <w:p>
            <w:pPr>
              <w:spacing w:after="20"/>
            </w:pPr>
            <w:r>
              <w:rPr>
                <w:color w:val="1C3A36"/>
                <w:sz w:val="15"/>
              </w:rPr>
              <w:t>152.0</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div_between</w:t>
            </w:r>
          </w:p>
        </w:tc>
        <w:tc>
          <w:tcPr>
            <w:tcW w:type="dxa" w:w="1656"/>
          </w:tcPr>
          <w:p>
            <w:pPr>
              <w:spacing w:after="20"/>
            </w:pPr>
            <w:r>
              <w:rPr>
                <w:color w:val="1C3A36"/>
                <w:sz w:val="15"/>
              </w:rPr>
              <w:t>1.7</w:t>
            </w:r>
          </w:p>
        </w:tc>
        <w:tc>
          <w:tcPr>
            <w:tcW w:type="dxa" w:w="5400"/>
          </w:tcPr>
          <w:p>
            <w:pPr>
              <w:spacing w:after="20"/>
            </w:pPr>
            <w:r>
              <w:rPr>
                <w:color w:val="1C3A36"/>
                <w:sz w:val="15"/>
              </w:rPr>
              <w:t>FY2025 dividend SAR 1.70/share (SAR 510mn, 17% of par), board-recommended 05-Mar-2026 (Official Saudi Exchange announcement, saudiexchange.sa anId 93503), EX-DATE 07-May-2026, paid during H1-2026 (H1 release: 524 incl. NCI). Its ex-date falls between the 31-Dec-2025 valuation date and the 18-Aug-2026 anchor, so every lens rolled to the anchor must be ex this dividend</w:t>
            </w:r>
          </w:p>
        </w:tc>
        <w:tc>
          <w:tcPr>
            <w:tcW w:type="dxa" w:w="1080"/>
          </w:tcPr>
          <w:p>
            <w:pPr>
              <w:spacing w:after="20"/>
            </w:pPr>
            <w:r>
              <w:rPr>
                <w:color w:val="1C3A36"/>
                <w:sz w:val="15"/>
              </w:rPr>
              <w:t>2026-05-07</w:t>
            </w:r>
          </w:p>
        </w:tc>
      </w:tr>
      <w:tr>
        <w:tc>
          <w:tcPr>
            <w:tcW w:type="dxa" w:w="2088"/>
          </w:tcPr>
          <w:p>
            <w:pPr>
              <w:spacing w:after="20"/>
            </w:pPr>
            <w:r>
              <w:rPr>
                <w:color w:val="1C3A36"/>
                <w:sz w:val="15"/>
              </w:rPr>
              <w:t>dna_fy23</w:t>
            </w:r>
          </w:p>
        </w:tc>
        <w:tc>
          <w:tcPr>
            <w:tcW w:type="dxa" w:w="1656"/>
          </w:tcPr>
          <w:p>
            <w:pPr>
              <w:spacing w:after="20"/>
            </w:pPr>
            <w:r>
              <w:rPr>
                <w:color w:val="1C3A36"/>
                <w:sz w:val="15"/>
              </w:rPr>
              <w:t>1,064.6</w:t>
            </w:r>
          </w:p>
        </w:tc>
        <w:tc>
          <w:tcPr>
            <w:tcW w:type="dxa" w:w="5400"/>
          </w:tcPr>
          <w:p>
            <w:pPr>
              <w:spacing w:after="20"/>
            </w:pPr>
            <w:r>
              <w:rPr>
                <w:color w:val="1C3A36"/>
                <w:sz w:val="15"/>
              </w:rPr>
              <w:t>Audited consolidated FS FY2024, savola.com (KPMG, 10-Mar-2025), FY2023 segment note: continuing depreciation &amp; amortisation</w:t>
            </w:r>
          </w:p>
        </w:tc>
        <w:tc>
          <w:tcPr>
            <w:tcW w:type="dxa" w:w="1080"/>
          </w:tcPr>
          <w:p>
            <w:pPr>
              <w:spacing w:after="20"/>
            </w:pPr>
            <w:r>
              <w:rPr>
                <w:color w:val="1C3A36"/>
                <w:sz w:val="15"/>
              </w:rPr>
              <w:t>2025-03-10</w:t>
            </w:r>
          </w:p>
        </w:tc>
      </w:tr>
      <w:tr>
        <w:tc>
          <w:tcPr>
            <w:tcW w:type="dxa" w:w="2088"/>
          </w:tcPr>
          <w:p>
            <w:pPr>
              <w:spacing w:after="20"/>
            </w:pPr>
            <w:r>
              <w:rPr>
                <w:color w:val="1C3A36"/>
                <w:sz w:val="15"/>
              </w:rPr>
              <w:t>dna_fy24</w:t>
            </w:r>
          </w:p>
        </w:tc>
        <w:tc>
          <w:tcPr>
            <w:tcW w:type="dxa" w:w="1656"/>
          </w:tcPr>
          <w:p>
            <w:pPr>
              <w:spacing w:after="20"/>
            </w:pPr>
            <w:r>
              <w:rPr>
                <w:color w:val="1C3A36"/>
                <w:sz w:val="15"/>
              </w:rPr>
              <w:t>1,099.9</w:t>
            </w:r>
          </w:p>
        </w:tc>
        <w:tc>
          <w:tcPr>
            <w:tcW w:type="dxa" w:w="5400"/>
          </w:tcPr>
          <w:p>
            <w:pPr>
              <w:spacing w:after="20"/>
            </w:pPr>
            <w:r>
              <w:rPr>
                <w:color w:val="1C3A36"/>
                <w:sz w:val="15"/>
              </w:rPr>
              <w:t>Audited consolidated FS FY2025, savola.com/en/investors/financial-statements (Deloitte &amp; Touche, unmodified opinion, authorized 05-Mar-2026), FY2024 segment note (continuing)</w:t>
            </w:r>
          </w:p>
        </w:tc>
        <w:tc>
          <w:tcPr>
            <w:tcW w:type="dxa" w:w="1080"/>
          </w:tcPr>
          <w:p>
            <w:pPr>
              <w:spacing w:after="20"/>
            </w:pPr>
            <w:r>
              <w:rPr>
                <w:color w:val="1C3A36"/>
                <w:sz w:val="15"/>
              </w:rPr>
              <w:t>2026-03-05</w:t>
            </w:r>
          </w:p>
        </w:tc>
      </w:tr>
      <w:tr>
        <w:tc>
          <w:tcPr>
            <w:tcW w:type="dxa" w:w="2088"/>
          </w:tcPr>
          <w:p>
            <w:pPr>
              <w:spacing w:after="20"/>
            </w:pPr>
            <w:r>
              <w:rPr>
                <w:color w:val="1C3A36"/>
                <w:sz w:val="15"/>
              </w:rPr>
              <w:t>dna_fy25</w:t>
            </w:r>
          </w:p>
        </w:tc>
        <w:tc>
          <w:tcPr>
            <w:tcW w:type="dxa" w:w="1656"/>
          </w:tcPr>
          <w:p>
            <w:pPr>
              <w:spacing w:after="20"/>
            </w:pPr>
            <w:r>
              <w:rPr>
                <w:color w:val="1C3A36"/>
                <w:sz w:val="15"/>
              </w:rPr>
              <w:t>1,190.0</w:t>
            </w:r>
          </w:p>
        </w:tc>
        <w:tc>
          <w:tcPr>
            <w:tcW w:type="dxa" w:w="5400"/>
          </w:tcPr>
          <w:p>
            <w:pPr>
              <w:spacing w:after="20"/>
            </w:pPr>
            <w:r>
              <w:rPr>
                <w:color w:val="1C3A36"/>
                <w:sz w:val="15"/>
              </w:rPr>
              <w:t>Audited consolidated FS FY2025, savola.com/en/investors/financial-statements (Deloitte &amp; Touche, unmodified opinion, authorized 05-Mar-2026), segment note 33 (continuing); cash-flow total incl. discontinued 1,198.4</w:t>
            </w:r>
          </w:p>
        </w:tc>
        <w:tc>
          <w:tcPr>
            <w:tcW w:type="dxa" w:w="1080"/>
          </w:tcPr>
          <w:p>
            <w:pPr>
              <w:spacing w:after="20"/>
            </w:pPr>
            <w:r>
              <w:rPr>
                <w:color w:val="1C3A36"/>
                <w:sz w:val="15"/>
              </w:rPr>
              <w:t>2026-03-05</w:t>
            </w:r>
          </w:p>
        </w:tc>
      </w:tr>
      <w:tr>
        <w:tc>
          <w:tcPr>
            <w:tcW w:type="dxa" w:w="2088"/>
          </w:tcPr>
          <w:p>
            <w:pPr>
              <w:spacing w:after="20"/>
            </w:pPr>
            <w:r>
              <w:rPr>
                <w:color w:val="1C3A36"/>
                <w:sz w:val="15"/>
              </w:rPr>
              <w:t>dna_int_fy25</w:t>
            </w:r>
          </w:p>
        </w:tc>
        <w:tc>
          <w:tcPr>
            <w:tcW w:type="dxa" w:w="1656"/>
          </w:tcPr>
          <w:p>
            <w:pPr>
              <w:spacing w:after="20"/>
            </w:pPr>
            <w:r>
              <w:rPr>
                <w:color w:val="1C3A36"/>
                <w:sz w:val="15"/>
              </w:rPr>
              <w:t>48.936</w:t>
            </w:r>
          </w:p>
        </w:tc>
        <w:tc>
          <w:tcPr>
            <w:tcW w:type="dxa" w:w="5400"/>
          </w:tcPr>
          <w:p>
            <w:pPr>
              <w:spacing w:after="20"/>
            </w:pPr>
            <w:r>
              <w:rPr>
                <w:color w:val="1C3A36"/>
                <w:sz w:val="15"/>
              </w:rPr>
              <w:t>Audited consolidated FS FY2025, savola.com/en/investors/financial-statements (Deloitte &amp; Touche, unmodified opinion, authorized 05-Mar-2026), note 8: amortisation of intangibles</w:t>
            </w:r>
          </w:p>
        </w:tc>
        <w:tc>
          <w:tcPr>
            <w:tcW w:type="dxa" w:w="1080"/>
          </w:tcPr>
          <w:p>
            <w:pPr>
              <w:spacing w:after="20"/>
            </w:pPr>
            <w:r>
              <w:rPr>
                <w:color w:val="1C3A36"/>
                <w:sz w:val="15"/>
              </w:rPr>
              <w:t>2026-03-05</w:t>
            </w:r>
          </w:p>
        </w:tc>
      </w:tr>
      <w:tr>
        <w:tc>
          <w:tcPr>
            <w:tcW w:type="dxa" w:w="2088"/>
          </w:tcPr>
          <w:p>
            <w:pPr>
              <w:spacing w:after="20"/>
            </w:pPr>
            <w:r>
              <w:rPr>
                <w:color w:val="1C3A36"/>
                <w:sz w:val="15"/>
              </w:rPr>
              <w:t>dna_own_fy25</w:t>
            </w:r>
          </w:p>
        </w:tc>
        <w:tc>
          <w:tcPr>
            <w:tcW w:type="dxa" w:w="1656"/>
          </w:tcPr>
          <w:p>
            <w:pPr>
              <w:spacing w:after="20"/>
            </w:pPr>
            <w:r>
              <w:rPr>
                <w:color w:val="1C3A36"/>
                <w:sz w:val="15"/>
              </w:rPr>
              <w:t>608.9</w:t>
            </w:r>
          </w:p>
        </w:tc>
        <w:tc>
          <w:tcPr>
            <w:tcW w:type="dxa" w:w="5400"/>
          </w:tcPr>
          <w:p>
            <w:pPr>
              <w:spacing w:after="20"/>
            </w:pPr>
            <w:r>
              <w:rPr>
                <w:color w:val="1C3A36"/>
                <w:sz w:val="15"/>
              </w:rPr>
              <w:t>Audited consolidated FS FY2025, savola.com/en/investors/financial-statements (Deloitte &amp; Touche, unmodified opinion, authorized 05-Mar-2026), note 6: depreciation for the year on owned PP&amp;E</w:t>
            </w:r>
          </w:p>
        </w:tc>
        <w:tc>
          <w:tcPr>
            <w:tcW w:type="dxa" w:w="1080"/>
          </w:tcPr>
          <w:p>
            <w:pPr>
              <w:spacing w:after="20"/>
            </w:pPr>
            <w:r>
              <w:rPr>
                <w:color w:val="1C3A36"/>
                <w:sz w:val="15"/>
              </w:rPr>
              <w:t>2026-03-05</w:t>
            </w:r>
          </w:p>
        </w:tc>
      </w:tr>
      <w:tr>
        <w:tc>
          <w:tcPr>
            <w:tcW w:type="dxa" w:w="2088"/>
          </w:tcPr>
          <w:p>
            <w:pPr>
              <w:spacing w:after="20"/>
            </w:pPr>
            <w:r>
              <w:rPr>
                <w:color w:val="1C3A36"/>
                <w:sz w:val="15"/>
              </w:rPr>
              <w:t>eb_fy25</w:t>
            </w:r>
          </w:p>
        </w:tc>
        <w:tc>
          <w:tcPr>
            <w:tcW w:type="dxa" w:w="1656"/>
          </w:tcPr>
          <w:p>
            <w:pPr>
              <w:spacing w:after="20"/>
            </w:pPr>
            <w:r>
              <w:rPr>
                <w:color w:val="1C3A36"/>
                <w:sz w:val="15"/>
              </w:rPr>
              <w:t>748.4</w:t>
            </w:r>
          </w:p>
        </w:tc>
        <w:tc>
          <w:tcPr>
            <w:tcW w:type="dxa" w:w="5400"/>
          </w:tcPr>
          <w:p>
            <w:pPr>
              <w:spacing w:after="20"/>
            </w:pPr>
            <w:r>
              <w:rPr>
                <w:color w:val="1C3A36"/>
                <w:sz w:val="15"/>
              </w:rPr>
              <w:t>Audited consolidated FS FY2025, savola.com/en/investors/financial-statements (Deloitte &amp; Touche, unmodified opinion, authorized 05-Mar-2026): employee benefits liabilities (non-current)</w:t>
            </w:r>
          </w:p>
        </w:tc>
        <w:tc>
          <w:tcPr>
            <w:tcW w:type="dxa" w:w="1080"/>
          </w:tcPr>
          <w:p>
            <w:pPr>
              <w:spacing w:after="20"/>
            </w:pPr>
            <w:r>
              <w:rPr>
                <w:color w:val="1C3A36"/>
                <w:sz w:val="15"/>
              </w:rPr>
              <w:t>2026-03-05</w:t>
            </w:r>
          </w:p>
        </w:tc>
      </w:tr>
      <w:tr>
        <w:tc>
          <w:tcPr>
            <w:tcW w:type="dxa" w:w="2088"/>
          </w:tcPr>
          <w:p>
            <w:pPr>
              <w:spacing w:after="20"/>
            </w:pPr>
            <w:r>
              <w:rPr>
                <w:color w:val="1C3A36"/>
                <w:sz w:val="15"/>
              </w:rPr>
              <w:t>elim_fy25</w:t>
            </w:r>
          </w:p>
        </w:tc>
        <w:tc>
          <w:tcPr>
            <w:tcW w:type="dxa" w:w="1656"/>
          </w:tcPr>
          <w:p>
            <w:pPr>
              <w:spacing w:after="20"/>
            </w:pPr>
            <w:r>
              <w:rPr>
                <w:color w:val="1C3A36"/>
                <w:sz w:val="15"/>
              </w:rPr>
              <w:t>-443.2</w:t>
            </w:r>
          </w:p>
        </w:tc>
        <w:tc>
          <w:tcPr>
            <w:tcW w:type="dxa" w:w="5400"/>
          </w:tcPr>
          <w:p>
            <w:pPr>
              <w:spacing w:after="20"/>
            </w:pPr>
            <w:r>
              <w:rPr>
                <w:color w:val="1C3A36"/>
                <w:sz w:val="15"/>
              </w:rPr>
              <w:t>Audited consolidated FS FY2025, savola.com/en/investors/financial-statements (Deloitte &amp; Touche, unmodified opinion, authorized 05-Mar-2026), note 33: others / eliminations</w:t>
            </w:r>
          </w:p>
        </w:tc>
        <w:tc>
          <w:tcPr>
            <w:tcW w:type="dxa" w:w="1080"/>
          </w:tcPr>
          <w:p>
            <w:pPr>
              <w:spacing w:after="20"/>
            </w:pPr>
            <w:r>
              <w:rPr>
                <w:color w:val="1C3A36"/>
                <w:sz w:val="15"/>
              </w:rPr>
              <w:t>2026-03-05</w:t>
            </w:r>
          </w:p>
        </w:tc>
      </w:tr>
      <w:tr>
        <w:tc>
          <w:tcPr>
            <w:tcW w:type="dxa" w:w="2088"/>
          </w:tcPr>
          <w:p>
            <w:pPr>
              <w:spacing w:after="20"/>
            </w:pPr>
            <w:r>
              <w:rPr>
                <w:color w:val="1C3A36"/>
                <w:sz w:val="15"/>
              </w:rPr>
              <w:t>eps_fy25</w:t>
            </w:r>
          </w:p>
        </w:tc>
        <w:tc>
          <w:tcPr>
            <w:tcW w:type="dxa" w:w="1656"/>
          </w:tcPr>
          <w:p>
            <w:pPr>
              <w:spacing w:after="20"/>
            </w:pPr>
            <w:r>
              <w:rPr>
                <w:color w:val="1C3A36"/>
                <w:sz w:val="15"/>
              </w:rPr>
              <w:t>2.93</w:t>
            </w:r>
          </w:p>
        </w:tc>
        <w:tc>
          <w:tcPr>
            <w:tcW w:type="dxa" w:w="5400"/>
          </w:tcPr>
          <w:p>
            <w:pPr>
              <w:spacing w:after="20"/>
            </w:pPr>
            <w:r>
              <w:rPr>
                <w:color w:val="1C3A36"/>
                <w:sz w:val="15"/>
              </w:rPr>
              <w:t>Audited consolidated FS FY2025, savola.com/en/investors/financial-statements (Deloitte &amp; Touche, unmodified opinion, authorized 05-Mar-2026), note 31 (basic, total)</w:t>
            </w:r>
          </w:p>
        </w:tc>
        <w:tc>
          <w:tcPr>
            <w:tcW w:type="dxa" w:w="1080"/>
          </w:tcPr>
          <w:p>
            <w:pPr>
              <w:spacing w:after="20"/>
            </w:pPr>
            <w:r>
              <w:rPr>
                <w:color w:val="1C3A36"/>
                <w:sz w:val="15"/>
              </w:rPr>
              <w:t>2026-03-05</w:t>
            </w:r>
          </w:p>
        </w:tc>
      </w:tr>
      <w:tr>
        <w:tc>
          <w:tcPr>
            <w:tcW w:type="dxa" w:w="2088"/>
          </w:tcPr>
          <w:p>
            <w:pPr>
              <w:spacing w:after="20"/>
            </w:pPr>
            <w:r>
              <w:rPr>
                <w:color w:val="1C3A36"/>
                <w:sz w:val="15"/>
              </w:rPr>
              <w:t>equity_att_fy25</w:t>
            </w:r>
          </w:p>
        </w:tc>
        <w:tc>
          <w:tcPr>
            <w:tcW w:type="dxa" w:w="1656"/>
          </w:tcPr>
          <w:p>
            <w:pPr>
              <w:spacing w:after="20"/>
            </w:pPr>
            <w:r>
              <w:rPr>
                <w:color w:val="1C3A36"/>
                <w:sz w:val="15"/>
              </w:rPr>
              <w:t>5,516.0</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equity_att_jun26</w:t>
            </w:r>
          </w:p>
        </w:tc>
        <w:tc>
          <w:tcPr>
            <w:tcW w:type="dxa" w:w="1656"/>
          </w:tcPr>
          <w:p>
            <w:pPr>
              <w:spacing w:after="20"/>
            </w:pPr>
            <w:r>
              <w:rPr>
                <w:color w:val="1C3A36"/>
                <w:sz w:val="15"/>
              </w:rPr>
              <w:t>5,360.5</w:t>
            </w:r>
          </w:p>
        </w:tc>
        <w:tc>
          <w:tcPr>
            <w:tcW w:type="dxa" w:w="5400"/>
          </w:tcPr>
          <w:p>
            <w:pPr>
              <w:spacing w:after="20"/>
            </w:pPr>
            <w:r>
              <w:rPr>
                <w:color w:val="1C3A36"/>
                <w:sz w:val="15"/>
              </w:rPr>
              <w:t>Q2-2026 reviewed interim FS, statement of changes in equity: equity attributable to owners at 30-Jun-2026 (after the 510.0 dividend) — the book-lens base (second edition)</w:t>
            </w:r>
          </w:p>
        </w:tc>
        <w:tc>
          <w:tcPr>
            <w:tcW w:type="dxa" w:w="1080"/>
          </w:tcPr>
          <w:p>
            <w:pPr>
              <w:spacing w:after="20"/>
            </w:pPr>
            <w:r>
              <w:rPr>
                <w:color w:val="1C3A36"/>
                <w:sz w:val="15"/>
              </w:rPr>
              <w:t>2026-08-05</w:t>
            </w:r>
          </w:p>
        </w:tc>
      </w:tr>
      <w:tr>
        <w:tc>
          <w:tcPr>
            <w:tcW w:type="dxa" w:w="2088"/>
          </w:tcPr>
          <w:p>
            <w:pPr>
              <w:spacing w:after="20"/>
            </w:pPr>
            <w:r>
              <w:rPr>
                <w:color w:val="1C3A36"/>
                <w:sz w:val="15"/>
              </w:rPr>
              <w:t>fin_cost_fy25</w:t>
            </w:r>
          </w:p>
        </w:tc>
        <w:tc>
          <w:tcPr>
            <w:tcW w:type="dxa" w:w="1656"/>
          </w:tcPr>
          <w:p>
            <w:pPr>
              <w:spacing w:after="20"/>
            </w:pPr>
            <w:r>
              <w:rPr>
                <w:color w:val="1C3A36"/>
                <w:sz w:val="15"/>
              </w:rPr>
              <w:t>480.8</w:t>
            </w:r>
          </w:p>
        </w:tc>
        <w:tc>
          <w:tcPr>
            <w:tcW w:type="dxa" w:w="5400"/>
          </w:tcPr>
          <w:p>
            <w:pPr>
              <w:spacing w:after="20"/>
            </w:pPr>
            <w:r>
              <w:rPr>
                <w:color w:val="1C3A36"/>
                <w:sz w:val="15"/>
              </w:rPr>
              <w:t>Audited consolidated FS FY2025, savola.com/en/investors/financial-statements (Deloitte &amp; Touche, unmodified opinion, authorized 05-Mar-2026), note 41: borrowings 231.9 + leases 219.4 + bank commission 14.2 + FX 9.5 + site-restoration unwind 5.8</w:t>
            </w:r>
          </w:p>
        </w:tc>
        <w:tc>
          <w:tcPr>
            <w:tcW w:type="dxa" w:w="1080"/>
          </w:tcPr>
          <w:p>
            <w:pPr>
              <w:spacing w:after="20"/>
            </w:pPr>
            <w:r>
              <w:rPr>
                <w:color w:val="1C3A36"/>
                <w:sz w:val="15"/>
              </w:rPr>
              <w:t>2026-03-05</w:t>
            </w:r>
          </w:p>
        </w:tc>
      </w:tr>
      <w:tr>
        <w:tc>
          <w:tcPr>
            <w:tcW w:type="dxa" w:w="2088"/>
          </w:tcPr>
          <w:p>
            <w:pPr>
              <w:spacing w:after="20"/>
            </w:pPr>
            <w:r>
              <w:rPr>
                <w:color w:val="1C3A36"/>
                <w:sz w:val="15"/>
              </w:rPr>
              <w:t>fin_income_fy25</w:t>
            </w:r>
          </w:p>
        </w:tc>
        <w:tc>
          <w:tcPr>
            <w:tcW w:type="dxa" w:w="1656"/>
          </w:tcPr>
          <w:p>
            <w:pPr>
              <w:spacing w:after="20"/>
            </w:pPr>
            <w:r>
              <w:rPr>
                <w:color w:val="1C3A36"/>
                <w:sz w:val="15"/>
              </w:rPr>
              <w:t>205.2</w:t>
            </w:r>
          </w:p>
        </w:tc>
        <w:tc>
          <w:tcPr>
            <w:tcW w:type="dxa" w:w="5400"/>
          </w:tcPr>
          <w:p>
            <w:pPr>
              <w:spacing w:after="20"/>
            </w:pPr>
            <w:r>
              <w:rPr>
                <w:color w:val="1C3A36"/>
                <w:sz w:val="15"/>
              </w:rPr>
              <w:t>Audited consolidated FS FY2025, savola.com/en/investors/financial-statements (Deloitte &amp; Touche, unmodified opinion, authorized 05-Mar-2026), note 41 (incl. one-off 49.7 put-settlement gain and 9.9 settlement discount)</w:t>
            </w:r>
          </w:p>
        </w:tc>
        <w:tc>
          <w:tcPr>
            <w:tcW w:type="dxa" w:w="1080"/>
          </w:tcPr>
          <w:p>
            <w:pPr>
              <w:spacing w:after="20"/>
            </w:pPr>
            <w:r>
              <w:rPr>
                <w:color w:val="1C3A36"/>
                <w:sz w:val="15"/>
              </w:rPr>
              <w:t>2026-03-05</w:t>
            </w:r>
          </w:p>
        </w:tc>
      </w:tr>
      <w:tr>
        <w:tc>
          <w:tcPr>
            <w:tcW w:type="dxa" w:w="2088"/>
          </w:tcPr>
          <w:p>
            <w:pPr>
              <w:spacing w:after="20"/>
            </w:pPr>
            <w:r>
              <w:rPr>
                <w:color w:val="1C3A36"/>
                <w:sz w:val="15"/>
              </w:rPr>
              <w:t>fp_cogs_fy25</w:t>
            </w:r>
          </w:p>
        </w:tc>
        <w:tc>
          <w:tcPr>
            <w:tcW w:type="dxa" w:w="1656"/>
          </w:tcPr>
          <w:p>
            <w:pPr>
              <w:spacing w:after="20"/>
            </w:pPr>
            <w:r>
              <w:rPr>
                <w:color w:val="1C3A36"/>
                <w:sz w:val="15"/>
              </w:rPr>
              <w:t>11,590.6</w:t>
            </w:r>
          </w:p>
        </w:tc>
        <w:tc>
          <w:tcPr>
            <w:tcW w:type="dxa" w:w="5400"/>
          </w:tcPr>
          <w:p>
            <w:pPr>
              <w:spacing w:after="20"/>
            </w:pPr>
            <w:r>
              <w:rPr>
                <w:color w:val="1C3A36"/>
                <w:sz w:val="15"/>
              </w:rPr>
              <w:t>Audited consolidated FS FY2025, savola.com/en/investors/financial-statements (Deloitte &amp; Touche, unmodified opinion, authorized 05-Mar-2026), note 33: Food Processing cost of revenues</w:t>
            </w:r>
          </w:p>
        </w:tc>
        <w:tc>
          <w:tcPr>
            <w:tcW w:type="dxa" w:w="1080"/>
          </w:tcPr>
          <w:p>
            <w:pPr>
              <w:spacing w:after="20"/>
            </w:pPr>
            <w:r>
              <w:rPr>
                <w:color w:val="1C3A36"/>
                <w:sz w:val="15"/>
              </w:rPr>
              <w:t>2026-03-05</w:t>
            </w:r>
          </w:p>
        </w:tc>
      </w:tr>
      <w:tr>
        <w:tc>
          <w:tcPr>
            <w:tcW w:type="dxa" w:w="2088"/>
          </w:tcPr>
          <w:p>
            <w:pPr>
              <w:spacing w:after="20"/>
            </w:pPr>
            <w:r>
              <w:rPr>
                <w:color w:val="1C3A36"/>
                <w:sz w:val="15"/>
              </w:rPr>
              <w:t>fp_segrev_fy25</w:t>
            </w:r>
          </w:p>
        </w:tc>
        <w:tc>
          <w:tcPr>
            <w:tcW w:type="dxa" w:w="1656"/>
          </w:tcPr>
          <w:p>
            <w:pPr>
              <w:spacing w:after="20"/>
            </w:pPr>
            <w:r>
              <w:rPr>
                <w:color w:val="1C3A36"/>
                <w:sz w:val="15"/>
              </w:rPr>
              <w:t>13,279.9</w:t>
            </w:r>
          </w:p>
        </w:tc>
        <w:tc>
          <w:tcPr>
            <w:tcW w:type="dxa" w:w="5400"/>
          </w:tcPr>
          <w:p>
            <w:pPr>
              <w:spacing w:after="20"/>
            </w:pPr>
            <w:r>
              <w:rPr>
                <w:color w:val="1C3A36"/>
                <w:sz w:val="15"/>
              </w:rPr>
              <w:t>Audited consolidated FS FY2025, savola.com/en/investors/financial-statements (Deloitte &amp; Touche, unmodified opinion, authorized 05-Mar-2026), note 33: Food Processing segment revenue (incl. inter-segment 336.5)</w:t>
            </w:r>
          </w:p>
        </w:tc>
        <w:tc>
          <w:tcPr>
            <w:tcW w:type="dxa" w:w="1080"/>
          </w:tcPr>
          <w:p>
            <w:pPr>
              <w:spacing w:after="20"/>
            </w:pPr>
            <w:r>
              <w:rPr>
                <w:color w:val="1C3A36"/>
                <w:sz w:val="15"/>
              </w:rPr>
              <w:t>2026-03-05</w:t>
            </w:r>
          </w:p>
        </w:tc>
      </w:tr>
      <w:tr>
        <w:tc>
          <w:tcPr>
            <w:tcW w:type="dxa" w:w="2088"/>
          </w:tcPr>
          <w:p>
            <w:pPr>
              <w:spacing w:after="20"/>
            </w:pPr>
            <w:r>
              <w:rPr>
                <w:color w:val="1C3A36"/>
                <w:sz w:val="15"/>
              </w:rPr>
              <w:t>frz_segrev_fy25</w:t>
            </w:r>
          </w:p>
        </w:tc>
        <w:tc>
          <w:tcPr>
            <w:tcW w:type="dxa" w:w="1656"/>
          </w:tcPr>
          <w:p>
            <w:pPr>
              <w:spacing w:after="20"/>
            </w:pPr>
            <w:r>
              <w:rPr>
                <w:color w:val="1C3A36"/>
                <w:sz w:val="15"/>
              </w:rPr>
              <w:t>805.0</w:t>
            </w:r>
          </w:p>
        </w:tc>
        <w:tc>
          <w:tcPr>
            <w:tcW w:type="dxa" w:w="5400"/>
          </w:tcPr>
          <w:p>
            <w:pPr>
              <w:spacing w:after="20"/>
            </w:pPr>
            <w:r>
              <w:rPr>
                <w:color w:val="1C3A36"/>
                <w:sz w:val="15"/>
              </w:rPr>
              <w:t>Audited consolidated FS FY2025, savola.com/en/investors/financial-statements (Deloitte &amp; Touche, unmodified opinion, authorized 05-Mar-2026), note 33: Frozen Food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fsv_segrev_fy25</w:t>
            </w:r>
          </w:p>
        </w:tc>
        <w:tc>
          <w:tcPr>
            <w:tcW w:type="dxa" w:w="1656"/>
          </w:tcPr>
          <w:p>
            <w:pPr>
              <w:spacing w:after="20"/>
            </w:pPr>
            <w:r>
              <w:rPr>
                <w:color w:val="1C3A36"/>
                <w:sz w:val="15"/>
              </w:rPr>
              <w:t>1,082.6</w:t>
            </w:r>
          </w:p>
        </w:tc>
        <w:tc>
          <w:tcPr>
            <w:tcW w:type="dxa" w:w="5400"/>
          </w:tcPr>
          <w:p>
            <w:pPr>
              <w:spacing w:after="20"/>
            </w:pPr>
            <w:r>
              <w:rPr>
                <w:color w:val="1C3A36"/>
                <w:sz w:val="15"/>
              </w:rPr>
              <w:t>Audited consolidated FS FY2025, savola.com/en/investors/financial-statements (Deloitte &amp; Touche, unmodified opinion, authorized 05-Mar-2026), note 33: Food Services (Herfy)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h1_capex</w:t>
            </w:r>
          </w:p>
        </w:tc>
        <w:tc>
          <w:tcPr>
            <w:tcW w:type="dxa" w:w="1656"/>
          </w:tcPr>
          <w:p>
            <w:pPr>
              <w:spacing w:after="20"/>
            </w:pPr>
            <w:r>
              <w:rPr>
                <w:color w:val="1C3A36"/>
                <w:sz w:val="15"/>
              </w:rPr>
              <w:t>385.0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h1_ebitda</w:t>
            </w:r>
          </w:p>
        </w:tc>
        <w:tc>
          <w:tcPr>
            <w:tcW w:type="dxa" w:w="1656"/>
          </w:tcPr>
          <w:p>
            <w:pPr>
              <w:spacing w:after="20"/>
            </w:pPr>
            <w:r>
              <w:rPr>
                <w:color w:val="1C3A36"/>
                <w:sz w:val="15"/>
              </w:rPr>
              <w:t>1,316.0</w:t>
            </w:r>
          </w:p>
        </w:tc>
        <w:tc>
          <w:tcPr>
            <w:tcW w:type="dxa" w:w="5400"/>
          </w:tcPr>
          <w:p>
            <w:pPr>
              <w:spacing w:after="20"/>
            </w:pPr>
            <w:r>
              <w:rPr>
                <w:color w:val="1C3A36"/>
                <w:sz w:val="15"/>
              </w:rPr>
              <w:t>Company H1-2026 earnings release, savola.com/en/news-media, 06-Aug-2026 (COMPANY_OFFICIAL) (company basis: operating income before D&amp;A, includes the 34 share of associates)</w:t>
            </w:r>
          </w:p>
        </w:tc>
        <w:tc>
          <w:tcPr>
            <w:tcW w:type="dxa" w:w="1080"/>
          </w:tcPr>
          <w:p>
            <w:pPr>
              <w:spacing w:after="20"/>
            </w:pPr>
            <w:r>
              <w:rPr>
                <w:color w:val="1C3A36"/>
                <w:sz w:val="15"/>
              </w:rPr>
              <w:t>2026-08-06</w:t>
            </w:r>
          </w:p>
        </w:tc>
      </w:tr>
      <w:tr>
        <w:tc>
          <w:tcPr>
            <w:tcW w:type="dxa" w:w="2088"/>
          </w:tcPr>
          <w:p>
            <w:pPr>
              <w:spacing w:after="20"/>
            </w:pPr>
            <w:r>
              <w:rPr>
                <w:color w:val="1C3A36"/>
                <w:sz w:val="15"/>
              </w:rPr>
              <w:t>h1_frz_ebitda</w:t>
            </w:r>
          </w:p>
        </w:tc>
        <w:tc>
          <w:tcPr>
            <w:tcW w:type="dxa" w:w="1656"/>
          </w:tcPr>
          <w:p>
            <w:pPr>
              <w:spacing w:after="20"/>
            </w:pPr>
            <w:r>
              <w:rPr>
                <w:color w:val="1C3A36"/>
                <w:sz w:val="15"/>
              </w:rPr>
              <w:t>56</w:t>
            </w:r>
          </w:p>
        </w:tc>
        <w:tc>
          <w:tcPr>
            <w:tcW w:type="dxa" w:w="5400"/>
          </w:tcPr>
          <w:p>
            <w:pPr>
              <w:spacing w:after="20"/>
            </w:pPr>
            <w:r>
              <w:rPr>
                <w:color w:val="1C3A36"/>
                <w:sz w:val="15"/>
              </w:rPr>
              <w:t>Company H1-2026 earnings release, savola.com/en/news-media, 06-Aug-2026 (COMPANY_OFFICIAL) (13.7% margin)</w:t>
            </w:r>
          </w:p>
        </w:tc>
        <w:tc>
          <w:tcPr>
            <w:tcW w:type="dxa" w:w="1080"/>
          </w:tcPr>
          <w:p>
            <w:pPr>
              <w:spacing w:after="20"/>
            </w:pPr>
            <w:r>
              <w:rPr>
                <w:color w:val="1C3A36"/>
                <w:sz w:val="15"/>
              </w:rPr>
              <w:t>2026-08-06</w:t>
            </w:r>
          </w:p>
        </w:tc>
      </w:tr>
      <w:tr>
        <w:tc>
          <w:tcPr>
            <w:tcW w:type="dxa" w:w="2088"/>
          </w:tcPr>
          <w:p>
            <w:pPr>
              <w:spacing w:after="20"/>
            </w:pPr>
            <w:r>
              <w:rPr>
                <w:color w:val="1C3A36"/>
                <w:sz w:val="15"/>
              </w:rPr>
              <w:t>h1_frz_rev</w:t>
            </w:r>
          </w:p>
        </w:tc>
        <w:tc>
          <w:tcPr>
            <w:tcW w:type="dxa" w:w="1656"/>
          </w:tcPr>
          <w:p>
            <w:pPr>
              <w:spacing w:after="20"/>
            </w:pPr>
            <w:r>
              <w:rPr>
                <w:color w:val="1C3A36"/>
                <w:sz w:val="15"/>
              </w:rPr>
              <w:t>411.0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h1_herfy_ebitda</w:t>
            </w:r>
          </w:p>
        </w:tc>
        <w:tc>
          <w:tcPr>
            <w:tcW w:type="dxa" w:w="1656"/>
          </w:tcPr>
          <w:p>
            <w:pPr>
              <w:spacing w:after="20"/>
            </w:pPr>
            <w:r>
              <w:rPr>
                <w:color w:val="1C3A36"/>
                <w:sz w:val="15"/>
              </w:rPr>
              <w:t>96</w:t>
            </w:r>
          </w:p>
        </w:tc>
        <w:tc>
          <w:tcPr>
            <w:tcW w:type="dxa" w:w="5400"/>
          </w:tcPr>
          <w:p>
            <w:pPr>
              <w:spacing w:after="20"/>
            </w:pPr>
            <w:r>
              <w:rPr>
                <w:color w:val="1C3A36"/>
                <w:sz w:val="15"/>
              </w:rPr>
              <w:t>Company H1-2026 earnings release, savola.com/en/news-media, 06-Aug-2026 (COMPANY_OFFICIAL) (18.7% margin)</w:t>
            </w:r>
          </w:p>
        </w:tc>
        <w:tc>
          <w:tcPr>
            <w:tcW w:type="dxa" w:w="1080"/>
          </w:tcPr>
          <w:p>
            <w:pPr>
              <w:spacing w:after="20"/>
            </w:pPr>
            <w:r>
              <w:rPr>
                <w:color w:val="1C3A36"/>
                <w:sz w:val="15"/>
              </w:rPr>
              <w:t>2026-08-06</w:t>
            </w:r>
          </w:p>
        </w:tc>
      </w:tr>
      <w:tr>
        <w:tc>
          <w:tcPr>
            <w:tcW w:type="dxa" w:w="2088"/>
          </w:tcPr>
          <w:p>
            <w:pPr>
              <w:spacing w:after="20"/>
            </w:pPr>
            <w:r>
              <w:rPr>
                <w:color w:val="1C3A36"/>
                <w:sz w:val="15"/>
              </w:rPr>
              <w:t>h1_herfy_rev</w:t>
            </w:r>
          </w:p>
        </w:tc>
        <w:tc>
          <w:tcPr>
            <w:tcW w:type="dxa" w:w="1656"/>
          </w:tcPr>
          <w:p>
            <w:pPr>
              <w:spacing w:after="20"/>
            </w:pPr>
            <w:r>
              <w:rPr>
                <w:color w:val="1C3A36"/>
                <w:sz w:val="15"/>
              </w:rPr>
              <w:t>516.0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h1_netdebt</w:t>
            </w:r>
          </w:p>
        </w:tc>
        <w:tc>
          <w:tcPr>
            <w:tcW w:type="dxa" w:w="1656"/>
          </w:tcPr>
          <w:p>
            <w:pPr>
              <w:spacing w:after="20"/>
            </w:pPr>
            <w:r>
              <w:rPr>
                <w:color w:val="1C3A36"/>
                <w:sz w:val="15"/>
              </w:rPr>
              <w:t>851.0</w:t>
            </w:r>
          </w:p>
        </w:tc>
        <w:tc>
          <w:tcPr>
            <w:tcW w:type="dxa" w:w="5400"/>
          </w:tcPr>
          <w:p>
            <w:pPr>
              <w:spacing w:after="20"/>
            </w:pPr>
            <w:r>
              <w:rPr>
                <w:color w:val="1C3A36"/>
                <w:sz w:val="15"/>
              </w:rPr>
              <w:t>Company H1-2026 earnings release, savola.com/en/news-media, 06-Aug-2026 (COMPANY_OFFICIAL): net debt at 30-Jun-2026 (company definition: loans and overdrafts less cash; excludes leases and the 528 government sukuk)</w:t>
            </w:r>
          </w:p>
        </w:tc>
        <w:tc>
          <w:tcPr>
            <w:tcW w:type="dxa" w:w="1080"/>
          </w:tcPr>
          <w:p>
            <w:pPr>
              <w:spacing w:after="20"/>
            </w:pPr>
            <w:r>
              <w:rPr>
                <w:color w:val="1C3A36"/>
                <w:sz w:val="15"/>
              </w:rPr>
              <w:t>2026-08-06</w:t>
            </w:r>
          </w:p>
        </w:tc>
      </w:tr>
      <w:tr>
        <w:tc>
          <w:tcPr>
            <w:tcW w:type="dxa" w:w="2088"/>
          </w:tcPr>
          <w:p>
            <w:pPr>
              <w:spacing w:after="20"/>
            </w:pPr>
            <w:r>
              <w:rPr>
                <w:color w:val="1C3A36"/>
                <w:sz w:val="15"/>
              </w:rPr>
              <w:t>h1_np_att</w:t>
            </w:r>
          </w:p>
        </w:tc>
        <w:tc>
          <w:tcPr>
            <w:tcW w:type="dxa" w:w="1656"/>
          </w:tcPr>
          <w:p>
            <w:pPr>
              <w:spacing w:after="20"/>
            </w:pPr>
            <w:r>
              <w:rPr>
                <w:color w:val="1C3A36"/>
                <w:sz w:val="15"/>
              </w:rPr>
              <w:t>401.0</w:t>
            </w:r>
          </w:p>
        </w:tc>
        <w:tc>
          <w:tcPr>
            <w:tcW w:type="dxa" w:w="5400"/>
          </w:tcPr>
          <w:p>
            <w:pPr>
              <w:spacing w:after="20"/>
            </w:pPr>
            <w:r>
              <w:rPr>
                <w:color w:val="1C3A36"/>
                <w:sz w:val="15"/>
              </w:rPr>
              <w:t>Company H1-2026 earnings release, savola.com/en/news-media, 06-Aug-2026 (COMPANY_OFFICIAL) (incl. +41 Sudan disposal gain net; recurring 372)</w:t>
            </w:r>
          </w:p>
        </w:tc>
        <w:tc>
          <w:tcPr>
            <w:tcW w:type="dxa" w:w="1080"/>
          </w:tcPr>
          <w:p>
            <w:pPr>
              <w:spacing w:after="20"/>
            </w:pPr>
            <w:r>
              <w:rPr>
                <w:color w:val="1C3A36"/>
                <w:sz w:val="15"/>
              </w:rPr>
              <w:t>2026-08-06</w:t>
            </w:r>
          </w:p>
        </w:tc>
      </w:tr>
      <w:tr>
        <w:tc>
          <w:tcPr>
            <w:tcW w:type="dxa" w:w="2088"/>
          </w:tcPr>
          <w:p>
            <w:pPr>
              <w:spacing w:after="20"/>
            </w:pPr>
            <w:r>
              <w:rPr>
                <w:color w:val="1C3A36"/>
                <w:sz w:val="15"/>
              </w:rPr>
              <w:t>h1_nuts_rev</w:t>
            </w:r>
          </w:p>
        </w:tc>
        <w:tc>
          <w:tcPr>
            <w:tcW w:type="dxa" w:w="1656"/>
          </w:tcPr>
          <w:p>
            <w:pPr>
              <w:spacing w:after="20"/>
            </w:pPr>
            <w:r>
              <w:rPr>
                <w:color w:val="1C3A36"/>
                <w:sz w:val="15"/>
              </w:rPr>
              <w:t>337.0</w:t>
            </w:r>
          </w:p>
        </w:tc>
        <w:tc>
          <w:tcPr>
            <w:tcW w:type="dxa" w:w="5400"/>
          </w:tcPr>
          <w:p>
            <w:pPr>
              <w:spacing w:after="20"/>
            </w:pPr>
            <w:r>
              <w:rPr>
                <w:color w:val="1C3A36"/>
                <w:sz w:val="15"/>
              </w:rPr>
              <w:t>Company Q2-2026 investor presentation, savola.com, Aug-2026 (COMPANY_IR): Bayara UAE 278 + KSA 59</w:t>
            </w:r>
          </w:p>
        </w:tc>
        <w:tc>
          <w:tcPr>
            <w:tcW w:type="dxa" w:w="1080"/>
          </w:tcPr>
          <w:p>
            <w:pPr>
              <w:spacing w:after="20"/>
            </w:pPr>
            <w:r>
              <w:rPr>
                <w:color w:val="1C3A36"/>
                <w:sz w:val="15"/>
              </w:rPr>
              <w:t>2026-08-06</w:t>
            </w:r>
          </w:p>
        </w:tc>
      </w:tr>
      <w:tr>
        <w:tc>
          <w:tcPr>
            <w:tcW w:type="dxa" w:w="2088"/>
          </w:tcPr>
          <w:p>
            <w:pPr>
              <w:spacing w:after="20"/>
            </w:pPr>
            <w:r>
              <w:rPr>
                <w:color w:val="1C3A36"/>
                <w:sz w:val="15"/>
              </w:rPr>
              <w:t>h1_oil_gp</w:t>
            </w:r>
          </w:p>
        </w:tc>
        <w:tc>
          <w:tcPr>
            <w:tcW w:type="dxa" w:w="1656"/>
          </w:tcPr>
          <w:p>
            <w:pPr>
              <w:spacing w:after="20"/>
            </w:pPr>
            <w:r>
              <w:rPr>
                <w:color w:val="1C3A36"/>
                <w:sz w:val="15"/>
              </w:rPr>
              <w:t>571.0</w:t>
            </w:r>
          </w:p>
        </w:tc>
        <w:tc>
          <w:tcPr>
            <w:tcW w:type="dxa" w:w="5400"/>
          </w:tcPr>
          <w:p>
            <w:pPr>
              <w:spacing w:after="20"/>
            </w:pPr>
            <w:r>
              <w:rPr>
                <w:color w:val="1C3A36"/>
                <w:sz w:val="15"/>
              </w:rPr>
              <w:t>Company Q2-2026 investor presentation, savola.com, Aug-2026 (COMPANY_IR) (computed GP/ton 762)</w:t>
            </w:r>
          </w:p>
        </w:tc>
        <w:tc>
          <w:tcPr>
            <w:tcW w:type="dxa" w:w="1080"/>
          </w:tcPr>
          <w:p>
            <w:pPr>
              <w:spacing w:after="20"/>
            </w:pPr>
            <w:r>
              <w:rPr>
                <w:color w:val="1C3A36"/>
                <w:sz w:val="15"/>
              </w:rPr>
              <w:t>2026-08-06</w:t>
            </w:r>
          </w:p>
        </w:tc>
      </w:tr>
      <w:tr>
        <w:tc>
          <w:tcPr>
            <w:tcW w:type="dxa" w:w="2088"/>
          </w:tcPr>
          <w:p>
            <w:pPr>
              <w:spacing w:after="20"/>
            </w:pPr>
            <w:r>
              <w:rPr>
                <w:color w:val="1C3A36"/>
                <w:sz w:val="15"/>
              </w:rPr>
              <w:t>h1_oil_rev</w:t>
            </w:r>
          </w:p>
        </w:tc>
        <w:tc>
          <w:tcPr>
            <w:tcW w:type="dxa" w:w="1656"/>
          </w:tcPr>
          <w:p>
            <w:pPr>
              <w:spacing w:after="20"/>
            </w:pPr>
            <w:r>
              <w:rPr>
                <w:color w:val="1C3A36"/>
                <w:sz w:val="15"/>
              </w:rPr>
              <w:t>4,172.0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h1_oil_vol</w:t>
            </w:r>
          </w:p>
        </w:tc>
        <w:tc>
          <w:tcPr>
            <w:tcW w:type="dxa" w:w="1656"/>
          </w:tcPr>
          <w:p>
            <w:pPr>
              <w:spacing w:after="20"/>
            </w:pPr>
            <w:r>
              <w:rPr>
                <w:color w:val="1C3A36"/>
                <w:sz w:val="15"/>
              </w:rPr>
              <w:t>749.0</w:t>
            </w:r>
          </w:p>
        </w:tc>
        <w:tc>
          <w:tcPr>
            <w:tcW w:type="dxa" w:w="5400"/>
          </w:tcPr>
          <w:p>
            <w:pPr>
              <w:spacing w:after="20"/>
            </w:pPr>
            <w:r>
              <w:rPr>
                <w:color w:val="1C3A36"/>
                <w:sz w:val="15"/>
              </w:rPr>
              <w:t>Company Q2-2026 investor presentation, savola.com, Aug-2026 (COMPANY_IR): oil volume H1-2026 749k MT vs 645 (computed +16.1%)</w:t>
            </w:r>
          </w:p>
        </w:tc>
        <w:tc>
          <w:tcPr>
            <w:tcW w:type="dxa" w:w="1080"/>
          </w:tcPr>
          <w:p>
            <w:pPr>
              <w:spacing w:after="20"/>
            </w:pPr>
            <w:r>
              <w:rPr>
                <w:color w:val="1C3A36"/>
                <w:sz w:val="15"/>
              </w:rPr>
              <w:t>2026-08-06</w:t>
            </w:r>
          </w:p>
        </w:tc>
      </w:tr>
      <w:tr>
        <w:tc>
          <w:tcPr>
            <w:tcW w:type="dxa" w:w="2088"/>
          </w:tcPr>
          <w:p>
            <w:pPr>
              <w:spacing w:after="20"/>
            </w:pPr>
            <w:r>
              <w:rPr>
                <w:color w:val="1C3A36"/>
                <w:sz w:val="15"/>
              </w:rPr>
              <w:t>h1_panda_ebitda</w:t>
            </w:r>
          </w:p>
        </w:tc>
        <w:tc>
          <w:tcPr>
            <w:tcW w:type="dxa" w:w="1656"/>
          </w:tcPr>
          <w:p>
            <w:pPr>
              <w:spacing w:after="20"/>
            </w:pPr>
            <w:r>
              <w:rPr>
                <w:color w:val="1C3A36"/>
                <w:sz w:val="15"/>
              </w:rPr>
              <w:t>524.0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h1_panda_gm</w:t>
            </w:r>
          </w:p>
        </w:tc>
        <w:tc>
          <w:tcPr>
            <w:tcW w:type="dxa" w:w="1656"/>
          </w:tcPr>
          <w:p>
            <w:pPr>
              <w:spacing w:after="20"/>
            </w:pPr>
            <w:r>
              <w:rPr>
                <w:color w:val="1C3A36"/>
                <w:sz w:val="15"/>
              </w:rPr>
              <w:t>0.232</w:t>
            </w:r>
          </w:p>
        </w:tc>
        <w:tc>
          <w:tcPr>
            <w:tcW w:type="dxa" w:w="5400"/>
          </w:tcPr>
          <w:p>
            <w:pPr>
              <w:spacing w:after="20"/>
            </w:pPr>
            <w:r>
              <w:rPr>
                <w:color w:val="1C3A36"/>
                <w:sz w:val="15"/>
              </w:rPr>
              <w:t>Company Q2-2026 investor presentation, savola.com, Aug-2026 (COMPANY_IR): Panda gross margin H1-2026 23.2% (presentation basis)</w:t>
            </w:r>
          </w:p>
        </w:tc>
        <w:tc>
          <w:tcPr>
            <w:tcW w:type="dxa" w:w="1080"/>
          </w:tcPr>
          <w:p>
            <w:pPr>
              <w:spacing w:after="20"/>
            </w:pPr>
            <w:r>
              <w:rPr>
                <w:color w:val="1C3A36"/>
                <w:sz w:val="15"/>
              </w:rPr>
              <w:t>2026-08-06</w:t>
            </w:r>
          </w:p>
        </w:tc>
      </w:tr>
      <w:tr>
        <w:tc>
          <w:tcPr>
            <w:tcW w:type="dxa" w:w="2088"/>
          </w:tcPr>
          <w:p>
            <w:pPr>
              <w:spacing w:after="20"/>
            </w:pPr>
            <w:r>
              <w:rPr>
                <w:color w:val="1C3A36"/>
                <w:sz w:val="15"/>
              </w:rPr>
              <w:t>h1_panda_rev</w:t>
            </w:r>
          </w:p>
        </w:tc>
        <w:tc>
          <w:tcPr>
            <w:tcW w:type="dxa" w:w="1656"/>
          </w:tcPr>
          <w:p>
            <w:pPr>
              <w:spacing w:after="20"/>
            </w:pPr>
            <w:r>
              <w:rPr>
                <w:color w:val="1C3A36"/>
                <w:sz w:val="15"/>
              </w:rPr>
              <w:t>5,902.0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h1_panda_rev_h125</w:t>
            </w:r>
          </w:p>
        </w:tc>
        <w:tc>
          <w:tcPr>
            <w:tcW w:type="dxa" w:w="1656"/>
          </w:tcPr>
          <w:p>
            <w:pPr>
              <w:spacing w:after="20"/>
            </w:pPr>
            <w:r>
              <w:rPr>
                <w:color w:val="1C3A36"/>
                <w:sz w:val="15"/>
              </w:rPr>
              <w:t>5,852.0</w:t>
            </w:r>
          </w:p>
        </w:tc>
        <w:tc>
          <w:tcPr>
            <w:tcW w:type="dxa" w:w="5400"/>
          </w:tcPr>
          <w:p>
            <w:pPr>
              <w:spacing w:after="20"/>
            </w:pPr>
            <w:r>
              <w:rPr>
                <w:color w:val="1C3A36"/>
                <w:sz w:val="15"/>
              </w:rPr>
              <w:t>Company Q2-2026 investor presentation, savola.com, Aug-2026 (COMPANY_IR): Panda H1-2025 revenue (restated comparative); computed sales-per-average-store change H1-26 vs H1-25 = -7.1%</w:t>
            </w:r>
          </w:p>
        </w:tc>
        <w:tc>
          <w:tcPr>
            <w:tcW w:type="dxa" w:w="1080"/>
          </w:tcPr>
          <w:p>
            <w:pPr>
              <w:spacing w:after="20"/>
            </w:pPr>
            <w:r>
              <w:rPr>
                <w:color w:val="1C3A36"/>
                <w:sz w:val="15"/>
              </w:rPr>
              <w:t>2026-08-06</w:t>
            </w:r>
          </w:p>
        </w:tc>
      </w:tr>
      <w:tr>
        <w:tc>
          <w:tcPr>
            <w:tcW w:type="dxa" w:w="2088"/>
          </w:tcPr>
          <w:p>
            <w:pPr>
              <w:spacing w:after="20"/>
            </w:pPr>
            <w:r>
              <w:rPr>
                <w:color w:val="1C3A36"/>
                <w:sz w:val="15"/>
              </w:rPr>
              <w:t>h1_pas_gp</w:t>
            </w:r>
          </w:p>
        </w:tc>
        <w:tc>
          <w:tcPr>
            <w:tcW w:type="dxa" w:w="1656"/>
          </w:tcPr>
          <w:p>
            <w:pPr>
              <w:spacing w:after="20"/>
            </w:pPr>
            <w:r>
              <w:rPr>
                <w:color w:val="1C3A36"/>
                <w:sz w:val="15"/>
              </w:rPr>
              <w:t>73</w:t>
            </w:r>
          </w:p>
        </w:tc>
        <w:tc>
          <w:tcPr>
            <w:tcW w:type="dxa" w:w="5400"/>
          </w:tcPr>
          <w:p>
            <w:pPr>
              <w:spacing w:after="20"/>
            </w:pPr>
            <w:r>
              <w:rPr>
                <w:color w:val="1C3A36"/>
                <w:sz w:val="15"/>
              </w:rPr>
              <w:t>Company Q2-2026 investor presentation, savola.com, Aug-2026 (COMPANY_IR) (computed GP/ton 525)</w:t>
            </w:r>
          </w:p>
        </w:tc>
        <w:tc>
          <w:tcPr>
            <w:tcW w:type="dxa" w:w="1080"/>
          </w:tcPr>
          <w:p>
            <w:pPr>
              <w:spacing w:after="20"/>
            </w:pPr>
            <w:r>
              <w:rPr>
                <w:color w:val="1C3A36"/>
                <w:sz w:val="15"/>
              </w:rPr>
              <w:t>2026-08-06</w:t>
            </w:r>
          </w:p>
        </w:tc>
      </w:tr>
      <w:tr>
        <w:tc>
          <w:tcPr>
            <w:tcW w:type="dxa" w:w="2088"/>
          </w:tcPr>
          <w:p>
            <w:pPr>
              <w:spacing w:after="20"/>
            </w:pPr>
            <w:r>
              <w:rPr>
                <w:color w:val="1C3A36"/>
                <w:sz w:val="15"/>
              </w:rPr>
              <w:t>h1_pas_rev</w:t>
            </w:r>
          </w:p>
        </w:tc>
        <w:tc>
          <w:tcPr>
            <w:tcW w:type="dxa" w:w="1656"/>
          </w:tcPr>
          <w:p>
            <w:pPr>
              <w:spacing w:after="20"/>
            </w:pPr>
            <w:r>
              <w:rPr>
                <w:color w:val="1C3A36"/>
                <w:sz w:val="15"/>
              </w:rPr>
              <w:t>292.0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h1_pas_vol</w:t>
            </w:r>
          </w:p>
        </w:tc>
        <w:tc>
          <w:tcPr>
            <w:tcW w:type="dxa" w:w="1656"/>
          </w:tcPr>
          <w:p>
            <w:pPr>
              <w:spacing w:after="20"/>
            </w:pPr>
            <w:r>
              <w:rPr>
                <w:color w:val="1C3A36"/>
                <w:sz w:val="15"/>
              </w:rPr>
              <w:t>139.0</w:t>
            </w:r>
          </w:p>
        </w:tc>
        <w:tc>
          <w:tcPr>
            <w:tcW w:type="dxa" w:w="5400"/>
          </w:tcPr>
          <w:p>
            <w:pPr>
              <w:spacing w:after="20"/>
            </w:pPr>
            <w:r>
              <w:rPr>
                <w:color w:val="1C3A36"/>
                <w:sz w:val="15"/>
              </w:rPr>
              <w:t>Company Q2-2026 investor presentation, savola.com, Aug-2026 (COMPANY_IR): pasta volume H1-2026 139k MT vs 135 (computed +3.0%)</w:t>
            </w:r>
          </w:p>
        </w:tc>
        <w:tc>
          <w:tcPr>
            <w:tcW w:type="dxa" w:w="1080"/>
          </w:tcPr>
          <w:p>
            <w:pPr>
              <w:spacing w:after="20"/>
            </w:pPr>
            <w:r>
              <w:rPr>
                <w:color w:val="1C3A36"/>
                <w:sz w:val="15"/>
              </w:rPr>
              <w:t>2026-08-06</w:t>
            </w:r>
          </w:p>
        </w:tc>
      </w:tr>
      <w:tr>
        <w:tc>
          <w:tcPr>
            <w:tcW w:type="dxa" w:w="2088"/>
          </w:tcPr>
          <w:p>
            <w:pPr>
              <w:spacing w:after="20"/>
            </w:pPr>
            <w:r>
              <w:rPr>
                <w:color w:val="1C3A36"/>
                <w:sz w:val="15"/>
              </w:rPr>
              <w:t>h1_recurring_h125</w:t>
            </w:r>
          </w:p>
        </w:tc>
        <w:tc>
          <w:tcPr>
            <w:tcW w:type="dxa" w:w="1656"/>
          </w:tcPr>
          <w:p>
            <w:pPr>
              <w:spacing w:after="20"/>
            </w:pPr>
            <w:r>
              <w:rPr>
                <w:color w:val="1C3A36"/>
                <w:sz w:val="15"/>
              </w:rPr>
              <w:t>266.0</w:t>
            </w:r>
          </w:p>
        </w:tc>
        <w:tc>
          <w:tcPr>
            <w:tcW w:type="dxa" w:w="5400"/>
          </w:tcPr>
          <w:p>
            <w:pPr>
              <w:spacing w:after="20"/>
            </w:pPr>
            <w:r>
              <w:rPr>
                <w:color w:val="1C3A36"/>
                <w:sz w:val="15"/>
              </w:rPr>
              <w:t>Company Q2-2026 investor presentation, savola.com, Aug-2026 (COMPANY_IR) net-income analysis table, H1-2025 column: recurring net income 266</w:t>
            </w:r>
          </w:p>
        </w:tc>
        <w:tc>
          <w:tcPr>
            <w:tcW w:type="dxa" w:w="1080"/>
          </w:tcPr>
          <w:p>
            <w:pPr>
              <w:spacing w:after="20"/>
            </w:pPr>
            <w:r>
              <w:rPr>
                <w:color w:val="1C3A36"/>
                <w:sz w:val="15"/>
              </w:rPr>
              <w:t>2026-08-06</w:t>
            </w:r>
          </w:p>
        </w:tc>
      </w:tr>
      <w:tr>
        <w:tc>
          <w:tcPr>
            <w:tcW w:type="dxa" w:w="2088"/>
          </w:tcPr>
          <w:p>
            <w:pPr>
              <w:spacing w:after="20"/>
            </w:pPr>
            <w:r>
              <w:rPr>
                <w:color w:val="1C3A36"/>
                <w:sz w:val="15"/>
              </w:rPr>
              <w:t>h1_recurring_h126</w:t>
            </w:r>
          </w:p>
        </w:tc>
        <w:tc>
          <w:tcPr>
            <w:tcW w:type="dxa" w:w="1656"/>
          </w:tcPr>
          <w:p>
            <w:pPr>
              <w:spacing w:after="20"/>
            </w:pPr>
            <w:r>
              <w:rPr>
                <w:color w:val="1C3A36"/>
                <w:sz w:val="15"/>
              </w:rPr>
              <w:t>372.0</w:t>
            </w:r>
          </w:p>
        </w:tc>
        <w:tc>
          <w:tcPr>
            <w:tcW w:type="dxa" w:w="5400"/>
          </w:tcPr>
          <w:p>
            <w:pPr>
              <w:spacing w:after="20"/>
            </w:pPr>
            <w:r>
              <w:rPr>
                <w:color w:val="1C3A36"/>
                <w:sz w:val="15"/>
              </w:rPr>
              <w:t>Company Q2-2026 investor presentation, savola.com, Aug-2026 (COMPANY_IR) net-income analysis table: H1-2026 recurring net income 372 (+40% y/y)</w:t>
            </w:r>
          </w:p>
        </w:tc>
        <w:tc>
          <w:tcPr>
            <w:tcW w:type="dxa" w:w="1080"/>
          </w:tcPr>
          <w:p>
            <w:pPr>
              <w:spacing w:after="20"/>
            </w:pPr>
            <w:r>
              <w:rPr>
                <w:color w:val="1C3A36"/>
                <w:sz w:val="15"/>
              </w:rPr>
              <w:t>2026-08-06</w:t>
            </w:r>
          </w:p>
        </w:tc>
      </w:tr>
      <w:tr>
        <w:tc>
          <w:tcPr>
            <w:tcW w:type="dxa" w:w="2088"/>
          </w:tcPr>
          <w:p>
            <w:pPr>
              <w:spacing w:after="20"/>
            </w:pPr>
            <w:r>
              <w:rPr>
                <w:color w:val="1C3A36"/>
                <w:sz w:val="15"/>
              </w:rPr>
              <w:t>h1_rev</w:t>
            </w:r>
          </w:p>
        </w:tc>
        <w:tc>
          <w:tcPr>
            <w:tcW w:type="dxa" w:w="1656"/>
          </w:tcPr>
          <w:p>
            <w:pPr>
              <w:spacing w:after="20"/>
            </w:pPr>
            <w:r>
              <w:rPr>
                <w:color w:val="1C3A36"/>
                <w:sz w:val="15"/>
              </w:rPr>
              <w:t>13,588.0</w:t>
            </w:r>
          </w:p>
        </w:tc>
        <w:tc>
          <w:tcPr>
            <w:tcW w:type="dxa" w:w="5400"/>
          </w:tcPr>
          <w:p>
            <w:pPr>
              <w:spacing w:after="20"/>
            </w:pPr>
            <w:r>
              <w:rPr>
                <w:color w:val="1C3A36"/>
                <w:sz w:val="15"/>
              </w:rPr>
              <w:t>Company H1-2026 earnings release, savola.com/en/news-media, 06-Aug-2026 (COMPANY_OFFICIAL)</w:t>
            </w:r>
          </w:p>
        </w:tc>
        <w:tc>
          <w:tcPr>
            <w:tcW w:type="dxa" w:w="1080"/>
          </w:tcPr>
          <w:p>
            <w:pPr>
              <w:spacing w:after="20"/>
            </w:pPr>
            <w:r>
              <w:rPr>
                <w:color w:val="1C3A36"/>
                <w:sz w:val="15"/>
              </w:rPr>
              <w:t>2026-08-06</w:t>
            </w:r>
          </w:p>
        </w:tc>
      </w:tr>
      <w:tr>
        <w:tc>
          <w:tcPr>
            <w:tcW w:type="dxa" w:w="2088"/>
          </w:tcPr>
          <w:p>
            <w:pPr>
              <w:spacing w:after="20"/>
            </w:pPr>
            <w:r>
              <w:rPr>
                <w:color w:val="1C3A36"/>
                <w:sz w:val="15"/>
              </w:rPr>
              <w:t>h1_sug_gp</w:t>
            </w:r>
          </w:p>
        </w:tc>
        <w:tc>
          <w:tcPr>
            <w:tcW w:type="dxa" w:w="1656"/>
          </w:tcPr>
          <w:p>
            <w:pPr>
              <w:spacing w:after="20"/>
            </w:pPr>
            <w:r>
              <w:rPr>
                <w:color w:val="1C3A36"/>
                <w:sz w:val="15"/>
              </w:rPr>
              <w:t>226.0</w:t>
            </w:r>
          </w:p>
        </w:tc>
        <w:tc>
          <w:tcPr>
            <w:tcW w:type="dxa" w:w="5400"/>
          </w:tcPr>
          <w:p>
            <w:pPr>
              <w:spacing w:after="20"/>
            </w:pPr>
            <w:r>
              <w:rPr>
                <w:color w:val="1C3A36"/>
                <w:sz w:val="15"/>
              </w:rPr>
              <w:t>Company Q2-2026 investor presentation, savola.com, Aug-2026 (COMPANY_IR) (computed GP/ton 218)</w:t>
            </w:r>
          </w:p>
        </w:tc>
        <w:tc>
          <w:tcPr>
            <w:tcW w:type="dxa" w:w="1080"/>
          </w:tcPr>
          <w:p>
            <w:pPr>
              <w:spacing w:after="20"/>
            </w:pPr>
            <w:r>
              <w:rPr>
                <w:color w:val="1C3A36"/>
                <w:sz w:val="15"/>
              </w:rPr>
              <w:t>2026-08-06</w:t>
            </w:r>
          </w:p>
        </w:tc>
      </w:tr>
      <w:tr>
        <w:tc>
          <w:tcPr>
            <w:tcW w:type="dxa" w:w="2088"/>
          </w:tcPr>
          <w:p>
            <w:pPr>
              <w:spacing w:after="20"/>
            </w:pPr>
            <w:r>
              <w:rPr>
                <w:color w:val="1C3A36"/>
                <w:sz w:val="15"/>
              </w:rPr>
              <w:t>h1_sug_rev</w:t>
            </w:r>
          </w:p>
        </w:tc>
        <w:tc>
          <w:tcPr>
            <w:tcW w:type="dxa" w:w="1656"/>
          </w:tcPr>
          <w:p>
            <w:pPr>
              <w:spacing w:after="20"/>
            </w:pPr>
            <w:r>
              <w:rPr>
                <w:color w:val="1C3A36"/>
                <w:sz w:val="15"/>
              </w:rPr>
              <w:t>2,113.0</w:t>
            </w:r>
          </w:p>
        </w:tc>
        <w:tc>
          <w:tcPr>
            <w:tcW w:type="dxa" w:w="5400"/>
          </w:tcPr>
          <w:p>
            <w:pPr>
              <w:spacing w:after="20"/>
            </w:pPr>
            <w:r>
              <w:rPr>
                <w:color w:val="1C3A36"/>
                <w:sz w:val="15"/>
              </w:rPr>
              <w:t>Company Q2-2026 investor presentation, savola.com, Aug-2026 (COMPANY_IR)</w:t>
            </w:r>
          </w:p>
        </w:tc>
        <w:tc>
          <w:tcPr>
            <w:tcW w:type="dxa" w:w="1080"/>
          </w:tcPr>
          <w:p>
            <w:pPr>
              <w:spacing w:after="20"/>
            </w:pPr>
            <w:r>
              <w:rPr>
                <w:color w:val="1C3A36"/>
                <w:sz w:val="15"/>
              </w:rPr>
              <w:t>2026-08-06</w:t>
            </w:r>
          </w:p>
        </w:tc>
      </w:tr>
      <w:tr>
        <w:tc>
          <w:tcPr>
            <w:tcW w:type="dxa" w:w="2088"/>
          </w:tcPr>
          <w:p>
            <w:pPr>
              <w:spacing w:after="20"/>
            </w:pPr>
            <w:r>
              <w:rPr>
                <w:color w:val="1C3A36"/>
                <w:sz w:val="15"/>
              </w:rPr>
              <w:t>h1_sug_vol</w:t>
            </w:r>
          </w:p>
        </w:tc>
        <w:tc>
          <w:tcPr>
            <w:tcW w:type="dxa" w:w="1656"/>
          </w:tcPr>
          <w:p>
            <w:pPr>
              <w:spacing w:after="20"/>
            </w:pPr>
            <w:r>
              <w:rPr>
                <w:color w:val="1C3A36"/>
                <w:sz w:val="15"/>
              </w:rPr>
              <w:t>1,038.0</w:t>
            </w:r>
          </w:p>
        </w:tc>
        <w:tc>
          <w:tcPr>
            <w:tcW w:type="dxa" w:w="5400"/>
          </w:tcPr>
          <w:p>
            <w:pPr>
              <w:spacing w:after="20"/>
            </w:pPr>
            <w:r>
              <w:rPr>
                <w:color w:val="1C3A36"/>
                <w:sz w:val="15"/>
              </w:rPr>
              <w:t>Company Q2-2026 investor presentation, savola.com, Aug-2026 (COMPANY_IR): sugar volume H1-2026 1,038k MT vs 968 (computed +7.2%)</w:t>
            </w:r>
          </w:p>
        </w:tc>
        <w:tc>
          <w:tcPr>
            <w:tcW w:type="dxa" w:w="1080"/>
          </w:tcPr>
          <w:p>
            <w:pPr>
              <w:spacing w:after="20"/>
            </w:pPr>
            <w:r>
              <w:rPr>
                <w:color w:val="1C3A36"/>
                <w:sz w:val="15"/>
              </w:rPr>
              <w:t>2026-08-06</w:t>
            </w:r>
          </w:p>
        </w:tc>
      </w:tr>
      <w:tr>
        <w:tc>
          <w:tcPr>
            <w:tcW w:type="dxa" w:w="2088"/>
          </w:tcPr>
          <w:p>
            <w:pPr>
              <w:spacing w:after="20"/>
            </w:pPr>
            <w:r>
              <w:rPr>
                <w:color w:val="1C3A36"/>
                <w:sz w:val="15"/>
              </w:rPr>
              <w:t>h1_unalloc_cash</w:t>
            </w:r>
          </w:p>
        </w:tc>
        <w:tc>
          <w:tcPr>
            <w:tcW w:type="dxa" w:w="1656"/>
          </w:tcPr>
          <w:p>
            <w:pPr>
              <w:spacing w:after="20"/>
            </w:pPr>
            <w:r>
              <w:rPr>
                <w:color w:val="1C3A36"/>
                <w:sz w:val="15"/>
              </w:rPr>
              <w:t>64</w:t>
            </w:r>
          </w:p>
        </w:tc>
        <w:tc>
          <w:tcPr>
            <w:tcW w:type="dxa" w:w="5400"/>
          </w:tcPr>
          <w:p>
            <w:pPr>
              <w:spacing w:after="20"/>
            </w:pPr>
            <w:r>
              <w:rPr>
                <w:color w:val="1C3A36"/>
                <w:sz w:val="15"/>
              </w:rPr>
              <w:t>Company Q2-2026 investor presentation, savola.com, Aug-2026 (COMPANY_IR): unallocated costs H1-2026, cash-based (Arabia 74 + Egypt 39 gross; 64 net cash per the net-income bridge)</w:t>
            </w:r>
          </w:p>
        </w:tc>
        <w:tc>
          <w:tcPr>
            <w:tcW w:type="dxa" w:w="1080"/>
          </w:tcPr>
          <w:p>
            <w:pPr>
              <w:spacing w:after="20"/>
            </w:pPr>
            <w:r>
              <w:rPr>
                <w:color w:val="1C3A36"/>
                <w:sz w:val="15"/>
              </w:rPr>
              <w:t>2026-08-06</w:t>
            </w:r>
          </w:p>
        </w:tc>
      </w:tr>
      <w:tr>
        <w:tc>
          <w:tcPr>
            <w:tcW w:type="dxa" w:w="2088"/>
          </w:tcPr>
          <w:p>
            <w:pPr>
              <w:spacing w:after="20"/>
            </w:pPr>
            <w:r>
              <w:rPr>
                <w:color w:val="1C3A36"/>
                <w:sz w:val="15"/>
              </w:rPr>
              <w:t>herfy_ebitda_mgn</w:t>
            </w:r>
          </w:p>
        </w:tc>
        <w:tc>
          <w:tcPr>
            <w:tcW w:type="dxa" w:w="1656"/>
          </w:tcPr>
          <w:p>
            <w:pPr>
              <w:spacing w:after="20"/>
            </w:pPr>
            <w:r>
              <w:rPr>
                <w:color w:val="1C3A36"/>
                <w:sz w:val="15"/>
              </w:rPr>
              <w:t>0.187</w:t>
            </w:r>
          </w:p>
        </w:tc>
        <w:tc>
          <w:tcPr>
            <w:tcW w:type="dxa" w:w="5400"/>
          </w:tcPr>
          <w:p>
            <w:pPr>
              <w:spacing w:after="20"/>
            </w:pPr>
            <w:r>
              <w:rPr>
                <w:color w:val="1C3A36"/>
                <w:sz w:val="15"/>
              </w:rPr>
              <w:t>H1-2026 actual 18.7% held FLAT (the first edition's 18.5% was a 20bp haircut with no measured mechanism — the reviewed actual outranks; the cost programme's gain is retained, not extended)</w:t>
            </w:r>
          </w:p>
        </w:tc>
        <w:tc>
          <w:tcPr>
            <w:tcW w:type="dxa" w:w="1080"/>
          </w:tcPr>
          <w:p>
            <w:pPr>
              <w:spacing w:after="20"/>
            </w:pPr>
            <w:r>
              <w:rPr>
                <w:color w:val="1C3A36"/>
                <w:sz w:val="15"/>
              </w:rPr>
              <w:t>2026-08-19</w:t>
            </w:r>
          </w:p>
        </w:tc>
      </w:tr>
      <w:tr>
        <w:tc>
          <w:tcPr>
            <w:tcW w:type="dxa" w:w="2088"/>
          </w:tcPr>
          <w:p>
            <w:pPr>
              <w:spacing w:after="20"/>
            </w:pPr>
            <w:r>
              <w:rPr>
                <w:color w:val="1C3A36"/>
                <w:sz w:val="15"/>
              </w:rPr>
              <w:t>herfy_liab_nc</w:t>
            </w:r>
          </w:p>
        </w:tc>
        <w:tc>
          <w:tcPr>
            <w:tcW w:type="dxa" w:w="1656"/>
          </w:tcPr>
          <w:p>
            <w:pPr>
              <w:spacing w:after="20"/>
            </w:pPr>
            <w:r>
              <w:rPr>
                <w:color w:val="1C3A36"/>
                <w:sz w:val="15"/>
              </w:rPr>
              <w:t>462.0</w:t>
            </w:r>
          </w:p>
        </w:tc>
        <w:tc>
          <w:tcPr>
            <w:tcW w:type="dxa" w:w="5400"/>
          </w:tcPr>
          <w:p>
            <w:pPr>
              <w:spacing w:after="20"/>
            </w:pPr>
            <w:r>
              <w:rPr>
                <w:color w:val="1C3A36"/>
                <w:sz w:val="15"/>
              </w:rPr>
              <w:t>Audited consolidated FS FY2025, savola.com/en/investors/financial-statements (Deloitte &amp; Touche, unmodified opinion, authorized 05-Mar-2026), note 20: Herfy non-current liabilities — for a QSR chain dominated by non-current lease liabilities and end-of-service benefits, both of which sit inside the Expert-1 group deduction stack</w:t>
            </w:r>
          </w:p>
        </w:tc>
        <w:tc>
          <w:tcPr>
            <w:tcW w:type="dxa" w:w="1080"/>
          </w:tcPr>
          <w:p>
            <w:pPr>
              <w:spacing w:after="20"/>
            </w:pPr>
            <w:r>
              <w:rPr>
                <w:color w:val="1C3A36"/>
                <w:sz w:val="15"/>
              </w:rPr>
              <w:t>2026-03-05</w:t>
            </w:r>
          </w:p>
        </w:tc>
      </w:tr>
      <w:tr>
        <w:tc>
          <w:tcPr>
            <w:tcW w:type="dxa" w:w="2088"/>
          </w:tcPr>
          <w:p>
            <w:pPr>
              <w:spacing w:after="20"/>
            </w:pPr>
            <w:r>
              <w:rPr>
                <w:color w:val="1C3A36"/>
                <w:sz w:val="15"/>
              </w:rPr>
              <w:t>herfy_liab_total</w:t>
            </w:r>
          </w:p>
        </w:tc>
        <w:tc>
          <w:tcPr>
            <w:tcW w:type="dxa" w:w="1656"/>
          </w:tcPr>
          <w:p>
            <w:pPr>
              <w:spacing w:after="20"/>
            </w:pPr>
            <w:r>
              <w:rPr>
                <w:color w:val="1C3A36"/>
                <w:sz w:val="15"/>
              </w:rPr>
              <w:t>728.9</w:t>
            </w:r>
          </w:p>
        </w:tc>
        <w:tc>
          <w:tcPr>
            <w:tcW w:type="dxa" w:w="5400"/>
          </w:tcPr>
          <w:p>
            <w:pPr>
              <w:spacing w:after="20"/>
            </w:pPr>
            <w:r>
              <w:rPr>
                <w:color w:val="1C3A36"/>
                <w:sz w:val="15"/>
              </w:rPr>
              <w:t>Audited consolidated FS FY2025, savola.com/en/investors/financial-statements (Deloitte &amp; Touche, unmodified opinion, authorized 05-Mar-2026), note 20 material-NCI table: Herfy total liabilities before intra-group eliminations = non-current 461.952 + current 266.980 (segment note 33 Food Services liabilities agree at 728.932)</w:t>
            </w:r>
          </w:p>
        </w:tc>
        <w:tc>
          <w:tcPr>
            <w:tcW w:type="dxa" w:w="1080"/>
          </w:tcPr>
          <w:p>
            <w:pPr>
              <w:spacing w:after="20"/>
            </w:pPr>
            <w:r>
              <w:rPr>
                <w:color w:val="1C3A36"/>
                <w:sz w:val="15"/>
              </w:rPr>
              <w:t>2026-03-05</w:t>
            </w:r>
          </w:p>
        </w:tc>
      </w:tr>
      <w:tr>
        <w:tc>
          <w:tcPr>
            <w:tcW w:type="dxa" w:w="2088"/>
          </w:tcPr>
          <w:p>
            <w:pPr>
              <w:spacing w:after="20"/>
            </w:pPr>
            <w:r>
              <w:rPr>
                <w:color w:val="1C3A36"/>
                <w:sz w:val="15"/>
              </w:rPr>
              <w:t>intang_fy25</w:t>
            </w:r>
          </w:p>
        </w:tc>
        <w:tc>
          <w:tcPr>
            <w:tcW w:type="dxa" w:w="1656"/>
          </w:tcPr>
          <w:p>
            <w:pPr>
              <w:spacing w:after="20"/>
            </w:pPr>
            <w:r>
              <w:rPr>
                <w:color w:val="1C3A36"/>
                <w:sz w:val="15"/>
              </w:rPr>
              <w:t>1,408.7</w:t>
            </w:r>
          </w:p>
        </w:tc>
        <w:tc>
          <w:tcPr>
            <w:tcW w:type="dxa" w:w="5400"/>
          </w:tcPr>
          <w:p>
            <w:pPr>
              <w:spacing w:after="20"/>
            </w:pPr>
            <w:r>
              <w:rPr>
                <w:color w:val="1C3A36"/>
                <w:sz w:val="15"/>
              </w:rPr>
              <w:t>Audited consolidated FS FY2025, savola.com/en/investors/financial-statements (Deloitte &amp; Touche, unmodified opinion, authorized 05-Mar-2026) (goodwill 956.3 gross in note 8)</w:t>
            </w:r>
          </w:p>
        </w:tc>
        <w:tc>
          <w:tcPr>
            <w:tcW w:type="dxa" w:w="1080"/>
          </w:tcPr>
          <w:p>
            <w:pPr>
              <w:spacing w:after="20"/>
            </w:pPr>
            <w:r>
              <w:rPr>
                <w:color w:val="1C3A36"/>
                <w:sz w:val="15"/>
              </w:rPr>
              <w:t>2026-03-05</w:t>
            </w:r>
          </w:p>
        </w:tc>
      </w:tr>
      <w:tr>
        <w:tc>
          <w:tcPr>
            <w:tcW w:type="dxa" w:w="2088"/>
          </w:tcPr>
          <w:p>
            <w:pPr>
              <w:spacing w:after="20"/>
            </w:pPr>
            <w:r>
              <w:rPr>
                <w:color w:val="1C3A36"/>
                <w:sz w:val="15"/>
              </w:rPr>
              <w:t>inv_c_fy25</w:t>
            </w:r>
          </w:p>
        </w:tc>
        <w:tc>
          <w:tcPr>
            <w:tcW w:type="dxa" w:w="1656"/>
          </w:tcPr>
          <w:p>
            <w:pPr>
              <w:spacing w:after="20"/>
            </w:pPr>
            <w:r>
              <w:rPr>
                <w:color w:val="1C3A36"/>
                <w:sz w:val="15"/>
              </w:rPr>
              <w:t>85.802</w:t>
            </w:r>
          </w:p>
        </w:tc>
        <w:tc>
          <w:tcPr>
            <w:tcW w:type="dxa" w:w="5400"/>
          </w:tcPr>
          <w:p>
            <w:pPr>
              <w:spacing w:after="20"/>
            </w:pPr>
            <w:r>
              <w:rPr>
                <w:color w:val="1C3A36"/>
                <w:sz w:val="15"/>
              </w:rPr>
              <w:t>Audited consolidated FS FY2025, savola.com/en/investors/financial-statements (Deloitte &amp; Touche, unmodified opinion, authorized 05-Mar-2026), note 11: FVTPL 32.3 (Almarai ESOP shares) + T-bills/term deposits 53.5</w:t>
            </w:r>
          </w:p>
        </w:tc>
        <w:tc>
          <w:tcPr>
            <w:tcW w:type="dxa" w:w="1080"/>
          </w:tcPr>
          <w:p>
            <w:pPr>
              <w:spacing w:after="20"/>
            </w:pPr>
            <w:r>
              <w:rPr>
                <w:color w:val="1C3A36"/>
                <w:sz w:val="15"/>
              </w:rPr>
              <w:t>2026-03-05</w:t>
            </w:r>
          </w:p>
        </w:tc>
      </w:tr>
      <w:tr>
        <w:tc>
          <w:tcPr>
            <w:tcW w:type="dxa" w:w="2088"/>
          </w:tcPr>
          <w:p>
            <w:pPr>
              <w:spacing w:after="20"/>
            </w:pPr>
            <w:r>
              <w:rPr>
                <w:color w:val="1C3A36"/>
                <w:sz w:val="15"/>
              </w:rPr>
              <w:t>inv_nc_fy25</w:t>
            </w:r>
          </w:p>
        </w:tc>
        <w:tc>
          <w:tcPr>
            <w:tcW w:type="dxa" w:w="1656"/>
          </w:tcPr>
          <w:p>
            <w:pPr>
              <w:spacing w:after="20"/>
            </w:pPr>
            <w:r>
              <w:rPr>
                <w:color w:val="1C3A36"/>
                <w:sz w:val="15"/>
              </w:rPr>
              <w:t>676.4</w:t>
            </w:r>
          </w:p>
        </w:tc>
        <w:tc>
          <w:tcPr>
            <w:tcW w:type="dxa" w:w="5400"/>
          </w:tcPr>
          <w:p>
            <w:pPr>
              <w:spacing w:after="20"/>
            </w:pPr>
            <w:r>
              <w:rPr>
                <w:color w:val="1C3A36"/>
                <w:sz w:val="15"/>
              </w:rPr>
              <w:t>Audited consolidated FS FY2025, savola.com/en/investors/financial-statements (Deloitte &amp; Touche, unmodified opinion, authorized 05-Mar-2026), note 11: MOF sukuk at amortised cost 524.8 (matures 26-Aug-2027) + FVOCI 151.6 (incl. quoted Almarai residual 131.6)</w:t>
            </w:r>
          </w:p>
        </w:tc>
        <w:tc>
          <w:tcPr>
            <w:tcW w:type="dxa" w:w="1080"/>
          </w:tcPr>
          <w:p>
            <w:pPr>
              <w:spacing w:after="20"/>
            </w:pPr>
            <w:r>
              <w:rPr>
                <w:color w:val="1C3A36"/>
                <w:sz w:val="15"/>
              </w:rPr>
              <w:t>2026-03-05</w:t>
            </w:r>
          </w:p>
        </w:tc>
      </w:tr>
      <w:tr>
        <w:tc>
          <w:tcPr>
            <w:tcW w:type="dxa" w:w="2088"/>
          </w:tcPr>
          <w:p>
            <w:pPr>
              <w:spacing w:after="20"/>
            </w:pPr>
            <w:r>
              <w:rPr>
                <w:color w:val="1C3A36"/>
                <w:sz w:val="15"/>
              </w:rPr>
              <w:t>inventories_fy24</w:t>
            </w:r>
          </w:p>
        </w:tc>
        <w:tc>
          <w:tcPr>
            <w:tcW w:type="dxa" w:w="1656"/>
          </w:tcPr>
          <w:p>
            <w:pPr>
              <w:spacing w:after="20"/>
            </w:pPr>
            <w:r>
              <w:rPr>
                <w:color w:val="1C3A36"/>
                <w:sz w:val="15"/>
              </w:rPr>
              <w:t>4,171.2</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inventories_fy25</w:t>
            </w:r>
          </w:p>
        </w:tc>
        <w:tc>
          <w:tcPr>
            <w:tcW w:type="dxa" w:w="1656"/>
          </w:tcPr>
          <w:p>
            <w:pPr>
              <w:spacing w:after="20"/>
            </w:pPr>
            <w:r>
              <w:rPr>
                <w:color w:val="1C3A36"/>
                <w:sz w:val="15"/>
              </w:rPr>
              <w:t>4,680.6</w:t>
            </w:r>
          </w:p>
        </w:tc>
        <w:tc>
          <w:tcPr>
            <w:tcW w:type="dxa" w:w="5400"/>
          </w:tcPr>
          <w:p>
            <w:pPr>
              <w:spacing w:after="20"/>
            </w:pPr>
            <w:r>
              <w:rPr>
                <w:color w:val="1C3A36"/>
                <w:sz w:val="15"/>
              </w:rPr>
              <w:t>Audited consolidated FS FY2025, savola.com/en/investors/financial-statements (Deloitte &amp; Touche, unmodified opinion, authorized 05-Mar-2026), note 12</w:t>
            </w:r>
          </w:p>
        </w:tc>
        <w:tc>
          <w:tcPr>
            <w:tcW w:type="dxa" w:w="1080"/>
          </w:tcPr>
          <w:p>
            <w:pPr>
              <w:spacing w:after="20"/>
            </w:pPr>
            <w:r>
              <w:rPr>
                <w:color w:val="1C3A36"/>
                <w:sz w:val="15"/>
              </w:rPr>
              <w:t>2026-03-05</w:t>
            </w:r>
          </w:p>
        </w:tc>
      </w:tr>
      <w:tr>
        <w:tc>
          <w:tcPr>
            <w:tcW w:type="dxa" w:w="2088"/>
          </w:tcPr>
          <w:p>
            <w:pPr>
              <w:spacing w:after="20"/>
            </w:pPr>
            <w:r>
              <w:rPr>
                <w:color w:val="1C3A36"/>
                <w:sz w:val="15"/>
              </w:rPr>
              <w:t>invprop_fy25</w:t>
            </w:r>
          </w:p>
        </w:tc>
        <w:tc>
          <w:tcPr>
            <w:tcW w:type="dxa" w:w="1656"/>
          </w:tcPr>
          <w:p>
            <w:pPr>
              <w:spacing w:after="20"/>
            </w:pPr>
            <w:r>
              <w:rPr>
                <w:color w:val="1C3A36"/>
                <w:sz w:val="15"/>
              </w:rPr>
              <w:t>158.2</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invseg_rev</w:t>
            </w:r>
          </w:p>
        </w:tc>
        <w:tc>
          <w:tcPr>
            <w:tcW w:type="dxa" w:w="1656"/>
          </w:tcPr>
          <w:p>
            <w:pPr>
              <w:spacing w:after="20"/>
            </w:pPr>
            <w:r>
              <w:rPr>
                <w:color w:val="1C3A36"/>
                <w:sz w:val="15"/>
              </w:rPr>
              <w:t>29</w:t>
            </w:r>
          </w:p>
        </w:tc>
        <w:tc>
          <w:tcPr>
            <w:tcW w:type="dxa" w:w="5400"/>
          </w:tcPr>
          <w:p>
            <w:pPr>
              <w:spacing w:after="20"/>
            </w:pPr>
            <w:r>
              <w:rPr>
                <w:color w:val="1C3A36"/>
                <w:sz w:val="15"/>
              </w:rPr>
              <w:t>Investments segment revenue held at the FY2025 28.978 — INTER-SEGMENT rent charged to sister segments (segment note 33: external Investments revenue is ZERO; the 29.0 is eliminated inside the (443.2) column). In this build it nets against the elim line so group external revenue foots; the property's income stays OUTSIDE group EBITDA (the opcos carry the rent expense at segment level), which is why the investment property is a bridge asset, not a double-count</w:t>
            </w:r>
          </w:p>
        </w:tc>
        <w:tc>
          <w:tcPr>
            <w:tcW w:type="dxa" w:w="1080"/>
          </w:tcPr>
          <w:p>
            <w:pPr>
              <w:spacing w:after="20"/>
            </w:pPr>
            <w:r>
              <w:rPr>
                <w:color w:val="1C3A36"/>
                <w:sz w:val="15"/>
              </w:rPr>
              <w:t>2026-08-19</w:t>
            </w:r>
          </w:p>
        </w:tc>
      </w:tr>
      <w:tr>
        <w:tc>
          <w:tcPr>
            <w:tcW w:type="dxa" w:w="2088"/>
          </w:tcPr>
          <w:p>
            <w:pPr>
              <w:spacing w:after="20"/>
            </w:pPr>
            <w:r>
              <w:rPr>
                <w:color w:val="1C3A36"/>
                <w:sz w:val="15"/>
              </w:rPr>
              <w:t>invseg_rev_fy25</w:t>
            </w:r>
          </w:p>
        </w:tc>
        <w:tc>
          <w:tcPr>
            <w:tcW w:type="dxa" w:w="1656"/>
          </w:tcPr>
          <w:p>
            <w:pPr>
              <w:spacing w:after="20"/>
            </w:pPr>
            <w:r>
              <w:rPr>
                <w:color w:val="1C3A36"/>
                <w:sz w:val="15"/>
              </w:rPr>
              <w:t>28.978</w:t>
            </w:r>
          </w:p>
        </w:tc>
        <w:tc>
          <w:tcPr>
            <w:tcW w:type="dxa" w:w="5400"/>
          </w:tcPr>
          <w:p>
            <w:pPr>
              <w:spacing w:after="20"/>
            </w:pPr>
            <w:r>
              <w:rPr>
                <w:color w:val="1C3A36"/>
                <w:sz w:val="15"/>
              </w:rPr>
              <w:t>Audited consolidated FS FY2025, savola.com/en/investors/financial-statements (Deloitte &amp; Touche, unmodified opinion, authorized 05-Mar-2026), note 33: Investments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kinan_carry</w:t>
            </w:r>
          </w:p>
        </w:tc>
        <w:tc>
          <w:tcPr>
            <w:tcW w:type="dxa" w:w="1656"/>
          </w:tcPr>
          <w:p>
            <w:pPr>
              <w:spacing w:after="20"/>
            </w:pPr>
            <w:r>
              <w:rPr>
                <w:color w:val="1C3A36"/>
                <w:sz w:val="15"/>
              </w:rPr>
              <w:t>435.5</w:t>
            </w:r>
          </w:p>
        </w:tc>
        <w:tc>
          <w:tcPr>
            <w:tcW w:type="dxa" w:w="5400"/>
          </w:tcPr>
          <w:p>
            <w:pPr>
              <w:spacing w:after="20"/>
            </w:pPr>
            <w:r>
              <w:rPr>
                <w:color w:val="1C3A36"/>
                <w:sz w:val="15"/>
              </w:rPr>
              <w:t>Audited consolidated FS FY2025, savola.com/en/investors/financial-statements (Deloitte &amp; Touche, unmodified opinion, authorized 05-Mar-2026), note 10: Kinan 29.9%, equity method</w:t>
            </w:r>
          </w:p>
        </w:tc>
        <w:tc>
          <w:tcPr>
            <w:tcW w:type="dxa" w:w="1080"/>
          </w:tcPr>
          <w:p>
            <w:pPr>
              <w:spacing w:after="20"/>
            </w:pPr>
            <w:r>
              <w:rPr>
                <w:color w:val="1C3A36"/>
                <w:sz w:val="15"/>
              </w:rPr>
              <w:t>2026-03-05</w:t>
            </w:r>
          </w:p>
        </w:tc>
      </w:tr>
      <w:tr>
        <w:tc>
          <w:tcPr>
            <w:tcW w:type="dxa" w:w="2088"/>
          </w:tcPr>
          <w:p>
            <w:pPr>
              <w:spacing w:after="20"/>
            </w:pPr>
            <w:r>
              <w:rPr>
                <w:color w:val="1C3A36"/>
                <w:sz w:val="15"/>
              </w:rPr>
              <w:t>kinan_div</w:t>
            </w:r>
          </w:p>
        </w:tc>
        <w:tc>
          <w:tcPr>
            <w:tcW w:type="dxa" w:w="1656"/>
          </w:tcPr>
          <w:p>
            <w:pPr>
              <w:spacing w:after="20"/>
            </w:pPr>
            <w:r>
              <w:rPr>
                <w:color w:val="1C3A36"/>
                <w:sz w:val="15"/>
              </w:rPr>
              <w:t>25.116</w:t>
            </w:r>
          </w:p>
        </w:tc>
        <w:tc>
          <w:tcPr>
            <w:tcW w:type="dxa" w:w="5400"/>
          </w:tcPr>
          <w:p>
            <w:pPr>
              <w:spacing w:after="20"/>
            </w:pPr>
            <w:r>
              <w:rPr>
                <w:color w:val="1C3A36"/>
                <w:sz w:val="15"/>
              </w:rPr>
              <w:t>cash dividend received from Kinan FY2025 (note 10.1); grows with kinan_g in the cash walk — the share of profit itself is non-cash</w:t>
            </w:r>
          </w:p>
        </w:tc>
        <w:tc>
          <w:tcPr>
            <w:tcW w:type="dxa" w:w="1080"/>
          </w:tcPr>
          <w:p>
            <w:pPr>
              <w:spacing w:after="20"/>
            </w:pPr>
            <w:r>
              <w:rPr>
                <w:color w:val="1C3A36"/>
                <w:sz w:val="15"/>
              </w:rPr>
              <w:t>2026-03-05</w:t>
            </w:r>
          </w:p>
        </w:tc>
      </w:tr>
      <w:tr>
        <w:tc>
          <w:tcPr>
            <w:tcW w:type="dxa" w:w="2088"/>
          </w:tcPr>
          <w:p>
            <w:pPr>
              <w:spacing w:after="20"/>
            </w:pPr>
            <w:r>
              <w:rPr>
                <w:color w:val="1C3A36"/>
                <w:sz w:val="15"/>
              </w:rPr>
              <w:t>kinan_profit_share_h126</w:t>
            </w:r>
          </w:p>
        </w:tc>
        <w:tc>
          <w:tcPr>
            <w:tcW w:type="dxa" w:w="1656"/>
          </w:tcPr>
          <w:p>
            <w:pPr>
              <w:spacing w:after="20"/>
            </w:pPr>
            <w:r>
              <w:rPr>
                <w:color w:val="1C3A36"/>
                <w:sz w:val="15"/>
              </w:rPr>
              <w:t>34</w:t>
            </w:r>
          </w:p>
        </w:tc>
        <w:tc>
          <w:tcPr>
            <w:tcW w:type="dxa" w:w="5400"/>
          </w:tcPr>
          <w:p>
            <w:pPr>
              <w:spacing w:after="20"/>
            </w:pPr>
            <w:r>
              <w:rPr>
                <w:color w:val="1C3A36"/>
                <w:sz w:val="15"/>
              </w:rPr>
              <w:t>Company H1-2026 earnings release, savola.com/en/news-media, 06-Aug-2026 (COMPANY_OFFICIAL): share of results from equity-accounted investees H1-2026 (vs 18 in H1-2025), driven by Kinan</w:t>
            </w:r>
          </w:p>
        </w:tc>
        <w:tc>
          <w:tcPr>
            <w:tcW w:type="dxa" w:w="1080"/>
          </w:tcPr>
          <w:p>
            <w:pPr>
              <w:spacing w:after="20"/>
            </w:pPr>
            <w:r>
              <w:rPr>
                <w:color w:val="1C3A36"/>
                <w:sz w:val="15"/>
              </w:rPr>
              <w:t>2026-08-06</w:t>
            </w:r>
          </w:p>
        </w:tc>
      </w:tr>
      <w:tr>
        <w:tc>
          <w:tcPr>
            <w:tcW w:type="dxa" w:w="2088"/>
          </w:tcPr>
          <w:p>
            <w:pPr>
              <w:spacing w:after="20"/>
            </w:pPr>
            <w:r>
              <w:rPr>
                <w:color w:val="1C3A36"/>
                <w:sz w:val="15"/>
              </w:rPr>
              <w:t>kinan_share_na</w:t>
            </w:r>
          </w:p>
        </w:tc>
        <w:tc>
          <w:tcPr>
            <w:tcW w:type="dxa" w:w="1656"/>
          </w:tcPr>
          <w:p>
            <w:pPr>
              <w:spacing w:after="20"/>
            </w:pPr>
            <w:r>
              <w:rPr>
                <w:color w:val="1C3A36"/>
                <w:sz w:val="15"/>
              </w:rPr>
              <w:t>600.9</w:t>
            </w:r>
          </w:p>
        </w:tc>
        <w:tc>
          <w:tcPr>
            <w:tcW w:type="dxa" w:w="5400"/>
          </w:tcPr>
          <w:p>
            <w:pPr>
              <w:spacing w:after="20"/>
            </w:pPr>
            <w:r>
              <w:rPr>
                <w:color w:val="1C3A36"/>
                <w:sz w:val="15"/>
              </w:rPr>
              <w:t>Audited consolidated FS FY2025, savola.com/en/investors/financial-statements (Deloitte &amp; Touche, unmodified opinion, authorized 05-Mar-2026), note 10.2: Group's 29.9% share of Kinan's net assets</w:t>
            </w:r>
          </w:p>
        </w:tc>
        <w:tc>
          <w:tcPr>
            <w:tcW w:type="dxa" w:w="1080"/>
          </w:tcPr>
          <w:p>
            <w:pPr>
              <w:spacing w:after="20"/>
            </w:pPr>
            <w:r>
              <w:rPr>
                <w:color w:val="1C3A36"/>
                <w:sz w:val="15"/>
              </w:rPr>
              <w:t>2026-03-05</w:t>
            </w:r>
          </w:p>
        </w:tc>
      </w:tr>
      <w:tr>
        <w:tc>
          <w:tcPr>
            <w:tcW w:type="dxa" w:w="2088"/>
          </w:tcPr>
          <w:p>
            <w:pPr>
              <w:spacing w:after="20"/>
            </w:pPr>
            <w:r>
              <w:rPr>
                <w:color w:val="1C3A36"/>
                <w:sz w:val="15"/>
              </w:rPr>
              <w:t>lease_int_fy25</w:t>
            </w:r>
          </w:p>
        </w:tc>
        <w:tc>
          <w:tcPr>
            <w:tcW w:type="dxa" w:w="1656"/>
          </w:tcPr>
          <w:p>
            <w:pPr>
              <w:spacing w:after="20"/>
            </w:pPr>
            <w:r>
              <w:rPr>
                <w:color w:val="1C3A36"/>
                <w:sz w:val="15"/>
              </w:rPr>
              <w:t>220.9</w:t>
            </w:r>
          </w:p>
        </w:tc>
        <w:tc>
          <w:tcPr>
            <w:tcW w:type="dxa" w:w="5400"/>
          </w:tcPr>
          <w:p>
            <w:pPr>
              <w:spacing w:after="20"/>
            </w:pPr>
            <w:r>
              <w:rPr>
                <w:color w:val="1C3A36"/>
                <w:sz w:val="15"/>
              </w:rPr>
              <w:t>Audited consolidated FS FY2025, savola.com/en/investors/financial-statements (Deloitte &amp; Touche, unmodified opinion, authorized 05-Mar-2026), note 23: interest expense for the year</w:t>
            </w:r>
          </w:p>
        </w:tc>
        <w:tc>
          <w:tcPr>
            <w:tcW w:type="dxa" w:w="1080"/>
          </w:tcPr>
          <w:p>
            <w:pPr>
              <w:spacing w:after="20"/>
            </w:pPr>
            <w:r>
              <w:rPr>
                <w:color w:val="1C3A36"/>
                <w:sz w:val="15"/>
              </w:rPr>
              <w:t>2026-03-05</w:t>
            </w:r>
          </w:p>
        </w:tc>
      </w:tr>
      <w:tr>
        <w:tc>
          <w:tcPr>
            <w:tcW w:type="dxa" w:w="2088"/>
          </w:tcPr>
          <w:p>
            <w:pPr>
              <w:spacing w:after="20"/>
            </w:pPr>
            <w:r>
              <w:rPr>
                <w:color w:val="1C3A36"/>
                <w:sz w:val="15"/>
              </w:rPr>
              <w:t>lease_open_fy25</w:t>
            </w:r>
          </w:p>
        </w:tc>
        <w:tc>
          <w:tcPr>
            <w:tcW w:type="dxa" w:w="1656"/>
          </w:tcPr>
          <w:p>
            <w:pPr>
              <w:spacing w:after="20"/>
            </w:pPr>
            <w:r>
              <w:rPr>
                <w:color w:val="1C3A36"/>
                <w:sz w:val="15"/>
              </w:rPr>
              <w:t>3,593.1</w:t>
            </w:r>
          </w:p>
        </w:tc>
        <w:tc>
          <w:tcPr>
            <w:tcW w:type="dxa" w:w="5400"/>
          </w:tcPr>
          <w:p>
            <w:pPr>
              <w:spacing w:after="20"/>
            </w:pPr>
            <w:r>
              <w:rPr>
                <w:color w:val="1C3A36"/>
                <w:sz w:val="15"/>
              </w:rPr>
              <w:t>Audited consolidated FS FY2025, savola.com/en/investors/financial-statements (Deloitte &amp; Touche, unmodified opinion, authorized 05-Mar-2026), note 23: opening balance</w:t>
            </w:r>
          </w:p>
        </w:tc>
        <w:tc>
          <w:tcPr>
            <w:tcW w:type="dxa" w:w="1080"/>
          </w:tcPr>
          <w:p>
            <w:pPr>
              <w:spacing w:after="20"/>
            </w:pPr>
            <w:r>
              <w:rPr>
                <w:color w:val="1C3A36"/>
                <w:sz w:val="15"/>
              </w:rPr>
              <w:t>2026-03-05</w:t>
            </w:r>
          </w:p>
        </w:tc>
      </w:tr>
      <w:tr>
        <w:tc>
          <w:tcPr>
            <w:tcW w:type="dxa" w:w="2088"/>
          </w:tcPr>
          <w:p>
            <w:pPr>
              <w:spacing w:after="20"/>
            </w:pPr>
            <w:r>
              <w:rPr>
                <w:color w:val="1C3A36"/>
                <w:sz w:val="15"/>
              </w:rPr>
              <w:t>leases_fy25</w:t>
            </w:r>
          </w:p>
        </w:tc>
        <w:tc>
          <w:tcPr>
            <w:tcW w:type="dxa" w:w="1656"/>
          </w:tcPr>
          <w:p>
            <w:pPr>
              <w:spacing w:after="20"/>
            </w:pPr>
            <w:r>
              <w:rPr>
                <w:color w:val="1C3A36"/>
                <w:sz w:val="15"/>
              </w:rPr>
              <w:t>3,952.2</w:t>
            </w:r>
          </w:p>
        </w:tc>
        <w:tc>
          <w:tcPr>
            <w:tcW w:type="dxa" w:w="5400"/>
          </w:tcPr>
          <w:p>
            <w:pPr>
              <w:spacing w:after="20"/>
            </w:pPr>
            <w:r>
              <w:rPr>
                <w:color w:val="1C3A36"/>
                <w:sz w:val="15"/>
              </w:rPr>
              <w:t>Audited consolidated FS FY2025, savola.com/en/investors/financial-statements (Deloitte &amp; Touche, unmodified opinion, authorized 05-Mar-2026), note 23 (non-current 3,446.1 + current 506.1)</w:t>
            </w:r>
          </w:p>
        </w:tc>
        <w:tc>
          <w:tcPr>
            <w:tcW w:type="dxa" w:w="1080"/>
          </w:tcPr>
          <w:p>
            <w:pPr>
              <w:spacing w:after="20"/>
            </w:pPr>
            <w:r>
              <w:rPr>
                <w:color w:val="1C3A36"/>
                <w:sz w:val="15"/>
              </w:rPr>
              <w:t>2026-03-05</w:t>
            </w:r>
          </w:p>
        </w:tc>
      </w:tr>
      <w:tr>
        <w:tc>
          <w:tcPr>
            <w:tcW w:type="dxa" w:w="2088"/>
          </w:tcPr>
          <w:p>
            <w:pPr>
              <w:spacing w:after="20"/>
            </w:pPr>
            <w:r>
              <w:rPr>
                <w:color w:val="1C3A36"/>
                <w:sz w:val="15"/>
              </w:rPr>
              <w:t>leases_jun26</w:t>
            </w:r>
          </w:p>
        </w:tc>
        <w:tc>
          <w:tcPr>
            <w:tcW w:type="dxa" w:w="1656"/>
          </w:tcPr>
          <w:p>
            <w:pPr>
              <w:spacing w:after="20"/>
            </w:pPr>
            <w:r>
              <w:rPr>
                <w:color w:val="1C3A36"/>
                <w:sz w:val="15"/>
              </w:rPr>
              <w:t>3,716.8</w:t>
            </w:r>
          </w:p>
        </w:tc>
        <w:tc>
          <w:tcPr>
            <w:tcW w:type="dxa" w:w="5400"/>
          </w:tcPr>
          <w:p>
            <w:pPr>
              <w:spacing w:after="20"/>
            </w:pPr>
            <w:r>
              <w:rPr>
                <w:color w:val="1C3A36"/>
                <w:sz w:val="15"/>
              </w:rPr>
              <w:t>Q2-2026 reviewed interim FS: lease liabilities at 30-Jun-2026, non-current 3,218.578 + current 498.230 — WACC-weight leg</w:t>
            </w:r>
          </w:p>
        </w:tc>
        <w:tc>
          <w:tcPr>
            <w:tcW w:type="dxa" w:w="1080"/>
          </w:tcPr>
          <w:p>
            <w:pPr>
              <w:spacing w:after="20"/>
            </w:pPr>
            <w:r>
              <w:rPr>
                <w:color w:val="1C3A36"/>
                <w:sz w:val="15"/>
              </w:rPr>
              <w:t>2026-08-05</w:t>
            </w:r>
          </w:p>
        </w:tc>
      </w:tr>
      <w:tr>
        <w:tc>
          <w:tcPr>
            <w:tcW w:type="dxa" w:w="2088"/>
          </w:tcPr>
          <w:p>
            <w:pPr>
              <w:spacing w:after="20"/>
            </w:pPr>
            <w:r>
              <w:rPr>
                <w:color w:val="1C3A36"/>
                <w:sz w:val="15"/>
              </w:rPr>
              <w:t>loans_fy25</w:t>
            </w:r>
          </w:p>
        </w:tc>
        <w:tc>
          <w:tcPr>
            <w:tcW w:type="dxa" w:w="1656"/>
          </w:tcPr>
          <w:p>
            <w:pPr>
              <w:spacing w:after="20"/>
            </w:pPr>
            <w:r>
              <w:rPr>
                <w:color w:val="1C3A36"/>
                <w:sz w:val="15"/>
              </w:rPr>
              <w:t>1,893.9</w:t>
            </w:r>
          </w:p>
        </w:tc>
        <w:tc>
          <w:tcPr>
            <w:tcW w:type="dxa" w:w="5400"/>
          </w:tcPr>
          <w:p>
            <w:pPr>
              <w:spacing w:after="20"/>
            </w:pPr>
            <w:r>
              <w:rPr>
                <w:color w:val="1C3A36"/>
                <w:sz w:val="15"/>
              </w:rPr>
              <w:t>Audited consolidated FS FY2025, savola.com/en/investors/financial-statements (Deloitte &amp; Touche, unmodified opinion, authorized 05-Mar-2026), note 21: all current — unsecured bank loans 1,823.8 + overdrafts 61.4 + accrued finance cost 8.7; zero long-term debt</w:t>
            </w:r>
          </w:p>
        </w:tc>
        <w:tc>
          <w:tcPr>
            <w:tcW w:type="dxa" w:w="1080"/>
          </w:tcPr>
          <w:p>
            <w:pPr>
              <w:spacing w:after="20"/>
            </w:pPr>
            <w:r>
              <w:rPr>
                <w:color w:val="1C3A36"/>
                <w:sz w:val="15"/>
              </w:rPr>
              <w:t>2026-03-05</w:t>
            </w:r>
          </w:p>
        </w:tc>
      </w:tr>
      <w:tr>
        <w:tc>
          <w:tcPr>
            <w:tcW w:type="dxa" w:w="2088"/>
          </w:tcPr>
          <w:p>
            <w:pPr>
              <w:spacing w:after="20"/>
            </w:pPr>
            <w:r>
              <w:rPr>
                <w:color w:val="1C3A36"/>
                <w:sz w:val="15"/>
              </w:rPr>
              <w:t>loans_geo_eg</w:t>
            </w:r>
          </w:p>
        </w:tc>
        <w:tc>
          <w:tcPr>
            <w:tcW w:type="dxa" w:w="1656"/>
          </w:tcPr>
          <w:p>
            <w:pPr>
              <w:spacing w:after="20"/>
            </w:pPr>
            <w:r>
              <w:rPr>
                <w:color w:val="1C3A36"/>
                <w:sz w:val="15"/>
              </w:rPr>
              <w:t>417.2</w:t>
            </w:r>
          </w:p>
        </w:tc>
        <w:tc>
          <w:tcPr>
            <w:tcW w:type="dxa" w:w="5400"/>
          </w:tcPr>
          <w:p>
            <w:pPr>
              <w:spacing w:after="20"/>
            </w:pPr>
            <w:r>
              <w:rPr>
                <w:color w:val="1C3A36"/>
                <w:sz w:val="15"/>
              </w:rPr>
              <w:t>Audited consolidated FS FY2025, savola.com/en/investors/financial-statements (Deloitte &amp; Touche, unmodified opinion, authorized 05-Mar-2026), note 21: Egypt</w:t>
            </w:r>
          </w:p>
        </w:tc>
        <w:tc>
          <w:tcPr>
            <w:tcW w:type="dxa" w:w="1080"/>
          </w:tcPr>
          <w:p>
            <w:pPr>
              <w:spacing w:after="20"/>
            </w:pPr>
            <w:r>
              <w:rPr>
                <w:color w:val="1C3A36"/>
                <w:sz w:val="15"/>
              </w:rPr>
              <w:t>2026-03-05</w:t>
            </w:r>
          </w:p>
        </w:tc>
      </w:tr>
      <w:tr>
        <w:tc>
          <w:tcPr>
            <w:tcW w:type="dxa" w:w="2088"/>
          </w:tcPr>
          <w:p>
            <w:pPr>
              <w:spacing w:after="20"/>
            </w:pPr>
            <w:r>
              <w:rPr>
                <w:color w:val="1C3A36"/>
                <w:sz w:val="15"/>
              </w:rPr>
              <w:t>loans_geo_other</w:t>
            </w:r>
          </w:p>
        </w:tc>
        <w:tc>
          <w:tcPr>
            <w:tcW w:type="dxa" w:w="1656"/>
          </w:tcPr>
          <w:p>
            <w:pPr>
              <w:spacing w:after="20"/>
            </w:pPr>
            <w:r>
              <w:rPr>
                <w:color w:val="1C3A36"/>
                <w:sz w:val="15"/>
              </w:rPr>
              <w:t>220.3</w:t>
            </w:r>
          </w:p>
        </w:tc>
        <w:tc>
          <w:tcPr>
            <w:tcW w:type="dxa" w:w="5400"/>
          </w:tcPr>
          <w:p>
            <w:pPr>
              <w:spacing w:after="20"/>
            </w:pPr>
            <w:r>
              <w:rPr>
                <w:color w:val="1C3A36"/>
                <w:sz w:val="15"/>
              </w:rPr>
              <w:t>Audited consolidated FS FY2025, savola.com/en/investors/financial-statements (Deloitte &amp; Touche, unmodified opinion, authorized 05-Mar-2026), note 21: Algeria 72.2 + UAE 148.2</w:t>
            </w:r>
          </w:p>
        </w:tc>
        <w:tc>
          <w:tcPr>
            <w:tcW w:type="dxa" w:w="1080"/>
          </w:tcPr>
          <w:p>
            <w:pPr>
              <w:spacing w:after="20"/>
            </w:pPr>
            <w:r>
              <w:rPr>
                <w:color w:val="1C3A36"/>
                <w:sz w:val="15"/>
              </w:rPr>
              <w:t>2026-03-05</w:t>
            </w:r>
          </w:p>
        </w:tc>
      </w:tr>
      <w:tr>
        <w:tc>
          <w:tcPr>
            <w:tcW w:type="dxa" w:w="2088"/>
          </w:tcPr>
          <w:p>
            <w:pPr>
              <w:spacing w:after="20"/>
            </w:pPr>
            <w:r>
              <w:rPr>
                <w:color w:val="1C3A36"/>
                <w:sz w:val="15"/>
              </w:rPr>
              <w:t>loans_geo_sa</w:t>
            </w:r>
          </w:p>
        </w:tc>
        <w:tc>
          <w:tcPr>
            <w:tcW w:type="dxa" w:w="1656"/>
          </w:tcPr>
          <w:p>
            <w:pPr>
              <w:spacing w:after="20"/>
            </w:pPr>
            <w:r>
              <w:rPr>
                <w:color w:val="1C3A36"/>
                <w:sz w:val="15"/>
              </w:rPr>
              <w:t>1,256.4</w:t>
            </w:r>
          </w:p>
        </w:tc>
        <w:tc>
          <w:tcPr>
            <w:tcW w:type="dxa" w:w="5400"/>
          </w:tcPr>
          <w:p>
            <w:pPr>
              <w:spacing w:after="20"/>
            </w:pPr>
            <w:r>
              <w:rPr>
                <w:color w:val="1C3A36"/>
                <w:sz w:val="15"/>
              </w:rPr>
              <w:t>Audited consolidated FS FY2025, savola.com/en/investors/financial-statements (Deloitte &amp; Touche, unmodified opinion, authorized 05-Mar-2026), note 21 geographical analysis: Saudi Arabia</w:t>
            </w:r>
          </w:p>
        </w:tc>
        <w:tc>
          <w:tcPr>
            <w:tcW w:type="dxa" w:w="1080"/>
          </w:tcPr>
          <w:p>
            <w:pPr>
              <w:spacing w:after="20"/>
            </w:pPr>
            <w:r>
              <w:rPr>
                <w:color w:val="1C3A36"/>
                <w:sz w:val="15"/>
              </w:rPr>
              <w:t>2026-03-05</w:t>
            </w:r>
          </w:p>
        </w:tc>
      </w:tr>
      <w:tr>
        <w:tc>
          <w:tcPr>
            <w:tcW w:type="dxa" w:w="2088"/>
          </w:tcPr>
          <w:p>
            <w:pPr>
              <w:spacing w:after="20"/>
            </w:pPr>
            <w:r>
              <w:rPr>
                <w:color w:val="1C3A36"/>
                <w:sz w:val="15"/>
              </w:rPr>
              <w:t>loans_jun26</w:t>
            </w:r>
          </w:p>
        </w:tc>
        <w:tc>
          <w:tcPr>
            <w:tcW w:type="dxa" w:w="1656"/>
          </w:tcPr>
          <w:p>
            <w:pPr>
              <w:spacing w:after="20"/>
            </w:pPr>
            <w:r>
              <w:rPr>
                <w:color w:val="1C3A36"/>
                <w:sz w:val="15"/>
              </w:rPr>
              <w:t>2,664.5</w:t>
            </w:r>
          </w:p>
        </w:tc>
        <w:tc>
          <w:tcPr>
            <w:tcW w:type="dxa" w:w="5400"/>
          </w:tcPr>
          <w:p>
            <w:pPr>
              <w:spacing w:after="20"/>
            </w:pPr>
            <w:r>
              <w:rPr>
                <w:color w:val="1C3A36"/>
                <w:sz w:val="15"/>
              </w:rPr>
              <w:t>Q2-2026 reviewed interim FS: loans and borrowings at 30-Jun-2026, current 2,642.265 + non-current 22.253 — the freshest observable debt leg for the WACC weights (the 31-Dec-2025 1,893.924 stays the bridge deduction at the valuation date)</w:t>
            </w:r>
          </w:p>
        </w:tc>
        <w:tc>
          <w:tcPr>
            <w:tcW w:type="dxa" w:w="1080"/>
          </w:tcPr>
          <w:p>
            <w:pPr>
              <w:spacing w:after="20"/>
            </w:pPr>
            <w:r>
              <w:rPr>
                <w:color w:val="1C3A36"/>
                <w:sz w:val="15"/>
              </w:rPr>
              <w:t>2026-08-05</w:t>
            </w:r>
          </w:p>
        </w:tc>
      </w:tr>
      <w:tr>
        <w:tc>
          <w:tcPr>
            <w:tcW w:type="dxa" w:w="2088"/>
          </w:tcPr>
          <w:p>
            <w:pPr>
              <w:spacing w:after="20"/>
            </w:pPr>
            <w:r>
              <w:rPr>
                <w:color w:val="1C3A36"/>
                <w:sz w:val="15"/>
              </w:rPr>
              <w:t>mehbaj_total</w:t>
            </w:r>
          </w:p>
        </w:tc>
        <w:tc>
          <w:tcPr>
            <w:tcW w:type="dxa" w:w="1656"/>
          </w:tcPr>
          <w:p>
            <w:pPr>
              <w:spacing w:after="20"/>
            </w:pPr>
            <w:r>
              <w:rPr>
                <w:color w:val="1C3A36"/>
                <w:sz w:val="15"/>
              </w:rPr>
              <w:t>11.4</w:t>
            </w:r>
          </w:p>
        </w:tc>
        <w:tc>
          <w:tcPr>
            <w:tcW w:type="dxa" w:w="5400"/>
          </w:tcPr>
          <w:p>
            <w:pPr>
              <w:spacing w:after="20"/>
            </w:pPr>
            <w:r>
              <w:rPr>
                <w:color w:val="1C3A36"/>
                <w:sz w:val="15"/>
              </w:rPr>
              <w:t>Q2-2026 reviewed interim FS, note 19 (subsequent events): acquisition of 100% of Al Mehbaj Al Shamiya for Trading LLC for a total consideration of SR 11.4mn (5.4 paid + 6.0 deferred), related-party, subject to GA ratification — deducted as an anchor-dated bridge leg since the forecast carries Mehbaj revenue (the first edition recorded the consideration as undisclosed; the filed interims disclose it)</w:t>
            </w:r>
          </w:p>
        </w:tc>
        <w:tc>
          <w:tcPr>
            <w:tcW w:type="dxa" w:w="1080"/>
          </w:tcPr>
          <w:p>
            <w:pPr>
              <w:spacing w:after="20"/>
            </w:pPr>
            <w:r>
              <w:rPr>
                <w:color w:val="1C3A36"/>
                <w:sz w:val="15"/>
              </w:rPr>
              <w:t>2026-08-05</w:t>
            </w:r>
          </w:p>
        </w:tc>
      </w:tr>
      <w:tr>
        <w:tc>
          <w:tcPr>
            <w:tcW w:type="dxa" w:w="2088"/>
          </w:tcPr>
          <w:p>
            <w:pPr>
              <w:spacing w:after="20"/>
            </w:pPr>
            <w:r>
              <w:rPr>
                <w:color w:val="1C3A36"/>
                <w:sz w:val="15"/>
              </w:rPr>
              <w:t>nci_book_fy25</w:t>
            </w:r>
          </w:p>
        </w:tc>
        <w:tc>
          <w:tcPr>
            <w:tcW w:type="dxa" w:w="1656"/>
          </w:tcPr>
          <w:p>
            <w:pPr>
              <w:spacing w:after="20"/>
            </w:pPr>
            <w:r>
              <w:rPr>
                <w:color w:val="1C3A36"/>
                <w:sz w:val="15"/>
              </w:rPr>
              <w:t>950.0</w:t>
            </w:r>
          </w:p>
        </w:tc>
        <w:tc>
          <w:tcPr>
            <w:tcW w:type="dxa" w:w="5400"/>
          </w:tcPr>
          <w:p>
            <w:pPr>
              <w:spacing w:after="20"/>
            </w:pPr>
            <w:r>
              <w:rPr>
                <w:color w:val="1C3A36"/>
                <w:sz w:val="15"/>
              </w:rPr>
              <w:t>Audited consolidated FS FY2025, savola.com/en/investors/financial-statements (Deloitte &amp; Touche, unmodified opinion, authorized 05-Mar-2026), note 20</w:t>
            </w:r>
          </w:p>
        </w:tc>
        <w:tc>
          <w:tcPr>
            <w:tcW w:type="dxa" w:w="1080"/>
          </w:tcPr>
          <w:p>
            <w:pPr>
              <w:spacing w:after="20"/>
            </w:pPr>
            <w:r>
              <w:rPr>
                <w:color w:val="1C3A36"/>
                <w:sz w:val="15"/>
              </w:rPr>
              <w:t>2026-03-05</w:t>
            </w:r>
          </w:p>
        </w:tc>
      </w:tr>
      <w:tr>
        <w:tc>
          <w:tcPr>
            <w:tcW w:type="dxa" w:w="2088"/>
          </w:tcPr>
          <w:p>
            <w:pPr>
              <w:spacing w:after="20"/>
            </w:pPr>
            <w:r>
              <w:rPr>
                <w:color w:val="1C3A36"/>
                <w:sz w:val="15"/>
              </w:rPr>
              <w:t>nci_herfy_book</w:t>
            </w:r>
          </w:p>
        </w:tc>
        <w:tc>
          <w:tcPr>
            <w:tcW w:type="dxa" w:w="1656"/>
          </w:tcPr>
          <w:p>
            <w:pPr>
              <w:spacing w:after="20"/>
            </w:pPr>
            <w:r>
              <w:rPr>
                <w:color w:val="1C3A36"/>
                <w:sz w:val="15"/>
              </w:rPr>
              <w:t>434.6</w:t>
            </w:r>
          </w:p>
        </w:tc>
        <w:tc>
          <w:tcPr>
            <w:tcW w:type="dxa" w:w="5400"/>
          </w:tcPr>
          <w:p>
            <w:pPr>
              <w:spacing w:after="20"/>
            </w:pPr>
            <w:r>
              <w:rPr>
                <w:color w:val="1C3A36"/>
                <w:sz w:val="15"/>
              </w:rPr>
              <w:t>Audited consolidated FS FY2025, savola.com/en/investors/financial-statements (Deloitte &amp; Touche, unmodified opinion, authorized 05-Mar-2026), note 20: carrying amount of the 51% Herfy NCI</w:t>
            </w:r>
          </w:p>
        </w:tc>
        <w:tc>
          <w:tcPr>
            <w:tcW w:type="dxa" w:w="1080"/>
          </w:tcPr>
          <w:p>
            <w:pPr>
              <w:spacing w:after="20"/>
            </w:pPr>
            <w:r>
              <w:rPr>
                <w:color w:val="1C3A36"/>
                <w:sz w:val="15"/>
              </w:rPr>
              <w:t>2026-03-05</w:t>
            </w:r>
          </w:p>
        </w:tc>
      </w:tr>
      <w:tr>
        <w:tc>
          <w:tcPr>
            <w:tcW w:type="dxa" w:w="2088"/>
          </w:tcPr>
          <w:p>
            <w:pPr>
              <w:spacing w:after="20"/>
            </w:pPr>
            <w:r>
              <w:rPr>
                <w:color w:val="1C3A36"/>
                <w:sz w:val="15"/>
              </w:rPr>
              <w:t>np_att_fy23</w:t>
            </w:r>
          </w:p>
        </w:tc>
        <w:tc>
          <w:tcPr>
            <w:tcW w:type="dxa" w:w="1656"/>
          </w:tcPr>
          <w:p>
            <w:pPr>
              <w:spacing w:after="20"/>
            </w:pPr>
            <w:r>
              <w:rPr>
                <w:color w:val="1C3A36"/>
                <w:sz w:val="15"/>
              </w:rPr>
              <w:t>899.2</w:t>
            </w:r>
          </w:p>
        </w:tc>
        <w:tc>
          <w:tcPr>
            <w:tcW w:type="dxa" w:w="5400"/>
          </w:tcPr>
          <w:p>
            <w:pPr>
              <w:spacing w:after="20"/>
            </w:pPr>
            <w:r>
              <w:rPr>
                <w:color w:val="1C3A36"/>
                <w:sz w:val="15"/>
              </w:rPr>
              <w:t>Audited consolidated FS FY2023, savola.com (auditor's report 14-Mar-2024) (original basis)</w:t>
            </w:r>
          </w:p>
        </w:tc>
        <w:tc>
          <w:tcPr>
            <w:tcW w:type="dxa" w:w="1080"/>
          </w:tcPr>
          <w:p>
            <w:pPr>
              <w:spacing w:after="20"/>
            </w:pPr>
            <w:r>
              <w:rPr>
                <w:color w:val="1C3A36"/>
                <w:sz w:val="15"/>
              </w:rPr>
              <w:t>2024-03-14</w:t>
            </w:r>
          </w:p>
        </w:tc>
      </w:tr>
      <w:tr>
        <w:tc>
          <w:tcPr>
            <w:tcW w:type="dxa" w:w="2088"/>
          </w:tcPr>
          <w:p>
            <w:pPr>
              <w:spacing w:after="20"/>
            </w:pPr>
            <w:r>
              <w:rPr>
                <w:color w:val="1C3A36"/>
                <w:sz w:val="15"/>
              </w:rPr>
              <w:t>np_att_fy24</w:t>
            </w:r>
          </w:p>
        </w:tc>
        <w:tc>
          <w:tcPr>
            <w:tcW w:type="dxa" w:w="1656"/>
          </w:tcPr>
          <w:p>
            <w:pPr>
              <w:spacing w:after="20"/>
            </w:pPr>
            <w:r>
              <w:rPr>
                <w:color w:val="1C3A36"/>
                <w:sz w:val="15"/>
              </w:rPr>
              <w:t>9,974.3</w:t>
            </w:r>
          </w:p>
        </w:tc>
        <w:tc>
          <w:tcPr>
            <w:tcW w:type="dxa" w:w="5400"/>
          </w:tcPr>
          <w:p>
            <w:pPr>
              <w:spacing w:after="20"/>
            </w:pPr>
            <w:r>
              <w:rPr>
                <w:color w:val="1C3A36"/>
                <w:sz w:val="15"/>
              </w:rPr>
              <w:t>Audited consolidated FS FY2025, savola.com/en/investors/financial-statements (Deloitte &amp; Touche, unmodified opinion, authorized 05-Mar-2026), FY2024 comparative (incl. the 11,554.7 Almarai distribution gain)</w:t>
            </w:r>
          </w:p>
        </w:tc>
        <w:tc>
          <w:tcPr>
            <w:tcW w:type="dxa" w:w="1080"/>
          </w:tcPr>
          <w:p>
            <w:pPr>
              <w:spacing w:after="20"/>
            </w:pPr>
            <w:r>
              <w:rPr>
                <w:color w:val="1C3A36"/>
                <w:sz w:val="15"/>
              </w:rPr>
              <w:t>2026-03-05</w:t>
            </w:r>
          </w:p>
        </w:tc>
      </w:tr>
      <w:tr>
        <w:tc>
          <w:tcPr>
            <w:tcW w:type="dxa" w:w="2088"/>
          </w:tcPr>
          <w:p>
            <w:pPr>
              <w:spacing w:after="20"/>
            </w:pPr>
            <w:r>
              <w:rPr>
                <w:color w:val="1C3A36"/>
                <w:sz w:val="15"/>
              </w:rPr>
              <w:t>np_att_fy25</w:t>
            </w:r>
          </w:p>
        </w:tc>
        <w:tc>
          <w:tcPr>
            <w:tcW w:type="dxa" w:w="1656"/>
          </w:tcPr>
          <w:p>
            <w:pPr>
              <w:spacing w:after="20"/>
            </w:pPr>
            <w:r>
              <w:rPr>
                <w:color w:val="1C3A36"/>
                <w:sz w:val="15"/>
              </w:rPr>
              <w:t>874.5</w:t>
            </w:r>
          </w:p>
        </w:tc>
        <w:tc>
          <w:tcPr>
            <w:tcW w:type="dxa" w:w="5400"/>
          </w:tcPr>
          <w:p>
            <w:pPr>
              <w:spacing w:after="20"/>
            </w:pPr>
            <w:r>
              <w:rPr>
                <w:color w:val="1C3A36"/>
                <w:sz w:val="15"/>
              </w:rPr>
              <w:t>Audited consolidated FS FY2025, savola.com/en/investors/financial-statements (Deloitte &amp; Touche, unmodified opinion, authorized 05-Mar-2026): profit attributable to owners</w:t>
            </w:r>
          </w:p>
        </w:tc>
        <w:tc>
          <w:tcPr>
            <w:tcW w:type="dxa" w:w="1080"/>
          </w:tcPr>
          <w:p>
            <w:pPr>
              <w:spacing w:after="20"/>
            </w:pPr>
            <w:r>
              <w:rPr>
                <w:color w:val="1C3A36"/>
                <w:sz w:val="15"/>
              </w:rPr>
              <w:t>2026-03-05</w:t>
            </w:r>
          </w:p>
        </w:tc>
      </w:tr>
      <w:tr>
        <w:tc>
          <w:tcPr>
            <w:tcW w:type="dxa" w:w="2088"/>
          </w:tcPr>
          <w:p>
            <w:pPr>
              <w:spacing w:after="20"/>
            </w:pPr>
            <w:r>
              <w:rPr>
                <w:color w:val="1C3A36"/>
                <w:sz w:val="15"/>
              </w:rPr>
              <w:t>oil_ebitda_fy25</w:t>
            </w:r>
          </w:p>
        </w:tc>
        <w:tc>
          <w:tcPr>
            <w:tcW w:type="dxa" w:w="1656"/>
          </w:tcPr>
          <w:p>
            <w:pPr>
              <w:spacing w:after="20"/>
            </w:pPr>
            <w:r>
              <w:rPr>
                <w:color w:val="1C3A36"/>
                <w:sz w:val="15"/>
              </w:rPr>
              <w:t>563.0</w:t>
            </w:r>
          </w:p>
        </w:tc>
        <w:tc>
          <w:tcPr>
            <w:tcW w:type="dxa" w:w="5400"/>
          </w:tcPr>
          <w:p>
            <w:pPr>
              <w:spacing w:after="20"/>
            </w:pPr>
            <w:r>
              <w:rPr>
                <w:color w:val="1C3A36"/>
                <w:sz w:val="15"/>
              </w:rPr>
              <w:t>Company FY2025 investor presentation, savola.com, Mar-2026 (COMPANY_IR): oil EBITDA FY2025</w:t>
            </w:r>
          </w:p>
        </w:tc>
        <w:tc>
          <w:tcPr>
            <w:tcW w:type="dxa" w:w="1080"/>
          </w:tcPr>
          <w:p>
            <w:pPr>
              <w:spacing w:after="20"/>
            </w:pPr>
            <w:r>
              <w:rPr>
                <w:color w:val="1C3A36"/>
                <w:sz w:val="15"/>
              </w:rPr>
              <w:t>2026-03-09</w:t>
            </w:r>
          </w:p>
        </w:tc>
      </w:tr>
      <w:tr>
        <w:tc>
          <w:tcPr>
            <w:tcW w:type="dxa" w:w="2088"/>
          </w:tcPr>
          <w:p>
            <w:pPr>
              <w:spacing w:after="20"/>
            </w:pPr>
            <w:r>
              <w:rPr>
                <w:color w:val="1C3A36"/>
                <w:sz w:val="15"/>
              </w:rPr>
              <w:t>oil_gp_fy25</w:t>
            </w:r>
          </w:p>
        </w:tc>
        <w:tc>
          <w:tcPr>
            <w:tcW w:type="dxa" w:w="1656"/>
          </w:tcPr>
          <w:p>
            <w:pPr>
              <w:spacing w:after="20"/>
            </w:pPr>
            <w:r>
              <w:rPr>
                <w:color w:val="1C3A36"/>
                <w:sz w:val="15"/>
              </w:rPr>
              <w:t>958.0</w:t>
            </w:r>
          </w:p>
        </w:tc>
        <w:tc>
          <w:tcPr>
            <w:tcW w:type="dxa" w:w="5400"/>
          </w:tcPr>
          <w:p>
            <w:pPr>
              <w:spacing w:after="20"/>
            </w:pPr>
            <w:r>
              <w:rPr>
                <w:color w:val="1C3A36"/>
                <w:sz w:val="15"/>
              </w:rPr>
              <w:t>Company FY2025 investor presentation, savola.com, Mar-2026 (COMPANY_IR): oil gross profit FY2025 (GP/ton 724)</w:t>
            </w:r>
          </w:p>
        </w:tc>
        <w:tc>
          <w:tcPr>
            <w:tcW w:type="dxa" w:w="1080"/>
          </w:tcPr>
          <w:p>
            <w:pPr>
              <w:spacing w:after="20"/>
            </w:pPr>
            <w:r>
              <w:rPr>
                <w:color w:val="1C3A36"/>
                <w:sz w:val="15"/>
              </w:rPr>
              <w:t>2026-03-09</w:t>
            </w:r>
          </w:p>
        </w:tc>
      </w:tr>
      <w:tr>
        <w:tc>
          <w:tcPr>
            <w:tcW w:type="dxa" w:w="2088"/>
          </w:tcPr>
          <w:p>
            <w:pPr>
              <w:spacing w:after="20"/>
            </w:pPr>
            <w:r>
              <w:rPr>
                <w:color w:val="1C3A36"/>
                <w:sz w:val="15"/>
              </w:rPr>
              <w:t>oil_rev_fy25</w:t>
            </w:r>
          </w:p>
        </w:tc>
        <w:tc>
          <w:tcPr>
            <w:tcW w:type="dxa" w:w="1656"/>
          </w:tcPr>
          <w:p>
            <w:pPr>
              <w:spacing w:after="20"/>
            </w:pPr>
            <w:r>
              <w:rPr>
                <w:color w:val="1C3A36"/>
                <w:sz w:val="15"/>
              </w:rPr>
              <w:t>7,098.0</w:t>
            </w:r>
          </w:p>
        </w:tc>
        <w:tc>
          <w:tcPr>
            <w:tcW w:type="dxa" w:w="5400"/>
          </w:tcPr>
          <w:p>
            <w:pPr>
              <w:spacing w:after="20"/>
            </w:pPr>
            <w:r>
              <w:rPr>
                <w:color w:val="1C3A36"/>
                <w:sz w:val="15"/>
              </w:rPr>
              <w:t>Company FY2025 investor presentation, savola.com, Mar-2026 (COMPANY_IR): oil revenue FY2025</w:t>
            </w:r>
          </w:p>
        </w:tc>
        <w:tc>
          <w:tcPr>
            <w:tcW w:type="dxa" w:w="1080"/>
          </w:tcPr>
          <w:p>
            <w:pPr>
              <w:spacing w:after="20"/>
            </w:pPr>
            <w:r>
              <w:rPr>
                <w:color w:val="1C3A36"/>
                <w:sz w:val="15"/>
              </w:rPr>
              <w:t>2026-03-09</w:t>
            </w:r>
          </w:p>
        </w:tc>
      </w:tr>
      <w:tr>
        <w:tc>
          <w:tcPr>
            <w:tcW w:type="dxa" w:w="2088"/>
          </w:tcPr>
          <w:p>
            <w:pPr>
              <w:spacing w:after="20"/>
            </w:pPr>
            <w:r>
              <w:rPr>
                <w:color w:val="1C3A36"/>
                <w:sz w:val="15"/>
              </w:rPr>
              <w:t>oil_vol_fy25</w:t>
            </w:r>
          </w:p>
        </w:tc>
        <w:tc>
          <w:tcPr>
            <w:tcW w:type="dxa" w:w="1656"/>
          </w:tcPr>
          <w:p>
            <w:pPr>
              <w:spacing w:after="20"/>
            </w:pPr>
            <w:r>
              <w:rPr>
                <w:color w:val="1C3A36"/>
                <w:sz w:val="15"/>
              </w:rPr>
              <w:t>1,322.0</w:t>
            </w:r>
          </w:p>
        </w:tc>
        <w:tc>
          <w:tcPr>
            <w:tcW w:type="dxa" w:w="5400"/>
          </w:tcPr>
          <w:p>
            <w:pPr>
              <w:spacing w:after="20"/>
            </w:pPr>
            <w:r>
              <w:rPr>
                <w:color w:val="1C3A36"/>
                <w:sz w:val="15"/>
              </w:rPr>
              <w:t>Company FY2025 investor presentation, savola.com, Mar-2026 (COMPANY_IR): oil volume FY2025 (Arabia 612 + other markets 710), k MT</w:t>
            </w:r>
          </w:p>
        </w:tc>
        <w:tc>
          <w:tcPr>
            <w:tcW w:type="dxa" w:w="1080"/>
          </w:tcPr>
          <w:p>
            <w:pPr>
              <w:spacing w:after="20"/>
            </w:pPr>
            <w:r>
              <w:rPr>
                <w:color w:val="1C3A36"/>
                <w:sz w:val="15"/>
              </w:rPr>
              <w:t>2026-03-09</w:t>
            </w:r>
          </w:p>
        </w:tc>
      </w:tr>
      <w:tr>
        <w:tc>
          <w:tcPr>
            <w:tcW w:type="dxa" w:w="2088"/>
          </w:tcPr>
          <w:p>
            <w:pPr>
              <w:spacing w:after="20"/>
            </w:pPr>
            <w:r>
              <w:rPr>
                <w:color w:val="1C3A36"/>
                <w:sz w:val="15"/>
              </w:rPr>
              <w:t>oth_fy23</w:t>
            </w:r>
          </w:p>
        </w:tc>
        <w:tc>
          <w:tcPr>
            <w:tcW w:type="dxa" w:w="1656"/>
          </w:tcPr>
          <w:p>
            <w:pPr>
              <w:spacing w:after="20"/>
            </w:pPr>
            <w:r>
              <w:rPr>
                <w:color w:val="1C3A36"/>
                <w:sz w:val="15"/>
              </w:rPr>
              <w:t>-7.935</w:t>
            </w:r>
          </w:p>
        </w:tc>
        <w:tc>
          <w:tcPr>
            <w:tcW w:type="dxa" w:w="5400"/>
          </w:tcPr>
          <w:p>
            <w:pPr>
              <w:spacing w:after="20"/>
            </w:pPr>
            <w:r>
              <w:rPr>
                <w:color w:val="1C3A36"/>
                <w:sz w:val="15"/>
              </w:rPr>
              <w:t>Audited consolidated FS FY2024, savola.com (KPMG, 10-Mar-2025), FY2023 comparative, other operating (expense) net</w:t>
            </w:r>
          </w:p>
        </w:tc>
        <w:tc>
          <w:tcPr>
            <w:tcW w:type="dxa" w:w="1080"/>
          </w:tcPr>
          <w:p>
            <w:pPr>
              <w:spacing w:after="20"/>
            </w:pPr>
            <w:r>
              <w:rPr>
                <w:color w:val="1C3A36"/>
                <w:sz w:val="15"/>
              </w:rPr>
              <w:t>2025-03-10</w:t>
            </w:r>
          </w:p>
        </w:tc>
      </w:tr>
      <w:tr>
        <w:tc>
          <w:tcPr>
            <w:tcW w:type="dxa" w:w="2088"/>
          </w:tcPr>
          <w:p>
            <w:pPr>
              <w:spacing w:after="20"/>
            </w:pPr>
            <w:r>
              <w:rPr>
                <w:color w:val="1C3A36"/>
                <w:sz w:val="15"/>
              </w:rPr>
              <w:t>oth_fy24</w:t>
            </w:r>
          </w:p>
        </w:tc>
        <w:tc>
          <w:tcPr>
            <w:tcW w:type="dxa" w:w="1656"/>
          </w:tcPr>
          <w:p>
            <w:pPr>
              <w:spacing w:after="20"/>
            </w:pPr>
            <w:r>
              <w:rPr>
                <w:color w:val="1C3A36"/>
                <w:sz w:val="15"/>
              </w:rPr>
              <w:t>1.04</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oth_fy25</w:t>
            </w:r>
          </w:p>
        </w:tc>
        <w:tc>
          <w:tcPr>
            <w:tcW w:type="dxa" w:w="1656"/>
          </w:tcPr>
          <w:p>
            <w:pPr>
              <w:spacing w:after="20"/>
            </w:pPr>
            <w:r>
              <w:rPr>
                <w:color w:val="1C3A36"/>
                <w:sz w:val="15"/>
              </w:rPr>
              <w:t>91.832</w:t>
            </w:r>
          </w:p>
        </w:tc>
        <w:tc>
          <w:tcPr>
            <w:tcW w:type="dxa" w:w="5400"/>
          </w:tcPr>
          <w:p>
            <w:pPr>
              <w:spacing w:after="20"/>
            </w:pPr>
            <w:r>
              <w:rPr>
                <w:color w:val="1C3A36"/>
                <w:sz w:val="15"/>
              </w:rPr>
              <w:t>Audited consolidated FS FY2025, savola.com/en/investors/financial-statements (Deloitte &amp; Touche, unmodified opinion, authorized 05-Mar-2026), note 38 (incl. a 69.5 reversal of accruals no longer required — stripped from the recurring base below)</w:t>
            </w:r>
          </w:p>
        </w:tc>
        <w:tc>
          <w:tcPr>
            <w:tcW w:type="dxa" w:w="1080"/>
          </w:tcPr>
          <w:p>
            <w:pPr>
              <w:spacing w:after="20"/>
            </w:pPr>
            <w:r>
              <w:rPr>
                <w:color w:val="1C3A36"/>
                <w:sz w:val="15"/>
              </w:rPr>
              <w:t>2026-03-05</w:t>
            </w:r>
          </w:p>
        </w:tc>
      </w:tr>
      <w:tr>
        <w:tc>
          <w:tcPr>
            <w:tcW w:type="dxa" w:w="2088"/>
          </w:tcPr>
          <w:p>
            <w:pPr>
              <w:spacing w:after="20"/>
            </w:pPr>
            <w:r>
              <w:rPr>
                <w:color w:val="1C3A36"/>
                <w:sz w:val="15"/>
              </w:rPr>
              <w:t>pas_ebitda_mgn_fy25</w:t>
            </w:r>
          </w:p>
        </w:tc>
        <w:tc>
          <w:tcPr>
            <w:tcW w:type="dxa" w:w="1656"/>
          </w:tcPr>
          <w:p>
            <w:pPr>
              <w:spacing w:after="20"/>
            </w:pPr>
            <w:r>
              <w:rPr>
                <w:color w:val="1C3A36"/>
                <w:sz w:val="15"/>
              </w:rPr>
              <w:t>0.135</w:t>
            </w:r>
          </w:p>
        </w:tc>
        <w:tc>
          <w:tcPr>
            <w:tcW w:type="dxa" w:w="5400"/>
          </w:tcPr>
          <w:p>
            <w:pPr>
              <w:spacing w:after="20"/>
            </w:pPr>
            <w:r>
              <w:rPr>
                <w:color w:val="1C3A36"/>
                <w:sz w:val="15"/>
              </w:rPr>
              <w:t>Company FY2025 investor presentation, savola.com, Mar-2026 (COMPANY_IR): pasta EBITDA margin FY2025 13.5%</w:t>
            </w:r>
          </w:p>
        </w:tc>
        <w:tc>
          <w:tcPr>
            <w:tcW w:type="dxa" w:w="1080"/>
          </w:tcPr>
          <w:p>
            <w:pPr>
              <w:spacing w:after="20"/>
            </w:pPr>
            <w:r>
              <w:rPr>
                <w:color w:val="1C3A36"/>
                <w:sz w:val="15"/>
              </w:rPr>
              <w:t>2026-03-09</w:t>
            </w:r>
          </w:p>
        </w:tc>
      </w:tr>
      <w:tr>
        <w:tc>
          <w:tcPr>
            <w:tcW w:type="dxa" w:w="2088"/>
          </w:tcPr>
          <w:p>
            <w:pPr>
              <w:spacing w:after="20"/>
            </w:pPr>
            <w:r>
              <w:rPr>
                <w:color w:val="1C3A36"/>
                <w:sz w:val="15"/>
              </w:rPr>
              <w:t>pas_gm_fy25</w:t>
            </w:r>
          </w:p>
        </w:tc>
        <w:tc>
          <w:tcPr>
            <w:tcW w:type="dxa" w:w="1656"/>
          </w:tcPr>
          <w:p>
            <w:pPr>
              <w:spacing w:after="20"/>
            </w:pPr>
            <w:r>
              <w:rPr>
                <w:color w:val="1C3A36"/>
                <w:sz w:val="15"/>
              </w:rPr>
              <w:t>0.215</w:t>
            </w:r>
          </w:p>
        </w:tc>
        <w:tc>
          <w:tcPr>
            <w:tcW w:type="dxa" w:w="5400"/>
          </w:tcPr>
          <w:p>
            <w:pPr>
              <w:spacing w:after="20"/>
            </w:pPr>
            <w:r>
              <w:rPr>
                <w:color w:val="1C3A36"/>
                <w:sz w:val="15"/>
              </w:rPr>
              <w:t>Company FY2025 investor presentation, savola.com, Mar-2026 (COMPANY_IR): pasta gross margin FY2025 21.5%</w:t>
            </w:r>
          </w:p>
        </w:tc>
        <w:tc>
          <w:tcPr>
            <w:tcW w:type="dxa" w:w="1080"/>
          </w:tcPr>
          <w:p>
            <w:pPr>
              <w:spacing w:after="20"/>
            </w:pPr>
            <w:r>
              <w:rPr>
                <w:color w:val="1C3A36"/>
                <w:sz w:val="15"/>
              </w:rPr>
              <w:t>2026-03-09</w:t>
            </w:r>
          </w:p>
        </w:tc>
      </w:tr>
      <w:tr>
        <w:tc>
          <w:tcPr>
            <w:tcW w:type="dxa" w:w="2088"/>
          </w:tcPr>
          <w:p>
            <w:pPr>
              <w:spacing w:after="20"/>
            </w:pPr>
            <w:r>
              <w:rPr>
                <w:color w:val="1C3A36"/>
                <w:sz w:val="15"/>
              </w:rPr>
              <w:t>pas_rev_fy25</w:t>
            </w:r>
          </w:p>
        </w:tc>
        <w:tc>
          <w:tcPr>
            <w:tcW w:type="dxa" w:w="1656"/>
          </w:tcPr>
          <w:p>
            <w:pPr>
              <w:spacing w:after="20"/>
            </w:pPr>
            <w:r>
              <w:rPr>
                <w:color w:val="1C3A36"/>
                <w:sz w:val="15"/>
              </w:rPr>
              <w:t>545.0</w:t>
            </w:r>
          </w:p>
        </w:tc>
        <w:tc>
          <w:tcPr>
            <w:tcW w:type="dxa" w:w="5400"/>
          </w:tcPr>
          <w:p>
            <w:pPr>
              <w:spacing w:after="20"/>
            </w:pPr>
            <w:r>
              <w:rPr>
                <w:color w:val="1C3A36"/>
                <w:sz w:val="15"/>
              </w:rPr>
              <w:t>Company FY2025 investor presentation, savola.com, Mar-2026 (COMPANY_IR): pasta revenue FY2025 (+3.2% on 528)</w:t>
            </w:r>
          </w:p>
        </w:tc>
        <w:tc>
          <w:tcPr>
            <w:tcW w:type="dxa" w:w="1080"/>
          </w:tcPr>
          <w:p>
            <w:pPr>
              <w:spacing w:after="20"/>
            </w:pPr>
            <w:r>
              <w:rPr>
                <w:color w:val="1C3A36"/>
                <w:sz w:val="15"/>
              </w:rPr>
              <w:t>2026-03-09</w:t>
            </w:r>
          </w:p>
        </w:tc>
      </w:tr>
      <w:tr>
        <w:tc>
          <w:tcPr>
            <w:tcW w:type="dxa" w:w="2088"/>
          </w:tcPr>
          <w:p>
            <w:pPr>
              <w:spacing w:after="20"/>
            </w:pPr>
            <w:r>
              <w:rPr>
                <w:color w:val="1C3A36"/>
                <w:sz w:val="15"/>
              </w:rPr>
              <w:t>pas_vol_fy25</w:t>
            </w:r>
          </w:p>
        </w:tc>
        <w:tc>
          <w:tcPr>
            <w:tcW w:type="dxa" w:w="1656"/>
          </w:tcPr>
          <w:p>
            <w:pPr>
              <w:spacing w:after="20"/>
            </w:pPr>
            <w:r>
              <w:rPr>
                <w:color w:val="1C3A36"/>
                <w:sz w:val="15"/>
              </w:rPr>
              <w:t>263.0</w:t>
            </w:r>
          </w:p>
        </w:tc>
        <w:tc>
          <w:tcPr>
            <w:tcW w:type="dxa" w:w="5400"/>
          </w:tcPr>
          <w:p>
            <w:pPr>
              <w:spacing w:after="20"/>
            </w:pPr>
            <w:r>
              <w:rPr>
                <w:color w:val="1C3A36"/>
                <w:sz w:val="15"/>
              </w:rPr>
              <w:t>Company FY2025 investor presentation, savola.com, Mar-2026 (COMPANY_IR) p17 pasta segment analysis: FY2025 volume 263k MT (FY2024: 232, +13.2%) under the 'Volume (MT '000)' header; the same slide's 'Gross Profit / Ton (SAR)' figures are 440/445, and the arithmetic locks the roles (117mn / 263k t = 445; 102 / 232 = 440). Replaces the first edition's derived 268 (within 2% of the disclosed figure); one external audit read the roles swapped (volume 445) — rejected on the slide layout, the arithmetic, and the Q2-2026 deck's '+3.1%' volume growth matching 135-&gt;139k t halves</w:t>
            </w:r>
          </w:p>
        </w:tc>
        <w:tc>
          <w:tcPr>
            <w:tcW w:type="dxa" w:w="1080"/>
          </w:tcPr>
          <w:p>
            <w:pPr>
              <w:spacing w:after="20"/>
            </w:pPr>
            <w:r>
              <w:rPr>
                <w:color w:val="1C3A36"/>
                <w:sz w:val="15"/>
              </w:rPr>
              <w:t>2026-03-09</w:t>
            </w:r>
          </w:p>
        </w:tc>
      </w:tr>
      <w:tr>
        <w:tc>
          <w:tcPr>
            <w:tcW w:type="dxa" w:w="2088"/>
          </w:tcPr>
          <w:p>
            <w:pPr>
              <w:spacing w:after="20"/>
            </w:pPr>
            <w:r>
              <w:rPr>
                <w:color w:val="1C3A36"/>
                <w:sz w:val="15"/>
              </w:rPr>
              <w:t>payout</w:t>
            </w:r>
          </w:p>
        </w:tc>
        <w:tc>
          <w:tcPr>
            <w:tcW w:type="dxa" w:w="1656"/>
          </w:tcPr>
          <w:p>
            <w:pPr>
              <w:spacing w:after="20"/>
            </w:pPr>
            <w:r>
              <w:rPr>
                <w:color w:val="1C3A36"/>
                <w:sz w:val="15"/>
              </w:rPr>
              <w:t>0.55</w:t>
            </w:r>
          </w:p>
        </w:tc>
        <w:tc>
          <w:tcPr>
            <w:tcW w:type="dxa" w:w="5400"/>
          </w:tcPr>
          <w:p>
            <w:pPr>
              <w:spacing w:after="20"/>
            </w:pPr>
            <w:r>
              <w:rPr>
                <w:color w:val="1C3A36"/>
                <w:sz w:val="15"/>
              </w:rPr>
              <w:t>stated dividend policy 'approximately 50% to 60% of net profit annually' (Official Saudi Exchange announcement, saudiexchange.sa anId 93503, 08-Mar-2026); midpoint 55% drives the forecast dividend and cash walk</w:t>
            </w:r>
          </w:p>
        </w:tc>
        <w:tc>
          <w:tcPr>
            <w:tcW w:type="dxa" w:w="1080"/>
          </w:tcPr>
          <w:p>
            <w:pPr>
              <w:spacing w:after="20"/>
            </w:pPr>
            <w:r>
              <w:rPr>
                <w:color w:val="1C3A36"/>
                <w:sz w:val="15"/>
              </w:rPr>
              <w:t>2026-03-08</w:t>
            </w:r>
          </w:p>
        </w:tc>
      </w:tr>
      <w:tr>
        <w:tc>
          <w:tcPr>
            <w:tcW w:type="dxa" w:w="2088"/>
          </w:tcPr>
          <w:p>
            <w:pPr>
              <w:spacing w:after="20"/>
            </w:pPr>
            <w:r>
              <w:rPr>
                <w:color w:val="1C3A36"/>
                <w:sz w:val="15"/>
              </w:rPr>
              <w:t>pbt_fy25</w:t>
            </w:r>
          </w:p>
        </w:tc>
        <w:tc>
          <w:tcPr>
            <w:tcW w:type="dxa" w:w="1656"/>
          </w:tcPr>
          <w:p>
            <w:pPr>
              <w:spacing w:after="20"/>
            </w:pPr>
            <w:r>
              <w:rPr>
                <w:color w:val="1C3A36"/>
                <w:sz w:val="15"/>
              </w:rPr>
              <w:t>861.7</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ppe_fy24</w:t>
            </w:r>
          </w:p>
        </w:tc>
        <w:tc>
          <w:tcPr>
            <w:tcW w:type="dxa" w:w="1656"/>
          </w:tcPr>
          <w:p>
            <w:pPr>
              <w:spacing w:after="20"/>
            </w:pPr>
            <w:r>
              <w:rPr>
                <w:color w:val="1C3A36"/>
                <w:sz w:val="15"/>
              </w:rPr>
              <w:t>5,438.4</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ppe_fy25</w:t>
            </w:r>
          </w:p>
        </w:tc>
        <w:tc>
          <w:tcPr>
            <w:tcW w:type="dxa" w:w="1656"/>
          </w:tcPr>
          <w:p>
            <w:pPr>
              <w:spacing w:after="20"/>
            </w:pPr>
            <w:r>
              <w:rPr>
                <w:color w:val="1C3A36"/>
                <w:sz w:val="15"/>
              </w:rPr>
              <w:t>5,486.1</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prepay_fy25</w:t>
            </w:r>
          </w:p>
        </w:tc>
        <w:tc>
          <w:tcPr>
            <w:tcW w:type="dxa" w:w="1656"/>
          </w:tcPr>
          <w:p>
            <w:pPr>
              <w:spacing w:after="20"/>
            </w:pPr>
            <w:r>
              <w:rPr>
                <w:color w:val="1C3A36"/>
                <w:sz w:val="15"/>
              </w:rPr>
              <w:t>1,346.5</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recurring_np_fy24</w:t>
            </w:r>
          </w:p>
        </w:tc>
        <w:tc>
          <w:tcPr>
            <w:tcW w:type="dxa" w:w="1656"/>
          </w:tcPr>
          <w:p>
            <w:pPr>
              <w:spacing w:after="20"/>
            </w:pPr>
            <w:r>
              <w:rPr>
                <w:color w:val="1C3A36"/>
                <w:sz w:val="15"/>
              </w:rPr>
              <w:t>295.5</w:t>
            </w:r>
          </w:p>
        </w:tc>
        <w:tc>
          <w:tcPr>
            <w:tcW w:type="dxa" w:w="5400"/>
          </w:tcPr>
          <w:p>
            <w:pPr>
              <w:spacing w:after="20"/>
            </w:pPr>
            <w:r>
              <w:rPr>
                <w:color w:val="1C3A36"/>
                <w:sz w:val="15"/>
              </w:rPr>
              <w:t>Company FY2025 investor presentation, savola.com, Mar-2026 (COMPANY_IR), same bridge for FY2024</w:t>
            </w:r>
          </w:p>
        </w:tc>
        <w:tc>
          <w:tcPr>
            <w:tcW w:type="dxa" w:w="1080"/>
          </w:tcPr>
          <w:p>
            <w:pPr>
              <w:spacing w:after="20"/>
            </w:pPr>
            <w:r>
              <w:rPr>
                <w:color w:val="1C3A36"/>
                <w:sz w:val="15"/>
              </w:rPr>
              <w:t>2026-03-09</w:t>
            </w:r>
          </w:p>
        </w:tc>
      </w:tr>
      <w:tr>
        <w:tc>
          <w:tcPr>
            <w:tcW w:type="dxa" w:w="2088"/>
          </w:tcPr>
          <w:p>
            <w:pPr>
              <w:spacing w:after="20"/>
            </w:pPr>
            <w:r>
              <w:rPr>
                <w:color w:val="1C3A36"/>
                <w:sz w:val="15"/>
              </w:rPr>
              <w:t>recurring_np_fy25</w:t>
            </w:r>
          </w:p>
        </w:tc>
        <w:tc>
          <w:tcPr>
            <w:tcW w:type="dxa" w:w="1656"/>
          </w:tcPr>
          <w:p>
            <w:pPr>
              <w:spacing w:after="20"/>
            </w:pPr>
            <w:r>
              <w:rPr>
                <w:color w:val="1C3A36"/>
                <w:sz w:val="15"/>
              </w:rPr>
              <w:t>539.1</w:t>
            </w:r>
          </w:p>
        </w:tc>
        <w:tc>
          <w:tcPr>
            <w:tcW w:type="dxa" w:w="5400"/>
          </w:tcPr>
          <w:p>
            <w:pPr>
              <w:spacing w:after="20"/>
            </w:pPr>
            <w:r>
              <w:rPr>
                <w:color w:val="1C3A36"/>
                <w:sz w:val="15"/>
              </w:rPr>
              <w:t>Company FY2025 investor presentation, savola.com, Mar-2026 (COMPANY_IR): reported-to-recurring bridge (874.4 less zakat/accrual reversals 300.0, Türkiye gain 32.3, put gain 40.2, plus impairment 11.7 and other 32.7)</w:t>
            </w:r>
          </w:p>
        </w:tc>
        <w:tc>
          <w:tcPr>
            <w:tcW w:type="dxa" w:w="1080"/>
          </w:tcPr>
          <w:p>
            <w:pPr>
              <w:spacing w:after="20"/>
            </w:pPr>
            <w:r>
              <w:rPr>
                <w:color w:val="1C3A36"/>
                <w:sz w:val="15"/>
              </w:rPr>
              <w:t>2026-03-09</w:t>
            </w:r>
          </w:p>
        </w:tc>
      </w:tr>
      <w:tr>
        <w:tc>
          <w:tcPr>
            <w:tcW w:type="dxa" w:w="2088"/>
          </w:tcPr>
          <w:p>
            <w:pPr>
              <w:spacing w:after="20"/>
            </w:pPr>
            <w:r>
              <w:rPr>
                <w:color w:val="1C3A36"/>
                <w:sz w:val="15"/>
              </w:rPr>
              <w:t>restor_fy25</w:t>
            </w:r>
          </w:p>
        </w:tc>
        <w:tc>
          <w:tcPr>
            <w:tcW w:type="dxa" w:w="1656"/>
          </w:tcPr>
          <w:p>
            <w:pPr>
              <w:spacing w:after="20"/>
            </w:pPr>
            <w:r>
              <w:rPr>
                <w:color w:val="1C3A36"/>
                <w:sz w:val="15"/>
              </w:rPr>
              <w:t>164.9</w:t>
            </w:r>
          </w:p>
        </w:tc>
        <w:tc>
          <w:tcPr>
            <w:tcW w:type="dxa" w:w="5400"/>
          </w:tcPr>
          <w:p>
            <w:pPr>
              <w:spacing w:after="20"/>
            </w:pPr>
            <w:r>
              <w:rPr>
                <w:color w:val="1C3A36"/>
                <w:sz w:val="15"/>
              </w:rPr>
              <w:t>Audited consolidated FS FY2025, savola.com/en/investors/financial-statements (Deloitte &amp; Touche, unmodified opinion, authorized 05-Mar-2026): provision against asset restoration</w:t>
            </w:r>
          </w:p>
        </w:tc>
        <w:tc>
          <w:tcPr>
            <w:tcW w:type="dxa" w:w="1080"/>
          </w:tcPr>
          <w:p>
            <w:pPr>
              <w:spacing w:after="20"/>
            </w:pPr>
            <w:r>
              <w:rPr>
                <w:color w:val="1C3A36"/>
                <w:sz w:val="15"/>
              </w:rPr>
              <w:t>2026-03-05</w:t>
            </w:r>
          </w:p>
        </w:tc>
      </w:tr>
      <w:tr>
        <w:tc>
          <w:tcPr>
            <w:tcW w:type="dxa" w:w="2088"/>
          </w:tcPr>
          <w:p>
            <w:pPr>
              <w:spacing w:after="20"/>
            </w:pPr>
            <w:r>
              <w:rPr>
                <w:color w:val="1C3A36"/>
                <w:sz w:val="15"/>
              </w:rPr>
              <w:t>ret_cogs_fy25</w:t>
            </w:r>
          </w:p>
        </w:tc>
        <w:tc>
          <w:tcPr>
            <w:tcW w:type="dxa" w:w="1656"/>
          </w:tcPr>
          <w:p>
            <w:pPr>
              <w:spacing w:after="20"/>
            </w:pPr>
            <w:r>
              <w:rPr>
                <w:color w:val="1C3A36"/>
                <w:sz w:val="15"/>
              </w:rPr>
              <w:t>8,435.3</w:t>
            </w:r>
          </w:p>
        </w:tc>
        <w:tc>
          <w:tcPr>
            <w:tcW w:type="dxa" w:w="5400"/>
          </w:tcPr>
          <w:p>
            <w:pPr>
              <w:spacing w:after="20"/>
            </w:pPr>
            <w:r>
              <w:rPr>
                <w:color w:val="1C3A36"/>
                <w:sz w:val="15"/>
              </w:rPr>
              <w:t>Audited consolidated FS FY2025, savola.com/en/investors/financial-statements (Deloitte &amp; Touche, unmodified opinion, authorized 05-Mar-2026), note 33</w:t>
            </w:r>
          </w:p>
        </w:tc>
        <w:tc>
          <w:tcPr>
            <w:tcW w:type="dxa" w:w="1080"/>
          </w:tcPr>
          <w:p>
            <w:pPr>
              <w:spacing w:after="20"/>
            </w:pPr>
            <w:r>
              <w:rPr>
                <w:color w:val="1C3A36"/>
                <w:sz w:val="15"/>
              </w:rPr>
              <w:t>2026-03-05</w:t>
            </w:r>
          </w:p>
        </w:tc>
      </w:tr>
      <w:tr>
        <w:tc>
          <w:tcPr>
            <w:tcW w:type="dxa" w:w="2088"/>
          </w:tcPr>
          <w:p>
            <w:pPr>
              <w:spacing w:after="20"/>
            </w:pPr>
            <w:r>
              <w:rPr>
                <w:color w:val="1C3A36"/>
                <w:sz w:val="15"/>
              </w:rPr>
              <w:t>ret_segrev_fy25</w:t>
            </w:r>
          </w:p>
        </w:tc>
        <w:tc>
          <w:tcPr>
            <w:tcW w:type="dxa" w:w="1656"/>
          </w:tcPr>
          <w:p>
            <w:pPr>
              <w:spacing w:after="20"/>
            </w:pPr>
            <w:r>
              <w:rPr>
                <w:color w:val="1C3A36"/>
                <w:sz w:val="15"/>
              </w:rPr>
              <w:t>11,327.9</w:t>
            </w:r>
          </w:p>
        </w:tc>
        <w:tc>
          <w:tcPr>
            <w:tcW w:type="dxa" w:w="5400"/>
          </w:tcPr>
          <w:p>
            <w:pPr>
              <w:spacing w:after="20"/>
            </w:pPr>
            <w:r>
              <w:rPr>
                <w:color w:val="1C3A36"/>
                <w:sz w:val="15"/>
              </w:rPr>
              <w:t>Audited consolidated FS FY2025, savola.com/en/investors/financial-statements (Deloitte &amp; Touche, unmodified opinion, authorized 05-Mar-2026), note 33: Retail segment revenue</w:t>
            </w:r>
          </w:p>
        </w:tc>
        <w:tc>
          <w:tcPr>
            <w:tcW w:type="dxa" w:w="1080"/>
          </w:tcPr>
          <w:p>
            <w:pPr>
              <w:spacing w:after="20"/>
            </w:pPr>
            <w:r>
              <w:rPr>
                <w:color w:val="1C3A36"/>
                <w:sz w:val="15"/>
              </w:rPr>
              <w:t>2026-03-05</w:t>
            </w:r>
          </w:p>
        </w:tc>
      </w:tr>
      <w:tr>
        <w:tc>
          <w:tcPr>
            <w:tcW w:type="dxa" w:w="2088"/>
          </w:tcPr>
          <w:p>
            <w:pPr>
              <w:spacing w:after="20"/>
            </w:pPr>
            <w:r>
              <w:rPr>
                <w:color w:val="1C3A36"/>
                <w:sz w:val="15"/>
              </w:rPr>
              <w:t>rev_fy23</w:t>
            </w:r>
          </w:p>
        </w:tc>
        <w:tc>
          <w:tcPr>
            <w:tcW w:type="dxa" w:w="1656"/>
          </w:tcPr>
          <w:p>
            <w:pPr>
              <w:spacing w:after="20"/>
            </w:pPr>
            <w:r>
              <w:rPr>
                <w:color w:val="1C3A36"/>
                <w:sz w:val="15"/>
              </w:rPr>
              <w:t>24,149.5</w:t>
            </w:r>
          </w:p>
        </w:tc>
        <w:tc>
          <w:tcPr>
            <w:tcW w:type="dxa" w:w="5400"/>
          </w:tcPr>
          <w:p>
            <w:pPr>
              <w:spacing w:after="20"/>
            </w:pPr>
            <w:r>
              <w:rPr>
                <w:color w:val="1C3A36"/>
                <w:sz w:val="15"/>
              </w:rPr>
              <w:t>Audited consolidated FS FY2024, savola.com (KPMG, 10-Mar-2025), FY2023 comparative (continuing, incl. Türkiye)</w:t>
            </w:r>
          </w:p>
        </w:tc>
        <w:tc>
          <w:tcPr>
            <w:tcW w:type="dxa" w:w="1080"/>
          </w:tcPr>
          <w:p>
            <w:pPr>
              <w:spacing w:after="20"/>
            </w:pPr>
            <w:r>
              <w:rPr>
                <w:color w:val="1C3A36"/>
                <w:sz w:val="15"/>
              </w:rPr>
              <w:t>2025-03-10</w:t>
            </w:r>
          </w:p>
        </w:tc>
      </w:tr>
      <w:tr>
        <w:tc>
          <w:tcPr>
            <w:tcW w:type="dxa" w:w="2088"/>
          </w:tcPr>
          <w:p>
            <w:pPr>
              <w:spacing w:after="20"/>
            </w:pPr>
            <w:r>
              <w:rPr>
                <w:color w:val="1C3A36"/>
                <w:sz w:val="15"/>
              </w:rPr>
              <w:t>rev_fy24</w:t>
            </w:r>
          </w:p>
        </w:tc>
        <w:tc>
          <w:tcPr>
            <w:tcW w:type="dxa" w:w="1656"/>
          </w:tcPr>
          <w:p>
            <w:pPr>
              <w:spacing w:after="20"/>
            </w:pPr>
            <w:r>
              <w:rPr>
                <w:color w:val="1C3A36"/>
                <w:sz w:val="15"/>
              </w:rPr>
              <w:t>23,045.6</w:t>
            </w:r>
          </w:p>
        </w:tc>
        <w:tc>
          <w:tcPr>
            <w:tcW w:type="dxa" w:w="5400"/>
          </w:tcPr>
          <w:p>
            <w:pPr>
              <w:spacing w:after="20"/>
            </w:pPr>
            <w:r>
              <w:rPr>
                <w:color w:val="1C3A36"/>
                <w:sz w:val="15"/>
              </w:rPr>
              <w:t>Audited consolidated FS FY2025, savola.com/en/investors/financial-statements (Deloitte &amp; Touche, unmodified opinion, authorized 05-Mar-2026), FY2024 comparative (continuing, ex-Türkiye)</w:t>
            </w:r>
          </w:p>
        </w:tc>
        <w:tc>
          <w:tcPr>
            <w:tcW w:type="dxa" w:w="1080"/>
          </w:tcPr>
          <w:p>
            <w:pPr>
              <w:spacing w:after="20"/>
            </w:pPr>
            <w:r>
              <w:rPr>
                <w:color w:val="1C3A36"/>
                <w:sz w:val="15"/>
              </w:rPr>
              <w:t>2026-03-05</w:t>
            </w:r>
          </w:p>
        </w:tc>
      </w:tr>
      <w:tr>
        <w:tc>
          <w:tcPr>
            <w:tcW w:type="dxa" w:w="2088"/>
          </w:tcPr>
          <w:p>
            <w:pPr>
              <w:spacing w:after="20"/>
            </w:pPr>
            <w:r>
              <w:rPr>
                <w:color w:val="1C3A36"/>
                <w:sz w:val="15"/>
              </w:rPr>
              <w:t>rev_fy25</w:t>
            </w:r>
          </w:p>
        </w:tc>
        <w:tc>
          <w:tcPr>
            <w:tcW w:type="dxa" w:w="1656"/>
          </w:tcPr>
          <w:p>
            <w:pPr>
              <w:spacing w:after="20"/>
            </w:pPr>
            <w:r>
              <w:rPr>
                <w:color w:val="1C3A36"/>
                <w:sz w:val="15"/>
              </w:rPr>
              <w:t>26,081.1</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rou_fy25</w:t>
            </w:r>
          </w:p>
        </w:tc>
        <w:tc>
          <w:tcPr>
            <w:tcW w:type="dxa" w:w="1656"/>
          </w:tcPr>
          <w:p>
            <w:pPr>
              <w:spacing w:after="20"/>
            </w:pPr>
            <w:r>
              <w:rPr>
                <w:color w:val="1C3A36"/>
                <w:sz w:val="15"/>
              </w:rPr>
              <w:t>3,416.9</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sda_fy23</w:t>
            </w:r>
          </w:p>
        </w:tc>
        <w:tc>
          <w:tcPr>
            <w:tcW w:type="dxa" w:w="1656"/>
          </w:tcPr>
          <w:p>
            <w:pPr>
              <w:spacing w:after="20"/>
            </w:pPr>
            <w:r>
              <w:rPr>
                <w:color w:val="1C3A36"/>
                <w:sz w:val="15"/>
              </w:rPr>
              <w:t>2,931.1</w:t>
            </w:r>
          </w:p>
        </w:tc>
        <w:tc>
          <w:tcPr>
            <w:tcW w:type="dxa" w:w="5400"/>
          </w:tcPr>
          <w:p>
            <w:pPr>
              <w:spacing w:after="20"/>
            </w:pPr>
            <w:r>
              <w:rPr>
                <w:color w:val="1C3A36"/>
                <w:sz w:val="15"/>
              </w:rPr>
              <w:t>Audited consolidated FS FY2024, savola.com (KPMG, 10-Mar-2025), FY2023 comparative, selling &amp; distribution</w:t>
            </w:r>
          </w:p>
        </w:tc>
        <w:tc>
          <w:tcPr>
            <w:tcW w:type="dxa" w:w="1080"/>
          </w:tcPr>
          <w:p>
            <w:pPr>
              <w:spacing w:after="20"/>
            </w:pPr>
            <w:r>
              <w:rPr>
                <w:color w:val="1C3A36"/>
                <w:sz w:val="15"/>
              </w:rPr>
              <w:t>2025-03-10</w:t>
            </w:r>
          </w:p>
        </w:tc>
      </w:tr>
      <w:tr>
        <w:tc>
          <w:tcPr>
            <w:tcW w:type="dxa" w:w="2088"/>
          </w:tcPr>
          <w:p>
            <w:pPr>
              <w:spacing w:after="20"/>
            </w:pPr>
            <w:r>
              <w:rPr>
                <w:color w:val="1C3A36"/>
                <w:sz w:val="15"/>
              </w:rPr>
              <w:t>sda_fy24</w:t>
            </w:r>
          </w:p>
        </w:tc>
        <w:tc>
          <w:tcPr>
            <w:tcW w:type="dxa" w:w="1656"/>
          </w:tcPr>
          <w:p>
            <w:pPr>
              <w:spacing w:after="20"/>
            </w:pPr>
            <w:r>
              <w:rPr>
                <w:color w:val="1C3A36"/>
                <w:sz w:val="15"/>
              </w:rPr>
              <w:t>2,970.1</w:t>
            </w:r>
          </w:p>
        </w:tc>
        <w:tc>
          <w:tcPr>
            <w:tcW w:type="dxa" w:w="5400"/>
          </w:tcPr>
          <w:p>
            <w:pPr>
              <w:spacing w:after="20"/>
            </w:pPr>
            <w:r>
              <w:rPr>
                <w:color w:val="1C3A36"/>
                <w:sz w:val="15"/>
              </w:rPr>
              <w:t>Audited consolidated FS FY2025, savola.com/en/investors/financial-statements (Deloitte &amp; Touche, unmodified opinion, authorized 05-Mar-2026), FY2024 comparative</w:t>
            </w:r>
          </w:p>
        </w:tc>
        <w:tc>
          <w:tcPr>
            <w:tcW w:type="dxa" w:w="1080"/>
          </w:tcPr>
          <w:p>
            <w:pPr>
              <w:spacing w:after="20"/>
            </w:pPr>
            <w:r>
              <w:rPr>
                <w:color w:val="1C3A36"/>
                <w:sz w:val="15"/>
              </w:rPr>
              <w:t>2026-03-05</w:t>
            </w:r>
          </w:p>
        </w:tc>
      </w:tr>
      <w:tr>
        <w:tc>
          <w:tcPr>
            <w:tcW w:type="dxa" w:w="2088"/>
          </w:tcPr>
          <w:p>
            <w:pPr>
              <w:spacing w:after="20"/>
            </w:pPr>
            <w:r>
              <w:rPr>
                <w:color w:val="1C3A36"/>
                <w:sz w:val="15"/>
              </w:rPr>
              <w:t>sda_fy25</w:t>
            </w:r>
          </w:p>
        </w:tc>
        <w:tc>
          <w:tcPr>
            <w:tcW w:type="dxa" w:w="1656"/>
          </w:tcPr>
          <w:p>
            <w:pPr>
              <w:spacing w:after="20"/>
            </w:pPr>
            <w:r>
              <w:rPr>
                <w:color w:val="1C3A36"/>
                <w:sz w:val="15"/>
              </w:rPr>
              <w:t>3,199.6</w:t>
            </w:r>
          </w:p>
        </w:tc>
        <w:tc>
          <w:tcPr>
            <w:tcW w:type="dxa" w:w="5400"/>
          </w:tcPr>
          <w:p>
            <w:pPr>
              <w:spacing w:after="20"/>
            </w:pPr>
            <w:r>
              <w:rPr>
                <w:color w:val="1C3A36"/>
                <w:sz w:val="15"/>
              </w:rPr>
              <w:t>Audited consolidated FS FY2025, savola.com/en/investors/financial-statements (Deloitte &amp; Touche, unmodified opinion, authorized 05-Mar-2026), note 36</w:t>
            </w:r>
          </w:p>
        </w:tc>
        <w:tc>
          <w:tcPr>
            <w:tcW w:type="dxa" w:w="1080"/>
          </w:tcPr>
          <w:p>
            <w:pPr>
              <w:spacing w:after="20"/>
            </w:pPr>
            <w:r>
              <w:rPr>
                <w:color w:val="1C3A36"/>
                <w:sz w:val="15"/>
              </w:rPr>
              <w:t>2026-03-05</w:t>
            </w:r>
          </w:p>
        </w:tc>
      </w:tr>
      <w:tr>
        <w:tc>
          <w:tcPr>
            <w:tcW w:type="dxa" w:w="2088"/>
          </w:tcPr>
          <w:p>
            <w:pPr>
              <w:spacing w:after="20"/>
            </w:pPr>
            <w:r>
              <w:rPr>
                <w:color w:val="1C3A36"/>
                <w:sz w:val="15"/>
              </w:rPr>
              <w:t>shares_issued_mn</w:t>
            </w:r>
          </w:p>
        </w:tc>
        <w:tc>
          <w:tcPr>
            <w:tcW w:type="dxa" w:w="1656"/>
          </w:tcPr>
          <w:p>
            <w:pPr>
              <w:spacing w:after="20"/>
            </w:pPr>
            <w:r>
              <w:rPr>
                <w:color w:val="1C3A36"/>
                <w:sz w:val="15"/>
              </w:rPr>
              <w:t>300.0</w:t>
            </w:r>
          </w:p>
        </w:tc>
        <w:tc>
          <w:tcPr>
            <w:tcW w:type="dxa" w:w="5400"/>
          </w:tcPr>
          <w:p>
            <w:pPr>
              <w:spacing w:after="20"/>
            </w:pPr>
            <w:r>
              <w:rPr>
                <w:color w:val="1C3A36"/>
                <w:sz w:val="15"/>
              </w:rPr>
              <w:t>Audited consolidated FS FY2025, savola.com/en/investors/financial-statements (Deloitte &amp; Touche, unmodified opinion, authorized 05-Mar-2026), note 16: share capital SAR 3bn = 300mn fully paid shares of SAR 10, after the 2024 rights issue (+600mn shares) and the capital reduction cancelling 833.98mn shares against the Almarai in-kind distribution</w:t>
            </w:r>
          </w:p>
        </w:tc>
        <w:tc>
          <w:tcPr>
            <w:tcW w:type="dxa" w:w="1080"/>
          </w:tcPr>
          <w:p>
            <w:pPr>
              <w:spacing w:after="20"/>
            </w:pPr>
            <w:r>
              <w:rPr>
                <w:color w:val="1C3A36"/>
                <w:sz w:val="15"/>
              </w:rPr>
              <w:t>2026-03-05</w:t>
            </w:r>
          </w:p>
        </w:tc>
      </w:tr>
      <w:tr>
        <w:tc>
          <w:tcPr>
            <w:tcW w:type="dxa" w:w="2088"/>
          </w:tcPr>
          <w:p>
            <w:pPr>
              <w:spacing w:after="20"/>
            </w:pPr>
            <w:r>
              <w:rPr>
                <w:color w:val="1C3A36"/>
                <w:sz w:val="15"/>
              </w:rPr>
              <w:t>shares_val_mn</w:t>
            </w:r>
          </w:p>
        </w:tc>
        <w:tc>
          <w:tcPr>
            <w:tcW w:type="dxa" w:w="1656"/>
          </w:tcPr>
          <w:p>
            <w:pPr>
              <w:spacing w:after="20"/>
            </w:pPr>
            <w:r>
              <w:rPr>
                <w:color w:val="1C3A36"/>
                <w:sz w:val="15"/>
              </w:rPr>
              <w:t>296.7</w:t>
            </w:r>
          </w:p>
        </w:tc>
        <w:tc>
          <w:tcPr>
            <w:tcW w:type="dxa" w:w="5400"/>
          </w:tcPr>
          <w:p>
            <w:pPr>
              <w:spacing w:after="20"/>
            </w:pPr>
            <w:r>
              <w:rPr>
                <w:color w:val="1C3A36"/>
                <w:sz w:val="15"/>
              </w:rPr>
              <w:t>Q2-2026 reviewed interim FS, EPS note: 300.000mn issued less the 3,318,046 weighted-average effect of treasury shares (the 2.605mn FY2025 buyback plus employee-plan shares) = 296.682mn — the company's own latest ex-treasury divisor, adopted for every per-share value (second edition; the first edition used the FY2025 weighted 298.589)</w:t>
            </w:r>
          </w:p>
        </w:tc>
        <w:tc>
          <w:tcPr>
            <w:tcW w:type="dxa" w:w="1080"/>
          </w:tcPr>
          <w:p>
            <w:pPr>
              <w:spacing w:after="20"/>
            </w:pPr>
            <w:r>
              <w:rPr>
                <w:color w:val="1C3A36"/>
                <w:sz w:val="15"/>
              </w:rPr>
              <w:t>2026-08-05</w:t>
            </w:r>
          </w:p>
        </w:tc>
      </w:tr>
      <w:tr>
        <w:tc>
          <w:tcPr>
            <w:tcW w:type="dxa" w:w="2088"/>
          </w:tcPr>
          <w:p>
            <w:pPr>
              <w:spacing w:after="20"/>
            </w:pPr>
            <w:r>
              <w:rPr>
                <w:color w:val="1C3A36"/>
                <w:sz w:val="15"/>
              </w:rPr>
              <w:t>shares_wavg_mn</w:t>
            </w:r>
          </w:p>
        </w:tc>
        <w:tc>
          <w:tcPr>
            <w:tcW w:type="dxa" w:w="1656"/>
          </w:tcPr>
          <w:p>
            <w:pPr>
              <w:spacing w:after="20"/>
            </w:pPr>
            <w:r>
              <w:rPr>
                <w:color w:val="1C3A36"/>
                <w:sz w:val="15"/>
              </w:rPr>
              <w:t>298.6</w:t>
            </w:r>
          </w:p>
        </w:tc>
        <w:tc>
          <w:tcPr>
            <w:tcW w:type="dxa" w:w="5400"/>
          </w:tcPr>
          <w:p>
            <w:pPr>
              <w:spacing w:after="20"/>
            </w:pPr>
            <w:r>
              <w:rPr>
                <w:color w:val="1C3A36"/>
                <w:sz w:val="15"/>
              </w:rPr>
              <w:t>Audited consolidated FS FY2025, savola.com/en/investors/financial-statements (Deloitte &amp; Touche, unmodified opinion, authorized 05-Mar-2026), note 31: FY2025 weighted-average shares outstanding net of treasury shares — kept as the FY2025 EPS divisor only</w:t>
            </w:r>
          </w:p>
        </w:tc>
        <w:tc>
          <w:tcPr>
            <w:tcW w:type="dxa" w:w="1080"/>
          </w:tcPr>
          <w:p>
            <w:pPr>
              <w:spacing w:after="20"/>
            </w:pPr>
            <w:r>
              <w:rPr>
                <w:color w:val="1C3A36"/>
                <w:sz w:val="15"/>
              </w:rPr>
              <w:t>2026-03-05</w:t>
            </w:r>
          </w:p>
        </w:tc>
      </w:tr>
      <w:tr>
        <w:tc>
          <w:tcPr>
            <w:tcW w:type="dxa" w:w="2088"/>
          </w:tcPr>
          <w:p>
            <w:pPr>
              <w:spacing w:after="20"/>
            </w:pPr>
            <w:r>
              <w:rPr>
                <w:color w:val="1C3A36"/>
                <w:sz w:val="15"/>
              </w:rPr>
              <w:t>stores_end24</w:t>
            </w:r>
          </w:p>
        </w:tc>
        <w:tc>
          <w:tcPr>
            <w:tcW w:type="dxa" w:w="1656"/>
          </w:tcPr>
          <w:p>
            <w:pPr>
              <w:spacing w:after="20"/>
            </w:pPr>
            <w:r>
              <w:rPr>
                <w:color w:val="1C3A36"/>
                <w:sz w:val="15"/>
              </w:rPr>
              <w:t>209.0</w:t>
            </w:r>
          </w:p>
        </w:tc>
        <w:tc>
          <w:tcPr>
            <w:tcW w:type="dxa" w:w="5400"/>
          </w:tcPr>
          <w:p>
            <w:pPr>
              <w:spacing w:after="20"/>
            </w:pPr>
            <w:r>
              <w:rPr>
                <w:color w:val="1C3A36"/>
                <w:sz w:val="15"/>
              </w:rPr>
              <w:t>Company FY2025 investor presentation, savola.com, Mar-2026 (COMPANY_IR): Panda store network at Dec-2024 (227 at Dec-2025 after +20 openings and 2 closures)</w:t>
            </w:r>
          </w:p>
        </w:tc>
        <w:tc>
          <w:tcPr>
            <w:tcW w:type="dxa" w:w="1080"/>
          </w:tcPr>
          <w:p>
            <w:pPr>
              <w:spacing w:after="20"/>
            </w:pPr>
            <w:r>
              <w:rPr>
                <w:color w:val="1C3A36"/>
                <w:sz w:val="15"/>
              </w:rPr>
              <w:t>2026-03-09</w:t>
            </w:r>
          </w:p>
        </w:tc>
      </w:tr>
      <w:tr>
        <w:tc>
          <w:tcPr>
            <w:tcW w:type="dxa" w:w="2088"/>
          </w:tcPr>
          <w:p>
            <w:pPr>
              <w:spacing w:after="20"/>
            </w:pPr>
            <w:r>
              <w:rPr>
                <w:color w:val="1C3A36"/>
                <w:sz w:val="15"/>
              </w:rPr>
              <w:t>stores_end25</w:t>
            </w:r>
          </w:p>
        </w:tc>
        <w:tc>
          <w:tcPr>
            <w:tcW w:type="dxa" w:w="1656"/>
          </w:tcPr>
          <w:p>
            <w:pPr>
              <w:spacing w:after="20"/>
            </w:pPr>
            <w:r>
              <w:rPr>
                <w:color w:val="1C3A36"/>
                <w:sz w:val="15"/>
              </w:rPr>
              <w:t>227.0</w:t>
            </w:r>
          </w:p>
        </w:tc>
        <w:tc>
          <w:tcPr>
            <w:tcW w:type="dxa" w:w="5400"/>
          </w:tcPr>
          <w:p>
            <w:pPr>
              <w:spacing w:after="20"/>
            </w:pPr>
            <w:r>
              <w:rPr>
                <w:color w:val="1C3A36"/>
                <w:sz w:val="15"/>
              </w:rPr>
              <w:t>Company FY2025 investor presentation, savola.com, Mar-2026 (COMPANY_IR)</w:t>
            </w:r>
          </w:p>
        </w:tc>
        <w:tc>
          <w:tcPr>
            <w:tcW w:type="dxa" w:w="1080"/>
          </w:tcPr>
          <w:p>
            <w:pPr>
              <w:spacing w:after="20"/>
            </w:pPr>
            <w:r>
              <w:rPr>
                <w:color w:val="1C3A36"/>
                <w:sz w:val="15"/>
              </w:rPr>
              <w:t>2026-03-09</w:t>
            </w:r>
          </w:p>
        </w:tc>
      </w:tr>
      <w:tr>
        <w:tc>
          <w:tcPr>
            <w:tcW w:type="dxa" w:w="2088"/>
          </w:tcPr>
          <w:p>
            <w:pPr>
              <w:spacing w:after="20"/>
            </w:pPr>
            <w:r>
              <w:rPr>
                <w:color w:val="1C3A36"/>
                <w:sz w:val="15"/>
              </w:rPr>
              <w:t>stores_jun26</w:t>
            </w:r>
          </w:p>
        </w:tc>
        <w:tc>
          <w:tcPr>
            <w:tcW w:type="dxa" w:w="1656"/>
          </w:tcPr>
          <w:p>
            <w:pPr>
              <w:spacing w:after="20"/>
            </w:pPr>
            <w:r>
              <w:rPr>
                <w:color w:val="1C3A36"/>
                <w:sz w:val="15"/>
              </w:rPr>
              <w:t>231.0</w:t>
            </w:r>
          </w:p>
        </w:tc>
        <w:tc>
          <w:tcPr>
            <w:tcW w:type="dxa" w:w="5400"/>
          </w:tcPr>
          <w:p>
            <w:pPr>
              <w:spacing w:after="20"/>
            </w:pPr>
            <w:r>
              <w:rPr>
                <w:color w:val="1C3A36"/>
                <w:sz w:val="15"/>
              </w:rPr>
              <w:t>Company Q2-2026 investor presentation, savola.com, Aug-2026 (COMPANY_IR): 231 stores at Jun-2026 (+6 opened, 2 closed in H1); 225 KSA + 6 Egypt; 170 super + 61 hyper; NSA 583k m2</w:t>
            </w:r>
          </w:p>
        </w:tc>
        <w:tc>
          <w:tcPr>
            <w:tcW w:type="dxa" w:w="1080"/>
          </w:tcPr>
          <w:p>
            <w:pPr>
              <w:spacing w:after="20"/>
            </w:pPr>
            <w:r>
              <w:rPr>
                <w:color w:val="1C3A36"/>
                <w:sz w:val="15"/>
              </w:rPr>
              <w:t>2026-08-06</w:t>
            </w:r>
          </w:p>
        </w:tc>
      </w:tr>
      <w:tr>
        <w:tc>
          <w:tcPr>
            <w:tcW w:type="dxa" w:w="2088"/>
          </w:tcPr>
          <w:p>
            <w:pPr>
              <w:spacing w:after="20"/>
            </w:pPr>
            <w:r>
              <w:rPr>
                <w:color w:val="1C3A36"/>
                <w:sz w:val="15"/>
              </w:rPr>
              <w:t>sug_ebitda_fy25</w:t>
            </w:r>
          </w:p>
        </w:tc>
        <w:tc>
          <w:tcPr>
            <w:tcW w:type="dxa" w:w="1656"/>
          </w:tcPr>
          <w:p>
            <w:pPr>
              <w:spacing w:after="20"/>
            </w:pPr>
            <w:r>
              <w:rPr>
                <w:color w:val="1C3A36"/>
                <w:sz w:val="15"/>
              </w:rPr>
              <w:t>335.0</w:t>
            </w:r>
          </w:p>
        </w:tc>
        <w:tc>
          <w:tcPr>
            <w:tcW w:type="dxa" w:w="5400"/>
          </w:tcPr>
          <w:p>
            <w:pPr>
              <w:spacing w:after="20"/>
            </w:pPr>
            <w:r>
              <w:rPr>
                <w:color w:val="1C3A36"/>
                <w:sz w:val="15"/>
              </w:rPr>
              <w:t>Company FY2025 investor presentation, savola.com, Mar-2026 (COMPANY_IR): sugar EBITDA FY2025</w:t>
            </w:r>
          </w:p>
        </w:tc>
        <w:tc>
          <w:tcPr>
            <w:tcW w:type="dxa" w:w="1080"/>
          </w:tcPr>
          <w:p>
            <w:pPr>
              <w:spacing w:after="20"/>
            </w:pPr>
            <w:r>
              <w:rPr>
                <w:color w:val="1C3A36"/>
                <w:sz w:val="15"/>
              </w:rPr>
              <w:t>2026-03-09</w:t>
            </w:r>
          </w:p>
        </w:tc>
      </w:tr>
      <w:tr>
        <w:tc>
          <w:tcPr>
            <w:tcW w:type="dxa" w:w="2088"/>
          </w:tcPr>
          <w:p>
            <w:pPr>
              <w:spacing w:after="20"/>
            </w:pPr>
            <w:r>
              <w:rPr>
                <w:color w:val="1C3A36"/>
                <w:sz w:val="15"/>
              </w:rPr>
              <w:t>sug_gp_fy25</w:t>
            </w:r>
          </w:p>
        </w:tc>
        <w:tc>
          <w:tcPr>
            <w:tcW w:type="dxa" w:w="1656"/>
          </w:tcPr>
          <w:p>
            <w:pPr>
              <w:spacing w:after="20"/>
            </w:pPr>
            <w:r>
              <w:rPr>
                <w:color w:val="1C3A36"/>
                <w:sz w:val="15"/>
              </w:rPr>
              <w:t>413.0</w:t>
            </w:r>
          </w:p>
        </w:tc>
        <w:tc>
          <w:tcPr>
            <w:tcW w:type="dxa" w:w="5400"/>
          </w:tcPr>
          <w:p>
            <w:pPr>
              <w:spacing w:after="20"/>
            </w:pPr>
            <w:r>
              <w:rPr>
                <w:color w:val="1C3A36"/>
                <w:sz w:val="15"/>
              </w:rPr>
              <w:t>Company FY2025 investor presentation, savola.com, Mar-2026 (COMPANY_IR): sugar gross profit FY2025 (GP/ton 191)</w:t>
            </w:r>
          </w:p>
        </w:tc>
        <w:tc>
          <w:tcPr>
            <w:tcW w:type="dxa" w:w="1080"/>
          </w:tcPr>
          <w:p>
            <w:pPr>
              <w:spacing w:after="20"/>
            </w:pPr>
            <w:r>
              <w:rPr>
                <w:color w:val="1C3A36"/>
                <w:sz w:val="15"/>
              </w:rPr>
              <w:t>2026-03-09</w:t>
            </w:r>
          </w:p>
        </w:tc>
      </w:tr>
      <w:tr>
        <w:tc>
          <w:tcPr>
            <w:tcW w:type="dxa" w:w="2088"/>
          </w:tcPr>
          <w:p>
            <w:pPr>
              <w:spacing w:after="20"/>
            </w:pPr>
            <w:r>
              <w:rPr>
                <w:color w:val="1C3A36"/>
                <w:sz w:val="15"/>
              </w:rPr>
              <w:t>sug_rev_fy25</w:t>
            </w:r>
          </w:p>
        </w:tc>
        <w:tc>
          <w:tcPr>
            <w:tcW w:type="dxa" w:w="1656"/>
          </w:tcPr>
          <w:p>
            <w:pPr>
              <w:spacing w:after="20"/>
            </w:pPr>
            <w:r>
              <w:rPr>
                <w:color w:val="1C3A36"/>
                <w:sz w:val="15"/>
              </w:rPr>
              <w:t>4,868.0</w:t>
            </w:r>
          </w:p>
        </w:tc>
        <w:tc>
          <w:tcPr>
            <w:tcW w:type="dxa" w:w="5400"/>
          </w:tcPr>
          <w:p>
            <w:pPr>
              <w:spacing w:after="20"/>
            </w:pPr>
            <w:r>
              <w:rPr>
                <w:color w:val="1C3A36"/>
                <w:sz w:val="15"/>
              </w:rPr>
              <w:t>Company FY2025 investor presentation, savola.com, Mar-2026 (COMPANY_IR): sugar revenue FY2025</w:t>
            </w:r>
          </w:p>
        </w:tc>
        <w:tc>
          <w:tcPr>
            <w:tcW w:type="dxa" w:w="1080"/>
          </w:tcPr>
          <w:p>
            <w:pPr>
              <w:spacing w:after="20"/>
            </w:pPr>
            <w:r>
              <w:rPr>
                <w:color w:val="1C3A36"/>
                <w:sz w:val="15"/>
              </w:rPr>
              <w:t>2026-03-09</w:t>
            </w:r>
          </w:p>
        </w:tc>
      </w:tr>
      <w:tr>
        <w:tc>
          <w:tcPr>
            <w:tcW w:type="dxa" w:w="2088"/>
          </w:tcPr>
          <w:p>
            <w:pPr>
              <w:spacing w:after="20"/>
            </w:pPr>
            <w:r>
              <w:rPr>
                <w:color w:val="1C3A36"/>
                <w:sz w:val="15"/>
              </w:rPr>
              <w:t>sug_vol_fy25</w:t>
            </w:r>
          </w:p>
        </w:tc>
        <w:tc>
          <w:tcPr>
            <w:tcW w:type="dxa" w:w="1656"/>
          </w:tcPr>
          <w:p>
            <w:pPr>
              <w:spacing w:after="20"/>
            </w:pPr>
            <w:r>
              <w:rPr>
                <w:color w:val="1C3A36"/>
                <w:sz w:val="15"/>
              </w:rPr>
              <w:t>2,162.0</w:t>
            </w:r>
          </w:p>
        </w:tc>
        <w:tc>
          <w:tcPr>
            <w:tcW w:type="dxa" w:w="5400"/>
          </w:tcPr>
          <w:p>
            <w:pPr>
              <w:spacing w:after="20"/>
            </w:pPr>
            <w:r>
              <w:rPr>
                <w:color w:val="1C3A36"/>
                <w:sz w:val="15"/>
              </w:rPr>
              <w:t>Company FY2025 investor presentation, savola.com, Mar-2026 (COMPANY_IR): sugar volume FY2025 (KSA 1,186 + Egypt 975; FY2024 comparative USCE-adjusted)</w:t>
            </w:r>
          </w:p>
        </w:tc>
        <w:tc>
          <w:tcPr>
            <w:tcW w:type="dxa" w:w="1080"/>
          </w:tcPr>
          <w:p>
            <w:pPr>
              <w:spacing w:after="20"/>
            </w:pPr>
            <w:r>
              <w:rPr>
                <w:color w:val="1C3A36"/>
                <w:sz w:val="15"/>
              </w:rPr>
              <w:t>2026-03-09</w:t>
            </w:r>
          </w:p>
        </w:tc>
      </w:tr>
      <w:tr>
        <w:tc>
          <w:tcPr>
            <w:tcW w:type="dxa" w:w="2088"/>
          </w:tcPr>
          <w:p>
            <w:pPr>
              <w:spacing w:after="20"/>
            </w:pPr>
            <w:r>
              <w:rPr>
                <w:color w:val="1C3A36"/>
                <w:sz w:val="15"/>
              </w:rPr>
              <w:t>tax_fy25</w:t>
            </w:r>
          </w:p>
        </w:tc>
        <w:tc>
          <w:tcPr>
            <w:tcW w:type="dxa" w:w="1656"/>
          </w:tcPr>
          <w:p>
            <w:pPr>
              <w:spacing w:after="20"/>
            </w:pPr>
            <w:r>
              <w:rPr>
                <w:color w:val="1C3A36"/>
                <w:sz w:val="15"/>
              </w:rPr>
              <w:t>131.0</w:t>
            </w:r>
          </w:p>
        </w:tc>
        <w:tc>
          <w:tcPr>
            <w:tcW w:type="dxa" w:w="5400"/>
          </w:tcPr>
          <w:p>
            <w:pPr>
              <w:spacing w:after="20"/>
            </w:pPr>
            <w:r>
              <w:rPr>
                <w:color w:val="1C3A36"/>
                <w:sz w:val="15"/>
              </w:rPr>
              <w:t>Audited consolidated FS FY2025, savola.com/en/investors/financial-statements (Deloitte &amp; Touche, unmodified opinion, authorized 05-Mar-2026), note 29: continuing income-tax expense (foreign subsidiaries)</w:t>
            </w:r>
          </w:p>
        </w:tc>
        <w:tc>
          <w:tcPr>
            <w:tcW w:type="dxa" w:w="1080"/>
          </w:tcPr>
          <w:p>
            <w:pPr>
              <w:spacing w:after="20"/>
            </w:pPr>
            <w:r>
              <w:rPr>
                <w:color w:val="1C3A36"/>
                <w:sz w:val="15"/>
              </w:rPr>
              <w:t>2026-03-05</w:t>
            </w:r>
          </w:p>
        </w:tc>
      </w:tr>
      <w:tr>
        <w:tc>
          <w:tcPr>
            <w:tcW w:type="dxa" w:w="2088"/>
          </w:tcPr>
          <w:p>
            <w:pPr>
              <w:spacing w:after="20"/>
            </w:pPr>
            <w:r>
              <w:rPr>
                <w:color w:val="1C3A36"/>
                <w:sz w:val="15"/>
              </w:rPr>
              <w:t>tiryaki_recv</w:t>
            </w:r>
          </w:p>
        </w:tc>
        <w:tc>
          <w:tcPr>
            <w:tcW w:type="dxa" w:w="1656"/>
          </w:tcPr>
          <w:p>
            <w:pPr>
              <w:spacing w:after="20"/>
            </w:pPr>
            <w:r>
              <w:rPr>
                <w:color w:val="1C3A36"/>
                <w:sz w:val="15"/>
              </w:rPr>
              <w:t>274.6</w:t>
            </w:r>
          </w:p>
        </w:tc>
        <w:tc>
          <w:tcPr>
            <w:tcW w:type="dxa" w:w="5400"/>
          </w:tcPr>
          <w:p>
            <w:pPr>
              <w:spacing w:after="20"/>
            </w:pPr>
            <w:r>
              <w:rPr>
                <w:color w:val="1C3A36"/>
                <w:sz w:val="15"/>
              </w:rPr>
              <w:t>Audited consolidated FS FY2025, savola.com/en/investors/financial-statements (Deloitte &amp; Touche, unmodified opinion, authorized 05-Mar-2026), notes 14/22: 'Sales proceed receivables (Note 22) 274,619' ON the 31-Dec-2025 balance sheet inside prepayments 1,346.504 — the Kugu (Tiryaki) disposal completed at the agreed equity valuation as of the reporting date; settled in Tiryaki shares in H1-2026 (Q2-2026 interims: investments +283.7). Carried as a BRIDGE asset and carved out of operating working capital (second edition; the first edition excluded it on a wrong 'postdates the valuation date' rationale)</w:t>
            </w:r>
          </w:p>
        </w:tc>
        <w:tc>
          <w:tcPr>
            <w:tcW w:type="dxa" w:w="1080"/>
          </w:tcPr>
          <w:p>
            <w:pPr>
              <w:spacing w:after="20"/>
            </w:pPr>
            <w:r>
              <w:rPr>
                <w:color w:val="1C3A36"/>
                <w:sz w:val="15"/>
              </w:rPr>
              <w:t>2026-03-05</w:t>
            </w:r>
          </w:p>
        </w:tc>
      </w:tr>
      <w:tr>
        <w:tc>
          <w:tcPr>
            <w:tcW w:type="dxa" w:w="2088"/>
          </w:tcPr>
          <w:p>
            <w:pPr>
              <w:spacing w:after="20"/>
            </w:pPr>
            <w:r>
              <w:rPr>
                <w:color w:val="1C3A36"/>
                <w:sz w:val="15"/>
              </w:rPr>
              <w:t>tp_fy24</w:t>
            </w:r>
          </w:p>
        </w:tc>
        <w:tc>
          <w:tcPr>
            <w:tcW w:type="dxa" w:w="1656"/>
          </w:tcPr>
          <w:p>
            <w:pPr>
              <w:spacing w:after="20"/>
            </w:pPr>
            <w:r>
              <w:rPr>
                <w:color w:val="1C3A36"/>
                <w:sz w:val="15"/>
              </w:rPr>
              <w:t>3,679.3</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tp_fy25</w:t>
            </w:r>
          </w:p>
        </w:tc>
        <w:tc>
          <w:tcPr>
            <w:tcW w:type="dxa" w:w="1656"/>
          </w:tcPr>
          <w:p>
            <w:pPr>
              <w:spacing w:after="20"/>
            </w:pPr>
            <w:r>
              <w:rPr>
                <w:color w:val="1C3A36"/>
                <w:sz w:val="15"/>
              </w:rPr>
              <w:t>3,915.8</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tr_fy24</w:t>
            </w:r>
          </w:p>
        </w:tc>
        <w:tc>
          <w:tcPr>
            <w:tcW w:type="dxa" w:w="1656"/>
          </w:tcPr>
          <w:p>
            <w:pPr>
              <w:spacing w:after="20"/>
            </w:pPr>
            <w:r>
              <w:rPr>
                <w:color w:val="1C3A36"/>
                <w:sz w:val="15"/>
              </w:rPr>
              <w:t>1,957.0</w:t>
            </w:r>
          </w:p>
        </w:tc>
        <w:tc>
          <w:tcPr>
            <w:tcW w:type="dxa" w:w="5400"/>
          </w:tcPr>
          <w:p>
            <w:pPr>
              <w:spacing w:after="20"/>
            </w:pPr>
            <w:r>
              <w:rPr>
                <w:color w:val="1C3A36"/>
                <w:sz w:val="15"/>
              </w:rPr>
              <w:t>Audited consolidated FS FY2025, savola.com/en/investors/financial-statements (Deloitte &amp; Touche, unmodified opinion, authorized 05-Mar-2026), comparative</w:t>
            </w:r>
          </w:p>
        </w:tc>
        <w:tc>
          <w:tcPr>
            <w:tcW w:type="dxa" w:w="1080"/>
          </w:tcPr>
          <w:p>
            <w:pPr>
              <w:spacing w:after="20"/>
            </w:pPr>
            <w:r>
              <w:rPr>
                <w:color w:val="1C3A36"/>
                <w:sz w:val="15"/>
              </w:rPr>
              <w:t>2026-03-05</w:t>
            </w:r>
          </w:p>
        </w:tc>
      </w:tr>
      <w:tr>
        <w:tc>
          <w:tcPr>
            <w:tcW w:type="dxa" w:w="2088"/>
          </w:tcPr>
          <w:p>
            <w:pPr>
              <w:spacing w:after="20"/>
            </w:pPr>
            <w:r>
              <w:rPr>
                <w:color w:val="1C3A36"/>
                <w:sz w:val="15"/>
              </w:rPr>
              <w:t>tr_fy25</w:t>
            </w:r>
          </w:p>
        </w:tc>
        <w:tc>
          <w:tcPr>
            <w:tcW w:type="dxa" w:w="1656"/>
          </w:tcPr>
          <w:p>
            <w:pPr>
              <w:spacing w:after="20"/>
            </w:pPr>
            <w:r>
              <w:rPr>
                <w:color w:val="1C3A36"/>
                <w:sz w:val="15"/>
              </w:rPr>
              <w:t>1,856.7</w:t>
            </w:r>
          </w:p>
        </w:tc>
        <w:tc>
          <w:tcPr>
            <w:tcW w:type="dxa" w:w="5400"/>
          </w:tcPr>
          <w:p>
            <w:pPr>
              <w:spacing w:after="20"/>
            </w:pPr>
            <w:r>
              <w:rPr>
                <w:color w:val="1C3A36"/>
                <w:sz w:val="15"/>
              </w:rPr>
              <w:t>Audited consolidated FS FY2025, savola.com/en/investors/financial-statements (Deloitte &amp; Touche, unmodified opinion, authorized 05-Mar-2026)</w:t>
            </w:r>
          </w:p>
        </w:tc>
        <w:tc>
          <w:tcPr>
            <w:tcW w:type="dxa" w:w="1080"/>
          </w:tcPr>
          <w:p>
            <w:pPr>
              <w:spacing w:after="20"/>
            </w:pPr>
            <w:r>
              <w:rPr>
                <w:color w:val="1C3A36"/>
                <w:sz w:val="15"/>
              </w:rPr>
              <w:t>2026-03-05</w:t>
            </w:r>
          </w:p>
        </w:tc>
      </w:tr>
      <w:tr>
        <w:tc>
          <w:tcPr>
            <w:tcW w:type="dxa" w:w="2088"/>
          </w:tcPr>
          <w:p>
            <w:pPr>
              <w:spacing w:after="20"/>
            </w:pPr>
            <w:r>
              <w:rPr>
                <w:color w:val="1C3A36"/>
                <w:sz w:val="15"/>
              </w:rPr>
              <w:t>zakat_rev_fy25</w:t>
            </w:r>
          </w:p>
        </w:tc>
        <w:tc>
          <w:tcPr>
            <w:tcW w:type="dxa" w:w="1656"/>
          </w:tcPr>
          <w:p>
            <w:pPr>
              <w:spacing w:after="20"/>
            </w:pPr>
            <w:r>
              <w:rPr>
                <w:color w:val="1C3A36"/>
                <w:sz w:val="15"/>
              </w:rPr>
              <w:t>-217.4</w:t>
            </w:r>
          </w:p>
        </w:tc>
        <w:tc>
          <w:tcPr>
            <w:tcW w:type="dxa" w:w="5400"/>
          </w:tcPr>
          <w:p>
            <w:pPr>
              <w:spacing w:after="20"/>
            </w:pPr>
            <w:r>
              <w:rPr>
                <w:color w:val="1C3A36"/>
                <w:sz w:val="15"/>
              </w:rPr>
              <w:t>Audited consolidated FS FY2025, savola.com/en/investors/financial-statements (Deloitte &amp; Touche, unmodified opinion, authorized 05-Mar-2026), note 29: net zakat REVERSAL — ZATCA final assessment of 2024 released 247.3 of prior-year accruals</w:t>
            </w:r>
          </w:p>
        </w:tc>
        <w:tc>
          <w:tcPr>
            <w:tcW w:type="dxa" w:w="1080"/>
          </w:tcPr>
          <w:p>
            <w:pPr>
              <w:spacing w:after="20"/>
            </w:pPr>
            <w:r>
              <w:rPr>
                <w:color w:val="1C3A36"/>
                <w:sz w:val="15"/>
              </w:rPr>
              <w:t>2026-03-05</w:t>
            </w:r>
          </w:p>
        </w:tc>
      </w:tr>
    </w:tbl>
    <w:p>
      <w:pPr>
        <w:spacing w:after="40"/>
      </w:pPr>
    </w:p>
    <w:p>
      <w:pPr>
        <w:spacing w:after="60" w:before="160"/>
      </w:pPr>
      <w:r>
        <w:rPr>
          <w:b/>
          <w:i w:val="0"/>
          <w:color w:val="1C3A36"/>
          <w:sz w:val="22"/>
        </w:rPr>
        <w:t>Layer: Company/derived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accrued_ratio</w:t>
            </w:r>
          </w:p>
        </w:tc>
        <w:tc>
          <w:tcPr>
            <w:tcW w:type="dxa" w:w="1656"/>
          </w:tcPr>
          <w:p>
            <w:pPr>
              <w:spacing w:after="20"/>
            </w:pPr>
            <w:r>
              <w:rPr>
                <w:color w:val="1C3A36"/>
                <w:sz w:val="15"/>
              </w:rPr>
              <w:t>0.1085</w:t>
            </w:r>
          </w:p>
        </w:tc>
        <w:tc>
          <w:tcPr>
            <w:tcW w:type="dxa" w:w="5400"/>
          </w:tcPr>
          <w:p>
            <w:pPr>
              <w:spacing w:after="20"/>
            </w:pPr>
            <w:r>
              <w:rPr>
                <w:color w:val="1C3A36"/>
                <w:sz w:val="15"/>
              </w:rPr>
              <w:t>accrued &amp; other liabilities / revenue FY2025</w:t>
            </w:r>
          </w:p>
        </w:tc>
        <w:tc>
          <w:tcPr>
            <w:tcW w:type="dxa" w:w="1080"/>
          </w:tcPr>
          <w:p>
            <w:pPr>
              <w:spacing w:after="20"/>
            </w:pPr>
            <w:r>
              <w:rPr>
                <w:color w:val="1C3A36"/>
                <w:sz w:val="15"/>
              </w:rPr>
              <w:t>2026-03-05</w:t>
            </w:r>
          </w:p>
        </w:tc>
      </w:tr>
      <w:tr>
        <w:tc>
          <w:tcPr>
            <w:tcW w:type="dxa" w:w="2088"/>
          </w:tcPr>
          <w:p>
            <w:pPr>
              <w:spacing w:after="20"/>
            </w:pPr>
            <w:r>
              <w:rPr>
                <w:color w:val="1C3A36"/>
                <w:sz w:val="15"/>
              </w:rPr>
              <w:t>contract_ratio</w:t>
            </w:r>
          </w:p>
        </w:tc>
        <w:tc>
          <w:tcPr>
            <w:tcW w:type="dxa" w:w="1656"/>
          </w:tcPr>
          <w:p>
            <w:pPr>
              <w:spacing w:after="20"/>
            </w:pPr>
            <w:r>
              <w:rPr>
                <w:color w:val="1C3A36"/>
                <w:sz w:val="15"/>
              </w:rPr>
              <w:t>0.0058</w:t>
            </w:r>
          </w:p>
        </w:tc>
        <w:tc>
          <w:tcPr>
            <w:tcW w:type="dxa" w:w="5400"/>
          </w:tcPr>
          <w:p>
            <w:pPr>
              <w:spacing w:after="20"/>
            </w:pPr>
            <w:r>
              <w:rPr>
                <w:color w:val="1C3A36"/>
                <w:sz w:val="15"/>
              </w:rPr>
              <w:t>contract liabilities / revenue FY2025</w:t>
            </w:r>
          </w:p>
        </w:tc>
        <w:tc>
          <w:tcPr>
            <w:tcW w:type="dxa" w:w="1080"/>
          </w:tcPr>
          <w:p>
            <w:pPr>
              <w:spacing w:after="20"/>
            </w:pPr>
            <w:r>
              <w:rPr>
                <w:color w:val="1C3A36"/>
                <w:sz w:val="15"/>
              </w:rPr>
              <w:t>2026-03-05</w:t>
            </w:r>
          </w:p>
        </w:tc>
      </w:tr>
      <w:tr>
        <w:tc>
          <w:tcPr>
            <w:tcW w:type="dxa" w:w="2088"/>
          </w:tcPr>
          <w:p>
            <w:pPr>
              <w:spacing w:after="20"/>
            </w:pPr>
            <w:r>
              <w:rPr>
                <w:color w:val="1C3A36"/>
                <w:sz w:val="15"/>
              </w:rPr>
              <w:t>dep_rate_own</w:t>
            </w:r>
          </w:p>
        </w:tc>
        <w:tc>
          <w:tcPr>
            <w:tcW w:type="dxa" w:w="1656"/>
          </w:tcPr>
          <w:p>
            <w:pPr>
              <w:spacing w:after="20"/>
            </w:pPr>
            <w:r>
              <w:rPr>
                <w:color w:val="1C3A36"/>
                <w:sz w:val="15"/>
              </w:rPr>
              <w:t>0.112</w:t>
            </w:r>
          </w:p>
        </w:tc>
        <w:tc>
          <w:tcPr>
            <w:tcW w:type="dxa" w:w="5400"/>
          </w:tcPr>
          <w:p>
            <w:pPr>
              <w:spacing w:after="20"/>
            </w:pPr>
            <w:r>
              <w:rPr>
                <w:color w:val="1C3A36"/>
                <w:sz w:val="15"/>
              </w:rPr>
              <w:t>owned-PP&amp;E depreciation rate on opening NBV, measured FY2025: 608.9 / 5,438.4 opening</w:t>
            </w:r>
          </w:p>
        </w:tc>
        <w:tc>
          <w:tcPr>
            <w:tcW w:type="dxa" w:w="1080"/>
          </w:tcPr>
          <w:p>
            <w:pPr>
              <w:spacing w:after="20"/>
            </w:pPr>
            <w:r>
              <w:rPr>
                <w:color w:val="1C3A36"/>
                <w:sz w:val="15"/>
              </w:rPr>
              <w:t>2026-03-05</w:t>
            </w:r>
          </w:p>
        </w:tc>
      </w:tr>
      <w:tr>
        <w:tc>
          <w:tcPr>
            <w:tcW w:type="dxa" w:w="2088"/>
          </w:tcPr>
          <w:p>
            <w:pPr>
              <w:spacing w:after="20"/>
            </w:pPr>
            <w:r>
              <w:rPr>
                <w:color w:val="1C3A36"/>
                <w:sz w:val="15"/>
              </w:rPr>
              <w:t>dio_fy25</w:t>
            </w:r>
          </w:p>
        </w:tc>
        <w:tc>
          <w:tcPr>
            <w:tcW w:type="dxa" w:w="1656"/>
          </w:tcPr>
          <w:p>
            <w:pPr>
              <w:spacing w:after="20"/>
            </w:pPr>
            <w:r>
              <w:rPr>
                <w:color w:val="1C3A36"/>
                <w:sz w:val="15"/>
              </w:rPr>
              <w:t>81.4</w:t>
            </w:r>
          </w:p>
        </w:tc>
        <w:tc>
          <w:tcPr>
            <w:tcW w:type="dxa" w:w="5400"/>
          </w:tcPr>
          <w:p>
            <w:pPr>
              <w:spacing w:after="20"/>
            </w:pPr>
            <w:r>
              <w:rPr>
                <w:color w:val="1C3A36"/>
                <w:sz w:val="15"/>
              </w:rPr>
              <w:t>days inventory = 4,680.6 / 20,992.2 x 365 (FY2025 audited)</w:t>
            </w:r>
          </w:p>
        </w:tc>
        <w:tc>
          <w:tcPr>
            <w:tcW w:type="dxa" w:w="1080"/>
          </w:tcPr>
          <w:p>
            <w:pPr>
              <w:spacing w:after="20"/>
            </w:pPr>
            <w:r>
              <w:rPr>
                <w:color w:val="1C3A36"/>
                <w:sz w:val="15"/>
              </w:rPr>
              <w:t>2026-03-05</w:t>
            </w:r>
          </w:p>
        </w:tc>
      </w:tr>
      <w:tr>
        <w:tc>
          <w:tcPr>
            <w:tcW w:type="dxa" w:w="2088"/>
          </w:tcPr>
          <w:p>
            <w:pPr>
              <w:spacing w:after="20"/>
            </w:pPr>
            <w:r>
              <w:rPr>
                <w:color w:val="1C3A36"/>
                <w:sz w:val="15"/>
              </w:rPr>
              <w:t>dpo_fy25</w:t>
            </w:r>
          </w:p>
        </w:tc>
        <w:tc>
          <w:tcPr>
            <w:tcW w:type="dxa" w:w="1656"/>
          </w:tcPr>
          <w:p>
            <w:pPr>
              <w:spacing w:after="20"/>
            </w:pPr>
            <w:r>
              <w:rPr>
                <w:color w:val="1C3A36"/>
                <w:sz w:val="15"/>
              </w:rPr>
              <w:t>68.1</w:t>
            </w:r>
          </w:p>
        </w:tc>
        <w:tc>
          <w:tcPr>
            <w:tcW w:type="dxa" w:w="5400"/>
          </w:tcPr>
          <w:p>
            <w:pPr>
              <w:spacing w:after="20"/>
            </w:pPr>
            <w:r>
              <w:rPr>
                <w:color w:val="1C3A36"/>
                <w:sz w:val="15"/>
              </w:rPr>
              <w:t>days payable = 3,915.8 / 20,992.2 x 365</w:t>
            </w:r>
          </w:p>
        </w:tc>
        <w:tc>
          <w:tcPr>
            <w:tcW w:type="dxa" w:w="1080"/>
          </w:tcPr>
          <w:p>
            <w:pPr>
              <w:spacing w:after="20"/>
            </w:pPr>
            <w:r>
              <w:rPr>
                <w:color w:val="1C3A36"/>
                <w:sz w:val="15"/>
              </w:rPr>
              <w:t>2026-03-05</w:t>
            </w:r>
          </w:p>
        </w:tc>
      </w:tr>
      <w:tr>
        <w:tc>
          <w:tcPr>
            <w:tcW w:type="dxa" w:w="2088"/>
          </w:tcPr>
          <w:p>
            <w:pPr>
              <w:spacing w:after="20"/>
            </w:pPr>
            <w:r>
              <w:rPr>
                <w:color w:val="1C3A36"/>
                <w:sz w:val="15"/>
              </w:rPr>
              <w:t>dso_fy25</w:t>
            </w:r>
          </w:p>
        </w:tc>
        <w:tc>
          <w:tcPr>
            <w:tcW w:type="dxa" w:w="1656"/>
          </w:tcPr>
          <w:p>
            <w:pPr>
              <w:spacing w:after="20"/>
            </w:pPr>
            <w:r>
              <w:rPr>
                <w:color w:val="1C3A36"/>
                <w:sz w:val="15"/>
              </w:rPr>
              <w:t>26</w:t>
            </w:r>
          </w:p>
        </w:tc>
        <w:tc>
          <w:tcPr>
            <w:tcW w:type="dxa" w:w="5400"/>
          </w:tcPr>
          <w:p>
            <w:pPr>
              <w:spacing w:after="20"/>
            </w:pPr>
            <w:r>
              <w:rPr>
                <w:color w:val="1C3A36"/>
                <w:sz w:val="15"/>
              </w:rPr>
              <w:t>days sales = 1,856.7 / 26,081.1 x 365</w:t>
            </w:r>
          </w:p>
        </w:tc>
        <w:tc>
          <w:tcPr>
            <w:tcW w:type="dxa" w:w="1080"/>
          </w:tcPr>
          <w:p>
            <w:pPr>
              <w:spacing w:after="20"/>
            </w:pPr>
            <w:r>
              <w:rPr>
                <w:color w:val="1C3A36"/>
                <w:sz w:val="15"/>
              </w:rPr>
              <w:t>2026-03-05</w:t>
            </w:r>
          </w:p>
        </w:tc>
      </w:tr>
      <w:tr>
        <w:tc>
          <w:tcPr>
            <w:tcW w:type="dxa" w:w="2088"/>
          </w:tcPr>
          <w:p>
            <w:pPr>
              <w:spacing w:after="20"/>
            </w:pPr>
            <w:r>
              <w:rPr>
                <w:color w:val="1C3A36"/>
                <w:sz w:val="15"/>
              </w:rPr>
              <w:t>elim_ratio</w:t>
            </w:r>
          </w:p>
        </w:tc>
        <w:tc>
          <w:tcPr>
            <w:tcW w:type="dxa" w:w="1656"/>
          </w:tcPr>
          <w:p>
            <w:pPr>
              <w:spacing w:after="20"/>
            </w:pPr>
            <w:r>
              <w:rPr>
                <w:color w:val="1C3A36"/>
                <w:sz w:val="15"/>
              </w:rPr>
              <w:t>-0.0334</w:t>
            </w:r>
          </w:p>
        </w:tc>
        <w:tc>
          <w:tcPr>
            <w:tcW w:type="dxa" w:w="5400"/>
          </w:tcPr>
          <w:p>
            <w:pPr>
              <w:spacing w:after="20"/>
            </w:pPr>
            <w:r>
              <w:rPr>
                <w:color w:val="1C3A36"/>
                <w:sz w:val="15"/>
              </w:rPr>
              <w:t>eliminations / FP segment revenue measured FY2025 (-443.2 / 13,279.9); held proportional</w:t>
            </w:r>
          </w:p>
        </w:tc>
        <w:tc>
          <w:tcPr>
            <w:tcW w:type="dxa" w:w="1080"/>
          </w:tcPr>
          <w:p>
            <w:pPr>
              <w:spacing w:after="20"/>
            </w:pPr>
            <w:r>
              <w:rPr>
                <w:color w:val="1C3A36"/>
                <w:sz w:val="15"/>
              </w:rPr>
              <w:t>2026-03-05</w:t>
            </w:r>
          </w:p>
        </w:tc>
      </w:tr>
      <w:tr>
        <w:tc>
          <w:tcPr>
            <w:tcW w:type="dxa" w:w="2088"/>
          </w:tcPr>
          <w:p>
            <w:pPr>
              <w:spacing w:after="20"/>
            </w:pPr>
            <w:r>
              <w:rPr>
                <w:color w:val="1C3A36"/>
                <w:sz w:val="15"/>
              </w:rPr>
              <w:t>fp_opex_ratio</w:t>
            </w:r>
          </w:p>
        </w:tc>
        <w:tc>
          <w:tcPr>
            <w:tcW w:type="dxa" w:w="1656"/>
          </w:tcPr>
          <w:p>
            <w:pPr>
              <w:spacing w:after="20"/>
            </w:pPr>
            <w:r>
              <w:rPr>
                <w:color w:val="1C3A36"/>
                <w:sz w:val="15"/>
              </w:rPr>
              <w:t>oil: 0.0556; sugar: 0.016; pasta: 0.079; nuts: 0.235</w:t>
            </w:r>
          </w:p>
        </w:tc>
        <w:tc>
          <w:tcPr>
            <w:tcW w:type="dxa" w:w="5400"/>
          </w:tcPr>
          <w:p>
            <w:pPr>
              <w:spacing w:after="20"/>
            </w:pPr>
            <w:r>
              <w:rPr>
                <w:color w:val="1C3A36"/>
                <w:sz w:val="15"/>
              </w:rPr>
              <w:t>per-category (GP - EBITDA)/revenue measured FY2025: oil (958-563)/7,098; sugar (413-335)/4,868; pasta (21.5%-13.5%); nuts residual (201-20)/769 — held flat: opex scales with revenue, margins stay OUTPUTS</w:t>
            </w:r>
          </w:p>
        </w:tc>
        <w:tc>
          <w:tcPr>
            <w:tcW w:type="dxa" w:w="1080"/>
          </w:tcPr>
          <w:p>
            <w:pPr>
              <w:spacing w:after="20"/>
            </w:pPr>
            <w:r>
              <w:rPr>
                <w:color w:val="1C3A36"/>
                <w:sz w:val="15"/>
              </w:rPr>
              <w:t>2026-03-09</w:t>
            </w:r>
          </w:p>
        </w:tc>
      </w:tr>
      <w:tr>
        <w:tc>
          <w:tcPr>
            <w:tcW w:type="dxa" w:w="2088"/>
          </w:tcPr>
          <w:p>
            <w:pPr>
              <w:spacing w:after="20"/>
            </w:pPr>
            <w:r>
              <w:rPr>
                <w:color w:val="1C3A36"/>
                <w:sz w:val="15"/>
              </w:rPr>
              <w:t>int_amort</w:t>
            </w:r>
          </w:p>
        </w:tc>
        <w:tc>
          <w:tcPr>
            <w:tcW w:type="dxa" w:w="1656"/>
          </w:tcPr>
          <w:p>
            <w:pPr>
              <w:spacing w:after="20"/>
            </w:pPr>
            <w:r>
              <w:rPr>
                <w:color w:val="1C3A36"/>
                <w:sz w:val="15"/>
              </w:rPr>
              <w:t>50</w:t>
            </w:r>
          </w:p>
        </w:tc>
        <w:tc>
          <w:tcPr>
            <w:tcW w:type="dxa" w:w="5400"/>
          </w:tcPr>
          <w:p>
            <w:pPr>
              <w:spacing w:after="20"/>
            </w:pPr>
            <w:r>
              <w:rPr>
                <w:color w:val="1C3A36"/>
                <w:sz w:val="15"/>
              </w:rPr>
              <w:t>intangibles amortisation ~ FY2025 actual 48.9, held</w:t>
            </w:r>
          </w:p>
        </w:tc>
        <w:tc>
          <w:tcPr>
            <w:tcW w:type="dxa" w:w="1080"/>
          </w:tcPr>
          <w:p>
            <w:pPr>
              <w:spacing w:after="20"/>
            </w:pPr>
            <w:r>
              <w:rPr>
                <w:color w:val="1C3A36"/>
                <w:sz w:val="15"/>
              </w:rPr>
              <w:t>2026-03-05</w:t>
            </w:r>
          </w:p>
        </w:tc>
      </w:tr>
      <w:tr>
        <w:tc>
          <w:tcPr>
            <w:tcW w:type="dxa" w:w="2088"/>
          </w:tcPr>
          <w:p>
            <w:pPr>
              <w:spacing w:after="20"/>
            </w:pPr>
            <w:r>
              <w:rPr>
                <w:color w:val="1C3A36"/>
                <w:sz w:val="15"/>
              </w:rPr>
              <w:t>lease_rate</w:t>
            </w:r>
          </w:p>
        </w:tc>
        <w:tc>
          <w:tcPr>
            <w:tcW w:type="dxa" w:w="1656"/>
          </w:tcPr>
          <w:p>
            <w:pPr>
              <w:spacing w:after="20"/>
            </w:pPr>
            <w:r>
              <w:rPr>
                <w:color w:val="1C3A36"/>
                <w:sz w:val="15"/>
              </w:rPr>
              <w:t>0.0586</w:t>
            </w:r>
          </w:p>
        </w:tc>
        <w:tc>
          <w:tcPr>
            <w:tcW w:type="dxa" w:w="5400"/>
          </w:tcPr>
          <w:p>
            <w:pPr>
              <w:spacing w:after="20"/>
            </w:pPr>
            <w:r>
              <w:rPr>
                <w:color w:val="1C3A36"/>
                <w:sz w:val="15"/>
              </w:rPr>
              <w:t>effective lease interest rate = FY2025 interest 220.9 / average lease liability (3,593.1 + 3,952.2)/2</w:t>
            </w:r>
          </w:p>
        </w:tc>
        <w:tc>
          <w:tcPr>
            <w:tcW w:type="dxa" w:w="1080"/>
          </w:tcPr>
          <w:p>
            <w:pPr>
              <w:spacing w:after="20"/>
            </w:pPr>
            <w:r>
              <w:rPr>
                <w:color w:val="1C3A36"/>
                <w:sz w:val="15"/>
              </w:rPr>
              <w:t>2026-03-05</w:t>
            </w:r>
          </w:p>
        </w:tc>
      </w:tr>
      <w:tr>
        <w:tc>
          <w:tcPr>
            <w:tcW w:type="dxa" w:w="2088"/>
          </w:tcPr>
          <w:p>
            <w:pPr>
              <w:spacing w:after="20"/>
            </w:pPr>
            <w:r>
              <w:rPr>
                <w:color w:val="1C3A36"/>
                <w:sz w:val="15"/>
              </w:rPr>
              <w:t>nci_share</w:t>
            </w:r>
          </w:p>
        </w:tc>
        <w:tc>
          <w:tcPr>
            <w:tcW w:type="dxa" w:w="1656"/>
          </w:tcPr>
          <w:p>
            <w:pPr>
              <w:spacing w:after="20"/>
            </w:pPr>
            <w:r>
              <w:rPr>
                <w:color w:val="1C3A36"/>
                <w:sz w:val="15"/>
              </w:rPr>
              <w:t>0.07</w:t>
            </w:r>
          </w:p>
        </w:tc>
        <w:tc>
          <w:tcPr>
            <w:tcW w:type="dxa" w:w="5400"/>
          </w:tcPr>
          <w:p>
            <w:pPr>
              <w:spacing w:after="20"/>
            </w:pPr>
            <w:r>
              <w:rPr>
                <w:color w:val="1C3A36"/>
                <w:sz w:val="15"/>
              </w:rPr>
              <w:t>non-controlling interests' share of group profit, measured FY2025: 66.0 / 940.5 (audited P&amp;L); held flat — Herfy's 51% NCI absorbs its losses, SFC/GFC minorities take their profit shares</w:t>
            </w:r>
          </w:p>
        </w:tc>
        <w:tc>
          <w:tcPr>
            <w:tcW w:type="dxa" w:w="1080"/>
          </w:tcPr>
          <w:p>
            <w:pPr>
              <w:spacing w:after="20"/>
            </w:pPr>
            <w:r>
              <w:rPr>
                <w:color w:val="1C3A36"/>
                <w:sz w:val="15"/>
              </w:rPr>
              <w:t>2026-03-05</w:t>
            </w:r>
          </w:p>
        </w:tc>
      </w:tr>
      <w:tr>
        <w:tc>
          <w:tcPr>
            <w:tcW w:type="dxa" w:w="2088"/>
          </w:tcPr>
          <w:p>
            <w:pPr>
              <w:spacing w:after="20"/>
            </w:pPr>
            <w:r>
              <w:rPr>
                <w:color w:val="1C3A36"/>
                <w:sz w:val="15"/>
              </w:rPr>
              <w:t>other_net_liab</w:t>
            </w:r>
          </w:p>
        </w:tc>
        <w:tc>
          <w:tcPr>
            <w:tcW w:type="dxa" w:w="1656"/>
          </w:tcPr>
          <w:p>
            <w:pPr>
              <w:spacing w:after="20"/>
            </w:pPr>
            <w:r>
              <w:rPr>
                <w:color w:val="1C3A36"/>
                <w:sz w:val="15"/>
              </w:rPr>
              <w:t>332.7</w:t>
            </w:r>
          </w:p>
        </w:tc>
        <w:tc>
          <w:tcPr>
            <w:tcW w:type="dxa" w:w="5400"/>
          </w:tcPr>
          <w:p>
            <w:pPr>
              <w:spacing w:after="20"/>
            </w:pPr>
            <w:r>
              <w:rPr>
                <w:color w:val="1C3A36"/>
                <w:sz w:val="15"/>
              </w:rPr>
              <w:t>Audited consolidated FS FY2025, savola.com/en/investors/financial-statements (Deloitte &amp; Touche, unmodified opinion, authorized 05-Mar-2026): accrued income tax 134.125 + accrued zakat 112.265 + deferred tax liability 110.893 less deferred tax asset 2.628 less other non-current assets 21.939 — the audited lines outside the working-capital day build, held flat and deducted in the bridge</w:t>
            </w:r>
          </w:p>
        </w:tc>
        <w:tc>
          <w:tcPr>
            <w:tcW w:type="dxa" w:w="1080"/>
          </w:tcPr>
          <w:p>
            <w:pPr>
              <w:spacing w:after="20"/>
            </w:pPr>
            <w:r>
              <w:rPr>
                <w:color w:val="1C3A36"/>
                <w:sz w:val="15"/>
              </w:rPr>
              <w:t>2026-03-05</w:t>
            </w:r>
          </w:p>
        </w:tc>
      </w:tr>
      <w:tr>
        <w:tc>
          <w:tcPr>
            <w:tcW w:type="dxa" w:w="2088"/>
          </w:tcPr>
          <w:p>
            <w:pPr>
              <w:spacing w:after="20"/>
            </w:pPr>
            <w:r>
              <w:rPr>
                <w:color w:val="1C3A36"/>
                <w:sz w:val="15"/>
              </w:rPr>
              <w:t>panda_opex_ratio</w:t>
            </w:r>
          </w:p>
        </w:tc>
        <w:tc>
          <w:tcPr>
            <w:tcW w:type="dxa" w:w="1656"/>
          </w:tcPr>
          <w:p>
            <w:pPr>
              <w:spacing w:after="20"/>
            </w:pPr>
            <w:r>
              <w:rPr>
                <w:color w:val="1C3A36"/>
                <w:sz w:val="15"/>
              </w:rPr>
              <w:t>0.143</w:t>
            </w:r>
          </w:p>
        </w:tc>
        <w:tc>
          <w:tcPr>
            <w:tcW w:type="dxa" w:w="5400"/>
          </w:tcPr>
          <w:p>
            <w:pPr>
              <w:spacing w:after="20"/>
            </w:pPr>
            <w:r>
              <w:rPr>
                <w:color w:val="1C3A36"/>
                <w:sz w:val="15"/>
              </w:rPr>
              <w:t>store opex / revenue = measured H1-2026 GM 23.2% less EBITDA margin 8.9%; held flat in Framing A until FY2028 then -10bp/yr of scale; flat forever in Framing B</w:t>
            </w:r>
          </w:p>
        </w:tc>
        <w:tc>
          <w:tcPr>
            <w:tcW w:type="dxa" w:w="1080"/>
          </w:tcPr>
          <w:p>
            <w:pPr>
              <w:spacing w:after="20"/>
            </w:pPr>
            <w:r>
              <w:rPr>
                <w:color w:val="1C3A36"/>
                <w:sz w:val="15"/>
              </w:rPr>
              <w:t>2026-08-06</w:t>
            </w:r>
          </w:p>
        </w:tc>
      </w:tr>
      <w:tr>
        <w:tc>
          <w:tcPr>
            <w:tcW w:type="dxa" w:w="2088"/>
          </w:tcPr>
          <w:p>
            <w:pPr>
              <w:spacing w:after="20"/>
            </w:pPr>
            <w:r>
              <w:rPr>
                <w:color w:val="1C3A36"/>
                <w:sz w:val="15"/>
              </w:rPr>
              <w:t>prepay_ratio</w:t>
            </w:r>
          </w:p>
        </w:tc>
        <w:tc>
          <w:tcPr>
            <w:tcW w:type="dxa" w:w="1656"/>
          </w:tcPr>
          <w:p>
            <w:pPr>
              <w:spacing w:after="20"/>
            </w:pPr>
            <w:r>
              <w:rPr>
                <w:color w:val="1C3A36"/>
                <w:sz w:val="15"/>
              </w:rPr>
              <w:t>0.0411</w:t>
            </w:r>
          </w:p>
        </w:tc>
        <w:tc>
          <w:tcPr>
            <w:tcW w:type="dxa" w:w="5400"/>
          </w:tcPr>
          <w:p>
            <w:pPr>
              <w:spacing w:after="20"/>
            </w:pPr>
            <w:r>
              <w:rPr>
                <w:color w:val="1C3A36"/>
                <w:sz w:val="15"/>
              </w:rPr>
              <w:t>prepayments &amp; other receivables / revenue FY2025 EX the 274.6 Tiryaki sale-proceeds receivable ((1,346.504 - 274.619) / 26,081.1) — the receivable is non-operating and is carried in the bridge instead; the first edition's 5.16% perpetuated it in forecast working capital</w:t>
            </w:r>
          </w:p>
        </w:tc>
        <w:tc>
          <w:tcPr>
            <w:tcW w:type="dxa" w:w="1080"/>
          </w:tcPr>
          <w:p>
            <w:pPr>
              <w:spacing w:after="20"/>
            </w:pPr>
            <w:r>
              <w:rPr>
                <w:color w:val="1C3A36"/>
                <w:sz w:val="15"/>
              </w:rPr>
              <w:t>2026-08-19</w:t>
            </w:r>
          </w:p>
        </w:tc>
      </w:tr>
      <w:tr>
        <w:tc>
          <w:tcPr>
            <w:tcW w:type="dxa" w:w="2088"/>
          </w:tcPr>
          <w:p>
            <w:pPr>
              <w:spacing w:after="20"/>
            </w:pPr>
            <w:r>
              <w:rPr>
                <w:color w:val="1C3A36"/>
                <w:sz w:val="15"/>
              </w:rPr>
              <w:t>rou_dna_fy25</w:t>
            </w:r>
          </w:p>
        </w:tc>
        <w:tc>
          <w:tcPr>
            <w:tcW w:type="dxa" w:w="1656"/>
          </w:tcPr>
          <w:p>
            <w:pPr>
              <w:spacing w:after="20"/>
            </w:pPr>
            <w:r>
              <w:rPr>
                <w:color w:val="1C3A36"/>
                <w:sz w:val="15"/>
              </w:rPr>
              <w:t>532.2</w:t>
            </w:r>
          </w:p>
        </w:tc>
        <w:tc>
          <w:tcPr>
            <w:tcW w:type="dxa" w:w="5400"/>
          </w:tcPr>
          <w:p>
            <w:pPr>
              <w:spacing w:after="20"/>
            </w:pPr>
            <w:r>
              <w:rPr>
                <w:color w:val="1C3A36"/>
                <w:sz w:val="15"/>
              </w:rPr>
              <w:t>right-of-use depreciation FY2025 = segment D&amp;A 1,190.0 less owned 608.9 less intangibles 48.9 (all audited components)</w:t>
            </w:r>
          </w:p>
        </w:tc>
        <w:tc>
          <w:tcPr>
            <w:tcW w:type="dxa" w:w="1080"/>
          </w:tcPr>
          <w:p>
            <w:pPr>
              <w:spacing w:after="20"/>
            </w:pPr>
            <w:r>
              <w:rPr>
                <w:color w:val="1C3A36"/>
                <w:sz w:val="15"/>
              </w:rPr>
              <w:t>2026-03-05</w:t>
            </w:r>
          </w:p>
        </w:tc>
      </w:tr>
    </w:tbl>
    <w:p>
      <w:pPr>
        <w:spacing w:after="40"/>
      </w:pPr>
    </w:p>
    <w:p>
      <w:pPr>
        <w:spacing w:after="60" w:before="160"/>
      </w:pPr>
      <w:r>
        <w:rPr>
          <w:b/>
          <w:i w:val="0"/>
          <w:color w:val="1C3A36"/>
          <w:sz w:val="22"/>
        </w:rPr>
        <w:t>Layer: Market</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beta</w:t>
            </w:r>
          </w:p>
        </w:tc>
        <w:tc>
          <w:tcPr>
            <w:tcW w:type="dxa" w:w="1656"/>
          </w:tcPr>
          <w:p>
            <w:pPr>
              <w:spacing w:after="20"/>
            </w:pPr>
            <w:r>
              <w:rPr>
                <w:color w:val="1C3A36"/>
                <w:sz w:val="15"/>
              </w:rPr>
              <w:t>1.087</w:t>
            </w:r>
          </w:p>
        </w:tc>
        <w:tc>
          <w:tcPr>
            <w:tcW w:type="dxa" w:w="5400"/>
          </w:tcPr>
          <w:p>
            <w:pPr>
              <w:spacing w:after="20"/>
            </w:pPr>
            <w:r>
              <w:rPr>
                <w:color w:val="1C3A36"/>
                <w:sz w:val="15"/>
              </w:rPr>
              <w:t>tier-1 own-stock beta: 5y weekly Dimson regression of SAVOLA vs TASI (engine registry copy of the exchange's published index, as-of 18-Aug-2026): beta 1.087, R2 0.159, n 254, SE 0.215, CI90 [0.73, 1.44]; produced by the sanctioned beta_regression.own_stock_beta() and attested by assert_beta_provenance(); Blume cross-check 1.058</w:t>
            </w:r>
          </w:p>
        </w:tc>
        <w:tc>
          <w:tcPr>
            <w:tcW w:type="dxa" w:w="1080"/>
          </w:tcPr>
          <w:p>
            <w:pPr>
              <w:spacing w:after="20"/>
            </w:pPr>
            <w:r>
              <w:rPr>
                <w:color w:val="1C3A36"/>
                <w:sz w:val="15"/>
              </w:rPr>
              <w:t>2026-08-18</w:t>
            </w:r>
          </w:p>
        </w:tc>
      </w:tr>
      <w:tr>
        <w:tc>
          <w:tcPr>
            <w:tcW w:type="dxa" w:w="2088"/>
          </w:tcPr>
          <w:p>
            <w:pPr>
              <w:spacing w:after="20"/>
            </w:pPr>
            <w:r>
              <w:rPr>
                <w:color w:val="1C3A36"/>
                <w:sz w:val="15"/>
              </w:rPr>
              <w:t>herfy_price</w:t>
            </w:r>
          </w:p>
        </w:tc>
        <w:tc>
          <w:tcPr>
            <w:tcW w:type="dxa" w:w="1656"/>
          </w:tcPr>
          <w:p>
            <w:pPr>
              <w:spacing w:after="20"/>
            </w:pPr>
            <w:r>
              <w:rPr>
                <w:color w:val="1C3A36"/>
                <w:sz w:val="15"/>
              </w:rPr>
              <w:t>15.5</w:t>
            </w:r>
          </w:p>
        </w:tc>
        <w:tc>
          <w:tcPr>
            <w:tcW w:type="dxa" w:w="5400"/>
          </w:tcPr>
          <w:p>
            <w:pPr>
              <w:spacing w:after="20"/>
            </w:pPr>
            <w:r>
              <w:rPr>
                <w:color w:val="1C3A36"/>
                <w:sz w:val="15"/>
              </w:rPr>
              <w:t>Herfy Food Services (Tadawul 6002) SETTLED close 18-Aug-2026, confirmed as the prior-session close on Argaam 19-Aug-2026 (last trade 15.39 intraday 19-Aug). A 15.66 figure in one external audit is rejected against this receipt</w:t>
            </w:r>
          </w:p>
        </w:tc>
        <w:tc>
          <w:tcPr>
            <w:tcW w:type="dxa" w:w="1080"/>
          </w:tcPr>
          <w:p>
            <w:pPr>
              <w:spacing w:after="20"/>
            </w:pPr>
            <w:r>
              <w:rPr>
                <w:color w:val="1C3A36"/>
                <w:sz w:val="15"/>
              </w:rPr>
              <w:t>2026-08-19</w:t>
            </w:r>
          </w:p>
        </w:tc>
      </w:tr>
      <w:tr>
        <w:tc>
          <w:tcPr>
            <w:tcW w:type="dxa" w:w="2088"/>
          </w:tcPr>
          <w:p>
            <w:pPr>
              <w:spacing w:after="20"/>
            </w:pPr>
            <w:r>
              <w:rPr>
                <w:color w:val="1C3A36"/>
                <w:sz w:val="15"/>
              </w:rPr>
              <w:t>herfy_shares_mn</w:t>
            </w:r>
          </w:p>
        </w:tc>
        <w:tc>
          <w:tcPr>
            <w:tcW w:type="dxa" w:w="1656"/>
          </w:tcPr>
          <w:p>
            <w:pPr>
              <w:spacing w:after="20"/>
            </w:pPr>
            <w:r>
              <w:rPr>
                <w:color w:val="1C3A36"/>
                <w:sz w:val="15"/>
              </w:rPr>
              <w:t>64.68</w:t>
            </w:r>
          </w:p>
        </w:tc>
        <w:tc>
          <w:tcPr>
            <w:tcW w:type="dxa" w:w="5400"/>
          </w:tcPr>
          <w:p>
            <w:pPr>
              <w:spacing w:after="20"/>
            </w:pPr>
            <w:r>
              <w:rPr>
                <w:color w:val="1C3A36"/>
                <w:sz w:val="15"/>
              </w:rPr>
              <w:t>Herfy shares outstanding, market data 18-Aug-2026</w:t>
            </w:r>
          </w:p>
        </w:tc>
        <w:tc>
          <w:tcPr>
            <w:tcW w:type="dxa" w:w="1080"/>
          </w:tcPr>
          <w:p>
            <w:pPr>
              <w:spacing w:after="20"/>
            </w:pPr>
            <w:r>
              <w:rPr>
                <w:color w:val="1C3A36"/>
                <w:sz w:val="15"/>
              </w:rPr>
              <w:t>2026-08-18</w:t>
            </w:r>
          </w:p>
        </w:tc>
      </w:tr>
      <w:tr>
        <w:tc>
          <w:tcPr>
            <w:tcW w:type="dxa" w:w="2088"/>
          </w:tcPr>
          <w:p>
            <w:pPr>
              <w:spacing w:after="20"/>
            </w:pPr>
            <w:r>
              <w:rPr>
                <w:color w:val="1C3A36"/>
                <w:sz w:val="15"/>
              </w:rPr>
              <w:t>peer_pe</w:t>
            </w:r>
          </w:p>
        </w:tc>
        <w:tc>
          <w:tcPr>
            <w:tcW w:type="dxa" w:w="1656"/>
          </w:tcPr>
          <w:p>
            <w:pPr>
              <w:spacing w:after="20"/>
            </w:pPr>
            <w:r>
              <w:rPr>
                <w:color w:val="1C3A36"/>
                <w:sz w:val="15"/>
              </w:rPr>
              <w:t>ALMARAI: 19.77; OTHAIM: None; BINDAWOOD: 20.2; NADEC: 13; WILMAR: 12.54</w:t>
            </w:r>
          </w:p>
        </w:tc>
        <w:tc>
          <w:tcPr>
            <w:tcW w:type="dxa" w:w="5400"/>
          </w:tcPr>
          <w:p>
            <w:pPr>
              <w:spacing w:after="20"/>
            </w:pPr>
            <w:r>
              <w:rPr>
                <w:color w:val="1C3A36"/>
                <w:sz w:val="15"/>
              </w:rPr>
              <w:t>TTM P/E at SETTLED 18-Aug-2026 closes (the first edition's table mixed 17-Aug quotes under an 18-Aug caption): Almarai 19.77 (48.60 close), BinDawood 20.20 (4.66), NADEC 13.0 (exact at 18-Aug), Wilmar 12.54 (3.706). AL OTHAIM IS N/M: its 11-Aug-2026 H1 announcement shows an attributable LOSS of SAR 53.5mn (Q2 -107.1 on inventory provisions), so TTM earnings to 30-Jun-2026 are ~79mn and the trailing multiple (~57x) is disqualified — same treatment as Herfy (loss-making, n/m). The first edition's 19.4x was a pre-announcement window quoted as current. Cross-check only, never a build source</w:t>
            </w:r>
          </w:p>
        </w:tc>
        <w:tc>
          <w:tcPr>
            <w:tcW w:type="dxa" w:w="1080"/>
          </w:tcPr>
          <w:p>
            <w:pPr>
              <w:spacing w:after="20"/>
            </w:pPr>
            <w:r>
              <w:rPr>
                <w:color w:val="1C3A36"/>
                <w:sz w:val="15"/>
              </w:rPr>
              <w:t>2026-08-19</w:t>
            </w:r>
          </w:p>
        </w:tc>
      </w:tr>
      <w:tr>
        <w:tc>
          <w:tcPr>
            <w:tcW w:type="dxa" w:w="2088"/>
          </w:tcPr>
          <w:p>
            <w:pPr>
              <w:spacing w:after="20"/>
            </w:pPr>
            <w:r>
              <w:rPr>
                <w:color w:val="1C3A36"/>
                <w:sz w:val="15"/>
              </w:rPr>
              <w:t>saibor3m</w:t>
            </w:r>
          </w:p>
        </w:tc>
        <w:tc>
          <w:tcPr>
            <w:tcW w:type="dxa" w:w="1656"/>
          </w:tcPr>
          <w:p>
            <w:pPr>
              <w:spacing w:after="20"/>
            </w:pPr>
            <w:r>
              <w:rPr>
                <w:color w:val="1C3A36"/>
                <w:sz w:val="15"/>
              </w:rPr>
              <w:t>0.0474</w:t>
            </w:r>
          </w:p>
        </w:tc>
        <w:tc>
          <w:tcPr>
            <w:tcW w:type="dxa" w:w="5400"/>
          </w:tcPr>
          <w:p>
            <w:pPr>
              <w:spacing w:after="20"/>
            </w:pPr>
            <w:r>
              <w:rPr>
                <w:color w:val="1C3A36"/>
                <w:sz w:val="15"/>
              </w:rPr>
              <w:t>3M SAIBOR 4.74% (Jun-2026, TradingEconomics market data — labelled cross-check level for the SAR marginal cost of debt)</w:t>
            </w:r>
          </w:p>
        </w:tc>
        <w:tc>
          <w:tcPr>
            <w:tcW w:type="dxa" w:w="1080"/>
          </w:tcPr>
          <w:p>
            <w:pPr>
              <w:spacing w:after="20"/>
            </w:pPr>
            <w:r>
              <w:rPr>
                <w:color w:val="1C3A36"/>
                <w:sz w:val="15"/>
              </w:rPr>
              <w:t>2026-06-30</w:t>
            </w:r>
          </w:p>
        </w:tc>
      </w:tr>
      <w:tr>
        <w:tc>
          <w:tcPr>
            <w:tcW w:type="dxa" w:w="2088"/>
          </w:tcPr>
          <w:p>
            <w:pPr>
              <w:spacing w:after="20"/>
            </w:pPr>
            <w:r>
              <w:rPr>
                <w:color w:val="1C3A36"/>
                <w:sz w:val="15"/>
              </w:rPr>
              <w:t>spot</w:t>
            </w:r>
          </w:p>
        </w:tc>
        <w:tc>
          <w:tcPr>
            <w:tcW w:type="dxa" w:w="1656"/>
          </w:tcPr>
          <w:p>
            <w:pPr>
              <w:spacing w:after="20"/>
            </w:pPr>
            <w:r>
              <w:rPr>
                <w:color w:val="1C3A36"/>
                <w:sz w:val="15"/>
              </w:rPr>
              <w:t>25.4</w:t>
            </w:r>
          </w:p>
        </w:tc>
        <w:tc>
          <w:tcPr>
            <w:tcW w:type="dxa" w:w="5400"/>
          </w:tcPr>
          <w:p>
            <w:pPr>
              <w:spacing w:after="20"/>
            </w:pPr>
            <w:r>
              <w:rPr>
                <w:color w:val="1C3A36"/>
                <w:sz w:val="15"/>
              </w:rPr>
              <w:t>SETTLED Tadawul close for SAVOLA (2050), 18-Aug-2026, confirmed as the prior-session close on Argaam 19-Aug-2026 (prev close 25.82, O 25.66 / H 25.78 / L 25.20, vol 859,264 across three reconciling feeds). The 25.30 in the uploaded export was an intraday print — the third occurrence of the settled-print vendor defect class in this project (TASI, RIYADHCABLE); the library row is corrected in the same edition</w:t>
            </w:r>
          </w:p>
        </w:tc>
        <w:tc>
          <w:tcPr>
            <w:tcW w:type="dxa" w:w="1080"/>
          </w:tcPr>
          <w:p>
            <w:pPr>
              <w:spacing w:after="20"/>
            </w:pPr>
            <w:r>
              <w:rPr>
                <w:color w:val="1C3A36"/>
                <w:sz w:val="15"/>
              </w:rPr>
              <w:t>2026-08-19</w:t>
            </w:r>
          </w:p>
        </w:tc>
      </w:tr>
    </w:tbl>
    <w:p>
      <w:pPr>
        <w:spacing w:after="40"/>
      </w:pPr>
    </w:p>
    <w:p>
      <w:pPr>
        <w:spacing w:after="60" w:before="160"/>
      </w:pPr>
      <w:r>
        <w:rPr>
          <w:b/>
          <w:i w:val="0"/>
          <w:color w:val="1C3A36"/>
          <w:sz w:val="22"/>
        </w:rPr>
        <w:t>Layer: Country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erp_cds</w:t>
            </w:r>
          </w:p>
        </w:tc>
        <w:tc>
          <w:tcPr>
            <w:tcW w:type="dxa" w:w="1656"/>
          </w:tcPr>
          <w:p>
            <w:pPr>
              <w:spacing w:after="20"/>
            </w:pPr>
            <w:r>
              <w:rPr>
                <w:color w:val="1C3A36"/>
                <w:sz w:val="15"/>
              </w:rPr>
              <w:t>0.0572</w:t>
            </w:r>
          </w:p>
        </w:tc>
        <w:tc>
          <w:tcPr>
            <w:tcW w:type="dxa" w:w="5400"/>
          </w:tcPr>
          <w:p>
            <w:pPr>
              <w:spacing w:after="20"/>
            </w:pPr>
            <w:r>
              <w:rPr>
                <w:color w:val="1C3A36"/>
                <w:sz w:val="15"/>
              </w:rPr>
              <w:t>Damodaran JANUARY-2026 vintage: ERP on the CDS basis 5.72% (same flag as sov_spread_cds)</w:t>
            </w:r>
          </w:p>
        </w:tc>
        <w:tc>
          <w:tcPr>
            <w:tcW w:type="dxa" w:w="1080"/>
          </w:tcPr>
          <w:p>
            <w:pPr>
              <w:spacing w:after="20"/>
            </w:pPr>
            <w:r>
              <w:rPr>
                <w:color w:val="1C3A36"/>
                <w:sz w:val="15"/>
              </w:rPr>
              <w:t>2026-01-05</w:t>
            </w:r>
          </w:p>
        </w:tc>
      </w:tr>
      <w:tr>
        <w:tc>
          <w:tcPr>
            <w:tcW w:type="dxa" w:w="2088"/>
          </w:tcPr>
          <w:p>
            <w:pPr>
              <w:spacing w:after="20"/>
            </w:pPr>
            <w:r>
              <w:rPr>
                <w:color w:val="1C3A36"/>
                <w:sz w:val="15"/>
              </w:rPr>
              <w:t>erp_rating</w:t>
            </w:r>
          </w:p>
        </w:tc>
        <w:tc>
          <w:tcPr>
            <w:tcW w:type="dxa" w:w="1656"/>
          </w:tcPr>
          <w:p>
            <w:pPr>
              <w:spacing w:after="20"/>
            </w:pPr>
            <w:r>
              <w:rPr>
                <w:color w:val="1C3A36"/>
                <w:sz w:val="15"/>
              </w:rPr>
              <w:t>0.0494</w:t>
            </w:r>
          </w:p>
        </w:tc>
        <w:tc>
          <w:tcPr>
            <w:tcW w:type="dxa" w:w="5400"/>
          </w:tcPr>
          <w:p>
            <w:pPr>
              <w:spacing w:after="20"/>
            </w:pPr>
            <w:r>
              <w:rPr>
                <w:color w:val="1C3A36"/>
                <w:sz w:val="15"/>
              </w:rPr>
              <w:t>Damodaran July-2026 vintage: Saudi Arabia total ERP 4.94% (mature-market 4.20% + CRP 0.74%)</w:t>
            </w:r>
          </w:p>
        </w:tc>
        <w:tc>
          <w:tcPr>
            <w:tcW w:type="dxa" w:w="1080"/>
          </w:tcPr>
          <w:p>
            <w:pPr>
              <w:spacing w:after="20"/>
            </w:pPr>
            <w:r>
              <w:rPr>
                <w:color w:val="1C3A36"/>
                <w:sz w:val="15"/>
              </w:rPr>
              <w:t>2026-07-01</w:t>
            </w:r>
          </w:p>
        </w:tc>
      </w:tr>
      <w:tr>
        <w:tc>
          <w:tcPr>
            <w:tcW w:type="dxa" w:w="2088"/>
          </w:tcPr>
          <w:p>
            <w:pPr>
              <w:spacing w:after="20"/>
            </w:pPr>
            <w:r>
              <w:rPr>
                <w:color w:val="1C3A36"/>
                <w:sz w:val="15"/>
              </w:rPr>
              <w:t>ksa_usd10_spread</w:t>
            </w:r>
          </w:p>
        </w:tc>
        <w:tc>
          <w:tcPr>
            <w:tcW w:type="dxa" w:w="1656"/>
          </w:tcPr>
          <w:p>
            <w:pPr>
              <w:spacing w:after="20"/>
            </w:pPr>
            <w:r>
              <w:rPr>
                <w:color w:val="1C3A36"/>
                <w:sz w:val="15"/>
              </w:rPr>
              <w:t>0.0085</w:t>
            </w:r>
          </w:p>
        </w:tc>
        <w:tc>
          <w:tcPr>
            <w:tcW w:type="dxa" w:w="5400"/>
          </w:tcPr>
          <w:p>
            <w:pPr>
              <w:spacing w:after="20"/>
            </w:pPr>
            <w:r>
              <w:rPr>
                <w:color w:val="1C3A36"/>
                <w:sz w:val="15"/>
              </w:rPr>
              <w:t>Saudi sovereign USD 10Y new-issue spread +85bp over UST (USD 11.5bn 4-tranche jumbo, Jan-2026; Emirates NBD Research note 06-Jan-2026)</w:t>
            </w:r>
          </w:p>
        </w:tc>
        <w:tc>
          <w:tcPr>
            <w:tcW w:type="dxa" w:w="1080"/>
          </w:tcPr>
          <w:p>
            <w:pPr>
              <w:spacing w:after="20"/>
            </w:pPr>
            <w:r>
              <w:rPr>
                <w:color w:val="1C3A36"/>
                <w:sz w:val="15"/>
              </w:rPr>
              <w:t>2026-01-06</w:t>
            </w:r>
          </w:p>
        </w:tc>
      </w:tr>
      <w:tr>
        <w:tc>
          <w:tcPr>
            <w:tcW w:type="dxa" w:w="2088"/>
          </w:tcPr>
          <w:p>
            <w:pPr>
              <w:spacing w:after="20"/>
            </w:pPr>
            <w:r>
              <w:rPr>
                <w:color w:val="1C3A36"/>
                <w:sz w:val="15"/>
              </w:rPr>
              <w:t>rf_observed</w:t>
            </w:r>
          </w:p>
        </w:tc>
        <w:tc>
          <w:tcPr>
            <w:tcW w:type="dxa" w:w="1656"/>
          </w:tcPr>
          <w:p>
            <w:pPr>
              <w:spacing w:after="20"/>
            </w:pPr>
            <w:r>
              <w:rPr>
                <w:color w:val="1C3A36"/>
                <w:sz w:val="15"/>
              </w:rPr>
              <w:t>0.0552</w:t>
            </w:r>
          </w:p>
        </w:tc>
        <w:tc>
          <w:tcPr>
            <w:tcW w:type="dxa" w:w="5400"/>
          </w:tcPr>
          <w:p>
            <w:pPr>
              <w:spacing w:after="20"/>
            </w:pPr>
            <w:r>
              <w:rPr>
                <w:color w:val="1C3A36"/>
                <w:sz w:val="15"/>
              </w:rPr>
              <w:t>PUBLISHED SAR sovereign curve: FTSE Saudi Government Bond Index (SAGBI) factsheet 31-Jul-2026, 7-10 year maturity bucket yield-to-maturity 5.52% at 8.24y average life (whole-index 5.48%, curve 5.22-5.83%). Replaces the first edition's synthetic UST10Y+new-issue-spread construction (which landed at 5.53% — level confirmed, source upgraded); iBoxx Tadawul SAR Government Sukuk Index 5.44% at 6.07y duration (31-Mar-2026) corroborates. WACC sensitivity to +/-50bp is published</w:t>
            </w:r>
          </w:p>
        </w:tc>
        <w:tc>
          <w:tcPr>
            <w:tcW w:type="dxa" w:w="1080"/>
          </w:tcPr>
          <w:p>
            <w:pPr>
              <w:spacing w:after="20"/>
            </w:pPr>
            <w:r>
              <w:rPr>
                <w:color w:val="1C3A36"/>
                <w:sz w:val="15"/>
              </w:rPr>
              <w:t>2026-07-31</w:t>
            </w:r>
          </w:p>
        </w:tc>
      </w:tr>
      <w:tr>
        <w:tc>
          <w:tcPr>
            <w:tcW w:type="dxa" w:w="2088"/>
          </w:tcPr>
          <w:p>
            <w:pPr>
              <w:spacing w:after="20"/>
            </w:pPr>
            <w:r>
              <w:rPr>
                <w:color w:val="1C3A36"/>
                <w:sz w:val="15"/>
              </w:rPr>
              <w:t>sar_1y_obs</w:t>
            </w:r>
          </w:p>
        </w:tc>
        <w:tc>
          <w:tcPr>
            <w:tcW w:type="dxa" w:w="1656"/>
          </w:tcPr>
          <w:p>
            <w:pPr>
              <w:spacing w:after="20"/>
            </w:pPr>
            <w:r>
              <w:rPr>
                <w:color w:val="1C3A36"/>
                <w:sz w:val="15"/>
              </w:rPr>
              <w:t>0.047</w:t>
            </w:r>
          </w:p>
        </w:tc>
        <w:tc>
          <w:tcPr>
            <w:tcW w:type="dxa" w:w="5400"/>
          </w:tcPr>
          <w:p>
            <w:pPr>
              <w:spacing w:after="20"/>
            </w:pPr>
            <w:r>
              <w:rPr>
                <w:color w:val="1C3A36"/>
                <w:sz w:val="15"/>
              </w:rPr>
              <w:t>observed 1Y SAR sovereign rate: NDMC 'Sah' savings sukuk fixed annual return 4.70%, Aug-2026 subscription (NDMC announcement via Arab News 02-Aug-2026)</w:t>
            </w:r>
          </w:p>
        </w:tc>
        <w:tc>
          <w:tcPr>
            <w:tcW w:type="dxa" w:w="1080"/>
          </w:tcPr>
          <w:p>
            <w:pPr>
              <w:spacing w:after="20"/>
            </w:pPr>
            <w:r>
              <w:rPr>
                <w:color w:val="1C3A36"/>
                <w:sz w:val="15"/>
              </w:rPr>
              <w:t>2026-08-02</w:t>
            </w:r>
          </w:p>
        </w:tc>
      </w:tr>
      <w:tr>
        <w:tc>
          <w:tcPr>
            <w:tcW w:type="dxa" w:w="2088"/>
          </w:tcPr>
          <w:p>
            <w:pPr>
              <w:spacing w:after="20"/>
            </w:pPr>
            <w:r>
              <w:rPr>
                <w:color w:val="1C3A36"/>
                <w:sz w:val="15"/>
              </w:rPr>
              <w:t>sov_spread_cds</w:t>
            </w:r>
          </w:p>
        </w:tc>
        <w:tc>
          <w:tcPr>
            <w:tcW w:type="dxa" w:w="1656"/>
          </w:tcPr>
          <w:p>
            <w:pPr>
              <w:spacing w:after="20"/>
            </w:pPr>
            <w:r>
              <w:rPr>
                <w:color w:val="1C3A36"/>
                <w:sz w:val="15"/>
              </w:rPr>
              <w:t>0.0098</w:t>
            </w:r>
          </w:p>
        </w:tc>
        <w:tc>
          <w:tcPr>
            <w:tcW w:type="dxa" w:w="5400"/>
          </w:tcPr>
          <w:p>
            <w:pPr>
              <w:spacing w:after="20"/>
            </w:pPr>
            <w:r>
              <w:rPr>
                <w:color w:val="1C3A36"/>
                <w:sz w:val="15"/>
              </w:rPr>
              <w:t>Damodaran JANUARY-2026 vintage: Saudi sovereign CDS 0.98% — the July CDS legs were not retrievable this session, so the CDS basis stays on the January vintage, FLAGGED wherever the CDS-basis value is shown</w:t>
            </w:r>
          </w:p>
        </w:tc>
        <w:tc>
          <w:tcPr>
            <w:tcW w:type="dxa" w:w="1080"/>
          </w:tcPr>
          <w:p>
            <w:pPr>
              <w:spacing w:after="20"/>
            </w:pPr>
            <w:r>
              <w:rPr>
                <w:color w:val="1C3A36"/>
                <w:sz w:val="15"/>
              </w:rPr>
              <w:t>2026-01-05</w:t>
            </w:r>
          </w:p>
        </w:tc>
      </w:tr>
      <w:tr>
        <w:tc>
          <w:tcPr>
            <w:tcW w:type="dxa" w:w="2088"/>
          </w:tcPr>
          <w:p>
            <w:pPr>
              <w:spacing w:after="20"/>
            </w:pPr>
            <w:r>
              <w:rPr>
                <w:color w:val="1C3A36"/>
                <w:sz w:val="15"/>
              </w:rPr>
              <w:t>sov_spread_rating</w:t>
            </w:r>
          </w:p>
        </w:tc>
        <w:tc>
          <w:tcPr>
            <w:tcW w:type="dxa" w:w="1656"/>
          </w:tcPr>
          <w:p>
            <w:pPr>
              <w:spacing w:after="20"/>
            </w:pPr>
            <w:r>
              <w:rPr>
                <w:color w:val="1C3A36"/>
                <w:sz w:val="15"/>
              </w:rPr>
              <w:t>0.0048</w:t>
            </w:r>
          </w:p>
        </w:tc>
        <w:tc>
          <w:tcPr>
            <w:tcW w:type="dxa" w:w="5400"/>
          </w:tcPr>
          <w:p>
            <w:pPr>
              <w:spacing w:after="20"/>
            </w:pPr>
            <w:r>
              <w:rPr>
                <w:color w:val="1C3A36"/>
                <w:sz w:val="15"/>
              </w:rPr>
              <w:t>Damodaran ctryprem, July-2026 vintage (ctrypremJuly26): Saudi Arabia Aa3, adjusted default spread 0.48% (Jan-2026 vintage 0.51% retired — a newer original file existed at the first edition's date and is adopted here)</w:t>
            </w:r>
          </w:p>
        </w:tc>
        <w:tc>
          <w:tcPr>
            <w:tcW w:type="dxa" w:w="1080"/>
          </w:tcPr>
          <w:p>
            <w:pPr>
              <w:spacing w:after="20"/>
            </w:pPr>
            <w:r>
              <w:rPr>
                <w:color w:val="1C3A36"/>
                <w:sz w:val="15"/>
              </w:rPr>
              <w:t>2026-07-01</w:t>
            </w:r>
          </w:p>
        </w:tc>
      </w:tr>
    </w:tbl>
    <w:p>
      <w:pPr>
        <w:spacing w:after="40"/>
      </w:pPr>
    </w:p>
    <w:p>
      <w:pPr>
        <w:spacing w:after="60" w:before="160"/>
      </w:pPr>
      <w:r>
        <w:rPr>
          <w:b/>
          <w:i w:val="0"/>
          <w:color w:val="1C3A36"/>
          <w:sz w:val="22"/>
        </w:rPr>
        <w:t>Layer: Global</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ust1</w:t>
            </w:r>
          </w:p>
        </w:tc>
        <w:tc>
          <w:tcPr>
            <w:tcW w:type="dxa" w:w="1656"/>
          </w:tcPr>
          <w:p>
            <w:pPr>
              <w:spacing w:after="20"/>
            </w:pPr>
            <w:r>
              <w:rPr>
                <w:color w:val="1C3A36"/>
                <w:sz w:val="15"/>
              </w:rPr>
              <w:t>0.0398</w:t>
            </w:r>
          </w:p>
        </w:tc>
        <w:tc>
          <w:tcPr>
            <w:tcW w:type="dxa" w:w="5400"/>
          </w:tcPr>
          <w:p>
            <w:pPr>
              <w:spacing w:after="20"/>
            </w:pPr>
            <w:r>
              <w:rPr>
                <w:color w:val="1C3A36"/>
                <w:sz w:val="15"/>
              </w:rPr>
              <w:t>US 1Y constant maturity 3.98%, FRED DGS1, 14-Aug-2026</w:t>
            </w:r>
          </w:p>
        </w:tc>
        <w:tc>
          <w:tcPr>
            <w:tcW w:type="dxa" w:w="1080"/>
          </w:tcPr>
          <w:p>
            <w:pPr>
              <w:spacing w:after="20"/>
            </w:pPr>
            <w:r>
              <w:rPr>
                <w:color w:val="1C3A36"/>
                <w:sz w:val="15"/>
              </w:rPr>
              <w:t>2026-08-14</w:t>
            </w:r>
          </w:p>
        </w:tc>
      </w:tr>
      <w:tr>
        <w:tc>
          <w:tcPr>
            <w:tcW w:type="dxa" w:w="2088"/>
          </w:tcPr>
          <w:p>
            <w:pPr>
              <w:spacing w:after="20"/>
            </w:pPr>
            <w:r>
              <w:rPr>
                <w:color w:val="1C3A36"/>
                <w:sz w:val="15"/>
              </w:rPr>
              <w:t>ust10</w:t>
            </w:r>
          </w:p>
        </w:tc>
        <w:tc>
          <w:tcPr>
            <w:tcW w:type="dxa" w:w="1656"/>
          </w:tcPr>
          <w:p>
            <w:pPr>
              <w:spacing w:after="20"/>
            </w:pPr>
            <w:r>
              <w:rPr>
                <w:color w:val="1C3A36"/>
                <w:sz w:val="15"/>
              </w:rPr>
              <w:t>0.0468</w:t>
            </w:r>
          </w:p>
        </w:tc>
        <w:tc>
          <w:tcPr>
            <w:tcW w:type="dxa" w:w="5400"/>
          </w:tcPr>
          <w:p>
            <w:pPr>
              <w:spacing w:after="20"/>
            </w:pPr>
            <w:r>
              <w:rPr>
                <w:color w:val="1C3A36"/>
                <w:sz w:val="15"/>
              </w:rPr>
              <w:t>US 10Y constant maturity 4.68%, FRED DGS10, 14-Aug-2026</w:t>
            </w:r>
          </w:p>
        </w:tc>
        <w:tc>
          <w:tcPr>
            <w:tcW w:type="dxa" w:w="1080"/>
          </w:tcPr>
          <w:p>
            <w:pPr>
              <w:spacing w:after="20"/>
            </w:pPr>
            <w:r>
              <w:rPr>
                <w:color w:val="1C3A36"/>
                <w:sz w:val="15"/>
              </w:rPr>
              <w:t>2026-08-14</w:t>
            </w:r>
          </w:p>
        </w:tc>
      </w:tr>
    </w:tbl>
    <w:p>
      <w:pPr>
        <w:spacing w:after="40"/>
      </w:pPr>
    </w:p>
    <w:p>
      <w:pPr>
        <w:spacing w:after="60" w:before="160"/>
      </w:pPr>
      <w:r>
        <w:rPr>
          <w:b/>
          <w:i w:val="0"/>
          <w:color w:val="1C3A36"/>
          <w:sz w:val="22"/>
        </w:rPr>
        <w:t>Layer: House</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anchor_days</w:t>
            </w:r>
          </w:p>
        </w:tc>
        <w:tc>
          <w:tcPr>
            <w:tcW w:type="dxa" w:w="1656"/>
          </w:tcPr>
          <w:p>
            <w:pPr>
              <w:spacing w:after="20"/>
            </w:pPr>
            <w:r>
              <w:rPr>
                <w:color w:val="1C3A36"/>
                <w:sz w:val="15"/>
              </w:rPr>
              <w:t>230.0</w:t>
            </w:r>
          </w:p>
        </w:tc>
        <w:tc>
          <w:tcPr>
            <w:tcW w:type="dxa" w:w="5400"/>
          </w:tcPr>
          <w:p>
            <w:pPr>
              <w:spacing w:after="20"/>
            </w:pPr>
            <w:r>
              <w:rPr>
                <w:color w:val="1C3A36"/>
                <w:sz w:val="15"/>
              </w:rPr>
              <w:t>31-Dec-2025 valuation date to the 18-Aug-2026 price anchor</w:t>
            </w:r>
          </w:p>
        </w:tc>
        <w:tc>
          <w:tcPr>
            <w:tcW w:type="dxa" w:w="1080"/>
          </w:tcPr>
          <w:p>
            <w:pPr>
              <w:spacing w:after="20"/>
            </w:pPr>
            <w:r>
              <w:rPr>
                <w:color w:val="1C3A36"/>
                <w:sz w:val="15"/>
              </w:rPr>
              <w:t>2026-08-18</w:t>
            </w:r>
          </w:p>
        </w:tc>
      </w:tr>
      <w:tr>
        <w:tc>
          <w:tcPr>
            <w:tcW w:type="dxa" w:w="2088"/>
          </w:tcPr>
          <w:p>
            <w:pPr>
              <w:spacing w:after="20"/>
            </w:pPr>
            <w:r>
              <w:rPr>
                <w:color w:val="1C3A36"/>
                <w:sz w:val="15"/>
              </w:rPr>
              <w:t>capex_path</w:t>
            </w:r>
          </w:p>
        </w:tc>
        <w:tc>
          <w:tcPr>
            <w:tcW w:type="dxa" w:w="1656"/>
          </w:tcPr>
          <w:p>
            <w:pPr>
              <w:spacing w:after="20"/>
            </w:pPr>
            <w:r>
              <w:rPr>
                <w:color w:val="1C3A36"/>
                <w:sz w:val="15"/>
              </w:rPr>
              <w:t>810.0, 900.0, 880.0, 860.0, 850.0</w:t>
            </w:r>
          </w:p>
        </w:tc>
        <w:tc>
          <w:tcPr>
            <w:tcW w:type="dxa" w:w="5400"/>
          </w:tcPr>
          <w:p>
            <w:pPr>
              <w:spacing w:after="20"/>
            </w:pPr>
            <w:r>
              <w:rPr>
                <w:color w:val="1C3A36"/>
                <w:sz w:val="15"/>
              </w:rPr>
              <w:t>FY26E 810 = H1 actual 385 + H2 at the FY25 H2 run-rate + Panda openings; FY27E 900 (new Jeddah nuts facility + refinery upgrades per AR2025 + 20 stores), easing to 850; FY25 actual was 858 (Panda 567, Foods 231) and capital commitments 425 stood at Dec-25</w:t>
            </w:r>
          </w:p>
        </w:tc>
        <w:tc>
          <w:tcPr>
            <w:tcW w:type="dxa" w:w="1080"/>
          </w:tcPr>
          <w:p>
            <w:pPr>
              <w:spacing w:after="20"/>
            </w:pPr>
            <w:r>
              <w:rPr>
                <w:color w:val="1C3A36"/>
                <w:sz w:val="15"/>
              </w:rPr>
              <w:t>2026-08-18</w:t>
            </w:r>
          </w:p>
        </w:tc>
      </w:tr>
      <w:tr>
        <w:tc>
          <w:tcPr>
            <w:tcW w:type="dxa" w:w="2088"/>
          </w:tcPr>
          <w:p>
            <w:pPr>
              <w:spacing w:after="20"/>
            </w:pPr>
            <w:r>
              <w:rPr>
                <w:color w:val="1C3A36"/>
                <w:sz w:val="15"/>
              </w:rPr>
              <w:t>frz_rev_g</w:t>
            </w:r>
          </w:p>
        </w:tc>
        <w:tc>
          <w:tcPr>
            <w:tcW w:type="dxa" w:w="1656"/>
          </w:tcPr>
          <w:p>
            <w:pPr>
              <w:spacing w:after="20"/>
            </w:pPr>
            <w:r>
              <w:rPr>
                <w:color w:val="1C3A36"/>
                <w:sz w:val="15"/>
              </w:rPr>
              <w:t>0.01, 0.035, 0.035, 0.03, 0.03</w:t>
            </w:r>
          </w:p>
        </w:tc>
        <w:tc>
          <w:tcPr>
            <w:tcW w:type="dxa" w:w="5400"/>
          </w:tcPr>
          <w:p>
            <w:pPr>
              <w:spacing w:after="20"/>
            </w:pPr>
            <w:r>
              <w:rPr>
                <w:color w:val="1C3A36"/>
                <w:sz w:val="15"/>
              </w:rPr>
              <w:t>H1-2026 -1.4% with a stronger Q2; FY26E +1% (H2 recovery per company), then 3-3.5% B2B/food-service growth</w:t>
            </w:r>
          </w:p>
        </w:tc>
        <w:tc>
          <w:tcPr>
            <w:tcW w:type="dxa" w:w="1080"/>
          </w:tcPr>
          <w:p>
            <w:pPr>
              <w:spacing w:after="20"/>
            </w:pPr>
            <w:r>
              <w:rPr>
                <w:color w:val="1C3A36"/>
                <w:sz w:val="15"/>
              </w:rPr>
              <w:t>2026-08-18</w:t>
            </w:r>
          </w:p>
        </w:tc>
      </w:tr>
      <w:tr>
        <w:tc>
          <w:tcPr>
            <w:tcW w:type="dxa" w:w="2088"/>
          </w:tcPr>
          <w:p>
            <w:pPr>
              <w:spacing w:after="20"/>
            </w:pPr>
            <w:r>
              <w:rPr>
                <w:color w:val="1C3A36"/>
                <w:sz w:val="15"/>
              </w:rPr>
              <w:t>g_term</w:t>
            </w:r>
          </w:p>
        </w:tc>
        <w:tc>
          <w:tcPr>
            <w:tcW w:type="dxa" w:w="1656"/>
          </w:tcPr>
          <w:p>
            <w:pPr>
              <w:spacing w:after="20"/>
            </w:pPr>
            <w:r>
              <w:rPr>
                <w:color w:val="1C3A36"/>
                <w:sz w:val="15"/>
              </w:rPr>
              <w:t>0.025</w:t>
            </w:r>
          </w:p>
        </w:tc>
        <w:tc>
          <w:tcPr>
            <w:tcW w:type="dxa" w:w="5400"/>
          </w:tcPr>
          <w:p>
            <w:pPr>
              <w:spacing w:after="20"/>
            </w:pPr>
            <w:r>
              <w:rPr>
                <w:color w:val="1C3A36"/>
                <w:sz w:val="15"/>
              </w:rPr>
              <w:t>terminal growth 2.5% = Saudi CPI 1.8% (GASTAT Jul-2026) + ~0.7% real staples growth; below nominal GDP</w:t>
            </w:r>
          </w:p>
        </w:tc>
        <w:tc>
          <w:tcPr>
            <w:tcW w:type="dxa" w:w="1080"/>
          </w:tcPr>
          <w:p>
            <w:pPr>
              <w:spacing w:after="20"/>
            </w:pPr>
            <w:r>
              <w:rPr>
                <w:color w:val="1C3A36"/>
                <w:sz w:val="15"/>
              </w:rPr>
              <w:t>2026-08-14</w:t>
            </w:r>
          </w:p>
        </w:tc>
      </w:tr>
      <w:tr>
        <w:tc>
          <w:tcPr>
            <w:tcW w:type="dxa" w:w="2088"/>
          </w:tcPr>
          <w:p>
            <w:pPr>
              <w:spacing w:after="20"/>
            </w:pPr>
            <w:r>
              <w:rPr>
                <w:color w:val="1C3A36"/>
                <w:sz w:val="15"/>
              </w:rPr>
              <w:t>herfy_rev_g</w:t>
            </w:r>
          </w:p>
        </w:tc>
        <w:tc>
          <w:tcPr>
            <w:tcW w:type="dxa" w:w="1656"/>
          </w:tcPr>
          <w:p>
            <w:pPr>
              <w:spacing w:after="20"/>
            </w:pPr>
            <w:r>
              <w:rPr>
                <w:color w:val="1C3A36"/>
                <w:sz w:val="15"/>
              </w:rPr>
              <w:t>-0.045, 0, 0.02, 0.02, 0.02</w:t>
            </w:r>
          </w:p>
        </w:tc>
        <w:tc>
          <w:tcPr>
            <w:tcW w:type="dxa" w:w="5400"/>
          </w:tcPr>
          <w:p>
            <w:pPr>
              <w:spacing w:after="20"/>
            </w:pPr>
            <w:r>
              <w:rPr>
                <w:color w:val="1C3A36"/>
                <w:sz w:val="15"/>
              </w:rPr>
              <w:t>H1-2026 actual -6.8%; FY26E -4.5% (softer H2 comps), stabilising then +2% — no turnaround projected beyond the company's own cost actions</w:t>
            </w:r>
          </w:p>
        </w:tc>
        <w:tc>
          <w:tcPr>
            <w:tcW w:type="dxa" w:w="1080"/>
          </w:tcPr>
          <w:p>
            <w:pPr>
              <w:spacing w:after="20"/>
            </w:pPr>
            <w:r>
              <w:rPr>
                <w:color w:val="1C3A36"/>
                <w:sz w:val="15"/>
              </w:rPr>
              <w:t>2026-08-18</w:t>
            </w:r>
          </w:p>
        </w:tc>
      </w:tr>
      <w:tr>
        <w:tc>
          <w:tcPr>
            <w:tcW w:type="dxa" w:w="2088"/>
          </w:tcPr>
          <w:p>
            <w:pPr>
              <w:spacing w:after="20"/>
            </w:pPr>
            <w:r>
              <w:rPr>
                <w:color w:val="1C3A36"/>
                <w:sz w:val="15"/>
              </w:rPr>
              <w:t>kd_eg_localeq</w:t>
            </w:r>
          </w:p>
        </w:tc>
        <w:tc>
          <w:tcPr>
            <w:tcW w:type="dxa" w:w="1656"/>
          </w:tcPr>
          <w:p>
            <w:pPr>
              <w:spacing w:after="20"/>
            </w:pPr>
            <w:r>
              <w:rPr>
                <w:color w:val="1C3A36"/>
                <w:sz w:val="15"/>
              </w:rPr>
              <w:t>0.065</w:t>
            </w:r>
          </w:p>
        </w:tc>
        <w:tc>
          <w:tcPr>
            <w:tcW w:type="dxa" w:w="5400"/>
          </w:tcPr>
          <w:p>
            <w:pPr>
              <w:spacing w:after="20"/>
            </w:pPr>
            <w:r>
              <w:rPr>
                <w:color w:val="1C3A36"/>
                <w:sz w:val="15"/>
              </w:rPr>
              <w:t>EGP tranche (417.2 of 1,893.9) at SAR-equivalent cost: under covered interest parity the 25-27% EGP nominal cost converts to the SAR rate + Egypt credit/liquidity spread; carried at 6.5% (SAR marginal + ~75bp) — NOT the raw EGP coupon, which would misstate a SAR-nominal WACC</w:t>
            </w:r>
          </w:p>
        </w:tc>
        <w:tc>
          <w:tcPr>
            <w:tcW w:type="dxa" w:w="1080"/>
          </w:tcPr>
          <w:p>
            <w:pPr>
              <w:spacing w:after="20"/>
            </w:pPr>
            <w:r>
              <w:rPr>
                <w:color w:val="1C3A36"/>
                <w:sz w:val="15"/>
              </w:rPr>
              <w:t>2026-08-18</w:t>
            </w:r>
          </w:p>
        </w:tc>
      </w:tr>
      <w:tr>
        <w:tc>
          <w:tcPr>
            <w:tcW w:type="dxa" w:w="2088"/>
          </w:tcPr>
          <w:p>
            <w:pPr>
              <w:spacing w:after="20"/>
            </w:pPr>
            <w:r>
              <w:rPr>
                <w:color w:val="1C3A36"/>
                <w:sz w:val="15"/>
              </w:rPr>
              <w:t>kd_other</w:t>
            </w:r>
          </w:p>
        </w:tc>
        <w:tc>
          <w:tcPr>
            <w:tcW w:type="dxa" w:w="1656"/>
          </w:tcPr>
          <w:p>
            <w:pPr>
              <w:spacing w:after="20"/>
            </w:pPr>
            <w:r>
              <w:rPr>
                <w:color w:val="1C3A36"/>
                <w:sz w:val="15"/>
              </w:rPr>
              <w:t>0.055</w:t>
            </w:r>
          </w:p>
        </w:tc>
        <w:tc>
          <w:tcPr>
            <w:tcW w:type="dxa" w:w="5400"/>
          </w:tcPr>
          <w:p>
            <w:pPr>
              <w:spacing w:after="20"/>
            </w:pPr>
            <w:r>
              <w:rPr>
                <w:color w:val="1C3A36"/>
                <w:sz w:val="15"/>
              </w:rPr>
              <w:t>AED/DZD minor tranches (220.4) at ~5.5% local-equivalent</w:t>
            </w:r>
          </w:p>
        </w:tc>
        <w:tc>
          <w:tcPr>
            <w:tcW w:type="dxa" w:w="1080"/>
          </w:tcPr>
          <w:p>
            <w:pPr>
              <w:spacing w:after="20"/>
            </w:pPr>
            <w:r>
              <w:rPr>
                <w:color w:val="1C3A36"/>
                <w:sz w:val="15"/>
              </w:rPr>
              <w:t>2026-08-18</w:t>
            </w:r>
          </w:p>
        </w:tc>
      </w:tr>
      <w:tr>
        <w:tc>
          <w:tcPr>
            <w:tcW w:type="dxa" w:w="2088"/>
          </w:tcPr>
          <w:p>
            <w:pPr>
              <w:spacing w:after="20"/>
            </w:pPr>
            <w:r>
              <w:rPr>
                <w:color w:val="1C3A36"/>
                <w:sz w:val="15"/>
              </w:rPr>
              <w:t>kd_sar</w:t>
            </w:r>
          </w:p>
        </w:tc>
        <w:tc>
          <w:tcPr>
            <w:tcW w:type="dxa" w:w="1656"/>
          </w:tcPr>
          <w:p>
            <w:pPr>
              <w:spacing w:after="20"/>
            </w:pPr>
            <w:r>
              <w:rPr>
                <w:color w:val="1C3A36"/>
                <w:sz w:val="15"/>
              </w:rPr>
              <w:t>0.0574</w:t>
            </w:r>
          </w:p>
        </w:tc>
        <w:tc>
          <w:tcPr>
            <w:tcW w:type="dxa" w:w="5400"/>
          </w:tcPr>
          <w:p>
            <w:pPr>
              <w:spacing w:after="20"/>
            </w:pPr>
            <w:r>
              <w:rPr>
                <w:color w:val="1C3A36"/>
                <w:sz w:val="15"/>
              </w:rPr>
              <w:t>marginal SAR cost of debt = 3M SAIBOR 4.74% + ~100bp murabaha spread on Savola's sharia-compliant facilities (1.3bn of the book, note 21.1); sits above the 1Y sovereign 4.70% as it must</w:t>
            </w:r>
          </w:p>
        </w:tc>
        <w:tc>
          <w:tcPr>
            <w:tcW w:type="dxa" w:w="1080"/>
          </w:tcPr>
          <w:p>
            <w:pPr>
              <w:spacing w:after="20"/>
            </w:pPr>
            <w:r>
              <w:rPr>
                <w:color w:val="1C3A36"/>
                <w:sz w:val="15"/>
              </w:rPr>
              <w:t>2026-08-18</w:t>
            </w:r>
          </w:p>
        </w:tc>
      </w:tr>
      <w:tr>
        <w:tc>
          <w:tcPr>
            <w:tcW w:type="dxa" w:w="2088"/>
          </w:tcPr>
          <w:p>
            <w:pPr>
              <w:spacing w:after="20"/>
            </w:pPr>
            <w:r>
              <w:rPr>
                <w:color w:val="1C3A36"/>
                <w:sz w:val="15"/>
              </w:rPr>
              <w:t>kinan_g</w:t>
            </w:r>
          </w:p>
        </w:tc>
        <w:tc>
          <w:tcPr>
            <w:tcW w:type="dxa" w:w="1656"/>
          </w:tcPr>
          <w:p>
            <w:pPr>
              <w:spacing w:after="20"/>
            </w:pPr>
            <w:r>
              <w:rPr>
                <w:color w:val="1C3A36"/>
                <w:sz w:val="15"/>
              </w:rPr>
              <w:t>0.03</w:t>
            </w:r>
          </w:p>
        </w:tc>
        <w:tc>
          <w:tcPr>
            <w:tcW w:type="dxa" w:w="5400"/>
          </w:tcPr>
          <w:p>
            <w:pPr>
              <w:spacing w:after="20"/>
            </w:pPr>
            <w:r>
              <w:rPr>
                <w:color w:val="1C3A36"/>
                <w:sz w:val="15"/>
              </w:rPr>
              <w:t>growth on Kinan's contribution off the annualized H1-2026 actual (34 x 2): ~3%/yr with Saudi real estate; falsified by Kinan's own results</w:t>
            </w:r>
          </w:p>
        </w:tc>
        <w:tc>
          <w:tcPr>
            <w:tcW w:type="dxa" w:w="1080"/>
          </w:tcPr>
          <w:p>
            <w:pPr>
              <w:spacing w:after="20"/>
            </w:pPr>
            <w:r>
              <w:rPr>
                <w:color w:val="1C3A36"/>
                <w:sz w:val="15"/>
              </w:rPr>
              <w:t>2026-08-18</w:t>
            </w:r>
          </w:p>
        </w:tc>
      </w:tr>
      <w:tr>
        <w:tc>
          <w:tcPr>
            <w:tcW w:type="dxa" w:w="2088"/>
          </w:tcPr>
          <w:p>
            <w:pPr>
              <w:spacing w:after="20"/>
            </w:pPr>
            <w:r>
              <w:rPr>
                <w:color w:val="1C3A36"/>
                <w:sz w:val="15"/>
              </w:rPr>
              <w:t>norm_ebitda_mgn</w:t>
            </w:r>
          </w:p>
        </w:tc>
        <w:tc>
          <w:tcPr>
            <w:tcW w:type="dxa" w:w="1656"/>
          </w:tcPr>
          <w:p>
            <w:pPr>
              <w:spacing w:after="20"/>
            </w:pPr>
            <w:r>
              <w:rPr>
                <w:color w:val="1C3A36"/>
                <w:sz w:val="15"/>
              </w:rPr>
              <w:t>0.092</w:t>
            </w:r>
          </w:p>
        </w:tc>
        <w:tc>
          <w:tcPr>
            <w:tcW w:type="dxa" w:w="5400"/>
          </w:tcPr>
          <w:p>
            <w:pPr>
              <w:spacing w:after="20"/>
            </w:pPr>
            <w:r>
              <w:rPr>
                <w:color w:val="1C3A36"/>
                <w:sz w:val="15"/>
              </w:rPr>
              <w:t>normalized mid-cycle operating EBITDA margin 9.2% (ex-associates): inside the observed FY2023-FY2025 envelope 8.9%-9.5% (computed on the model's own basis) and between FY2025's 9.0% and the H1-2026 ~9.4% restated level</w:t>
            </w:r>
          </w:p>
        </w:tc>
        <w:tc>
          <w:tcPr>
            <w:tcW w:type="dxa" w:w="1080"/>
          </w:tcPr>
          <w:p>
            <w:pPr>
              <w:spacing w:after="20"/>
            </w:pPr>
            <w:r>
              <w:rPr>
                <w:color w:val="1C3A36"/>
                <w:sz w:val="15"/>
              </w:rPr>
              <w:t>2026-08-18</w:t>
            </w:r>
          </w:p>
        </w:tc>
      </w:tr>
      <w:tr>
        <w:tc>
          <w:tcPr>
            <w:tcW w:type="dxa" w:w="2088"/>
          </w:tcPr>
          <w:p>
            <w:pPr>
              <w:spacing w:after="20"/>
            </w:pPr>
            <w:r>
              <w:rPr>
                <w:color w:val="1C3A36"/>
                <w:sz w:val="15"/>
              </w:rPr>
              <w:t>nuts_gm_path</w:t>
            </w:r>
          </w:p>
        </w:tc>
        <w:tc>
          <w:tcPr>
            <w:tcW w:type="dxa" w:w="1656"/>
          </w:tcPr>
          <w:p>
            <w:pPr>
              <w:spacing w:after="20"/>
            </w:pPr>
            <w:r>
              <w:rPr>
                <w:color w:val="1C3A36"/>
                <w:sz w:val="15"/>
              </w:rPr>
              <w:t>0.265, 0.27, 0.27, 0.27, 0.27</w:t>
            </w:r>
          </w:p>
        </w:tc>
        <w:tc>
          <w:tcPr>
            <w:tcW w:type="dxa" w:w="5400"/>
          </w:tcPr>
          <w:p>
            <w:pPr>
              <w:spacing w:after="20"/>
            </w:pPr>
            <w:r>
              <w:rPr>
                <w:color w:val="1C3A36"/>
                <w:sz w:val="15"/>
              </w:rPr>
              <w:t>FY25 residual category GM 26.1% (segment-note GP less the three disclosed categories); H1-2026 blended 29.9% disclosed; forward 26.5-27% — direction supported by the measured UAE margin and the Mehbaj/Jeddah integration, size capped</w:t>
            </w:r>
          </w:p>
        </w:tc>
        <w:tc>
          <w:tcPr>
            <w:tcW w:type="dxa" w:w="1080"/>
          </w:tcPr>
          <w:p>
            <w:pPr>
              <w:spacing w:after="20"/>
            </w:pPr>
            <w:r>
              <w:rPr>
                <w:color w:val="1C3A36"/>
                <w:sz w:val="15"/>
              </w:rPr>
              <w:t>2026-08-18</w:t>
            </w:r>
          </w:p>
        </w:tc>
      </w:tr>
      <w:tr>
        <w:tc>
          <w:tcPr>
            <w:tcW w:type="dxa" w:w="2088"/>
          </w:tcPr>
          <w:p>
            <w:pPr>
              <w:spacing w:after="20"/>
            </w:pPr>
            <w:r>
              <w:rPr>
                <w:color w:val="1C3A36"/>
                <w:sz w:val="15"/>
              </w:rPr>
              <w:t>nuts_rev_path</w:t>
            </w:r>
          </w:p>
        </w:tc>
        <w:tc>
          <w:tcPr>
            <w:tcW w:type="dxa" w:w="1656"/>
          </w:tcPr>
          <w:p>
            <w:pPr>
              <w:spacing w:after="20"/>
            </w:pPr>
            <w:r>
              <w:rPr>
                <w:color w:val="1C3A36"/>
                <w:sz w:val="15"/>
              </w:rPr>
              <w:t>730.0, 800.0, 848.0, 890.0, 926.0</w:t>
            </w:r>
          </w:p>
        </w:tc>
        <w:tc>
          <w:tcPr>
            <w:tcW w:type="dxa" w:w="5400"/>
          </w:tcPr>
          <w:p>
            <w:pPr>
              <w:spacing w:after="20"/>
            </w:pPr>
            <w:r>
              <w:rPr>
                <w:color w:val="1C3A36"/>
                <w:sz w:val="15"/>
              </w:rPr>
              <w:t>FY25 base 768.9 (residual of the four categories against the audited FP segment revenue) — FY26E steps DOWN 5.1%, anchored on the H1-2026 actual 337 (Bayara UAE 278 + KSA 59; nuts is H2/festive-season weighted) with the Mehbaj bolt-on from Jul-2026 (total consideration SR 11.4mn per the Q2-2026 interims note 19; modelled as a modest KSA revenue step +40 in H2-26E, +8.5% FY27E, then +5%) — flagged as the least-anchored revenue line</w:t>
            </w:r>
          </w:p>
        </w:tc>
        <w:tc>
          <w:tcPr>
            <w:tcW w:type="dxa" w:w="1080"/>
          </w:tcPr>
          <w:p>
            <w:pPr>
              <w:spacing w:after="20"/>
            </w:pPr>
            <w:r>
              <w:rPr>
                <w:color w:val="1C3A36"/>
                <w:sz w:val="15"/>
              </w:rPr>
              <w:t>2026-08-19</w:t>
            </w:r>
          </w:p>
        </w:tc>
      </w:tr>
      <w:tr>
        <w:tc>
          <w:tcPr>
            <w:tcW w:type="dxa" w:w="2088"/>
          </w:tcPr>
          <w:p>
            <w:pPr>
              <w:spacing w:after="20"/>
            </w:pPr>
            <w:r>
              <w:rPr>
                <w:color w:val="1C3A36"/>
                <w:sz w:val="15"/>
              </w:rPr>
              <w:t>oil_gpt_path</w:t>
            </w:r>
          </w:p>
        </w:tc>
        <w:tc>
          <w:tcPr>
            <w:tcW w:type="dxa" w:w="1656"/>
          </w:tcPr>
          <w:p>
            <w:pPr>
              <w:spacing w:after="20"/>
            </w:pPr>
            <w:r>
              <w:rPr>
                <w:color w:val="1C3A36"/>
                <w:sz w:val="15"/>
              </w:rPr>
              <w:t>740.0, 745.0, 745.0, 745.0, 745.0</w:t>
            </w:r>
          </w:p>
        </w:tc>
        <w:tc>
          <w:tcPr>
            <w:tcW w:type="dxa" w:w="5400"/>
          </w:tcPr>
          <w:p>
            <w:pPr>
              <w:spacing w:after="20"/>
            </w:pPr>
            <w:r>
              <w:rPr>
                <w:color w:val="1C3A36"/>
                <w:sz w:val="15"/>
              </w:rPr>
              <w:t>GP/ton: FY25 724, H1-2026 actual 762; FY26E 740 = H1 762 blended with a replacement-cost-squeezed H2 (company's own Q3/Q4 warning + FAO); held 745 after — the observed improvement is NOT projected further (no measured mechanism)</w:t>
            </w:r>
          </w:p>
        </w:tc>
        <w:tc>
          <w:tcPr>
            <w:tcW w:type="dxa" w:w="1080"/>
          </w:tcPr>
          <w:p>
            <w:pPr>
              <w:spacing w:after="20"/>
            </w:pPr>
            <w:r>
              <w:rPr>
                <w:color w:val="1C3A36"/>
                <w:sz w:val="15"/>
              </w:rPr>
              <w:t>2026-08-18</w:t>
            </w:r>
          </w:p>
        </w:tc>
      </w:tr>
      <w:tr>
        <w:tc>
          <w:tcPr>
            <w:tcW w:type="dxa" w:w="2088"/>
          </w:tcPr>
          <w:p>
            <w:pPr>
              <w:spacing w:after="20"/>
            </w:pPr>
            <w:r>
              <w:rPr>
                <w:color w:val="1C3A36"/>
                <w:sz w:val="15"/>
              </w:rPr>
              <w:t>oil_rpt_g</w:t>
            </w:r>
          </w:p>
        </w:tc>
        <w:tc>
          <w:tcPr>
            <w:tcW w:type="dxa" w:w="1656"/>
          </w:tcPr>
          <w:p>
            <w:pPr>
              <w:spacing w:after="20"/>
            </w:pPr>
            <w:r>
              <w:rPr>
                <w:color w:val="1C3A36"/>
                <w:sz w:val="15"/>
              </w:rPr>
              <w:t>0.005, 0.015, 0.015, 0.01, 0.01</w:t>
            </w:r>
          </w:p>
        </w:tc>
        <w:tc>
          <w:tcPr>
            <w:tcW w:type="dxa" w:w="5400"/>
          </w:tcPr>
          <w:p>
            <w:pPr>
              <w:spacing w:after="20"/>
            </w:pPr>
            <w:r>
              <w:rPr>
                <w:color w:val="1C3A36"/>
                <w:sz w:val="15"/>
              </w:rPr>
              <w:t>revenue/ton: H1-2026 5,570 vs H1-2025 5,416 (+2.8% computed); FY26E +0.5% on the FY25 base then +1-1.5%/yr pass-through of the FAO veg-oil rise (Jul-2026 index highest since Jun-2022)</w:t>
            </w:r>
          </w:p>
        </w:tc>
        <w:tc>
          <w:tcPr>
            <w:tcW w:type="dxa" w:w="1080"/>
          </w:tcPr>
          <w:p>
            <w:pPr>
              <w:spacing w:after="20"/>
            </w:pPr>
            <w:r>
              <w:rPr>
                <w:color w:val="1C3A36"/>
                <w:sz w:val="15"/>
              </w:rPr>
              <w:t>2026-08-18</w:t>
            </w:r>
          </w:p>
        </w:tc>
      </w:tr>
      <w:tr>
        <w:tc>
          <w:tcPr>
            <w:tcW w:type="dxa" w:w="2088"/>
          </w:tcPr>
          <w:p>
            <w:pPr>
              <w:spacing w:after="20"/>
            </w:pPr>
            <w:r>
              <w:rPr>
                <w:color w:val="1C3A36"/>
                <w:sz w:val="15"/>
              </w:rPr>
              <w:t>oil_vol_g</w:t>
            </w:r>
          </w:p>
        </w:tc>
        <w:tc>
          <w:tcPr>
            <w:tcW w:type="dxa" w:w="1656"/>
          </w:tcPr>
          <w:p>
            <w:pPr>
              <w:spacing w:after="20"/>
            </w:pPr>
            <w:r>
              <w:rPr>
                <w:color w:val="1C3A36"/>
                <w:sz w:val="15"/>
              </w:rPr>
              <w:t>0.125, 0.04, 0.03, 0.025, 0.02</w:t>
            </w:r>
          </w:p>
        </w:tc>
        <w:tc>
          <w:tcPr>
            <w:tcW w:type="dxa" w:w="5400"/>
          </w:tcPr>
          <w:p>
            <w:pPr>
              <w:spacing w:after="20"/>
            </w:pPr>
            <w:r>
              <w:rPr>
                <w:color w:val="1C3A36"/>
                <w:sz w:val="15"/>
              </w:rPr>
              <w:t>FY2026E +12.5% = H1 actual +16.1% carried at a moderated +9% H2 (B2B wins annualise; Algeria record volumes); then fading to market growth. Mechanism: company-reported share gains and exports, not price</w:t>
            </w:r>
          </w:p>
        </w:tc>
        <w:tc>
          <w:tcPr>
            <w:tcW w:type="dxa" w:w="1080"/>
          </w:tcPr>
          <w:p>
            <w:pPr>
              <w:spacing w:after="20"/>
            </w:pPr>
            <w:r>
              <w:rPr>
                <w:color w:val="1C3A36"/>
                <w:sz w:val="15"/>
              </w:rPr>
              <w:t>2026-08-18</w:t>
            </w:r>
          </w:p>
        </w:tc>
      </w:tr>
      <w:tr>
        <w:tc>
          <w:tcPr>
            <w:tcW w:type="dxa" w:w="2088"/>
          </w:tcPr>
          <w:p>
            <w:pPr>
              <w:spacing w:after="20"/>
            </w:pPr>
            <w:r>
              <w:rPr>
                <w:color w:val="1C3A36"/>
                <w:sz w:val="15"/>
              </w:rPr>
              <w:t>panda_scale_step</w:t>
            </w:r>
          </w:p>
        </w:tc>
        <w:tc>
          <w:tcPr>
            <w:tcW w:type="dxa" w:w="1656"/>
          </w:tcPr>
          <w:p>
            <w:pPr>
              <w:spacing w:after="20"/>
            </w:pPr>
            <w:r>
              <w:rPr>
                <w:color w:val="1C3A36"/>
                <w:sz w:val="15"/>
              </w:rPr>
              <w:t>0.001</w:t>
            </w:r>
          </w:p>
        </w:tc>
        <w:tc>
          <w:tcPr>
            <w:tcW w:type="dxa" w:w="5400"/>
          </w:tcPr>
          <w:p>
            <w:pPr>
              <w:spacing w:after="20"/>
            </w:pPr>
            <w:r>
              <w:rPr>
                <w:color w:val="1C3A36"/>
                <w:sz w:val="15"/>
              </w:rPr>
              <w:t>Framing A store-opex scale gain: -10bp/yr from FY2028 as CXR conversions and e-commerce density mature; ZERO in Framing B</w:t>
            </w:r>
          </w:p>
        </w:tc>
        <w:tc>
          <w:tcPr>
            <w:tcW w:type="dxa" w:w="1080"/>
          </w:tcPr>
          <w:p>
            <w:pPr>
              <w:spacing w:after="20"/>
            </w:pPr>
            <w:r>
              <w:rPr>
                <w:color w:val="1C3A36"/>
                <w:sz w:val="15"/>
              </w:rPr>
              <w:t>2026-08-18</w:t>
            </w:r>
          </w:p>
        </w:tc>
      </w:tr>
      <w:tr>
        <w:tc>
          <w:tcPr>
            <w:tcW w:type="dxa" w:w="2088"/>
          </w:tcPr>
          <w:p>
            <w:pPr>
              <w:spacing w:after="20"/>
            </w:pPr>
            <w:r>
              <w:rPr>
                <w:color w:val="1C3A36"/>
                <w:sz w:val="15"/>
              </w:rPr>
              <w:t>pas_gpt_path</w:t>
            </w:r>
          </w:p>
        </w:tc>
        <w:tc>
          <w:tcPr>
            <w:tcW w:type="dxa" w:w="1656"/>
          </w:tcPr>
          <w:p>
            <w:pPr>
              <w:spacing w:after="20"/>
            </w:pPr>
            <w:r>
              <w:rPr>
                <w:color w:val="1C3A36"/>
                <w:sz w:val="15"/>
              </w:rPr>
              <w:t>520.0, 520.0, 520.0, 520.0, 520.0</w:t>
            </w:r>
          </w:p>
        </w:tc>
        <w:tc>
          <w:tcPr>
            <w:tcW w:type="dxa" w:w="5400"/>
          </w:tcPr>
          <w:p>
            <w:pPr>
              <w:spacing w:after="20"/>
            </w:pPr>
            <w:r>
              <w:rPr>
                <w:color w:val="1C3A36"/>
                <w:sz w:val="15"/>
              </w:rPr>
              <w:t>GP/ton: H1-2026 actual 525 (73/139); FY2025 DISCLOSED 445 (deck p17, 440 in FY2024); held at 520 — the wheat/packaging tailwind the company names is retained, not amplified</w:t>
            </w:r>
          </w:p>
        </w:tc>
        <w:tc>
          <w:tcPr>
            <w:tcW w:type="dxa" w:w="1080"/>
          </w:tcPr>
          <w:p>
            <w:pPr>
              <w:spacing w:after="20"/>
            </w:pPr>
            <w:r>
              <w:rPr>
                <w:color w:val="1C3A36"/>
                <w:sz w:val="15"/>
              </w:rPr>
              <w:t>2026-08-18</w:t>
            </w:r>
          </w:p>
        </w:tc>
      </w:tr>
      <w:tr>
        <w:tc>
          <w:tcPr>
            <w:tcW w:type="dxa" w:w="2088"/>
          </w:tcPr>
          <w:p>
            <w:pPr>
              <w:spacing w:after="20"/>
            </w:pPr>
            <w:r>
              <w:rPr>
                <w:color w:val="1C3A36"/>
                <w:sz w:val="15"/>
              </w:rPr>
              <w:t>pas_rpt_g</w:t>
            </w:r>
          </w:p>
        </w:tc>
        <w:tc>
          <w:tcPr>
            <w:tcW w:type="dxa" w:w="1656"/>
          </w:tcPr>
          <w:p>
            <w:pPr>
              <w:spacing w:after="20"/>
            </w:pPr>
            <w:r>
              <w:rPr>
                <w:color w:val="1C3A36"/>
                <w:sz w:val="15"/>
              </w:rPr>
              <w:t>0.02, 0.01, 0.01, 0.01, 0.01</w:t>
            </w:r>
          </w:p>
        </w:tc>
        <w:tc>
          <w:tcPr>
            <w:tcW w:type="dxa" w:w="5400"/>
          </w:tcPr>
          <w:p>
            <w:pPr>
              <w:spacing w:after="20"/>
            </w:pPr>
            <w:r>
              <w:rPr>
                <w:color w:val="1C3A36"/>
                <w:sz w:val="15"/>
              </w:rPr>
              <w:t>revenue/ton +2% FY26E (H1-2026 2,101 vs H1-2025 2,052 = +2.4% computed), then +1%</w:t>
            </w:r>
          </w:p>
        </w:tc>
        <w:tc>
          <w:tcPr>
            <w:tcW w:type="dxa" w:w="1080"/>
          </w:tcPr>
          <w:p>
            <w:pPr>
              <w:spacing w:after="20"/>
            </w:pPr>
            <w:r>
              <w:rPr>
                <w:color w:val="1C3A36"/>
                <w:sz w:val="15"/>
              </w:rPr>
              <w:t>2026-08-18</w:t>
            </w:r>
          </w:p>
        </w:tc>
      </w:tr>
      <w:tr>
        <w:tc>
          <w:tcPr>
            <w:tcW w:type="dxa" w:w="2088"/>
          </w:tcPr>
          <w:p>
            <w:pPr>
              <w:spacing w:after="20"/>
            </w:pPr>
            <w:r>
              <w:rPr>
                <w:color w:val="1C3A36"/>
                <w:sz w:val="15"/>
              </w:rPr>
              <w:t>pas_vol_g</w:t>
            </w:r>
          </w:p>
        </w:tc>
        <w:tc>
          <w:tcPr>
            <w:tcW w:type="dxa" w:w="1656"/>
          </w:tcPr>
          <w:p>
            <w:pPr>
              <w:spacing w:after="20"/>
            </w:pPr>
            <w:r>
              <w:rPr>
                <w:color w:val="1C3A36"/>
                <w:sz w:val="15"/>
              </w:rPr>
              <w:t>0.03, 0.03, 0.025, 0.02, 0.02</w:t>
            </w:r>
          </w:p>
        </w:tc>
        <w:tc>
          <w:tcPr>
            <w:tcW w:type="dxa" w:w="5400"/>
          </w:tcPr>
          <w:p>
            <w:pPr>
              <w:spacing w:after="20"/>
            </w:pPr>
            <w:r>
              <w:rPr>
                <w:color w:val="1C3A36"/>
                <w:sz w:val="15"/>
              </w:rPr>
              <w:t>company-stated H1-2026 volume +3.1% (registered rounded pair 139/135 computes +3.0%) carried, wheat-cost tailwind supporting competitiveness</w:t>
            </w:r>
          </w:p>
        </w:tc>
        <w:tc>
          <w:tcPr>
            <w:tcW w:type="dxa" w:w="1080"/>
          </w:tcPr>
          <w:p>
            <w:pPr>
              <w:spacing w:after="20"/>
            </w:pPr>
            <w:r>
              <w:rPr>
                <w:color w:val="1C3A36"/>
                <w:sz w:val="15"/>
              </w:rPr>
              <w:t>2026-08-18</w:t>
            </w:r>
          </w:p>
        </w:tc>
      </w:tr>
      <w:tr>
        <w:tc>
          <w:tcPr>
            <w:tcW w:type="dxa" w:w="2088"/>
          </w:tcPr>
          <w:p>
            <w:pPr>
              <w:spacing w:after="20"/>
            </w:pPr>
            <w:r>
              <w:rPr>
                <w:color w:val="1C3A36"/>
                <w:sz w:val="15"/>
              </w:rPr>
              <w:t>pe_discount</w:t>
            </w:r>
          </w:p>
        </w:tc>
        <w:tc>
          <w:tcPr>
            <w:tcW w:type="dxa" w:w="1656"/>
          </w:tcPr>
          <w:p>
            <w:pPr>
              <w:spacing w:after="20"/>
            </w:pPr>
            <w:r>
              <w:rPr>
                <w:color w:val="1C3A36"/>
                <w:sz w:val="15"/>
              </w:rPr>
              <w:t>0.2</w:t>
            </w:r>
          </w:p>
        </w:tc>
        <w:tc>
          <w:tcPr>
            <w:tcW w:type="dxa" w:w="5400"/>
          </w:tcPr>
          <w:p>
            <w:pPr>
              <w:spacing w:after="20"/>
            </w:pPr>
            <w:r>
              <w:rPr>
                <w:color w:val="1C3A36"/>
                <w:sz w:val="15"/>
              </w:rPr>
              <w:t>conglomerate / EM-mix discount applied to the peer-mix P/E: ~21% of revenue is Egypt (Caa1 sovereign) and the group stacks a holding level over four operating legs; 20% base, published undiscounted alongside and sensitized 10-30%</w:t>
            </w:r>
          </w:p>
        </w:tc>
        <w:tc>
          <w:tcPr>
            <w:tcW w:type="dxa" w:w="1080"/>
          </w:tcPr>
          <w:p>
            <w:pPr>
              <w:spacing w:after="20"/>
            </w:pPr>
            <w:r>
              <w:rPr>
                <w:color w:val="1C3A36"/>
                <w:sz w:val="15"/>
              </w:rPr>
              <w:t>2026-08-18</w:t>
            </w:r>
          </w:p>
        </w:tc>
      </w:tr>
      <w:tr>
        <w:tc>
          <w:tcPr>
            <w:tcW w:type="dxa" w:w="2088"/>
          </w:tcPr>
          <w:p>
            <w:pPr>
              <w:spacing w:after="20"/>
            </w:pPr>
            <w:r>
              <w:rPr>
                <w:color w:val="1C3A36"/>
                <w:sz w:val="15"/>
              </w:rPr>
              <w:t>roic_term_variant</w:t>
            </w:r>
          </w:p>
        </w:tc>
        <w:tc>
          <w:tcPr>
            <w:tcW w:type="dxa" w:w="1656"/>
          </w:tcPr>
          <w:p>
            <w:pPr>
              <w:spacing w:after="20"/>
            </w:pPr>
            <w:r>
              <w:rPr>
                <w:color w:val="1C3A36"/>
                <w:sz w:val="15"/>
              </w:rPr>
              <w:t>0.105</w:t>
            </w:r>
          </w:p>
        </w:tc>
        <w:tc>
          <w:tcPr>
            <w:tcW w:type="dxa" w:w="5400"/>
          </w:tcPr>
          <w:p>
            <w:pPr>
              <w:spacing w:after="20"/>
            </w:pPr>
            <w:r>
              <w:rPr>
                <w:color w:val="1C3A36"/>
                <w:sz w:val="15"/>
              </w:rPr>
              <w:t>RETIRED AS THE BASE, kept as a labelled UPSIDE VARIANT: the first edition set terminal ROIC 10.5% as an input, above every return the model itself produces (9.2% rising to ~9.7%) — an undisclosed step-up on 75% of enterprise value. The second edition's terminal ROIC is COMPUTED as the model's own year-5 NOPAT on year-5 opening invested capital; the 10.5% brand/shelf-position case is published beside it, never averaged (dual-framing rule)</w:t>
            </w:r>
          </w:p>
        </w:tc>
        <w:tc>
          <w:tcPr>
            <w:tcW w:type="dxa" w:w="1080"/>
          </w:tcPr>
          <w:p>
            <w:pPr>
              <w:spacing w:after="20"/>
            </w:pPr>
            <w:r>
              <w:rPr>
                <w:color w:val="1C3A36"/>
                <w:sz w:val="15"/>
              </w:rPr>
              <w:t>2026-08-19</w:t>
            </w:r>
          </w:p>
        </w:tc>
      </w:tr>
      <w:tr>
        <w:tc>
          <w:tcPr>
            <w:tcW w:type="dxa" w:w="2088"/>
          </w:tcPr>
          <w:p>
            <w:pPr>
              <w:spacing w:after="20"/>
            </w:pPr>
            <w:r>
              <w:rPr>
                <w:color w:val="1C3A36"/>
                <w:sz w:val="15"/>
              </w:rPr>
              <w:t>sps_g_A</w:t>
            </w:r>
          </w:p>
        </w:tc>
        <w:tc>
          <w:tcPr>
            <w:tcW w:type="dxa" w:w="1656"/>
          </w:tcPr>
          <w:p>
            <w:pPr>
              <w:spacing w:after="20"/>
            </w:pPr>
            <w:r>
              <w:rPr>
                <w:color w:val="1C3A36"/>
                <w:sz w:val="15"/>
              </w:rPr>
              <w:t>-0.06, -0.03, -0.01, 0, 0</w:t>
            </w:r>
          </w:p>
        </w:tc>
        <w:tc>
          <w:tcPr>
            <w:tcW w:type="dxa" w:w="5400"/>
          </w:tcPr>
          <w:p>
            <w:pPr>
              <w:spacing w:after="20"/>
            </w:pPr>
            <w:r>
              <w:rPr>
                <w:color w:val="1C3A36"/>
                <w:sz w:val="15"/>
              </w:rPr>
              <w:t>FRAMING A sales-per-average-store path: measured H1-2026 density change, published as a range -7.1% (Jun-25=213 assumption) to -6.0% (interpolated 218); the FY26E opening -6% sits at the interpolation end, fading as CXR (149 stores done) and e-commerce (~2.5x) mature</w:t>
            </w:r>
          </w:p>
        </w:tc>
        <w:tc>
          <w:tcPr>
            <w:tcW w:type="dxa" w:w="1080"/>
          </w:tcPr>
          <w:p>
            <w:pPr>
              <w:spacing w:after="20"/>
            </w:pPr>
            <w:r>
              <w:rPr>
                <w:color w:val="1C3A36"/>
                <w:sz w:val="15"/>
              </w:rPr>
              <w:t>2026-08-19</w:t>
            </w:r>
          </w:p>
        </w:tc>
      </w:tr>
      <w:tr>
        <w:tc>
          <w:tcPr>
            <w:tcW w:type="dxa" w:w="2088"/>
          </w:tcPr>
          <w:p>
            <w:pPr>
              <w:spacing w:after="20"/>
            </w:pPr>
            <w:r>
              <w:rPr>
                <w:color w:val="1C3A36"/>
                <w:sz w:val="15"/>
              </w:rPr>
              <w:t>sps_g_B</w:t>
            </w:r>
          </w:p>
        </w:tc>
        <w:tc>
          <w:tcPr>
            <w:tcW w:type="dxa" w:w="1656"/>
          </w:tcPr>
          <w:p>
            <w:pPr>
              <w:spacing w:after="20"/>
            </w:pPr>
            <w:r>
              <w:rPr>
                <w:color w:val="1C3A36"/>
                <w:sz w:val="15"/>
              </w:rPr>
              <w:t>-0.06, -0.03, -0.03, -0.03, -0.03</w:t>
            </w:r>
          </w:p>
        </w:tc>
        <w:tc>
          <w:tcPr>
            <w:tcW w:type="dxa" w:w="5400"/>
          </w:tcPr>
          <w:p>
            <w:pPr>
              <w:spacing w:after="20"/>
            </w:pPr>
            <w:r>
              <w:rPr>
                <w:color w:val="1C3A36"/>
                <w:sz w:val="15"/>
              </w:rPr>
              <w:t>FRAMING B: -6% in FY2026E then the erosion never fades — competition and small-format mix keep density falling 3%/yr forever (the study states this exact path wherever Framing B is described)</w:t>
            </w:r>
          </w:p>
        </w:tc>
        <w:tc>
          <w:tcPr>
            <w:tcW w:type="dxa" w:w="1080"/>
          </w:tcPr>
          <w:p>
            <w:pPr>
              <w:spacing w:after="20"/>
            </w:pPr>
            <w:r>
              <w:rPr>
                <w:color w:val="1C3A36"/>
                <w:sz w:val="15"/>
              </w:rPr>
              <w:t>2026-08-19</w:t>
            </w:r>
          </w:p>
        </w:tc>
      </w:tr>
      <w:tr>
        <w:tc>
          <w:tcPr>
            <w:tcW w:type="dxa" w:w="2088"/>
          </w:tcPr>
          <w:p>
            <w:pPr>
              <w:spacing w:after="20"/>
            </w:pPr>
            <w:r>
              <w:rPr>
                <w:color w:val="1C3A36"/>
                <w:sz w:val="15"/>
              </w:rPr>
              <w:t>stores_jun25_assumed</w:t>
            </w:r>
          </w:p>
        </w:tc>
        <w:tc>
          <w:tcPr>
            <w:tcW w:type="dxa" w:w="1656"/>
          </w:tcPr>
          <w:p>
            <w:pPr>
              <w:spacing w:after="20"/>
            </w:pPr>
            <w:r>
              <w:rPr>
                <w:color w:val="1C3A36"/>
                <w:sz w:val="15"/>
              </w:rPr>
              <w:t>213.0</w:t>
            </w:r>
          </w:p>
        </w:tc>
        <w:tc>
          <w:tcPr>
            <w:tcW w:type="dxa" w:w="5400"/>
          </w:tcPr>
          <w:p>
            <w:pPr>
              <w:spacing w:after="20"/>
            </w:pPr>
            <w:r>
              <w:rPr>
                <w:color w:val="1C3A36"/>
                <w:sz w:val="15"/>
              </w:rPr>
              <w:t>ASSUMPTION (flagged): Panda store count at 30-Jun-2025 — NOT disclosed in any reachable company document (searched: FY2025 &amp; Q2-2026 decks, H1 releases, interims). 213 = Dec-2024's 209 + 4 net, mirroring the disclosed H1-2026 cadence (+6/-2); the linear-interpolation alternative is 218, and the sales-per-store change is published as a range over both bases</w:t>
            </w:r>
          </w:p>
        </w:tc>
        <w:tc>
          <w:tcPr>
            <w:tcW w:type="dxa" w:w="1080"/>
          </w:tcPr>
          <w:p>
            <w:pPr>
              <w:spacing w:after="20"/>
            </w:pPr>
            <w:r>
              <w:rPr>
                <w:color w:val="1C3A36"/>
                <w:sz w:val="15"/>
              </w:rPr>
              <w:t>2026-08-19</w:t>
            </w:r>
          </w:p>
        </w:tc>
      </w:tr>
      <w:tr>
        <w:tc>
          <w:tcPr>
            <w:tcW w:type="dxa" w:w="2088"/>
          </w:tcPr>
          <w:p>
            <w:pPr>
              <w:spacing w:after="20"/>
            </w:pPr>
            <w:r>
              <w:rPr>
                <w:color w:val="1C3A36"/>
                <w:sz w:val="15"/>
              </w:rPr>
              <w:t>sug_gpt_path</w:t>
            </w:r>
          </w:p>
        </w:tc>
        <w:tc>
          <w:tcPr>
            <w:tcW w:type="dxa" w:w="1656"/>
          </w:tcPr>
          <w:p>
            <w:pPr>
              <w:spacing w:after="20"/>
            </w:pPr>
            <w:r>
              <w:rPr>
                <w:color w:val="1C3A36"/>
                <w:sz w:val="15"/>
              </w:rPr>
              <w:t>215.0, 212.0, 212.0, 212.0, 212.0</w:t>
            </w:r>
          </w:p>
        </w:tc>
        <w:tc>
          <w:tcPr>
            <w:tcW w:type="dxa" w:w="5400"/>
          </w:tcPr>
          <w:p>
            <w:pPr>
              <w:spacing w:after="20"/>
            </w:pPr>
            <w:r>
              <w:rPr>
                <w:color w:val="1C3A36"/>
                <w:sz w:val="15"/>
              </w:rPr>
              <w:t>GP/ton: FY25 191, H1-2026 actual 218 (KSA margin recovery + Egypt); FY26E 215, then 212 — holds most of the measured gain without projecting more</w:t>
            </w:r>
          </w:p>
        </w:tc>
        <w:tc>
          <w:tcPr>
            <w:tcW w:type="dxa" w:w="1080"/>
          </w:tcPr>
          <w:p>
            <w:pPr>
              <w:spacing w:after="20"/>
            </w:pPr>
            <w:r>
              <w:rPr>
                <w:color w:val="1C3A36"/>
                <w:sz w:val="15"/>
              </w:rPr>
              <w:t>2026-08-18</w:t>
            </w:r>
          </w:p>
        </w:tc>
      </w:tr>
      <w:tr>
        <w:tc>
          <w:tcPr>
            <w:tcW w:type="dxa" w:w="2088"/>
          </w:tcPr>
          <w:p>
            <w:pPr>
              <w:spacing w:after="20"/>
            </w:pPr>
            <w:r>
              <w:rPr>
                <w:color w:val="1C3A36"/>
                <w:sz w:val="15"/>
              </w:rPr>
              <w:t>sug_rpt_g</w:t>
            </w:r>
          </w:p>
        </w:tc>
        <w:tc>
          <w:tcPr>
            <w:tcW w:type="dxa" w:w="1656"/>
          </w:tcPr>
          <w:p>
            <w:pPr>
              <w:spacing w:after="20"/>
            </w:pPr>
            <w:r>
              <w:rPr>
                <w:color w:val="1C3A36"/>
                <w:sz w:val="15"/>
              </w:rPr>
              <w:t>-0.075, 0.005, 0.005, 0.005, 0.005</w:t>
            </w:r>
          </w:p>
        </w:tc>
        <w:tc>
          <w:tcPr>
            <w:tcW w:type="dxa" w:w="5400"/>
          </w:tcPr>
          <w:p>
            <w:pPr>
              <w:spacing w:after="20"/>
            </w:pPr>
            <w:r>
              <w:rPr>
                <w:color w:val="1C3A36"/>
                <w:sz w:val="15"/>
              </w:rPr>
              <w:t>revenue/ton: H1-2026 2,036 vs FY25 2,252 computed (-9.6%); FY26E -7.5% on the FY25 base (soft world sugar, FAO -8% y/y; committed refined-sales book 1,044mn on 544k t = 1,918/t at Dec-25); flat-to-+0.5% after</w:t>
            </w:r>
          </w:p>
        </w:tc>
        <w:tc>
          <w:tcPr>
            <w:tcW w:type="dxa" w:w="1080"/>
          </w:tcPr>
          <w:p>
            <w:pPr>
              <w:spacing w:after="20"/>
            </w:pPr>
            <w:r>
              <w:rPr>
                <w:color w:val="1C3A36"/>
                <w:sz w:val="15"/>
              </w:rPr>
              <w:t>2026-08-18</w:t>
            </w:r>
          </w:p>
        </w:tc>
      </w:tr>
      <w:tr>
        <w:tc>
          <w:tcPr>
            <w:tcW w:type="dxa" w:w="2088"/>
          </w:tcPr>
          <w:p>
            <w:pPr>
              <w:spacing w:after="20"/>
            </w:pPr>
            <w:r>
              <w:rPr>
                <w:color w:val="1C3A36"/>
                <w:sz w:val="15"/>
              </w:rPr>
              <w:t>sug_vol_g</w:t>
            </w:r>
          </w:p>
        </w:tc>
        <w:tc>
          <w:tcPr>
            <w:tcW w:type="dxa" w:w="1656"/>
          </w:tcPr>
          <w:p>
            <w:pPr>
              <w:spacing w:after="20"/>
            </w:pPr>
            <w:r>
              <w:rPr>
                <w:color w:val="1C3A36"/>
                <w:sz w:val="15"/>
              </w:rPr>
              <w:t>0.055, 0.025, 0.02, 0.02, 0.015</w:t>
            </w:r>
          </w:p>
        </w:tc>
        <w:tc>
          <w:tcPr>
            <w:tcW w:type="dxa" w:w="5400"/>
          </w:tcPr>
          <w:p>
            <w:pPr>
              <w:spacing w:after="20"/>
            </w:pPr>
            <w:r>
              <w:rPr>
                <w:color w:val="1C3A36"/>
                <w:sz w:val="15"/>
              </w:rPr>
              <w:t>FY2026E +5.5% = H1 actual +7.2% with +4% H2; then 1.5-2.5% (KSA demand + Egypt supply resilience per company disclosures)</w:t>
            </w:r>
          </w:p>
        </w:tc>
        <w:tc>
          <w:tcPr>
            <w:tcW w:type="dxa" w:w="1080"/>
          </w:tcPr>
          <w:p>
            <w:pPr>
              <w:spacing w:after="20"/>
            </w:pPr>
            <w:r>
              <w:rPr>
                <w:color w:val="1C3A36"/>
                <w:sz w:val="15"/>
              </w:rPr>
              <w:t>2026-08-18</w:t>
            </w:r>
          </w:p>
        </w:tc>
      </w:tr>
      <w:tr>
        <w:tc>
          <w:tcPr>
            <w:tcW w:type="dxa" w:w="2088"/>
          </w:tcPr>
          <w:p>
            <w:pPr>
              <w:spacing w:after="20"/>
            </w:pPr>
            <w:r>
              <w:rPr>
                <w:color w:val="1C3A36"/>
                <w:sz w:val="15"/>
              </w:rPr>
              <w:t>tax_rate</w:t>
            </w:r>
          </w:p>
        </w:tc>
        <w:tc>
          <w:tcPr>
            <w:tcW w:type="dxa" w:w="1656"/>
          </w:tcPr>
          <w:p>
            <w:pPr>
              <w:spacing w:after="20"/>
            </w:pPr>
            <w:r>
              <w:rPr>
                <w:color w:val="1C3A36"/>
                <w:sz w:val="15"/>
              </w:rPr>
              <w:t>0.195</w:t>
            </w:r>
          </w:p>
        </w:tc>
        <w:tc>
          <w:tcPr>
            <w:tcW w:type="dxa" w:w="5400"/>
          </w:tcPr>
          <w:p>
            <w:pPr>
              <w:spacing w:after="20"/>
            </w:pPr>
            <w:r>
              <w:rPr>
                <w:color w:val="1C3A36"/>
                <w:sz w:val="15"/>
              </w:rPr>
              <w:t>combined zakat + income tax on profit: FY2023 17.6% (228.5/1,299.0), FY2025 normalized ~18.7% (tax 131.0 + underlying zakat ~30 on PBT 861.7), Q1-2026 20.5% (70.0/341.6) -&gt; 19.5% held flat and sensitized</w:t>
            </w:r>
          </w:p>
        </w:tc>
        <w:tc>
          <w:tcPr>
            <w:tcW w:type="dxa" w:w="1080"/>
          </w:tcPr>
          <w:p>
            <w:pPr>
              <w:spacing w:after="20"/>
            </w:pPr>
            <w:r>
              <w:rPr>
                <w:color w:val="1C3A36"/>
                <w:sz w:val="15"/>
              </w:rPr>
              <w:t>2026-08-18</w:t>
            </w:r>
          </w:p>
        </w:tc>
      </w:tr>
      <w:tr>
        <w:tc>
          <w:tcPr>
            <w:tcW w:type="dxa" w:w="2088"/>
          </w:tcPr>
          <w:p>
            <w:pPr>
              <w:spacing w:after="20"/>
            </w:pPr>
            <w:r>
              <w:rPr>
                <w:color w:val="1C3A36"/>
                <w:sz w:val="15"/>
              </w:rPr>
              <w:t>tw_e</w:t>
            </w:r>
          </w:p>
        </w:tc>
        <w:tc>
          <w:tcPr>
            <w:tcW w:type="dxa" w:w="1656"/>
          </w:tcPr>
          <w:p>
            <w:pPr>
              <w:spacing w:after="20"/>
            </w:pPr>
            <w:r>
              <w:rPr>
                <w:color w:val="1C3A36"/>
                <w:sz w:val="15"/>
              </w:rPr>
              <w:t>0.65</w:t>
            </w:r>
          </w:p>
        </w:tc>
        <w:tc>
          <w:tcPr>
            <w:tcW w:type="dxa" w:w="5400"/>
          </w:tcPr>
          <w:p>
            <w:pPr>
              <w:spacing w:after="20"/>
            </w:pPr>
            <w:r>
              <w:rPr>
                <w:color w:val="1C3A36"/>
                <w:sz w:val="15"/>
              </w:rPr>
              <w:t>terminal equity weight 65% (explicit-window market weights re-based to the model's own equity value; leases stay a structural 25-27% of capital for a leased-store retailer)</w:t>
            </w:r>
          </w:p>
        </w:tc>
        <w:tc>
          <w:tcPr>
            <w:tcW w:type="dxa" w:w="1080"/>
          </w:tcPr>
          <w:p>
            <w:pPr>
              <w:spacing w:after="20"/>
            </w:pPr>
            <w:r>
              <w:rPr>
                <w:color w:val="1C3A36"/>
                <w:sz w:val="15"/>
              </w:rPr>
              <w:t>2026-08-18</w:t>
            </w:r>
          </w:p>
        </w:tc>
      </w:tr>
      <w:tr>
        <w:tc>
          <w:tcPr>
            <w:tcW w:type="dxa" w:w="2088"/>
          </w:tcPr>
          <w:p>
            <w:pPr>
              <w:spacing w:after="20"/>
            </w:pPr>
            <w:r>
              <w:rPr>
                <w:color w:val="1C3A36"/>
                <w:sz w:val="15"/>
              </w:rPr>
              <w:t>tw_loans</w:t>
            </w:r>
          </w:p>
        </w:tc>
        <w:tc>
          <w:tcPr>
            <w:tcW w:type="dxa" w:w="1656"/>
          </w:tcPr>
          <w:p>
            <w:pPr>
              <w:spacing w:after="20"/>
            </w:pPr>
            <w:r>
              <w:rPr>
                <w:color w:val="1C3A36"/>
                <w:sz w:val="15"/>
              </w:rPr>
              <w:t>0.08</w:t>
            </w:r>
          </w:p>
        </w:tc>
        <w:tc>
          <w:tcPr>
            <w:tcW w:type="dxa" w:w="5400"/>
          </w:tcPr>
          <w:p>
            <w:pPr>
              <w:spacing w:after="20"/>
            </w:pPr>
            <w:r>
              <w:rPr>
                <w:color w:val="1C3A36"/>
                <w:sz w:val="15"/>
              </w:rPr>
              <w:t>terminal loans weight 8%</w:t>
            </w:r>
          </w:p>
        </w:tc>
        <w:tc>
          <w:tcPr>
            <w:tcW w:type="dxa" w:w="1080"/>
          </w:tcPr>
          <w:p>
            <w:pPr>
              <w:spacing w:after="20"/>
            </w:pPr>
            <w:r>
              <w:rPr>
                <w:color w:val="1C3A36"/>
                <w:sz w:val="15"/>
              </w:rPr>
              <w:t>2026-08-18</w:t>
            </w:r>
          </w:p>
        </w:tc>
      </w:tr>
    </w:tbl>
    <w:p>
      <w:pPr>
        <w:spacing w:after="40"/>
      </w:pPr>
    </w:p>
    <w:p>
      <w:pPr>
        <w:spacing w:after="60" w:before="160"/>
      </w:pPr>
      <w:r>
        <w:rPr>
          <w:b/>
          <w:i w:val="0"/>
          <w:color w:val="1C3A36"/>
          <w:sz w:val="22"/>
        </w:rPr>
        <w:t>Layer: House/derived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herfy_cash_est</w:t>
            </w:r>
          </w:p>
        </w:tc>
        <w:tc>
          <w:tcPr>
            <w:tcW w:type="dxa" w:w="1656"/>
          </w:tcPr>
          <w:p>
            <w:pPr>
              <w:spacing w:after="20"/>
            </w:pPr>
            <w:r>
              <w:rPr>
                <w:color w:val="1C3A36"/>
                <w:sz w:val="15"/>
              </w:rPr>
              <w:t>45</w:t>
            </w:r>
          </w:p>
        </w:tc>
        <w:tc>
          <w:tcPr>
            <w:tcW w:type="dxa" w:w="5400"/>
          </w:tcPr>
          <w:p>
            <w:pPr>
              <w:spacing w:after="20"/>
            </w:pPr>
            <w:r>
              <w:rPr>
                <w:color w:val="1C3A36"/>
                <w:sz w:val="15"/>
              </w:rPr>
              <w:t>CONSTRUCTED (flagged): Herfy cash inside group cash — note 20 FY2025 cash flows (CFO 143.7, CFI -11.7, CFF -128.3) imply a small stable balance; Expert 1 removes it alongside Herfy's liabilities</w:t>
            </w:r>
          </w:p>
        </w:tc>
        <w:tc>
          <w:tcPr>
            <w:tcW w:type="dxa" w:w="1080"/>
          </w:tcPr>
          <w:p>
            <w:pPr>
              <w:spacing w:after="20"/>
            </w:pPr>
            <w:r>
              <w:rPr>
                <w:color w:val="1C3A36"/>
                <w:sz w:val="15"/>
              </w:rPr>
              <w:t>2026-08-19</w:t>
            </w:r>
          </w:p>
        </w:tc>
      </w:tr>
      <w:tr>
        <w:tc>
          <w:tcPr>
            <w:tcW w:type="dxa" w:w="2088"/>
          </w:tcPr>
          <w:p>
            <w:pPr>
              <w:spacing w:after="20"/>
            </w:pPr>
            <w:r>
              <w:rPr>
                <w:color w:val="1C3A36"/>
                <w:sz w:val="15"/>
              </w:rPr>
              <w:t>herfy_cur_stack_est</w:t>
            </w:r>
          </w:p>
        </w:tc>
        <w:tc>
          <w:tcPr>
            <w:tcW w:type="dxa" w:w="1656"/>
          </w:tcPr>
          <w:p>
            <w:pPr>
              <w:spacing w:after="20"/>
            </w:pPr>
            <w:r>
              <w:rPr>
                <w:color w:val="1C3A36"/>
                <w:sz w:val="15"/>
              </w:rPr>
              <w:t>80</w:t>
            </w:r>
          </w:p>
        </w:tc>
        <w:tc>
          <w:tcPr>
            <w:tcW w:type="dxa" w:w="5400"/>
          </w:tcPr>
          <w:p>
            <w:pPr>
              <w:spacing w:after="20"/>
            </w:pPr>
            <w:r>
              <w:rPr>
                <w:color w:val="1C3A36"/>
                <w:sz w:val="15"/>
              </w:rPr>
              <w:t>CONSTRUCTED (flagged): the current-portion lease liability inside Herfy's 266.980 current liabilities — Herfy's financing outflow of 128.264 in FY2025 (note 20 cash-flow rows, zero dividends) is lease principal + interest, consistent with a ~80 current lease portion; the rest of current liabilities is trade payables, which the Expert-1 stack never deducts</w:t>
            </w:r>
          </w:p>
        </w:tc>
        <w:tc>
          <w:tcPr>
            <w:tcW w:type="dxa" w:w="1080"/>
          </w:tcPr>
          <w:p>
            <w:pPr>
              <w:spacing w:after="20"/>
            </w:pPr>
            <w:r>
              <w:rPr>
                <w:color w:val="1C3A36"/>
                <w:sz w:val="15"/>
              </w:rPr>
              <w:t>2026-08-19</w:t>
            </w:r>
          </w:p>
        </w:tc>
      </w:tr>
    </w:tbl>
    <w:p>
      <w:pPr>
        <w:spacing w:after="40"/>
      </w:pPr>
    </w:p>
    <w:p>
      <w:pPr>
        <w:spacing w:after="60" w:before="160"/>
      </w:pPr>
      <w:r>
        <w:rPr>
          <w:b/>
          <w:i w:val="0"/>
          <w:color w:val="1C3A36"/>
          <w:sz w:val="22"/>
        </w:rPr>
        <w:t>Layer: Company/House</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656"/>
        <w:gridCol w:w="5400"/>
        <w:gridCol w:w="1080"/>
      </w:tblGrid>
      <w:tr>
        <w:tc>
          <w:tcPr>
            <w:tcW w:type="dxa" w:w="2088"/>
            <w:shd w:val="clear" w:color="auto" w:fill="EAF0EE"/>
          </w:tcPr>
          <w:p>
            <w:pPr>
              <w:spacing w:after="20"/>
            </w:pPr>
            <w:r>
              <w:rPr>
                <w:b/>
                <w:color w:val="1C3A36"/>
                <w:sz w:val="15"/>
              </w:rPr>
              <w:t>Input</w:t>
            </w:r>
          </w:p>
        </w:tc>
        <w:tc>
          <w:tcPr>
            <w:tcW w:type="dxa" w:w="1656"/>
            <w:shd w:val="clear" w:color="auto" w:fill="EAF0EE"/>
          </w:tcPr>
          <w:p>
            <w:pPr>
              <w:spacing w:after="20"/>
            </w:pPr>
            <w:r>
              <w:rPr>
                <w:b/>
                <w:color w:val="1C3A36"/>
                <w:sz w:val="15"/>
              </w:rPr>
              <w:t>Value</w:t>
            </w:r>
          </w:p>
        </w:tc>
        <w:tc>
          <w:tcPr>
            <w:tcW w:type="dxa" w:w="5400"/>
            <w:shd w:val="clear" w:color="auto" w:fill="EAF0EE"/>
          </w:tcPr>
          <w:p>
            <w:pPr>
              <w:spacing w:after="20"/>
            </w:pPr>
            <w:r>
              <w:rPr>
                <w:b/>
                <w:color w:val="1C3A36"/>
                <w:sz w:val="15"/>
              </w:rPr>
              <w:t>Source and construction</w:t>
            </w:r>
          </w:p>
        </w:tc>
        <w:tc>
          <w:tcPr>
            <w:tcW w:type="dxa" w:w="1080"/>
            <w:shd w:val="clear" w:color="auto" w:fill="EAF0EE"/>
          </w:tcPr>
          <w:p>
            <w:pPr>
              <w:spacing w:after="20"/>
            </w:pPr>
            <w:r>
              <w:rPr>
                <w:b/>
                <w:color w:val="1C3A36"/>
                <w:sz w:val="15"/>
              </w:rPr>
              <w:t>Date</w:t>
            </w:r>
          </w:p>
        </w:tc>
      </w:tr>
      <w:tr>
        <w:tc>
          <w:tcPr>
            <w:tcW w:type="dxa" w:w="2088"/>
          </w:tcPr>
          <w:p>
            <w:pPr>
              <w:spacing w:after="20"/>
            </w:pPr>
            <w:r>
              <w:rPr>
                <w:color w:val="1C3A36"/>
                <w:sz w:val="15"/>
              </w:rPr>
              <w:t>frz_ebitda_mgn</w:t>
            </w:r>
          </w:p>
        </w:tc>
        <w:tc>
          <w:tcPr>
            <w:tcW w:type="dxa" w:w="1656"/>
          </w:tcPr>
          <w:p>
            <w:pPr>
              <w:spacing w:after="20"/>
            </w:pPr>
            <w:r>
              <w:rPr>
                <w:color w:val="1C3A36"/>
                <w:sz w:val="15"/>
              </w:rPr>
              <w:t>0.137</w:t>
            </w:r>
          </w:p>
        </w:tc>
        <w:tc>
          <w:tcPr>
            <w:tcW w:type="dxa" w:w="5400"/>
          </w:tcPr>
          <w:p>
            <w:pPr>
              <w:spacing w:after="20"/>
            </w:pPr>
            <w:r>
              <w:rPr>
                <w:color w:val="1C3A36"/>
                <w:sz w:val="15"/>
              </w:rPr>
              <w:t>H1-2026 actual 13.7% held</w:t>
            </w:r>
          </w:p>
        </w:tc>
        <w:tc>
          <w:tcPr>
            <w:tcW w:type="dxa" w:w="1080"/>
          </w:tcPr>
          <w:p>
            <w:pPr>
              <w:spacing w:after="20"/>
            </w:pPr>
            <w:r>
              <w:rPr>
                <w:color w:val="1C3A36"/>
                <w:sz w:val="15"/>
              </w:rPr>
              <w:t>2026-08-06</w:t>
            </w:r>
          </w:p>
        </w:tc>
      </w:tr>
      <w:tr>
        <w:tc>
          <w:tcPr>
            <w:tcW w:type="dxa" w:w="2088"/>
          </w:tcPr>
          <w:p>
            <w:pPr>
              <w:spacing w:after="20"/>
            </w:pPr>
            <w:r>
              <w:rPr>
                <w:color w:val="1C3A36"/>
                <w:sz w:val="15"/>
              </w:rPr>
              <w:t>panda_gm</w:t>
            </w:r>
          </w:p>
        </w:tc>
        <w:tc>
          <w:tcPr>
            <w:tcW w:type="dxa" w:w="1656"/>
          </w:tcPr>
          <w:p>
            <w:pPr>
              <w:spacing w:after="20"/>
            </w:pPr>
            <w:r>
              <w:rPr>
                <w:color w:val="1C3A36"/>
                <w:sz w:val="15"/>
              </w:rPr>
              <w:t>0.232</w:t>
            </w:r>
          </w:p>
        </w:tc>
        <w:tc>
          <w:tcPr>
            <w:tcW w:type="dxa" w:w="5400"/>
          </w:tcPr>
          <w:p>
            <w:pPr>
              <w:spacing w:after="20"/>
            </w:pPr>
            <w:r>
              <w:rPr>
                <w:color w:val="1C3A36"/>
                <w:sz w:val="15"/>
              </w:rPr>
              <w:t>Panda gross margin held at the H1-2026 actual 23.2% (presentation basis) — Q4 seasonality helps but promo intensity offsets; no uplift projected</w:t>
            </w:r>
          </w:p>
        </w:tc>
        <w:tc>
          <w:tcPr>
            <w:tcW w:type="dxa" w:w="1080"/>
          </w:tcPr>
          <w:p>
            <w:pPr>
              <w:spacing w:after="20"/>
            </w:pPr>
            <w:r>
              <w:rPr>
                <w:color w:val="1C3A36"/>
                <w:sz w:val="15"/>
              </w:rPr>
              <w:t>2026-08-06</w:t>
            </w:r>
          </w:p>
        </w:tc>
      </w:tr>
      <w:tr>
        <w:tc>
          <w:tcPr>
            <w:tcW w:type="dxa" w:w="2088"/>
          </w:tcPr>
          <w:p>
            <w:pPr>
              <w:spacing w:after="20"/>
            </w:pPr>
            <w:r>
              <w:rPr>
                <w:color w:val="1C3A36"/>
                <w:sz w:val="15"/>
              </w:rPr>
              <w:t>rou_growth</w:t>
            </w:r>
          </w:p>
        </w:tc>
        <w:tc>
          <w:tcPr>
            <w:tcW w:type="dxa" w:w="1656"/>
          </w:tcPr>
          <w:p>
            <w:pPr>
              <w:spacing w:after="20"/>
            </w:pPr>
            <w:r>
              <w:rPr>
                <w:color w:val="1C3A36"/>
                <w:sz w:val="15"/>
              </w:rPr>
              <w:t>0.05, 0.045, 0.04, 0.035, 0.03</w:t>
            </w:r>
          </w:p>
        </w:tc>
        <w:tc>
          <w:tcPr>
            <w:tcW w:type="dxa" w:w="5400"/>
          </w:tcPr>
          <w:p>
            <w:pPr>
              <w:spacing w:after="20"/>
            </w:pPr>
            <w:r>
              <w:rPr>
                <w:color w:val="1C3A36"/>
                <w:sz w:val="15"/>
              </w:rPr>
              <w:t>right-of-use charge grows with the Panda store network (leases are store-driven: Panda holds 2.9bn of the 3.7bn group lease book per the Q2-2026 presentation)</w:t>
            </w:r>
          </w:p>
        </w:tc>
        <w:tc>
          <w:tcPr>
            <w:tcW w:type="dxa" w:w="1080"/>
          </w:tcPr>
          <w:p>
            <w:pPr>
              <w:spacing w:after="20"/>
            </w:pPr>
            <w:r>
              <w:rPr>
                <w:color w:val="1C3A36"/>
                <w:sz w:val="15"/>
              </w:rPr>
              <w:t>2026-08-06</w:t>
            </w:r>
          </w:p>
        </w:tc>
      </w:tr>
      <w:tr>
        <w:tc>
          <w:tcPr>
            <w:tcW w:type="dxa" w:w="2088"/>
          </w:tcPr>
          <w:p>
            <w:pPr>
              <w:spacing w:after="20"/>
            </w:pPr>
            <w:r>
              <w:rPr>
                <w:color w:val="1C3A36"/>
                <w:sz w:val="15"/>
              </w:rPr>
              <w:t>stores_path</w:t>
            </w:r>
          </w:p>
        </w:tc>
        <w:tc>
          <w:tcPr>
            <w:tcW w:type="dxa" w:w="1656"/>
          </w:tcPr>
          <w:p>
            <w:pPr>
              <w:spacing w:after="20"/>
            </w:pPr>
            <w:r>
              <w:rPr>
                <w:color w:val="1C3A36"/>
                <w:sz w:val="15"/>
              </w:rPr>
              <w:t>247.0, 267.0, 285.0, 300.0, 312.0</w:t>
            </w:r>
          </w:p>
        </w:tc>
        <w:tc>
          <w:tcPr>
            <w:tcW w:type="dxa" w:w="5400"/>
          </w:tcPr>
          <w:p>
            <w:pPr>
              <w:spacing w:after="20"/>
            </w:pPr>
            <w:r>
              <w:rPr>
                <w:color w:val="1C3A36"/>
                <w:sz w:val="15"/>
              </w:rPr>
              <w:t>company guidance 20+ stores/yr (Q2-2026 presentation 2026 target; AR2025); tapering to +12 by FY2030. H1-2026 delivered +4 net (231 at June); the guidance base implies +16 net in H2-2026 — an H2-weighted cadence the FY2025 full-year +18 net supports but whose half-split is undisclosed. The +8/yr run-rate alternative is priced in the sensitivity section and named a falsifier in the caveats</w:t>
            </w:r>
          </w:p>
        </w:tc>
        <w:tc>
          <w:tcPr>
            <w:tcW w:type="dxa" w:w="1080"/>
          </w:tcPr>
          <w:p>
            <w:pPr>
              <w:spacing w:after="20"/>
            </w:pPr>
            <w:r>
              <w:rPr>
                <w:color w:val="1C3A36"/>
                <w:sz w:val="15"/>
              </w:rPr>
              <w:t>2026-08-19</w:t>
            </w:r>
          </w:p>
        </w:tc>
      </w:tr>
      <w:tr>
        <w:tc>
          <w:tcPr>
            <w:tcW w:type="dxa" w:w="2088"/>
          </w:tcPr>
          <w:p>
            <w:pPr>
              <w:spacing w:after="20"/>
            </w:pPr>
            <w:r>
              <w:rPr>
                <w:color w:val="1C3A36"/>
                <w:sz w:val="15"/>
              </w:rPr>
              <w:t>unalloc_path</w:t>
            </w:r>
          </w:p>
        </w:tc>
        <w:tc>
          <w:tcPr>
            <w:tcW w:type="dxa" w:w="1656"/>
          </w:tcPr>
          <w:p>
            <w:pPr>
              <w:spacing w:after="20"/>
            </w:pPr>
            <w:r>
              <w:rPr>
                <w:color w:val="1C3A36"/>
                <w:sz w:val="15"/>
              </w:rPr>
              <w:t>130.0, 133.0, 136.0, 139.0, 142.0</w:t>
            </w:r>
          </w:p>
        </w:tc>
        <w:tc>
          <w:tcPr>
            <w:tcW w:type="dxa" w:w="5400"/>
          </w:tcPr>
          <w:p>
            <w:pPr>
              <w:spacing w:after="20"/>
            </w:pPr>
            <w:r>
              <w:rPr>
                <w:color w:val="1C3A36"/>
                <w:sz w:val="15"/>
              </w:rPr>
              <w:t>unallocated corporate costs: 2x the H1-2026 cash-based 64, growing ~2%/yr (Saudi CPI)</w:t>
            </w:r>
          </w:p>
        </w:tc>
        <w:tc>
          <w:tcPr>
            <w:tcW w:type="dxa" w:w="1080"/>
          </w:tcPr>
          <w:p>
            <w:pPr>
              <w:spacing w:after="20"/>
            </w:pPr>
            <w:r>
              <w:rPr>
                <w:color w:val="1C3A36"/>
                <w:sz w:val="15"/>
              </w:rPr>
              <w:t>2026-08-06</w:t>
            </w:r>
          </w:p>
        </w:tc>
      </w:tr>
    </w:tbl>
    <w:p>
      <w:pPr>
        <w:spacing w:after="40"/>
      </w:pPr>
    </w:p>
    <w:p>
      <w:pPr>
        <w:spacing w:after="60" w:before="160"/>
      </w:pPr>
      <w:r>
        <w:rPr>
          <w:b/>
          <w:i w:val="0"/>
          <w:color w:val="1C3A36"/>
          <w:sz w:val="22"/>
        </w:rPr>
        <w:t>Judgements — and what would overturn each</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6480"/>
      </w:tblGrid>
      <w:tr>
        <w:tc>
          <w:tcPr>
            <w:tcW w:type="dxa" w:w="3744"/>
            <w:shd w:val="clear" w:color="auto" w:fill="EAF0EE"/>
          </w:tcPr>
          <w:p>
            <w:pPr>
              <w:spacing w:after="20"/>
            </w:pPr>
            <w:r>
              <w:rPr>
                <w:b/>
                <w:color w:val="1C3A36"/>
                <w:sz w:val="16"/>
              </w:rPr>
              <w:t>Judgement</w:t>
            </w:r>
          </w:p>
        </w:tc>
        <w:tc>
          <w:tcPr>
            <w:tcW w:type="dxa" w:w="6480"/>
            <w:shd w:val="clear" w:color="auto" w:fill="EAF0EE"/>
          </w:tcPr>
          <w:p>
            <w:pPr>
              <w:spacing w:after="20"/>
            </w:pPr>
            <w:r>
              <w:rPr>
                <w:b/>
                <w:color w:val="1C3A36"/>
                <w:sz w:val="16"/>
              </w:rPr>
              <w:t>What would overturn it</w:t>
            </w:r>
          </w:p>
        </w:tc>
      </w:tr>
      <w:tr>
        <w:tc>
          <w:tcPr>
            <w:tcW w:type="dxa" w:w="3744"/>
          </w:tcPr>
          <w:p>
            <w:pPr>
              <w:spacing w:after="20"/>
            </w:pPr>
            <w:r>
              <w:rPr>
                <w:color w:val="1C3A36"/>
                <w:sz w:val="16"/>
              </w:rPr>
              <w:t>Panda sales density stabilises (Framing A is the base case)</w:t>
            </w:r>
          </w:p>
        </w:tc>
        <w:tc>
          <w:tcPr>
            <w:tcW w:type="dxa" w:w="6480"/>
          </w:tcPr>
          <w:p>
            <w:pPr>
              <w:spacing w:after="20"/>
            </w:pPr>
            <w:r>
              <w:rPr>
                <w:color w:val="1C3A36"/>
                <w:sz w:val="16"/>
              </w:rPr>
              <w:t>two further quarters of density erosion at the measured first-half pace; the study publishes Framing B beside it at all times</w:t>
            </w:r>
          </w:p>
        </w:tc>
      </w:tr>
      <w:tr>
        <w:tc>
          <w:tcPr>
            <w:tcW w:type="dxa" w:w="3744"/>
          </w:tcPr>
          <w:p>
            <w:pPr>
              <w:spacing w:after="20"/>
            </w:pPr>
            <w:r>
              <w:rPr>
                <w:color w:val="1C3A36"/>
                <w:sz w:val="16"/>
              </w:rPr>
              <w:t>Oil unit gross profit held below the first-half actual for the rest of 2026</w:t>
            </w:r>
          </w:p>
        </w:tc>
        <w:tc>
          <w:tcPr>
            <w:tcW w:type="dxa" w:w="6480"/>
          </w:tcPr>
          <w:p>
            <w:pPr>
              <w:spacing w:after="20"/>
            </w:pPr>
            <w:r>
              <w:rPr>
                <w:color w:val="1C3A36"/>
                <w:sz w:val="16"/>
              </w:rPr>
              <w:t>a second-half print that HOLDS the first-half unit margin — the model is then too low by construction and should be restruck</w:t>
            </w:r>
          </w:p>
        </w:tc>
      </w:tr>
      <w:tr>
        <w:tc>
          <w:tcPr>
            <w:tcW w:type="dxa" w:w="3744"/>
          </w:tcPr>
          <w:p>
            <w:pPr>
              <w:spacing w:after="20"/>
            </w:pPr>
            <w:r>
              <w:rPr>
                <w:color w:val="1C3A36"/>
                <w:sz w:val="16"/>
              </w:rPr>
              <w:t>Sugar and pasta unit-margin gains retained but not extended</w:t>
            </w:r>
          </w:p>
        </w:tc>
        <w:tc>
          <w:tcPr>
            <w:tcW w:type="dxa" w:w="6480"/>
          </w:tcPr>
          <w:p>
            <w:pPr>
              <w:spacing w:after="20"/>
            </w:pPr>
            <w:r>
              <w:rPr>
                <w:color w:val="1C3A36"/>
                <w:sz w:val="16"/>
              </w:rPr>
              <w:t>either a disclosed capacity/mix change (extend) or a give-back in the prints (retract)</w:t>
            </w:r>
          </w:p>
        </w:tc>
      </w:tr>
      <w:tr>
        <w:tc>
          <w:tcPr>
            <w:tcW w:type="dxa" w:w="3744"/>
          </w:tcPr>
          <w:p>
            <w:pPr>
              <w:spacing w:after="20"/>
            </w:pPr>
            <w:r>
              <w:rPr>
                <w:color w:val="1C3A36"/>
                <w:sz w:val="16"/>
              </w:rPr>
              <w:t>The 20-store-per-year programme continues through FY2030</w:t>
            </w:r>
          </w:p>
        </w:tc>
        <w:tc>
          <w:tcPr>
            <w:tcW w:type="dxa" w:w="6480"/>
          </w:tcPr>
          <w:p>
            <w:pPr>
              <w:spacing w:after="20"/>
            </w:pPr>
            <w:r>
              <w:rPr>
                <w:color w:val="1C3A36"/>
                <w:sz w:val="16"/>
              </w:rPr>
              <w:t>the company's own guidance changing; capex would be re-pathed the same day</w:t>
            </w:r>
          </w:p>
        </w:tc>
      </w:tr>
      <w:tr>
        <w:tc>
          <w:tcPr>
            <w:tcW w:type="dxa" w:w="3744"/>
          </w:tcPr>
          <w:p>
            <w:pPr>
              <w:spacing w:after="20"/>
            </w:pPr>
            <w:r>
              <w:rPr>
                <w:color w:val="1C3A36"/>
                <w:sz w:val="16"/>
              </w:rPr>
              <w:t>Combined zakat-and-tax rate 19.5%</w:t>
            </w:r>
          </w:p>
        </w:tc>
        <w:tc>
          <w:tcPr>
            <w:tcW w:type="dxa" w:w="6480"/>
          </w:tcPr>
          <w:p>
            <w:pPr>
              <w:spacing w:after="20"/>
            </w:pPr>
            <w:r>
              <w:rPr>
                <w:color w:val="1C3A36"/>
                <w:sz w:val="16"/>
              </w:rPr>
              <w:t>a structural change in the Egypt mix or a new assessment cycle; the sensitivity is on the workbook's driver test</w:t>
            </w:r>
          </w:p>
        </w:tc>
      </w:tr>
      <w:tr>
        <w:tc>
          <w:tcPr>
            <w:tcW w:type="dxa" w:w="3744"/>
          </w:tcPr>
          <w:p>
            <w:pPr>
              <w:spacing w:after="20"/>
            </w:pPr>
            <w:r>
              <w:rPr>
                <w:color w:val="1C3A36"/>
                <w:sz w:val="16"/>
              </w:rPr>
              <w:t>Terminal: growth 2.5%; return on capital COMPUTED from the model's own year five (the 10.5% case is a labelled variant, never the base)</w:t>
            </w:r>
          </w:p>
        </w:tc>
        <w:tc>
          <w:tcPr>
            <w:tcW w:type="dxa" w:w="6480"/>
          </w:tcPr>
          <w:p>
            <w:pPr>
              <w:spacing w:after="20"/>
            </w:pPr>
            <w:r>
              <w:rPr>
                <w:color w:val="1C3A36"/>
                <w:sz w:val="16"/>
              </w:rPr>
              <w:t>evidence the group can compound above the computed return at scale — three years of realised returns above 10.5% would justify promoting the variant</w:t>
            </w:r>
          </w:p>
        </w:tc>
      </w:tr>
      <w:tr>
        <w:tc>
          <w:tcPr>
            <w:tcW w:type="dxa" w:w="3744"/>
          </w:tcPr>
          <w:p>
            <w:pPr>
              <w:spacing w:after="20"/>
            </w:pPr>
            <w:r>
              <w:rPr>
                <w:color w:val="1C3A36"/>
                <w:sz w:val="16"/>
              </w:rPr>
              <w:t>Risk-free: the published SAR sovereign curve (FTSE SAGBI 7-10y)</w:t>
            </w:r>
          </w:p>
        </w:tc>
        <w:tc>
          <w:tcPr>
            <w:tcW w:type="dxa" w:w="6480"/>
          </w:tcPr>
          <w:p>
            <w:pPr>
              <w:spacing w:after="20"/>
            </w:pPr>
            <w:r>
              <w:rPr>
                <w:color w:val="1C3A36"/>
                <w:sz w:val="16"/>
              </w:rPr>
              <w:t>a change in the published curve itself; both ±50bp alternatives are already priced in the study</w:t>
            </w:r>
          </w:p>
        </w:tc>
      </w:tr>
      <w:tr>
        <w:tc>
          <w:tcPr>
            <w:tcW w:type="dxa" w:w="3744"/>
          </w:tcPr>
          <w:p>
            <w:pPr>
              <w:spacing w:after="20"/>
            </w:pPr>
            <w:r>
              <w:rPr>
                <w:color w:val="1C3A36"/>
                <w:sz w:val="16"/>
              </w:rPr>
              <w:t>The June-2025 Panda store count assumed at 213 (the derivation range −7.1% to −6.0% is published; the build opens at −6%)</w:t>
            </w:r>
          </w:p>
        </w:tc>
        <w:tc>
          <w:tcPr>
            <w:tcW w:type="dxa" w:w="6480"/>
          </w:tcPr>
          <w:p>
            <w:pPr>
              <w:spacing w:after="20"/>
            </w:pPr>
            <w:r>
              <w:rPr>
                <w:color w:val="1C3A36"/>
                <w:sz w:val="16"/>
              </w:rPr>
              <w:t>the company disclosing the count, or any half-year store series</w:t>
            </w:r>
          </w:p>
        </w:tc>
      </w:tr>
      <w:tr>
        <w:tc>
          <w:tcPr>
            <w:tcW w:type="dxa" w:w="3744"/>
          </w:tcPr>
          <w:p>
            <w:pPr>
              <w:spacing w:after="20"/>
            </w:pPr>
            <w:r>
              <w:rPr>
                <w:color w:val="1C3A36"/>
                <w:sz w:val="16"/>
              </w:rPr>
              <w:t>Store path on company guidance (20+/yr) rather than the H1 run-rate</w:t>
            </w:r>
          </w:p>
        </w:tc>
        <w:tc>
          <w:tcPr>
            <w:tcW w:type="dxa" w:w="6480"/>
          </w:tcPr>
          <w:p>
            <w:pPr>
              <w:spacing w:after="20"/>
            </w:pPr>
            <w:r>
              <w:rPr>
                <w:color w:val="1C3A36"/>
                <w:sz w:val="16"/>
              </w:rPr>
              <w:t>H2-2026 openings materially below the +16 the guidance base requires; the run-rate variant is priced in the study</w:t>
            </w:r>
          </w:p>
        </w:tc>
      </w:tr>
      <w:tr>
        <w:tc>
          <w:tcPr>
            <w:tcW w:type="dxa" w:w="3744"/>
          </w:tcPr>
          <w:p>
            <w:pPr>
              <w:spacing w:after="20"/>
            </w:pPr>
            <w:r>
              <w:rPr>
                <w:color w:val="1C3A36"/>
                <w:sz w:val="16"/>
              </w:rPr>
              <w:t>Beta 1.087 (own stock vs the exchange index, five years weekly)</w:t>
            </w:r>
          </w:p>
        </w:tc>
        <w:tc>
          <w:tcPr>
            <w:tcW w:type="dxa" w:w="6480"/>
          </w:tcPr>
          <w:p>
            <w:pPr>
              <w:spacing w:after="20"/>
            </w:pPr>
            <w:r>
              <w:rPr>
                <w:color w:val="1C3A36"/>
                <w:sz w:val="16"/>
              </w:rPr>
              <w:t>a materially different reading once eighteen months of clean post-reset history exist; the 90% interval is priced in the study</w:t>
            </w:r>
          </w:p>
        </w:tc>
      </w:tr>
      <w:tr>
        <w:tc>
          <w:tcPr>
            <w:tcW w:type="dxa" w:w="3744"/>
          </w:tcPr>
          <w:p>
            <w:pPr>
              <w:spacing w:after="20"/>
            </w:pPr>
            <w:r>
              <w:rPr>
                <w:color w:val="1C3A36"/>
                <w:sz w:val="16"/>
              </w:rPr>
              <w:t>Peer-mix multiple with a 20% conglomerate/Egypt discount</w:t>
            </w:r>
          </w:p>
        </w:tc>
        <w:tc>
          <w:tcPr>
            <w:tcW w:type="dxa" w:w="6480"/>
          </w:tcPr>
          <w:p>
            <w:pPr>
              <w:spacing w:after="20"/>
            </w:pPr>
            <w:r>
              <w:rPr>
                <w:color w:val="1C3A36"/>
                <w:sz w:val="16"/>
              </w:rPr>
              <w:t>a de-rating of the Saudi consumer peer set toward the dividend-discount multiple (the study's own crosswalk) — the discount band 10-30% is published</w:t>
            </w:r>
          </w:p>
        </w:tc>
      </w:tr>
      <w:tr>
        <w:tc>
          <w:tcPr>
            <w:tcW w:type="dxa" w:w="3744"/>
          </w:tcPr>
          <w:p>
            <w:pPr>
              <w:spacing w:after="20"/>
            </w:pPr>
            <w:r>
              <w:rPr>
                <w:color w:val="1C3A36"/>
                <w:sz w:val="16"/>
              </w:rPr>
              <w:t>Kinan at capitalized earnings in the bridge</w:t>
            </w:r>
          </w:p>
        </w:tc>
        <w:tc>
          <w:tcPr>
            <w:tcW w:type="dxa" w:w="6480"/>
          </w:tcPr>
          <w:p>
            <w:pPr>
              <w:spacing w:after="20"/>
            </w:pPr>
            <w:r>
              <w:rPr>
                <w:color w:val="1C3A36"/>
                <w:sz w:val="16"/>
              </w:rPr>
              <w:t>a transaction or disclosure evidencing either the carrying floor or the net-asset value; all three constructions are published in the workbook</w:t>
            </w:r>
          </w:p>
        </w:tc>
      </w:tr>
    </w:tbl>
    <w:p>
      <w:pPr>
        <w:spacing w:after="40"/>
      </w:pPr>
    </w:p>
    <w:p>
      <w:pPr>
        <w:spacing w:after="60" w:before="160"/>
      </w:pPr>
      <w:r>
        <w:rPr>
          <w:b/>
          <w:i w:val="0"/>
          <w:color w:val="1C3A36"/>
          <w:sz w:val="22"/>
        </w:rPr>
        <w:t>Negative results — searched, not found, recorded (and two first-edition entries corrected)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312"/>
        <w:gridCol w:w="3744"/>
      </w:tblGrid>
      <w:tr>
        <w:tc>
          <w:tcPr>
            <w:tcW w:type="dxa" w:w="3168"/>
            <w:shd w:val="clear" w:color="auto" w:fill="EAF0EE"/>
          </w:tcPr>
          <w:p>
            <w:pPr>
              <w:spacing w:after="20"/>
            </w:pPr>
            <w:r>
              <w:rPr>
                <w:b/>
                <w:color w:val="1C3A36"/>
                <w:sz w:val="16"/>
              </w:rPr>
              <w:t>What was sought</w:t>
            </w:r>
          </w:p>
        </w:tc>
        <w:tc>
          <w:tcPr>
            <w:tcW w:type="dxa" w:w="3312"/>
            <w:shd w:val="clear" w:color="auto" w:fill="EAF0EE"/>
          </w:tcPr>
          <w:p>
            <w:pPr>
              <w:spacing w:after="20"/>
            </w:pPr>
            <w:r>
              <w:rPr>
                <w:b/>
                <w:color w:val="1C3A36"/>
                <w:sz w:val="16"/>
              </w:rPr>
              <w:t>Where</w:t>
            </w:r>
          </w:p>
        </w:tc>
        <w:tc>
          <w:tcPr>
            <w:tcW w:type="dxa" w:w="3744"/>
            <w:shd w:val="clear" w:color="auto" w:fill="EAF0EE"/>
          </w:tcPr>
          <w:p>
            <w:pPr>
              <w:spacing w:after="20"/>
            </w:pPr>
            <w:r>
              <w:rPr>
                <w:b/>
                <w:color w:val="1C3A36"/>
                <w:sz w:val="16"/>
              </w:rPr>
              <w:t>Outcome</w:t>
            </w:r>
          </w:p>
        </w:tc>
      </w:tr>
      <w:tr>
        <w:tc>
          <w:tcPr>
            <w:tcW w:type="dxa" w:w="3168"/>
          </w:tcPr>
          <w:p>
            <w:pPr>
              <w:spacing w:after="20"/>
            </w:pPr>
            <w:r>
              <w:rPr>
                <w:color w:val="1C3A36"/>
                <w:sz w:val="16"/>
              </w:rPr>
              <w:t>Panda like-for-like sales series</w:t>
            </w:r>
          </w:p>
        </w:tc>
        <w:tc>
          <w:tcPr>
            <w:tcW w:type="dxa" w:w="3312"/>
          </w:tcPr>
          <w:p>
            <w:pPr>
              <w:spacing w:after="20"/>
            </w:pPr>
            <w:r>
              <w:rPr>
                <w:color w:val="1C3A36"/>
                <w:sz w:val="16"/>
              </w:rPr>
              <w:t>all company disclosures</w:t>
            </w:r>
          </w:p>
        </w:tc>
        <w:tc>
          <w:tcPr>
            <w:tcW w:type="dxa" w:w="3744"/>
          </w:tcPr>
          <w:p>
            <w:pPr>
              <w:spacing w:after="20"/>
            </w:pPr>
            <w:r>
              <w:rPr>
                <w:color w:val="1C3A36"/>
                <w:sz w:val="16"/>
              </w:rPr>
              <w:t>NOT PUBLISHED — sales per average store is derived from disclosed revenue and store counts, and the derivation is the study's central contested judgement</w:t>
            </w:r>
          </w:p>
        </w:tc>
      </w:tr>
      <w:tr>
        <w:tc>
          <w:tcPr>
            <w:tcW w:type="dxa" w:w="3168"/>
          </w:tcPr>
          <w:p>
            <w:pPr>
              <w:spacing w:after="20"/>
            </w:pPr>
            <w:r>
              <w:rPr>
                <w:color w:val="1C3A36"/>
                <w:sz w:val="16"/>
              </w:rPr>
              <w:t>Panda store count at 30-Jun-2025</w:t>
            </w:r>
          </w:p>
        </w:tc>
        <w:tc>
          <w:tcPr>
            <w:tcW w:type="dxa" w:w="3312"/>
          </w:tcPr>
          <w:p>
            <w:pPr>
              <w:spacing w:after="20"/>
            </w:pPr>
            <w:r>
              <w:rPr>
                <w:color w:val="1C3A36"/>
                <w:sz w:val="16"/>
              </w:rPr>
              <w:t>FY2025 and Q2-2026 presentations, both H1 releases, the interim statements</w:t>
            </w:r>
          </w:p>
        </w:tc>
        <w:tc>
          <w:tcPr>
            <w:tcW w:type="dxa" w:w="3744"/>
          </w:tcPr>
          <w:p>
            <w:pPr>
              <w:spacing w:after="20"/>
            </w:pPr>
            <w:r>
              <w:rPr>
                <w:color w:val="1C3A36"/>
                <w:sz w:val="16"/>
              </w:rPr>
              <w:t>NOT DISCLOSED — assumed at 213 (registered as an assumption); the density change is published as a range over the 213 and interpolated-218 bases</w:t>
            </w:r>
          </w:p>
        </w:tc>
      </w:tr>
      <w:tr>
        <w:tc>
          <w:tcPr>
            <w:tcW w:type="dxa" w:w="3168"/>
          </w:tcPr>
          <w:p>
            <w:pPr>
              <w:spacing w:after="20"/>
            </w:pPr>
            <w:r>
              <w:rPr>
                <w:color w:val="1C3A36"/>
                <w:sz w:val="16"/>
              </w:rPr>
              <w:t>Numeric FY2026 revenue/margin guidance</w:t>
            </w:r>
          </w:p>
        </w:tc>
        <w:tc>
          <w:tcPr>
            <w:tcW w:type="dxa" w:w="3312"/>
          </w:tcPr>
          <w:p>
            <w:pPr>
              <w:spacing w:after="20"/>
            </w:pPr>
            <w:r>
              <w:rPr>
                <w:color w:val="1C3A36"/>
                <w:sz w:val="16"/>
              </w:rPr>
              <w:t>company disclosures</w:t>
            </w:r>
          </w:p>
        </w:tc>
        <w:tc>
          <w:tcPr>
            <w:tcW w:type="dxa" w:w="3744"/>
          </w:tcPr>
          <w:p>
            <w:pPr>
              <w:spacing w:after="20"/>
            </w:pPr>
            <w:r>
              <w:rPr>
                <w:color w:val="1C3A36"/>
                <w:sz w:val="16"/>
              </w:rPr>
              <w:t>NONE EXISTS — only store-count and store-refresh targets are guided</w:t>
            </w:r>
          </w:p>
        </w:tc>
      </w:tr>
      <w:tr>
        <w:tc>
          <w:tcPr>
            <w:tcW w:type="dxa" w:w="3168"/>
          </w:tcPr>
          <w:p>
            <w:pPr>
              <w:spacing w:after="20"/>
            </w:pPr>
            <w:r>
              <w:rPr>
                <w:color w:val="1C3A36"/>
                <w:sz w:val="16"/>
              </w:rPr>
              <w:t>July-2026 CDS legs of the sovereign risk dataset</w:t>
            </w:r>
          </w:p>
        </w:tc>
        <w:tc>
          <w:tcPr>
            <w:tcW w:type="dxa" w:w="3312"/>
          </w:tcPr>
          <w:p>
            <w:pPr>
              <w:spacing w:after="20"/>
            </w:pPr>
            <w:r>
              <w:rPr>
                <w:color w:val="1C3A36"/>
                <w:sz w:val="16"/>
              </w:rPr>
              <w:t>the dataset's archive</w:t>
            </w:r>
          </w:p>
        </w:tc>
        <w:tc>
          <w:tcPr>
            <w:tcW w:type="dxa" w:w="3744"/>
          </w:tcPr>
          <w:p>
            <w:pPr>
              <w:spacing w:after="20"/>
            </w:pPr>
            <w:r>
              <w:rPr>
                <w:color w:val="1C3A36"/>
                <w:sz w:val="16"/>
              </w:rPr>
              <w:t>NOT RETRIEVABLE this session — the CDS basis stays on the January vintage, flagged wherever quoted</w:t>
            </w:r>
          </w:p>
        </w:tc>
      </w:tr>
      <w:tr>
        <w:tc>
          <w:tcPr>
            <w:tcW w:type="dxa" w:w="3168"/>
          </w:tcPr>
          <w:p>
            <w:pPr>
              <w:spacing w:after="20"/>
            </w:pPr>
            <w:r>
              <w:rPr>
                <w:color w:val="1C3A36"/>
                <w:sz w:val="16"/>
              </w:rPr>
              <w:t>FY2023 continuing-basis figures excluding Türkiye</w:t>
            </w:r>
          </w:p>
        </w:tc>
        <w:tc>
          <w:tcPr>
            <w:tcW w:type="dxa" w:w="3312"/>
          </w:tcPr>
          <w:p>
            <w:pPr>
              <w:spacing w:after="20"/>
            </w:pPr>
            <w:r>
              <w:rPr>
                <w:color w:val="1C3A36"/>
                <w:sz w:val="16"/>
              </w:rPr>
              <w:t>FY2024 and FY2025 statements</w:t>
            </w:r>
          </w:p>
        </w:tc>
        <w:tc>
          <w:tcPr>
            <w:tcW w:type="dxa" w:w="3744"/>
          </w:tcPr>
          <w:p>
            <w:pPr>
              <w:spacing w:after="20"/>
            </w:pPr>
            <w:r>
              <w:rPr>
                <w:color w:val="1C3A36"/>
                <w:sz w:val="16"/>
              </w:rPr>
              <w:t>NOT PUBLISHED — FY2023 is presented on its own audited basis and the Türkiye inclusion is flagged wherever that column appears</w:t>
            </w:r>
          </w:p>
        </w:tc>
      </w:tr>
      <w:tr>
        <w:tc>
          <w:tcPr>
            <w:tcW w:type="dxa" w:w="3168"/>
          </w:tcPr>
          <w:p>
            <w:pPr>
              <w:spacing w:after="20"/>
            </w:pPr>
            <w:r>
              <w:rPr>
                <w:color w:val="1C3A36"/>
                <w:sz w:val="16"/>
              </w:rPr>
              <w:t>CORRECTED RECORD — Al Mehbaj consideration</w:t>
            </w:r>
          </w:p>
        </w:tc>
        <w:tc>
          <w:tcPr>
            <w:tcW w:type="dxa" w:w="3312"/>
          </w:tcPr>
          <w:p>
            <w:pPr>
              <w:spacing w:after="20"/>
            </w:pPr>
            <w:r>
              <w:rPr>
                <w:color w:val="1C3A36"/>
                <w:sz w:val="16"/>
              </w:rPr>
              <w:t>first edition: recorded searched-and-not-found</w:t>
            </w:r>
          </w:p>
        </w:tc>
        <w:tc>
          <w:tcPr>
            <w:tcW w:type="dxa" w:w="3744"/>
          </w:tcPr>
          <w:p>
            <w:pPr>
              <w:spacing w:after="20"/>
            </w:pPr>
            <w:r>
              <w:rPr>
                <w:color w:val="1C3A36"/>
                <w:sz w:val="16"/>
              </w:rPr>
              <w:t>IT WAS DISCLOSED: Q2-2026 reviewed interims, note 19 — SR 11.4mn (5.4 paid, 6.0 deferred). The first edition read the release and deck but not the filed interims; external audit caught it, and the figure is now consumed in the bridge and the nuts build</w:t>
            </w:r>
          </w:p>
        </w:tc>
      </w:tr>
      <w:tr>
        <w:tc>
          <w:tcPr>
            <w:tcW w:type="dxa" w:w="3168"/>
          </w:tcPr>
          <w:p>
            <w:pPr>
              <w:spacing w:after="20"/>
            </w:pPr>
            <w:r>
              <w:rPr>
                <w:color w:val="1C3A36"/>
                <w:sz w:val="16"/>
              </w:rPr>
              <w:t>CORRECTED RECORD — a directly quotable 10-year SAR sovereign yield</w:t>
            </w:r>
          </w:p>
        </w:tc>
        <w:tc>
          <w:tcPr>
            <w:tcW w:type="dxa" w:w="3312"/>
          </w:tcPr>
          <w:p>
            <w:pPr>
              <w:spacing w:after="20"/>
            </w:pPr>
            <w:r>
              <w:rPr>
                <w:color w:val="1C3A36"/>
                <w:sz w:val="16"/>
              </w:rPr>
              <w:t>first edition: recorded inaccessible; a proxy was constructed</w:t>
            </w:r>
          </w:p>
        </w:tc>
        <w:tc>
          <w:tcPr>
            <w:tcW w:type="dxa" w:w="3744"/>
          </w:tcPr>
          <w:p>
            <w:pPr>
              <w:spacing w:after="20"/>
            </w:pPr>
            <w:r>
              <w:rPr>
                <w:color w:val="1C3A36"/>
                <w:sz w:val="16"/>
              </w:rPr>
              <w:t>IT IS PUBLISHED: the FTSE SAGBI factsheet carries the curve (7-10y 5.52%, 31-Jul-2026), and the exchange's iBoxx SAR sukuk index corroborates. The proxy happened to land on the published level (5.53% vs 5.52%) — luck, not method; the published curve is now the source</w:t>
            </w:r>
          </w:p>
        </w:tc>
      </w:tr>
    </w:tbl>
    <w:p>
      <w:pPr>
        <w:spacing w:after="40"/>
      </w:pPr>
    </w:p>
    <w:p>
      <w:pPr>
        <w:spacing w:after="60" w:before="160"/>
      </w:pPr>
      <w:r>
        <w:rPr>
          <w:b/>
          <w:i w:val="0"/>
          <w:color w:val="1C3A36"/>
          <w:sz w:val="22"/>
        </w:rPr>
        <w:t>Aggregator and disclosure discrepancies</w:t>
      </w:r>
    </w:p>
    <w:p>
      <w:pPr>
        <w:spacing w:after="100" w:before="0"/>
      </w:pPr>
      <w:r>
        <w:rPr>
          <w:b w:val="0"/>
          <w:i w:val="0"/>
          <w:color w:val="1C3A36"/>
          <w:sz w:val="18"/>
        </w:rPr>
        <w:t>Four are on record. (1) The uploaded price export's 18-Aug-2026 row carried 25.30 — an intraday print; the settled close was 25.40 (verified on the following session's prior-close field). The third occurrence of this vendor defect class in this project's history; every quote in this edition is settled-close verified. (2) The market-data page used for peer quotes lists Savola's trailing earnings on the reported basis (still containing the zakat release and the Sudan gain); the study uses the company's own recurring bridge. (3) The FY2025 zakat reversal is disclosed three ways on three bases — 300.0 in the presentation's recurring bridge (zakat-and-other accruals), 217.4 net in the audited FS note 29, 247.3 gross of related expenses in the results announcement; the recurring base of 539.1 is the company's own bridged figure and is unaffected. (4) One external audit quoted Herfy's 18-Aug close at 15.66; the settled close is 15.50 (prior-close verified), and 15.50 is used. The Almarai distribution carries two legitimate fair-value framings, both used with their referents named: SR 21.1bn for the entire stake at settlement (FY2025 FS note 16) and SR 12.75bn for the in-kind dividend leg alone.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