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07-09-2026 · 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walk-forward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opinion on the very associate that dominates this valuation is QUALIFIED, and it is qualified in BOTH of the most recent reporting periods rather than once.</w:t>
      </w:r>
    </w:p>
    <w:p>
      <w:pPr>
        <w:spacing w:after="100" w:before="0"/>
      </w:pPr>
      <w:r>
        <w:rPr>
          <w:b w:val="0"/>
          <w:i w:val="0"/>
          <w:color w:val="1C3A36"/>
          <w:sz w:val="19"/>
        </w:rPr>
        <w:t>THE QUALIFICATION, IN THE REVIEWERS’ OWN WORDS AND AT THE MOST RECENT DATE. The limited review of the consolidated interim statements to 30 June 2026 reaches a qualified conclusion: the reviewers state they “were not provided with the consolidated financial statements for one of the associate companies (MNT - BV)” and were therefore “unable to verify the accuracy of the Group’s share of profits” — EGP 409.9 mn recorded in the period. The same qualification stood on the 31 December 2025 audited statements, where the auditors record that the group’s share of that associate’s profit rests on management-prepared accounts. It is set out here, and in the study’s own caveats, because the LOWER of the two answers this study publishes stands on the carrying value that same conclusion is qualified at — so the conservative branch is not a safe harbour either, and a reader is entitled to know that before comparing the two.</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come from the walk-forward panel, which holds this company’s consolidated income statement as originally reported.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The panel behind the walk-forward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104"/>
        <w:gridCol w:w="4104"/>
        <w:gridCol w:w="864"/>
        <w:gridCol w:w="2952"/>
      </w:tblGrid>
      <w:tr>
        <w:tc>
          <w:tcPr>
            <w:tcW w:type="dxa" w:w="2088"/>
            <w:shd w:val="clear" w:color="auto" w:fill="EAF0EE"/>
          </w:tcPr>
          <w:p>
            <w:pPr>
              <w:spacing w:after="20"/>
            </w:pPr>
            <w:r>
              <w:rPr>
                <w:b/>
                <w:color w:val="1C3A36"/>
                <w:sz w:val="14"/>
              </w:rPr>
              <w:t>Judgement</w:t>
            </w:r>
          </w:p>
        </w:tc>
        <w:tc>
          <w:tcPr>
            <w:tcW w:type="dxa" w:w="4104"/>
            <w:shd w:val="clear" w:color="auto" w:fill="EAF0EE"/>
          </w:tcPr>
          <w:p>
            <w:pPr>
              <w:spacing w:after="20"/>
            </w:pPr>
            <w:r>
              <w:rPr>
                <w:b/>
                <w:color w:val="1C3A36"/>
                <w:sz w:val="14"/>
              </w:rPr>
              <w:t>Adopted</w:t>
            </w:r>
          </w:p>
        </w:tc>
        <w:tc>
          <w:tcPr>
            <w:tcW w:type="dxa" w:w="4104"/>
            <w:shd w:val="clear" w:color="auto" w:fill="EAF0EE"/>
          </w:tcPr>
          <w:p>
            <w:pPr>
              <w:spacing w:after="20"/>
            </w:pPr>
            <w:r>
              <w:rPr>
                <w:b/>
                <w:color w:val="1C3A36"/>
                <w:sz w:val="14"/>
              </w:rPr>
              <w:t>The alternative</w:t>
            </w:r>
          </w:p>
        </w:tc>
        <w:tc>
          <w:tcPr>
            <w:tcW w:type="dxa" w:w="864"/>
            <w:shd w:val="clear" w:color="auto" w:fill="EAF0EE"/>
          </w:tcPr>
          <w:p>
            <w:pPr>
              <w:spacing w:after="20"/>
            </w:pPr>
            <w:r>
              <w:rPr>
                <w:b/>
                <w:color w:val="1C3A36"/>
                <w:sz w:val="14"/>
              </w:rPr>
              <w:t>Worth</w:t>
            </w:r>
          </w:p>
        </w:tc>
        <w:tc>
          <w:tcPr>
            <w:tcW w:type="dxa" w:w="2952"/>
            <w:shd w:val="clear" w:color="auto" w:fill="EAF0EE"/>
          </w:tcPr>
          <w:p>
            <w:pPr>
              <w:spacing w:after="20"/>
            </w:pPr>
            <w:r>
              <w:rPr>
                <w:b/>
                <w:color w:val="1C3A36"/>
                <w:sz w:val="14"/>
              </w:rPr>
              <w:t>Direction taken</w:t>
            </w:r>
          </w:p>
        </w:tc>
      </w:tr>
      <w:tr>
        <w:tc>
          <w:tcPr>
            <w:tcW w:type="dxa" w:w="2088"/>
          </w:tcPr>
          <w:p>
            <w:pPr>
              <w:spacing w:after="20"/>
            </w:pPr>
            <w:r>
              <w:rPr>
                <w:color w:val="1C3A36"/>
                <w:sz w:val="14"/>
              </w:rPr>
              <w:t>working-capital intensity</w:t>
            </w:r>
          </w:p>
        </w:tc>
        <w:tc>
          <w:tcPr>
            <w:tcW w:type="dxa" w:w="4104"/>
          </w:tcPr>
          <w:p>
            <w:pPr>
              <w:spacing w:after="20"/>
            </w:pPr>
            <w:r>
              <w:rPr>
                <w:color w:val="1C3A36"/>
                <w:sz w:val="14"/>
              </w:rPr>
              <w:t>gliding from 26.5% of Auto revenue in the first forecast year to 21.5% by the last, as payables re-extend and the pre-build unwinds</w:t>
            </w:r>
          </w:p>
        </w:tc>
        <w:tc>
          <w:tcPr>
            <w:tcW w:type="dxa" w:w="4104"/>
          </w:tcPr>
          <w:p>
            <w:pPr>
              <w:spacing w:after="20"/>
            </w:pPr>
            <w:r>
              <w:rPr>
                <w:color w:val="1C3A36"/>
                <w:sz w:val="14"/>
              </w:rPr>
              <w:t>the first forecast year held flat across the window — no credit taken for the release</w:t>
            </w:r>
          </w:p>
        </w:tc>
        <w:tc>
          <w:tcPr>
            <w:tcW w:type="dxa" w:w="864"/>
          </w:tcPr>
          <w:p>
            <w:pPr>
              <w:spacing w:after="20"/>
            </w:pPr>
            <w:r>
              <w:rPr>
                <w:color w:val="1C3A36"/>
                <w:sz w:val="14"/>
              </w:rPr>
              <w:t>64.5%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risk premium basis</w:t>
            </w:r>
          </w:p>
        </w:tc>
        <w:tc>
          <w:tcPr>
            <w:tcW w:type="dxa" w:w="4104"/>
          </w:tcPr>
          <w:p>
            <w:pPr>
              <w:spacing w:after="20"/>
            </w:pPr>
            <w:r>
              <w:rPr>
                <w:color w:val="1C3A36"/>
                <w:sz w:val="14"/>
              </w:rPr>
              <w:t>the market (credit-default-swap) basis, giving a first-year weighted cost of capital of 22.88%</w:t>
            </w:r>
          </w:p>
        </w:tc>
        <w:tc>
          <w:tcPr>
            <w:tcW w:type="dxa" w:w="4104"/>
          </w:tcPr>
          <w:p>
            <w:pPr>
              <w:spacing w:after="20"/>
            </w:pPr>
            <w:r>
              <w:rPr>
                <w:color w:val="1C3A36"/>
                <w:sz w:val="14"/>
              </w:rPr>
              <w:t>the credit-rating basis, giving 23.33%</w:t>
            </w:r>
          </w:p>
        </w:tc>
        <w:tc>
          <w:tcPr>
            <w:tcW w:type="dxa" w:w="864"/>
          </w:tcPr>
          <w:p>
            <w:pPr>
              <w:spacing w:after="20"/>
            </w:pPr>
            <w:r>
              <w:rPr>
                <w:color w:val="1C3A36"/>
                <w:sz w:val="14"/>
              </w:rPr>
              <w:t>6.8%</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beta</w:t>
            </w:r>
          </w:p>
        </w:tc>
        <w:tc>
          <w:tcPr>
            <w:tcW w:type="dxa" w:w="4104"/>
          </w:tcPr>
          <w:p>
            <w:pPr>
              <w:spacing w:after="20"/>
            </w:pPr>
            <w:r>
              <w:rPr>
                <w:color w:val="1C3A36"/>
                <w:sz w:val="14"/>
              </w:rPr>
              <w:t>0.8907, the conforming weekly regression against the exchange's published index, committed in this directory</w:t>
            </w:r>
          </w:p>
        </w:tc>
        <w:tc>
          <w:tcPr>
            <w:tcW w:type="dxa" w:w="4104"/>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864"/>
          </w:tcPr>
          <w:p>
            <w:pPr>
              <w:spacing w:after="20"/>
            </w:pPr>
            <w:r>
              <w:rPr>
                <w:color w:val="1C3A36"/>
                <w:sz w:val="14"/>
              </w:rPr>
              <w:t>6.5%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return anchoring GB Capital's justified price-to-book</w:t>
            </w:r>
          </w:p>
        </w:tc>
        <w:tc>
          <w:tcPr>
            <w:tcW w:type="dxa" w:w="4104"/>
          </w:tcPr>
          <w:p>
            <w:pPr>
              <w:spacing w:after="20"/>
            </w:pPr>
            <w:r>
              <w:rPr>
                <w:color w:val="1C3A36"/>
                <w:sz w:val="14"/>
              </w:rPr>
              <w:t>the 1H2026 REVIEWED return on the segment's operating equity, 10.10%, annualised on the average of the two committed period-end bases</w:t>
            </w:r>
          </w:p>
        </w:tc>
        <w:tc>
          <w:tcPr>
            <w:tcW w:type="dxa" w:w="4104"/>
          </w:tcPr>
          <w:p>
            <w:pPr>
              <w:spacing w:after="20"/>
            </w:pPr>
            <w:r>
              <w:rPr>
                <w:color w:val="1C3A36"/>
                <w:sz w:val="14"/>
              </w:rPr>
              <w:t>the FY2025 full-year return on the same base, 14.71%</w:t>
            </w:r>
          </w:p>
        </w:tc>
        <w:tc>
          <w:tcPr>
            <w:tcW w:type="dxa" w:w="864"/>
          </w:tcPr>
          <w:p>
            <w:pPr>
              <w:spacing w:after="20"/>
            </w:pPr>
            <w:r>
              <w:rPr>
                <w:color w:val="1C3A36"/>
                <w:sz w:val="14"/>
              </w:rPr>
              <w:t>5.2%</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discount rate inside GB Capital's justified price-to-book</w:t>
            </w:r>
          </w:p>
        </w:tc>
        <w:tc>
          <w:tcPr>
            <w:tcW w:type="dxa" w:w="4104"/>
          </w:tcPr>
          <w:p>
            <w:pPr>
              <w:spacing w:after="20"/>
            </w:pPr>
            <w:r>
              <w:rPr>
                <w:color w:val="1C3A36"/>
                <w:sz w:val="14"/>
              </w:rPr>
              <w:t>the TERMINAL cost of equity from the sanctioned schedule, 18.73%</w:t>
            </w:r>
          </w:p>
        </w:tc>
        <w:tc>
          <w:tcPr>
            <w:tcW w:type="dxa" w:w="4104"/>
          </w:tcPr>
          <w:p>
            <w:pPr>
              <w:spacing w:after="20"/>
            </w:pPr>
            <w:r>
              <w:rPr>
                <w:color w:val="1C3A36"/>
                <w:sz w:val="14"/>
              </w:rPr>
              <w:t>the explicit-window cost of equity, 27.97%</w:t>
            </w:r>
          </w:p>
        </w:tc>
        <w:tc>
          <w:tcPr>
            <w:tcW w:type="dxa" w:w="864"/>
          </w:tcPr>
          <w:p>
            <w:pPr>
              <w:spacing w:after="20"/>
            </w:pPr>
            <w:r>
              <w:rPr>
                <w:color w:val="1C3A36"/>
                <w:sz w:val="14"/>
              </w:rPr>
              <w:t>1.7%</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Auto gross-margin path</w:t>
            </w:r>
          </w:p>
        </w:tc>
        <w:tc>
          <w:tcPr>
            <w:tcW w:type="dxa" w:w="4104"/>
          </w:tcPr>
          <w:p>
            <w:pPr>
              <w:spacing w:after="20"/>
            </w:pPr>
            <w:r>
              <w:rPr>
                <w:color w:val="1C3A36"/>
                <w:sz w:val="14"/>
              </w:rPr>
              <w:t>a path opening at 13.8% and rising to 14.5%</w:t>
            </w:r>
          </w:p>
        </w:tc>
        <w:tc>
          <w:tcPr>
            <w:tcW w:type="dxa" w:w="4104"/>
          </w:tcPr>
          <w:p>
            <w:pPr>
              <w:spacing w:after="20"/>
            </w:pPr>
            <w:r>
              <w:rPr>
                <w:color w:val="1C3A36"/>
                <w:sz w:val="14"/>
              </w:rPr>
              <w:t>the latest reviewed half held flat across the window at 14.30% — the near-term reviewed actual outranking a forecast path</w:t>
            </w:r>
          </w:p>
        </w:tc>
        <w:tc>
          <w:tcPr>
            <w:tcW w:type="dxa" w:w="864"/>
          </w:tcPr>
          <w:p>
            <w:pPr>
              <w:spacing w:after="20"/>
            </w:pPr>
            <w:r>
              <w:rPr>
                <w:color w:val="1C3A36"/>
                <w:sz w:val="14"/>
              </w:rPr>
              <w:t>3.2%</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ownership percentage applied to the round</w:t>
            </w:r>
          </w:p>
        </w:tc>
        <w:tc>
          <w:tcPr>
            <w:tcW w:type="dxa" w:w="4104"/>
          </w:tcPr>
          <w:p>
            <w:pPr>
              <w:spacing w:after="20"/>
            </w:pPr>
            <w:r>
              <w:rPr>
                <w:color w:val="1C3A36"/>
                <w:sz w:val="14"/>
              </w:rPr>
              <w:t>41.61%, GB Corp's own press release of 9 June 2026 on the transaction the round price comes from</w:t>
            </w:r>
          </w:p>
        </w:tc>
        <w:tc>
          <w:tcPr>
            <w:tcW w:type="dxa" w:w="4104"/>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864"/>
          </w:tcPr>
          <w:p>
            <w:pPr>
              <w:spacing w:after="20"/>
            </w:pPr>
            <w:r>
              <w:rPr>
                <w:color w:val="1C3A36"/>
                <w:sz w:val="14"/>
              </w:rPr>
              <w:t>1.5%</w:t>
            </w:r>
          </w:p>
        </w:tc>
        <w:tc>
          <w:tcPr>
            <w:tcW w:type="dxa" w:w="2952"/>
          </w:tcPr>
          <w:p>
            <w:pPr>
              <w:spacing w:after="20"/>
            </w:pPr>
            <w:r>
              <w:rPr>
                <w:color w:val="1C3A36"/>
                <w:sz w:val="14"/>
              </w:rPr>
              <w:t>the study took the lower value</w:t>
            </w:r>
          </w:p>
        </w:tc>
      </w:tr>
    </w:tbl>
    <w:p>
      <w:pPr>
        <w:spacing w:after="40"/>
      </w:pPr>
    </w:p>
    <w:p>
      <w:pPr>
        <w:spacing w:after="80" w:before="200"/>
      </w:pPr>
      <w:r>
        <w:rPr>
          <w:b/>
          <w:i w:val="0"/>
          <w:color w:val="1C3A36"/>
          <w:sz w:val="23"/>
        </w:rPr>
        <w:t>The judgement this study does NOT resolve — and why it is not in the table above</w:t>
      </w:r>
    </w:p>
    <w:p>
      <w:pPr>
        <w:spacing w:after="100" w:before="0"/>
      </w:pPr>
      <w:r>
        <w:rPr>
          <w:b w:val="0"/>
          <w:i w:val="0"/>
          <w:color w:val="1C3A36"/>
          <w:sz w:val="19"/>
        </w:rPr>
        <w:t>One fork dominates every other and the study does not take a side on it: the basis on which GB Corp’s interest in MNT-Halan is carried. Both values below are the company’s own disclosures about one holding, and the filings do not choose between them. A sign test measures WHICH WAY a study resolved its forks, so recording an unresolved one in it would manufacture a count in whichever direction the two happened to sit; it is recorded here in full instead.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3744"/>
        <w:gridCol w:w="5544"/>
      </w:tblGrid>
      <w:tr>
        <w:tc>
          <w:tcPr>
            <w:tcW w:type="dxa" w:w="2232"/>
            <w:shd w:val="clear" w:color="auto" w:fill="EAF0EE"/>
          </w:tcPr>
          <w:p>
            <w:pPr>
              <w:spacing w:after="20"/>
            </w:pPr>
            <w:r>
              <w:rPr>
                <w:b/>
                <w:color w:val="1C3A36"/>
                <w:sz w:val="14"/>
              </w:rPr>
              <w:t>Basis</w:t>
            </w:r>
          </w:p>
        </w:tc>
        <w:tc>
          <w:tcPr>
            <w:tcW w:type="dxa" w:w="1224"/>
            <w:shd w:val="clear" w:color="auto" w:fill="EAF0EE"/>
          </w:tcPr>
          <w:p>
            <w:pPr>
              <w:spacing w:after="20"/>
            </w:pPr>
            <w:r>
              <w:rPr>
                <w:b/>
                <w:color w:val="1C3A36"/>
                <w:sz w:val="14"/>
              </w:rPr>
              <w:t>The mark (EGP mn)</w:t>
            </w:r>
          </w:p>
        </w:tc>
        <w:tc>
          <w:tcPr>
            <w:tcW w:type="dxa" w:w="1224"/>
            <w:shd w:val="clear" w:color="auto" w:fill="EAF0EE"/>
          </w:tcPr>
          <w:p>
            <w:pPr>
              <w:spacing w:after="20"/>
            </w:pPr>
            <w:r>
              <w:rPr>
                <w:b/>
                <w:color w:val="1C3A36"/>
                <w:sz w:val="14"/>
              </w:rPr>
              <w:t>Answer (EGP/share)</w:t>
            </w:r>
          </w:p>
        </w:tc>
        <w:tc>
          <w:tcPr>
            <w:tcW w:type="dxa" w:w="3744"/>
            <w:shd w:val="clear" w:color="auto" w:fill="EAF0EE"/>
          </w:tcPr>
          <w:p>
            <w:pPr>
              <w:spacing w:after="20"/>
            </w:pPr>
            <w:r>
              <w:rPr>
                <w:b/>
                <w:color w:val="1C3A36"/>
                <w:sz w:val="14"/>
              </w:rPr>
              <w:t>What it is</w:t>
            </w:r>
          </w:p>
        </w:tc>
        <w:tc>
          <w:tcPr>
            <w:tcW w:type="dxa" w:w="5544"/>
            <w:shd w:val="clear" w:color="auto" w:fill="EAF0EE"/>
          </w:tcPr>
          <w:p>
            <w:pPr>
              <w:spacing w:after="20"/>
            </w:pPr>
            <w:r>
              <w:rPr>
                <w:b/>
                <w:color w:val="1C3A36"/>
                <w:sz w:val="14"/>
              </w:rPr>
              <w:t>What is said against it</w:t>
            </w:r>
          </w:p>
        </w:tc>
      </w:tr>
      <w:tr>
        <w:tc>
          <w:tcPr>
            <w:tcW w:type="dxa" w:w="2232"/>
          </w:tcPr>
          <w:p>
            <w:pPr>
              <w:spacing w:after="20"/>
            </w:pPr>
            <w:r>
              <w:rPr>
                <w:color w:val="1C3A36"/>
                <w:sz w:val="14"/>
              </w:rPr>
              <w:t>MNT-Halan at the June-2026 round price</w:t>
            </w:r>
          </w:p>
        </w:tc>
        <w:tc>
          <w:tcPr>
            <w:tcW w:type="dxa" w:w="1224"/>
          </w:tcPr>
          <w:p>
            <w:pPr>
              <w:spacing w:after="20"/>
            </w:pPr>
            <w:r>
              <w:rPr>
                <w:color w:val="1C3A36"/>
                <w:sz w:val="14"/>
              </w:rPr>
              <w:t>27,670.7</w:t>
            </w:r>
          </w:p>
        </w:tc>
        <w:tc>
          <w:tcPr>
            <w:tcW w:type="dxa" w:w="1224"/>
          </w:tcPr>
          <w:p>
            <w:pPr>
              <w:spacing w:after="20"/>
            </w:pPr>
            <w:r>
              <w:rPr>
                <w:color w:val="1C3A36"/>
                <w:sz w:val="14"/>
              </w:rPr>
              <w:t>52.3453</w:t>
            </w:r>
          </w:p>
        </w:tc>
        <w:tc>
          <w:tcPr>
            <w:tcW w:type="dxa" w:w="3744"/>
          </w:tcPr>
          <w:p>
            <w:pPr>
              <w:spacing w:after="20"/>
            </w:pPr>
            <w:r>
              <w:rPr>
                <w:color w:val="1C3A36"/>
                <w:sz w:val="14"/>
              </w:rPr>
              <w:t>41.61% of the USD 1.4bn primary round completed with Al Ahly Capital Holding, translated at EGP 47.5</w:t>
            </w:r>
          </w:p>
        </w:tc>
        <w:tc>
          <w:tcPr>
            <w:tcW w:type="dxa" w:w="5544"/>
          </w:tcPr>
          <w:p>
            <w:pPr>
              <w:spacing w:after="20"/>
            </w:pPr>
            <w:r>
              <w:rPr>
                <w:color w:val="1C3A36"/>
                <w:sz w:val="14"/>
              </w:rPr>
              <w:t>a primary round's headline valuation prices NEW money with whatever preferences ride with it, and GB Corp holds an ordinary equity-accounted minority in an unlisted company. It is a mark, not a realisable price.</w:t>
            </w:r>
          </w:p>
        </w:tc>
      </w:tr>
      <w:tr>
        <w:tc>
          <w:tcPr>
            <w:tcW w:type="dxa" w:w="2232"/>
          </w:tcPr>
          <w:p>
            <w:pPr>
              <w:spacing w:after="20"/>
            </w:pPr>
            <w:r>
              <w:rPr>
                <w:color w:val="1C3A36"/>
                <w:sz w:val="14"/>
              </w:rPr>
              <w:t>MNT-Halan at its reviewed carrying value</w:t>
            </w:r>
          </w:p>
        </w:tc>
        <w:tc>
          <w:tcPr>
            <w:tcW w:type="dxa" w:w="1224"/>
          </w:tcPr>
          <w:p>
            <w:pPr>
              <w:spacing w:after="20"/>
            </w:pPr>
            <w:r>
              <w:rPr>
                <w:color w:val="1C3A36"/>
                <w:sz w:val="14"/>
              </w:rPr>
              <w:t>15,733.5</w:t>
            </w:r>
          </w:p>
        </w:tc>
        <w:tc>
          <w:tcPr>
            <w:tcW w:type="dxa" w:w="1224"/>
          </w:tcPr>
          <w:p>
            <w:pPr>
              <w:spacing w:after="20"/>
            </w:pPr>
            <w:r>
              <w:rPr>
                <w:color w:val="1C3A36"/>
                <w:sz w:val="14"/>
              </w:rPr>
              <w:t>41.3484</w:t>
            </w:r>
          </w:p>
        </w:tc>
        <w:tc>
          <w:tcPr>
            <w:tcW w:type="dxa" w:w="3744"/>
          </w:tcPr>
          <w:p>
            <w:pPr>
              <w:spacing w:after="20"/>
            </w:pPr>
            <w:r>
              <w:rPr>
                <w:color w:val="1C3A36"/>
                <w:sz w:val="14"/>
              </w:rPr>
              <w:t>note 34 to the reviewed consolidated interim statements at 30 June 2026, EGP 15,733,523 thousand, footing to that balance sheet's own associates line</w:t>
            </w:r>
          </w:p>
        </w:tc>
        <w:tc>
          <w:tcPr>
            <w:tcW w:type="dxa" w:w="5544"/>
          </w:tcPr>
          <w:p>
            <w:pPr>
              <w:spacing w:after="20"/>
            </w:pPr>
            <w:r>
              <w:rPr>
                <w:color w:val="1C3A36"/>
                <w:sz w:val="14"/>
              </w:rPr>
              <w:t>it is an ACCOUNTING measure — cost plus accumulated share of profit plus the revaluation on deconsolidation — and book is a floor rather than a value. AND IT IS ITSELF QUALIFIED: the review conclusion on these statements is qualified precisely here, the reviewers not having been given the associate's own financial statements and being unable to verify the group's EGP 409.9mn share of profit for the period.</w:t>
            </w:r>
          </w:p>
        </w:tc>
      </w:tr>
    </w:tbl>
    <w:p>
      <w:pPr>
        <w:spacing w:after="40"/>
      </w:pPr>
    </w:p>
    <w:p>
      <w:pPr>
        <w:spacing w:after="100" w:before="0"/>
      </w:pPr>
      <w:r>
        <w:rPr>
          <w:b w:val="0"/>
          <w:i w:val="0"/>
          <w:color w:val="1C3A36"/>
          <w:sz w:val="19"/>
        </w:rPr>
        <w:t>The spread between them is EGP 11,937.1 mn, 21.0% of the higher answer. Averaging the two would be a number neither disclosure supports, and a discount standing in for the uncertainty would be a parameter with nothing observable behind it. The uncertainty is in this line and it is published as this line.</w:t>
      </w:r>
    </w:p>
    <w:p>
      <w:pPr>
        <w:spacing w:after="80" w:before="200"/>
      </w:pPr>
      <w:r>
        <w:rPr>
          <w:b/>
          <w:i w:val="0"/>
          <w:color w:val="1C3A36"/>
          <w:sz w:val="23"/>
        </w:rPr>
        <w:t>Named and deliberately NOT priced</w:t>
      </w:r>
    </w:p>
    <w:p>
      <w:pPr>
        <w:spacing w:after="100" w:before="0"/>
      </w:pPr>
      <w:r>
        <w:rPr>
          <w:b w:val="0"/>
          <w:i w:val="0"/>
          <w:color w:val="1C3A36"/>
          <w:sz w:val="19"/>
        </w:rPr>
        <w:t>Three things bear on the answer and carry no number in it. Each is named with the reason a number was not invented for it, because an absence a reader cannot see is the same as an absence nobody noticed.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744"/>
        <w:gridCol w:w="4752"/>
        <w:gridCol w:w="2952"/>
      </w:tblGrid>
      <w:tr>
        <w:tc>
          <w:tcPr>
            <w:tcW w:type="dxa" w:w="2520"/>
            <w:shd w:val="clear" w:color="auto" w:fill="EAF0EE"/>
          </w:tcPr>
          <w:p>
            <w:pPr>
              <w:spacing w:after="20"/>
            </w:pPr>
            <w:r>
              <w:rPr>
                <w:b/>
                <w:color w:val="1C3A36"/>
                <w:sz w:val="14"/>
              </w:rPr>
              <w:t>What</w:t>
            </w:r>
          </w:p>
        </w:tc>
        <w:tc>
          <w:tcPr>
            <w:tcW w:type="dxa" w:w="3744"/>
            <w:shd w:val="clear" w:color="auto" w:fill="EAF0EE"/>
          </w:tcPr>
          <w:p>
            <w:pPr>
              <w:spacing w:after="20"/>
            </w:pPr>
            <w:r>
              <w:rPr>
                <w:b/>
                <w:color w:val="1C3A36"/>
                <w:sz w:val="14"/>
              </w:rPr>
              <w:t>What it is</w:t>
            </w:r>
          </w:p>
        </w:tc>
        <w:tc>
          <w:tcPr>
            <w:tcW w:type="dxa" w:w="4752"/>
            <w:shd w:val="clear" w:color="auto" w:fill="EAF0EE"/>
          </w:tcPr>
          <w:p>
            <w:pPr>
              <w:spacing w:after="20"/>
            </w:pPr>
            <w:r>
              <w:rPr>
                <w:b/>
                <w:color w:val="1C3A36"/>
                <w:sz w:val="14"/>
              </w:rPr>
              <w:t>Why it carries no number</w:t>
            </w:r>
          </w:p>
        </w:tc>
        <w:tc>
          <w:tcPr>
            <w:tcW w:type="dxa" w:w="2952"/>
            <w:shd w:val="clear" w:color="auto" w:fill="EAF0EE"/>
          </w:tcPr>
          <w:p>
            <w:pPr>
              <w:spacing w:after="20"/>
            </w:pPr>
            <w:r>
              <w:rPr>
                <w:b/>
                <w:color w:val="1C3A36"/>
                <w:sz w:val="14"/>
              </w:rPr>
              <w:t>Direction if it were priced</w:t>
            </w:r>
          </w:p>
        </w:tc>
      </w:tr>
      <w:tr>
        <w:tc>
          <w:tcPr>
            <w:tcW w:type="dxa" w:w="2520"/>
          </w:tcPr>
          <w:p>
            <w:pPr>
              <w:spacing w:after="20"/>
            </w:pPr>
            <w:r>
              <w:rPr>
                <w:color w:val="1C3A36"/>
                <w:sz w:val="14"/>
              </w:rPr>
              <w:t>the second closing of the MNT-Halan round</w:t>
            </w:r>
          </w:p>
        </w:tc>
        <w:tc>
          <w:tcPr>
            <w:tcW w:type="dxa" w:w="3744"/>
          </w:tcPr>
          <w:p>
            <w:pPr>
              <w:spacing w:after="20"/>
            </w:pPr>
            <w:r>
              <w:rPr>
                <w:color w:val="1C3A36"/>
                <w:sz w:val="14"/>
              </w:rPr>
              <w:t>public reporting describes the June-2026 close as an initial tranche of an ongoing round, with a second closing open</w:t>
            </w:r>
          </w:p>
        </w:tc>
        <w:tc>
          <w:tcPr>
            <w:tcW w:type="dxa" w:w="4752"/>
          </w:tcPr>
          <w:p>
            <w:pPr>
              <w:spacing w:after="20"/>
            </w:pPr>
            <w:r>
              <w:rPr>
                <w:color w:val="1C3A36"/>
                <w:sz w:val="14"/>
              </w:rPr>
              <w:t>size and terms are undisclosed, so neither framing has a number behind it. this house’s rule on missing inputs: stop rather than invent.</w:t>
            </w:r>
          </w:p>
        </w:tc>
        <w:tc>
          <w:tcPr>
            <w:tcW w:type="dxa" w:w="2952"/>
          </w:tcPr>
          <w:p>
            <w:pPr>
              <w:spacing w:after="20"/>
            </w:pPr>
            <w:r>
              <w:rPr>
                <w:color w:val="1C3A36"/>
                <w:sz w:val="14"/>
              </w:rPr>
              <w:t>unknown — a second close could reprice the round either way</w:t>
            </w:r>
          </w:p>
        </w:tc>
      </w:tr>
      <w:tr>
        <w:tc>
          <w:tcPr>
            <w:tcW w:type="dxa" w:w="2520"/>
          </w:tcPr>
          <w:p>
            <w:pPr>
              <w:spacing w:after="20"/>
            </w:pPr>
            <w:r>
              <w:rPr>
                <w:color w:val="1C3A36"/>
                <w:sz w:val="14"/>
              </w:rPr>
              <w:t>the currency the dollar round is translated at</w:t>
            </w:r>
          </w:p>
        </w:tc>
        <w:tc>
          <w:tcPr>
            <w:tcW w:type="dxa" w:w="3744"/>
          </w:tcPr>
          <w:p>
            <w:pPr>
              <w:spacing w:after="20"/>
            </w:pPr>
            <w:r>
              <w:rPr>
                <w:color w:val="1C3A36"/>
                <w:sz w:val="14"/>
              </w:rPr>
              <w:t>the round is translated at the house macro path's own EGP/USD 47.5, the rate at the strike</w:t>
            </w:r>
          </w:p>
        </w:tc>
        <w:tc>
          <w:tcPr>
            <w:tcW w:type="dxa" w:w="4752"/>
          </w:tcPr>
          <w:p>
            <w:pPr>
              <w:spacing w:after="20"/>
            </w:pPr>
            <w:r>
              <w:rPr>
                <w:color w:val="1C3A36"/>
                <w:sz w:val="14"/>
              </w:rPr>
              <w:t>translating at a later rate is a change of strike date rather than an alternative framing of a judgement, and this record prices framings. It is named here so its absence is visible. It moves the ROUND branch only; the carrying branch is a pound figure off a pound balance sheet and does not move with it at all.</w:t>
            </w:r>
          </w:p>
        </w:tc>
        <w:tc>
          <w:tcPr>
            <w:tcW w:type="dxa" w:w="2952"/>
          </w:tcPr>
          <w:p>
            <w:pPr>
              <w:spacing w:after="20"/>
            </w:pPr>
            <w:r>
              <w:rPr>
                <w:color w:val="1C3A36"/>
                <w:sz w:val="14"/>
              </w:rPr>
              <w:t>UP on the round branch if the pound is weaker at a later date, DOWN if stronger; no effect on the carrying branch</w:t>
            </w:r>
          </w:p>
        </w:tc>
      </w:tr>
      <w:tr>
        <w:tc>
          <w:tcPr>
            <w:tcW w:type="dxa" w:w="2520"/>
          </w:tcPr>
          <w:p>
            <w:pPr>
              <w:spacing w:after="20"/>
            </w:pPr>
            <w:r>
              <w:rPr>
                <w:color w:val="1C3A36"/>
                <w:sz w:val="14"/>
              </w:rPr>
              <w:t>the qualification on the reviewers' conclusion</w:t>
            </w:r>
          </w:p>
        </w:tc>
        <w:tc>
          <w:tcPr>
            <w:tcW w:type="dxa" w:w="3744"/>
          </w:tcPr>
          <w:p>
            <w:pPr>
              <w:spacing w:after="20"/>
            </w:pPr>
            <w:r>
              <w:rPr>
                <w:color w:val="1C3A36"/>
                <w:sz w:val="14"/>
              </w:rPr>
              <w:t>the limited-review conclusion on the 30-June-2026 statements is qualified at the associate line itself, the same qualification having stood on the 31-December-2025 audited statements</w:t>
            </w:r>
          </w:p>
        </w:tc>
        <w:tc>
          <w:tcPr>
            <w:tcW w:type="dxa" w:w="4752"/>
          </w:tcPr>
          <w:p>
            <w:pPr>
              <w:spacing w:after="20"/>
            </w:pPr>
            <w:r>
              <w:rPr>
                <w:color w:val="1C3A36"/>
                <w:sz w:val="14"/>
              </w:rPr>
              <w:t>there is no second number to price it against — a qualification says a figure could not be verified, not what it should have been. It is recorded because it is the reason the lower branch is not a safe harbour, which a reader would otherwise assume of a book figure.</w:t>
            </w:r>
          </w:p>
        </w:tc>
        <w:tc>
          <w:tcPr>
            <w:tcW w:type="dxa" w:w="2952"/>
          </w:tcPr>
          <w:p>
            <w:pPr>
              <w:spacing w:after="20"/>
            </w:pPr>
            <w:r>
              <w:rPr>
                <w:color w:val="1C3A36"/>
                <w:sz w:val="14"/>
              </w:rPr>
              <w:t>unknown, and that is the point of a qualification</w:t>
            </w:r>
          </w:p>
        </w:tc>
      </w:tr>
    </w:tbl>
    <w:p>
      <w:pPr>
        <w:spacing w:after="40"/>
      </w:pPr>
    </w:p>
    <w:p>
      <w:pPr>
        <w:spacing w:after="80" w:before="200"/>
      </w:pPr>
      <w:r>
        <w:rPr>
          <w:b/>
          <w:i w:val="0"/>
          <w:color w:val="1C3A36"/>
          <w:sz w:val="23"/>
        </w:rPr>
        <w:t>Constructions the superseded edition carried, and why they are not judgements</w:t>
      </w:r>
    </w:p>
    <w:p>
      <w:pPr>
        <w:spacing w:after="100" w:before="0"/>
      </w:pPr>
      <w:r>
        <w:rPr>
          <w:b w:val="0"/>
          <w:i w:val="0"/>
          <w:color w:val="1C3A36"/>
          <w:sz w:val="19"/>
        </w:rPr>
        <w:t>Four constructions were removed from this study rather than re-argued. They are listed because a removed construction that goes unrecorded looks like a construction that was never there — and because listing them one-sided would be its own distortion: of the three that can still be priced, counting them would add one upward and two downward.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88"/>
        <w:gridCol w:w="5184"/>
        <w:gridCol w:w="2736"/>
      </w:tblGrid>
      <w:tr>
        <w:tc>
          <w:tcPr>
            <w:tcW w:type="dxa" w:w="2160"/>
            <w:shd w:val="clear" w:color="auto" w:fill="EAF0EE"/>
          </w:tcPr>
          <w:p>
            <w:pPr>
              <w:spacing w:after="20"/>
            </w:pPr>
            <w:r>
              <w:rPr>
                <w:b/>
                <w:color w:val="1C3A36"/>
                <w:sz w:val="14"/>
              </w:rPr>
              <w:t>What it was</w:t>
            </w:r>
          </w:p>
        </w:tc>
        <w:tc>
          <w:tcPr>
            <w:tcW w:type="dxa" w:w="3888"/>
            <w:shd w:val="clear" w:color="auto" w:fill="EAF0EE"/>
          </w:tcPr>
          <w:p>
            <w:pPr>
              <w:spacing w:after="20"/>
            </w:pPr>
            <w:r>
              <w:rPr>
                <w:b/>
                <w:color w:val="1C3A36"/>
                <w:sz w:val="14"/>
              </w:rPr>
              <w:t>What the superseded edition did</w:t>
            </w:r>
          </w:p>
        </w:tc>
        <w:tc>
          <w:tcPr>
            <w:tcW w:type="dxa" w:w="5184"/>
            <w:shd w:val="clear" w:color="auto" w:fill="EAF0EE"/>
          </w:tcPr>
          <w:p>
            <w:pPr>
              <w:spacing w:after="20"/>
            </w:pPr>
            <w:r>
              <w:rPr>
                <w:b/>
                <w:color w:val="1C3A36"/>
                <w:sz w:val="14"/>
              </w:rPr>
              <w:t>Why it is not an alternative framing</w:t>
            </w:r>
          </w:p>
        </w:tc>
        <w:tc>
          <w:tcPr>
            <w:tcW w:type="dxa" w:w="2736"/>
            <w:shd w:val="clear" w:color="auto" w:fill="EAF0EE"/>
          </w:tcPr>
          <w:p>
            <w:pPr>
              <w:spacing w:after="20"/>
            </w:pPr>
            <w:r>
              <w:rPr>
                <w:b/>
                <w:color w:val="1C3A36"/>
                <w:sz w:val="14"/>
              </w:rPr>
              <w:t>Direction if counted</w:t>
            </w:r>
          </w:p>
        </w:tc>
      </w:tr>
      <w:tr>
        <w:tc>
          <w:tcPr>
            <w:tcW w:type="dxa" w:w="2160"/>
          </w:tcPr>
          <w:p>
            <w:pPr>
              <w:spacing w:after="20"/>
            </w:pPr>
            <w:r>
              <w:rPr>
                <w:color w:val="1C3A36"/>
                <w:sz w:val="14"/>
              </w:rPr>
              <w:t>the four-lens weighted blend</w:t>
            </w:r>
          </w:p>
        </w:tc>
        <w:tc>
          <w:tcPr>
            <w:tcW w:type="dxa" w:w="3888"/>
          </w:tcPr>
          <w:p>
            <w:pPr>
              <w:spacing w:after="20"/>
            </w:pPr>
            <w:r>
              <w:rPr>
                <w:color w:val="1C3A36"/>
                <w:sz w:val="14"/>
              </w:rPr>
              <w:t>the superseded edition published a central weighting the sum of the parts, the undiscounted sum, a relative multiple and a normalised earnings figure at 40/15/20/25</w:t>
            </w:r>
          </w:p>
        </w:tc>
        <w:tc>
          <w:tcPr>
            <w:tcW w:type="dxa" w:w="5184"/>
          </w:tcPr>
          <w:p>
            <w:pPr>
              <w:spacing w:after="20"/>
            </w:pPr>
            <w:r>
              <w:rPr>
                <w:color w:val="1C3A36"/>
                <w:sz w:val="14"/>
              </w:rPr>
              <w:t>retired the typed blend outright — the weights had never cleared any out-of-sample test and two of the four lenses do not touch the largest asset on the page. That is a retired ARCHITECTURE rather than a defensible alternative framing, and pricing it here would launder it back in as a judgement. It is also not priceable under the current model, because one of the lenses it weighted no longer exists.</w:t>
            </w:r>
          </w:p>
        </w:tc>
        <w:tc>
          <w:tcPr>
            <w:tcW w:type="dxa" w:w="2736"/>
          </w:tcPr>
          <w:p>
            <w:pPr>
              <w:spacing w:after="20"/>
            </w:pPr>
            <w:r>
              <w:rPr>
                <w:color w:val="1C3A36"/>
                <w:sz w:val="14"/>
              </w:rPr>
              <w:t>not computable — the model can no longer express it</w:t>
            </w:r>
          </w:p>
        </w:tc>
      </w:tr>
      <w:tr>
        <w:tc>
          <w:tcPr>
            <w:tcW w:type="dxa" w:w="2160"/>
          </w:tcPr>
          <w:p>
            <w:pPr>
              <w:spacing w:after="20"/>
            </w:pPr>
            <w:r>
              <w:rPr>
                <w:color w:val="1C3A36"/>
                <w:sz w:val="14"/>
              </w:rPr>
              <w:t>the normalised-earnings lens</w:t>
            </w:r>
          </w:p>
        </w:tc>
        <w:tc>
          <w:tcPr>
            <w:tcW w:type="dxa" w:w="3888"/>
          </w:tcPr>
          <w:p>
            <w:pPr>
              <w:spacing w:after="20"/>
            </w:pPr>
            <w:r>
              <w:rPr>
                <w:color w:val="1C3A36"/>
                <w:sz w:val="14"/>
              </w:rPr>
              <w:t>the superseded edition carried a mid-cycle group profit capitalised at a through-cycle multiple, at 25% of the blend</w:t>
            </w:r>
          </w:p>
        </w:tc>
        <w:tc>
          <w:tcPr>
            <w:tcW w:type="dxa" w:w="5184"/>
          </w:tcPr>
          <w:p>
            <w:pPr>
              <w:spacing w:after="20"/>
            </w:pPr>
            <w:r>
              <w:rPr>
                <w:color w:val="1C3A36"/>
                <w:sz w:val="14"/>
              </w:rPr>
              <w:t>the class row for an automotive assembler with a captive lender does not carry it, and normalising earnings that swing on associate marks normalises noise. A lens the class does not permit is not an alternative framing of anything.</w:t>
            </w:r>
          </w:p>
        </w:tc>
        <w:tc>
          <w:tcPr>
            <w:tcW w:type="dxa" w:w="2736"/>
          </w:tcPr>
          <w:p>
            <w:pPr>
              <w:spacing w:after="20"/>
            </w:pPr>
            <w:r>
              <w:rPr>
                <w:color w:val="1C3A36"/>
                <w:sz w:val="14"/>
              </w:rPr>
              <w:t>not computable — the lens is gone</w:t>
            </w:r>
          </w:p>
        </w:tc>
      </w:tr>
      <w:tr>
        <w:tc>
          <w:tcPr>
            <w:tcW w:type="dxa" w:w="2160"/>
          </w:tcPr>
          <w:p>
            <w:pPr>
              <w:spacing w:after="20"/>
            </w:pPr>
            <w:r>
              <w:rPr>
                <w:color w:val="1C3A36"/>
                <w:sz w:val="14"/>
              </w:rPr>
              <w:t>the complexity / conglomerate discount</w:t>
            </w:r>
          </w:p>
        </w:tc>
        <w:tc>
          <w:tcPr>
            <w:tcW w:type="dxa" w:w="3888"/>
          </w:tcPr>
          <w:p>
            <w:pPr>
              <w:spacing w:after="20"/>
            </w:pPr>
            <w:r>
              <w:rPr>
                <w:color w:val="1C3A36"/>
                <w:sz w:val="14"/>
              </w:rPr>
              <w:t>the superseded edition deducted a typed 10% from the sum of the parts and then weighted the discounted and undiscounted sums at 0.40 and 0.15, which applies an effective 4%</w:t>
            </w:r>
          </w:p>
        </w:tc>
        <w:tc>
          <w:tcPr>
            <w:tcW w:type="dxa" w:w="5184"/>
          </w:tcPr>
          <w:p>
            <w:pPr>
              <w:spacing w:after="20"/>
            </w:pPr>
            <w:r>
              <w:rPr>
                <w:color w:val="1C3A36"/>
                <w:sz w:val="14"/>
              </w:rPr>
              <w:t>both figures are free parameters with nothing observable behind them and nothing in GB Corp's filings discloses a basis for either, so the this house’s bar on untested parameters forbids them. The old record priced this fork AND the question of where the discount was applied, which is a second judgement built on the first. What the discount was standing in for is now named instead — the uncertainty is in the associate mark and is published as two branches. Counting a removed free parameter as a judgement the study won would add an UPWARD count for a correction, which is exactly the laundering this list exists to refuse.</w:t>
            </w:r>
          </w:p>
        </w:tc>
        <w:tc>
          <w:tcPr>
            <w:tcW w:type="dxa" w:w="2736"/>
          </w:tcPr>
          <w:p>
            <w:pPr>
              <w:spacing w:after="20"/>
            </w:pPr>
            <w:r>
              <w:rPr>
                <w:color w:val="1C3A36"/>
                <w:sz w:val="14"/>
              </w:rPr>
              <w:t>UP, and material: reinstating the 10% would take both branches down by that 10%</w:t>
            </w:r>
          </w:p>
        </w:tc>
      </w:tr>
      <w:tr>
        <w:tc>
          <w:tcPr>
            <w:tcW w:type="dxa" w:w="2160"/>
          </w:tcPr>
          <w:p>
            <w:pPr>
              <w:spacing w:after="20"/>
            </w:pPr>
            <w:r>
              <w:rPr>
                <w:color w:val="1C3A36"/>
                <w:sz w:val="14"/>
              </w:rPr>
              <w:t>GB Capital carried at 1.0x book</w:t>
            </w:r>
          </w:p>
        </w:tc>
        <w:tc>
          <w:tcPr>
            <w:tcW w:type="dxa" w:w="3888"/>
          </w:tcPr>
          <w:p>
            <w:pPr>
              <w:spacing w:after="20"/>
            </w:pPr>
            <w:r>
              <w:rPr>
                <w:color w:val="1C3A36"/>
                <w:sz w:val="14"/>
              </w:rPr>
              <w:t>the superseded edition carried the lender at an adjusted operating book times a multiple of exactly one</w:t>
            </w:r>
          </w:p>
        </w:tc>
        <w:tc>
          <w:tcPr>
            <w:tcW w:type="dxa" w:w="5184"/>
          </w:tcPr>
          <w:p>
            <w:pPr>
              <w:spacing w:after="20"/>
            </w:pPr>
            <w:r>
              <w:rPr>
                <w:color w:val="1C3A36"/>
                <w:sz w:val="14"/>
              </w:rPr>
              <w:t>is explicit that book value is a disclosed FLOOR and is never weighted into an answer, so a leg carried at 1.0x book is book value wearing a sum-of-the-parts entry's clothes. The base was also the company's own adjusted-ROAE denominator, which is justified by earnings that include associate income the sum of the parts then counts AGAIN at the round price — the cash charged twice, in a lender's costume. A prohibited construction is not an alternative framing.</w:t>
            </w:r>
          </w:p>
        </w:tc>
        <w:tc>
          <w:tcPr>
            <w:tcW w:type="dxa" w:w="2736"/>
          </w:tcPr>
          <w:p>
            <w:pPr>
              <w:spacing w:after="20"/>
            </w:pPr>
            <w:r>
              <w:rPr>
                <w:color w:val="1C3A36"/>
                <w:sz w:val="14"/>
              </w:rPr>
              <w:t>DOWN — correcting it CUT this leg. At 1.0x the committed operating book of EGP 6267.3 mn the leg would be worth EGP 4611.7 mn more, EGP 4.25 a share on both branches, so counting it would add a downward count</w:t>
            </w:r>
          </w:p>
        </w:tc>
      </w:tr>
      <w:tr>
        <w:tc>
          <w:tcPr>
            <w:tcW w:type="dxa" w:w="2160"/>
          </w:tcPr>
          <w:p>
            <w:pPr>
              <w:spacing w:after="20"/>
            </w:pPr>
            <w:r>
              <w:rPr>
                <w:color w:val="1C3A36"/>
                <w:sz w:val="14"/>
              </w:rPr>
              <w:t>the terminal growth rate</w:t>
            </w:r>
          </w:p>
        </w:tc>
        <w:tc>
          <w:tcPr>
            <w:tcW w:type="dxa" w:w="3888"/>
          </w:tcPr>
          <w:p>
            <w:pPr>
              <w:spacing w:after="20"/>
            </w:pPr>
            <w:r>
              <w:rPr>
                <w:color w:val="1C3A36"/>
                <w:sz w:val="14"/>
              </w:rPr>
              <w:t>the superseded edition held a typed nominal 11.5% for ever; the rebuild stores growth as a REAL rate on the house Egyptian path and recomputes it to 7.0% nominal</w:t>
            </w:r>
          </w:p>
        </w:tc>
        <w:tc>
          <w:tcPr>
            <w:tcW w:type="dxa" w:w="5184"/>
          </w:tcPr>
          <w:p>
            <w:pPr>
              <w:spacing w:after="20"/>
            </w:pPr>
            <w:r>
              <w:rPr>
                <w:color w:val="1C3A36"/>
                <w:sz w:val="14"/>
              </w:rPr>
              <w:t>this house's standing method forbids a typed nominal rate outright, because nobody can tell whether 11.5% meant inflation plus four points or minus three, and a terminal growth above the inflation inside the terminal discount rate is a perpetual real expansion nothing discloses. An unfalsifiable input is not a defensible framing. IT IS LISTED HERE WITH ITS DIRECTION BECAUSE THIS LIST MUST NOT BE ONE-SIDED: three of the corrections excluded from the signed list are priceable, and if they were counted they would add one upward and two downward.</w:t>
            </w:r>
          </w:p>
        </w:tc>
        <w:tc>
          <w:tcPr>
            <w:tcW w:type="dxa" w:w="2736"/>
          </w:tcPr>
          <w:p>
            <w:pPr>
              <w:spacing w:after="20"/>
            </w:pPr>
            <w:r>
              <w:rPr>
                <w:color w:val="1C3A36"/>
                <w:sz w:val="14"/>
              </w:rPr>
              <w:t>DOWN, and by more than anything in the signed list — the superseded nominal is worth 141% more on the carrying branch</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4 material judgements the study took the higher-value side on 3 and the lower on 1, a two-sided test of 0.625. That is not flagged at the 5% level. It is measured, not claimed, and a study is FLAGGED by it rather than failed — a company can genuinely deserve a consistent read. THE FORK IT DOES NOT COVER IS THE LARGEST IN THE STUDY: the basis of the associate mark is not resolved at all, so it is deliberately outside a test that measures which way forks were resolved.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the question does not arise, because this edition publishes no blended central at all: one lens is the answer and the others are printed beside it.</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this house’s list of unfinished business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walk-forward targets as long a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in the walk-forward’s valuation-input block,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 on either basis</w:t>
            </w:r>
          </w:p>
        </w:tc>
        <w:tc>
          <w:tcPr>
            <w:tcW w:type="dxa" w:w="4248"/>
          </w:tcPr>
          <w:p>
            <w:pPr>
              <w:spacing w:after="20"/>
            </w:pPr>
            <w:r>
              <w:rPr>
                <w:color w:val="1C3A36"/>
                <w:sz w:val="15"/>
              </w:rPr>
              <w:t>NOT AVAILABLE TO THE REVIEWERS EITHER, in both of the most recent periods. The limited review of the 30 June 2026 statements reaches a QUALIFIED conclusion at this line — the reviewers were not provided with that company’s statements and were unable to verify the group’s EGP 409.9 mn share of its profits for the period — and the same qualification stood on the 31 December 2025 audited statements</w:t>
            </w:r>
          </w:p>
        </w:tc>
        <w:tc>
          <w:tcPr>
            <w:tcW w:type="dxa" w:w="3672"/>
          </w:tcPr>
          <w:p>
            <w:pPr>
              <w:spacing w:after="20"/>
            </w:pPr>
            <w:r>
              <w:rPr>
                <w:color w:val="1C3A36"/>
                <w:sz w:val="15"/>
              </w:rPr>
              <w:t>Disclosed in this register, in the study’s caveats and in its disclosure section. It is the reason the LOWER of the two published answers is not treated as a safe harbour, and the strongest available argument for discounting both marks.</w:t>
            </w:r>
          </w:p>
        </w:tc>
      </w:tr>
      <w:tr>
        <w:tc>
          <w:tcPr>
            <w:tcW w:type="dxa" w:w="2952"/>
          </w:tcPr>
          <w:p>
            <w:pPr>
              <w:spacing w:after="20"/>
            </w:pPr>
            <w:r>
              <w:rPr>
                <w:color w:val="1C3A36"/>
                <w:sz w:val="15"/>
              </w:rPr>
              <w:t>One ownership percentage for the MNT-Halan transaction</w:t>
            </w:r>
          </w:p>
        </w:tc>
        <w:tc>
          <w:tcPr>
            <w:tcW w:type="dxa" w:w="3240"/>
          </w:tcPr>
          <w:p>
            <w:pPr>
              <w:spacing w:after="20"/>
            </w:pPr>
            <w:r>
              <w:rPr>
                <w:color w:val="1C3A36"/>
                <w:sz w:val="15"/>
              </w:rPr>
              <w:t>The higher of the two answers applies a percentage to a round price, so the percentage is a direct multiplier on the largest line in the study</w:t>
            </w:r>
          </w:p>
        </w:tc>
        <w:tc>
          <w:tcPr>
            <w:tcW w:type="dxa" w:w="4248"/>
          </w:tcPr>
          <w:p>
            <w:pPr>
              <w:spacing w:after="20"/>
            </w:pPr>
            <w:r>
              <w:rPr>
                <w:color w:val="1C3A36"/>
                <w:sz w:val="15"/>
              </w:rPr>
              <w:t>THERE ARE TWO, AND BOTH ARE THE COMPANY’S OWN. The press release of 9 June 2026 gives 41.61% from 42.58%; note 34 to the reviewed 30 June 2026 statements and the review report both give 42.93% from 44.01% for the same transaction — most likely a different level of the structure, the intermediate holding vehicle rather than the operating group</w:t>
            </w:r>
          </w:p>
        </w:tc>
        <w:tc>
          <w:tcPr>
            <w:tcW w:type="dxa" w:w="3672"/>
          </w:tcPr>
          <w:p>
            <w:pPr>
              <w:spacing w:after="20"/>
            </w:pPr>
            <w:r>
              <w:rPr>
                <w:color w:val="1C3A36"/>
                <w:sz w:val="15"/>
              </w:rPr>
              <w:t>The study adopts the press release’s figure, because it is the one the round it is applied to was announced with, and PRINTS THE OTHER in the body rather than leaving it out. The difference is worth a little over one and a half per cent of the round-price answer and nothing at all on the other.</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clears the minimum sample, explanatory power and precision this house requires before a regression beta may be used at all. A cross-check estimator gives 0.9271. The index series used is the published EGX30, and the copy this study regressed against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22.88% in the first forecast year to a norm-built terminal of 14.18%,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applied by multiplying the point projection. THE ORIENTATION IS ACTUAL OVER FORECAST, so a band above one is a year the method came in low; a band the other way up would move a forecast in the wrong direction and the two are never assumed. The bounds are a span of past readings rather than a percentile,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hard gate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