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GB Corp S.A.E. (EGX: GBCO)</w:t>
      </w:r>
    </w:p>
    <w:p>
      <w:pPr>
        <w:spacing w:after="160" w:before="0"/>
      </w:pPr>
      <w:r>
        <w:rPr>
          <w:b w:val="0"/>
          <w:i/>
          <w:color w:val="6E7B77"/>
          <w:sz w:val="21"/>
        </w:rPr>
        <w:t>Fundamental analysis · Technical analysis · Monte Carlo simulation — one integrated read</w:t>
      </w:r>
      <w:r>
        <w:rPr>
          <w:b w:val="0"/>
          <w:i/>
          <w:color w:val="6E7B77"/>
          <w:sz w:val="21"/>
        </w:rPr>
        <w:t xml:space="preserve">   ·   edition 07-09-2026   ·   7 September 2026</w:t>
      </w:r>
    </w:p>
    <w:p>
      <w:pPr>
        <w:spacing w:after="200" w:before="0"/>
      </w:pPr>
      <w:r>
        <w:rPr>
          <w:b/>
          <w:i w:val="0"/>
          <w:color w:val="1C3A36"/>
          <w:sz w:val="19"/>
        </w:rPr>
        <w:t xml:space="preserve">Anchor: </w:t>
      </w:r>
      <w:r>
        <w:rPr>
          <w:b w:val="0"/>
          <w:i w:val="0"/>
          <w:color w:val="1C3A36"/>
          <w:sz w:val="19"/>
        </w:rPr>
        <w:t xml:space="preserve">EGP 28.98 (3 September 2026 close) · 1,085.5 mn shares · market capitalisation EGP 31.5 bn · the continuing listed entity of the former GB Auto (Ghabbour), renamed GB Corp in 2023, housing </w:t>
      </w:r>
      <w:r>
        <w:rPr>
          <w:b/>
          <w:i w:val="0"/>
          <w:color w:val="1C3A36"/>
          <w:sz w:val="19"/>
        </w:rPr>
        <w:t>GB Auto</w:t>
      </w:r>
      <w:r>
        <w:rPr>
          <w:b w:val="0"/>
          <w:i w:val="0"/>
          <w:color w:val="1C3A36"/>
          <w:sz w:val="19"/>
        </w:rPr>
        <w:t xml:space="preserve"> (passenger cars, commercial vehicles &amp; construction equipment, tires &amp; trading, light mobility; Egypt · Iraq · Jordan), </w:t>
      </w:r>
      <w:r>
        <w:rPr>
          <w:b/>
          <w:i w:val="0"/>
          <w:color w:val="1C3A36"/>
          <w:sz w:val="19"/>
        </w:rPr>
        <w:t>GB Capital</w:t>
      </w:r>
      <w:r>
        <w:rPr>
          <w:b w:val="0"/>
          <w:i w:val="0"/>
          <w:color w:val="1C3A36"/>
          <w:sz w:val="19"/>
        </w:rPr>
        <w:t xml:space="preserve"> (leasing, factoring, consumer finance, SME lending) and associate stakes led by </w:t>
      </w:r>
      <w:r>
        <w:rPr>
          <w:b/>
          <w:i w:val="0"/>
          <w:color w:val="1C3A36"/>
          <w:sz w:val="19"/>
        </w:rPr>
        <w:t>MNT-Halan</w:t>
      </w:r>
      <w:r>
        <w:rPr>
          <w:b w:val="0"/>
          <w:i w:val="0"/>
          <w:color w:val="1C3A36"/>
          <w:sz w:val="19"/>
        </w:rPr>
        <w:t xml:space="preserve"> · the price cone and the technical read are computed on the exchange library’s own last session, EGP 29.51 on 23 August 2026, and the valuation is struck on the later price above — two clocks, both dated · the valuation lens is the sum of the parts (an assembler-distributor, a captive lender and an unlisted associate, each marked on its own basis) · the basis on which that associate is marked is the whole of the disagreement in this study, and the answer is published on both.</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THIS STUDY PUBLISHES TWO ANSWERS AND NOT ONE, and that is deliberate. GB Corp’s largest single component is a minority interest in an unlisted company, and GB Corp itself puts two different numbers on it — the value carried in its own reviewed balance sheet, and the price of the funding round it announced in June 2026. The filings do not decide between them, so neither does this study: both are carried through to the end and published side by side. They are never averaged. A figure between them would be a number nobody computed.</w:t>
            </w:r>
          </w:p>
          <w:p>
            <w:pPr>
              <w:spacing w:after="100"/>
            </w:pPr>
            <w:r>
              <w:rPr>
                <w:color w:val="1C3A36"/>
                <w:sz w:val="19"/>
              </w:rPr>
              <w:t>All values are model outputs presented as ranges and distributions because no single number should be relied on. Reported financials are the company’s own disclosure — the FY2023, FY2024 and FY2025 earnings releases and the reviewed consolidated statements to 30 June 2026; forward-looking inputs — the basis for the associate mark, the mark on the lending arm, the multiples, the cash-flow model and the simulation’s factor probabilities — are the preparer’s judgments and are flagged throughout. The far forecast years are published as ranges rather than points, taken from how wrong this method has been on this company’s own history; Appendix A carries the table and the count behind each band. A note on identity: GB Corp S.A.E. is the renamed GB Auto S.A.E. (Ghabbour Auto); the EGX ticker is GBCO and the price history continues the former AUTO listing.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operating businesses are worth roughly what the whole company trades for, and everything above that is one unlisted stake nobody can price from the outside. </w:t>
      </w:r>
      <w:r>
        <w:rPr>
          <w:b w:val="0"/>
          <w:i w:val="0"/>
          <w:color w:val="1C3A36"/>
          <w:sz w:val="21"/>
        </w:rPr>
        <w:t xml:space="preserve">At EGP 28.98 the shares sit below both readings of the sum of the parts: EGP 41.35 with MNT-Halan at the value GB Corp’s own reviewed balance sheet carries it at (+43%), and EGP 52.35 with MNT-Halan at the price of the June-2026 funding round (+81%). Those two branches differ in one input and in nothing else: the auto leg, the lender and the residual associates are identical in both. Everything else in this study is agreed between them. </w:t>
      </w:r>
      <w:r>
        <w:rPr>
          <w:b w:val="0"/>
          <w:i w:val="0"/>
          <w:color w:val="1C3A36"/>
          <w:sz w:val="21"/>
        </w:rPr>
        <w:t xml:space="preserve">Take the operating businesses alone — GB Auto at its cash-flow value of EGP 28.7 bn and GB Capital at the value its own disclosed return supports — and they come to 91% of the entire traded market capitalisation before a single pound of associate value. What the price leaves for the associates is EGP 2.8 bn, against EGP 16.2 bn carried on the reviewed balance sheet. On GB Corp’s stated holding that values MNT-Halan as a whole at about US$117 mn, against the US$1,400 mn its June-2026 round was struck at and the US$796 mn the company’s own carrying value implies. The price is below both bases the company itself discloses, and not narrowly. </w:t>
      </w:r>
      <w:r>
        <w:rPr>
          <w:b w:val="0"/>
          <w:i w:val="0"/>
          <w:color w:val="1C3A36"/>
          <w:sz w:val="21"/>
        </w:rPr>
        <w:t xml:space="preserve">Read the other way round, the same gap is far less dramatic and this study says so: </w:t>
      </w:r>
      <w:r>
        <w:rPr>
          <w:b w:val="0"/>
          <w:i w:val="0"/>
          <w:color w:val="1C3A36"/>
          <w:sz w:val="21"/>
        </w:rPr>
        <w:t xml:space="preserve">ask instead what discount rate the price implies on the auto leg, holding every other line where it is published, and the answer is 31.28% against this study’s 22.88% on the round-price branch — a stretch — but only 25.71% on the carrying-value branch, which is an ordinary disagreement about the cost of capital in this market. The associate mark is the quantity the branches actually differ in; it is not the only way to read the gap. </w:t>
      </w:r>
      <w:r>
        <w:rPr>
          <w:b w:val="0"/>
          <w:i w:val="0"/>
          <w:color w:val="1C3A36"/>
          <w:sz w:val="21"/>
        </w:rPr>
        <w:t>The tape is not the counter-argument it once was. On the library’s last session the price sat below its twenty- and fifty-day averages with the oscillator at 40 and the convergence histogram negative — a stock that has come off rather than one that is extended. Over three months the simulation places the fifth-to-ninety-fifth percentile band at roughly EGP 21–45 with a median near EGP 31; that engine prices the stock’s own path and is untouched by anything above.</w:t>
      </w:r>
    </w:p>
    <w:p>
      <w:pPr>
        <w:spacing w:after="80" w:before="200"/>
      </w:pPr>
      <w:r>
        <w:rPr>
          <w:b/>
          <w:i w:val="0"/>
          <w:color w:val="1C3A36"/>
          <w:sz w:val="24"/>
        </w:rPr>
        <w:t>Valuation summary — every read at a glance</w:t>
      </w:r>
    </w:p>
    <w:p>
      <w:pPr>
        <w:spacing w:after="120" w:before="0"/>
      </w:pPr>
      <w:r>
        <w:rPr>
          <w:b w:val="0"/>
          <w:i w:val="0"/>
          <w:color w:val="1C3A36"/>
          <w:sz w:val="19"/>
        </w:rPr>
        <w:t>One table for the reads that follow. The sum of the parts is the primary lens for this class and it IS the answer; the other fundamental reads are published beside it as cross-checks and are never averaged into it. Then what the tape is doing, where price could travel over three months,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Against the price</w:t>
            </w:r>
          </w:p>
        </w:tc>
      </w:tr>
      <w:tr>
        <w:tc>
          <w:tcPr>
            <w:tcW w:type="dxa" w:w="3096"/>
            <w:shd w:val="clear" w:color="auto" w:fill="F6F1E6"/>
          </w:tcPr>
          <w:p>
            <w:pPr>
              <w:spacing w:after="20"/>
            </w:pPr>
            <w:r>
              <w:rPr>
                <w:b/>
                <w:color w:val="1C3A36"/>
                <w:sz w:val="17"/>
              </w:rPr>
              <w:t>FUNDAMENTAL — the class primary, and it is the answer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Sum-of-the-parts · carrying-value branch</w:t>
            </w:r>
          </w:p>
        </w:tc>
        <w:tc>
          <w:tcPr>
            <w:tcW w:type="dxa" w:w="3384"/>
          </w:tcPr>
          <w:p>
            <w:pPr>
              <w:spacing w:after="20"/>
              <w:jc w:val="right"/>
            </w:pPr>
            <w:r>
              <w:rPr>
                <w:color w:val="1C3A36"/>
                <w:sz w:val="17"/>
              </w:rPr>
              <w:t>Auto cash-flow model + lender on residual income + associates at the reviewed carrying value</w:t>
            </w:r>
          </w:p>
        </w:tc>
        <w:tc>
          <w:tcPr>
            <w:tcW w:type="dxa" w:w="2088"/>
          </w:tcPr>
          <w:p>
            <w:pPr>
              <w:spacing w:after="20"/>
              <w:jc w:val="right"/>
            </w:pPr>
            <w:r>
              <w:rPr>
                <w:color w:val="1C3A36"/>
                <w:sz w:val="17"/>
              </w:rPr>
              <w:t>EGP 41.35</w:t>
            </w:r>
          </w:p>
        </w:tc>
        <w:tc>
          <w:tcPr>
            <w:tcW w:type="dxa" w:w="1656"/>
          </w:tcPr>
          <w:p>
            <w:pPr>
              <w:spacing w:after="20"/>
              <w:jc w:val="right"/>
            </w:pPr>
            <w:r>
              <w:rPr>
                <w:color w:val="1C3A36"/>
                <w:sz w:val="17"/>
              </w:rPr>
              <w:t>+43%</w:t>
            </w:r>
          </w:p>
        </w:tc>
      </w:tr>
      <w:tr>
        <w:tc>
          <w:tcPr>
            <w:tcW w:type="dxa" w:w="3096"/>
          </w:tcPr>
          <w:p>
            <w:pPr>
              <w:spacing w:after="20"/>
            </w:pPr>
            <w:r>
              <w:rPr>
                <w:color w:val="1C3A36"/>
                <w:sz w:val="17"/>
              </w:rPr>
              <w:t>Sum-of-the-parts · round-price branch</w:t>
            </w:r>
          </w:p>
        </w:tc>
        <w:tc>
          <w:tcPr>
            <w:tcW w:type="dxa" w:w="3384"/>
          </w:tcPr>
          <w:p>
            <w:pPr>
              <w:spacing w:after="20"/>
              <w:jc w:val="right"/>
            </w:pPr>
            <w:r>
              <w:rPr>
                <w:color w:val="1C3A36"/>
                <w:sz w:val="17"/>
              </w:rPr>
              <w:t>The same three legs, associates at the June-2026 round price</w:t>
            </w:r>
          </w:p>
        </w:tc>
        <w:tc>
          <w:tcPr>
            <w:tcW w:type="dxa" w:w="2088"/>
          </w:tcPr>
          <w:p>
            <w:pPr>
              <w:spacing w:after="20"/>
              <w:jc w:val="right"/>
            </w:pPr>
            <w:r>
              <w:rPr>
                <w:color w:val="1C3A36"/>
                <w:sz w:val="17"/>
              </w:rPr>
              <w:t>EGP 52.35</w:t>
            </w:r>
          </w:p>
        </w:tc>
        <w:tc>
          <w:tcPr>
            <w:tcW w:type="dxa" w:w="1656"/>
          </w:tcPr>
          <w:p>
            <w:pPr>
              <w:spacing w:after="20"/>
              <w:jc w:val="right"/>
            </w:pPr>
            <w:r>
              <w:rPr>
                <w:color w:val="1C3A36"/>
                <w:sz w:val="17"/>
              </w:rPr>
              <w:t>+81%</w:t>
            </w:r>
          </w:p>
        </w:tc>
      </w:tr>
      <w:tr>
        <w:tc>
          <w:tcPr>
            <w:tcW w:type="dxa" w:w="3096"/>
            <w:shd w:val="clear" w:color="auto" w:fill="F6F1E6"/>
          </w:tcPr>
          <w:p>
            <w:pPr>
              <w:spacing w:after="20"/>
            </w:pPr>
            <w:r>
              <w:rPr>
                <w:b/>
                <w:color w:val="1C3A36"/>
                <w:sz w:val="17"/>
              </w:rPr>
              <w:t>FUNDAMENTAL — cross-checks, published beside the answer and never blended into it</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Relative multiple</w:t>
            </w:r>
          </w:p>
        </w:tc>
        <w:tc>
          <w:tcPr>
            <w:tcW w:type="dxa" w:w="3384"/>
          </w:tcPr>
          <w:p>
            <w:pPr>
              <w:spacing w:after="20"/>
              <w:jc w:val="right"/>
            </w:pPr>
            <w:r>
              <w:rPr>
                <w:color w:val="1C3A36"/>
                <w:sz w:val="17"/>
              </w:rPr>
              <w:t>FY2026E earnings per share × 6.35×, the median of GB Corp’s own trailing multiple at its last three year-end closes</w:t>
            </w:r>
          </w:p>
        </w:tc>
        <w:tc>
          <w:tcPr>
            <w:tcW w:type="dxa" w:w="2088"/>
          </w:tcPr>
          <w:p>
            <w:pPr>
              <w:spacing w:after="20"/>
              <w:jc w:val="right"/>
            </w:pPr>
            <w:r>
              <w:rPr>
                <w:color w:val="1C3A36"/>
                <w:sz w:val="17"/>
              </w:rPr>
              <w:t>EGP 19.29</w:t>
            </w:r>
          </w:p>
        </w:tc>
        <w:tc>
          <w:tcPr>
            <w:tcW w:type="dxa" w:w="1656"/>
          </w:tcPr>
          <w:p>
            <w:pPr>
              <w:spacing w:after="20"/>
              <w:jc w:val="right"/>
            </w:pPr>
            <w:r>
              <w:rPr>
                <w:color w:val="1C3A36"/>
                <w:sz w:val="17"/>
              </w:rPr>
              <w:t>-33%</w:t>
            </w:r>
          </w:p>
        </w:tc>
      </w:tr>
      <w:tr>
        <w:tc>
          <w:tcPr>
            <w:tcW w:type="dxa" w:w="3096"/>
          </w:tcPr>
          <w:p>
            <w:pPr>
              <w:spacing w:after="20"/>
            </w:pPr>
            <w:r>
              <w:rPr>
                <w:color w:val="1C3A36"/>
                <w:sz w:val="17"/>
              </w:rPr>
              <w:t>Disclosed book value</w:t>
            </w:r>
          </w:p>
        </w:tc>
        <w:tc>
          <w:tcPr>
            <w:tcW w:type="dxa" w:w="3384"/>
          </w:tcPr>
          <w:p>
            <w:pPr>
              <w:spacing w:after="20"/>
              <w:jc w:val="right"/>
            </w:pPr>
            <w:r>
              <w:rPr>
                <w:color w:val="1C3A36"/>
                <w:sz w:val="17"/>
              </w:rPr>
              <w:t>Shareholders’ equity before minority interests at 30 June 2026, per share — a floor, not a value</w:t>
            </w:r>
          </w:p>
        </w:tc>
        <w:tc>
          <w:tcPr>
            <w:tcW w:type="dxa" w:w="2088"/>
          </w:tcPr>
          <w:p>
            <w:pPr>
              <w:spacing w:after="20"/>
              <w:jc w:val="right"/>
            </w:pPr>
            <w:r>
              <w:rPr>
                <w:color w:val="1C3A36"/>
                <w:sz w:val="17"/>
              </w:rPr>
              <w:t>EGP 30.82</w:t>
            </w:r>
          </w:p>
        </w:tc>
        <w:tc>
          <w:tcPr>
            <w:tcW w:type="dxa" w:w="1656"/>
          </w:tcPr>
          <w:p>
            <w:pPr>
              <w:spacing w:after="20"/>
              <w:jc w:val="right"/>
            </w:pPr>
            <w:r>
              <w:rPr>
                <w:color w:val="1C3A36"/>
                <w:sz w:val="17"/>
              </w:rPr>
              <w:t>+6%</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w:t>
            </w:r>
          </w:p>
        </w:tc>
        <w:tc>
          <w:tcPr>
            <w:tcW w:type="dxa" w:w="3384"/>
          </w:tcPr>
          <w:p>
            <w:pPr>
              <w:spacing w:after="20"/>
              <w:jc w:val="right"/>
            </w:pPr>
            <w:r>
              <w:rPr>
                <w:color w:val="1C3A36"/>
                <w:sz w:val="17"/>
              </w:rPr>
              <w:t>Close EGP 29.51 against the 20/50/100/200-day averages</w:t>
            </w:r>
          </w:p>
        </w:tc>
        <w:tc>
          <w:tcPr>
            <w:tcW w:type="dxa" w:w="2088"/>
          </w:tcPr>
          <w:p>
            <w:pPr>
              <w:spacing w:after="20"/>
              <w:jc w:val="right"/>
            </w:pPr>
            <w:r>
              <w:rPr>
                <w:color w:val="1C3A36"/>
                <w:sz w:val="17"/>
              </w:rPr>
              <w:t>Below the two short, above the two long</w:t>
            </w:r>
          </w:p>
        </w:tc>
        <w:tc>
          <w:tcPr>
            <w:tcW w:type="dxa" w:w="1656"/>
          </w:tcPr>
          <w:p>
            <w:pPr>
              <w:spacing w:after="20"/>
              <w:jc w:val="right"/>
            </w:pPr>
            <w:r>
              <w:rPr>
                <w:color w:val="1C3A36"/>
                <w:sz w:val="17"/>
              </w:rPr>
              <w:t>Trend intact, momentum lost</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Relative strength · convergence · 52-week range</w:t>
            </w:r>
          </w:p>
        </w:tc>
        <w:tc>
          <w:tcPr>
            <w:tcW w:type="dxa" w:w="2088"/>
          </w:tcPr>
          <w:p>
            <w:pPr>
              <w:spacing w:after="20"/>
              <w:jc w:val="right"/>
            </w:pPr>
            <w:r>
              <w:rPr>
                <w:color w:val="1C3A36"/>
                <w:sz w:val="17"/>
              </w:rPr>
              <w:t>RSI 40 · histogram -0.27 · 19.10–34.20</w:t>
            </w:r>
          </w:p>
        </w:tc>
        <w:tc>
          <w:tcPr>
            <w:tcW w:type="dxa" w:w="1656"/>
          </w:tcPr>
          <w:p>
            <w:pPr>
              <w:spacing w:after="20"/>
              <w:jc w:val="right"/>
            </w:pPr>
            <w:r>
              <w:rPr>
                <w:color w:val="1C3A36"/>
                <w:sz w:val="17"/>
              </w:rPr>
              <w:t>Soft, not oversold</w:t>
            </w:r>
          </w:p>
        </w:tc>
      </w:tr>
      <w:tr>
        <w:tc>
          <w:tcPr>
            <w:tcW w:type="dxa" w:w="3096"/>
            <w:shd w:val="clear" w:color="auto" w:fill="F6F1E6"/>
          </w:tcPr>
          <w:p>
            <w:pPr>
              <w:spacing w:after="20"/>
            </w:pPr>
            <w:r>
              <w:rPr>
                <w:b/>
                <w:color w:val="1C3A36"/>
                <w:sz w:val="17"/>
              </w:rPr>
              <w:t>SIMULATION — where price could go in 3 months (paths from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 sixteen factors</w:t>
            </w:r>
          </w:p>
        </w:tc>
        <w:tc>
          <w:tcPr>
            <w:tcW w:type="dxa" w:w="2088"/>
          </w:tcPr>
          <w:p>
            <w:pPr>
              <w:spacing w:after="20"/>
              <w:jc w:val="right"/>
            </w:pPr>
            <w:r>
              <w:rPr>
                <w:color w:val="1C3A36"/>
                <w:sz w:val="17"/>
              </w:rPr>
              <w:t>p5 24.0 · p50 29.9 · p95 37.3</w:t>
            </w:r>
          </w:p>
        </w:tc>
        <w:tc>
          <w:tcPr>
            <w:tcW w:type="dxa" w:w="1656"/>
          </w:tcPr>
          <w:p>
            <w:pPr>
              <w:spacing w:after="20"/>
              <w:jc w:val="right"/>
            </w:pPr>
            <w:r>
              <w:rPr>
                <w:color w:val="1C3A36"/>
                <w:sz w:val="17"/>
              </w:rPr>
              <w:t>Median above the anchor</w:t>
            </w:r>
          </w:p>
        </w:tc>
      </w:tr>
      <w:tr>
        <w:tc>
          <w:tcPr>
            <w:tcW w:type="dxa" w:w="3096"/>
          </w:tcPr>
          <w:p>
            <w:pPr>
              <w:spacing w:after="20"/>
            </w:pPr>
            <w:r>
              <w:rPr>
                <w:color w:val="1C3A36"/>
                <w:sz w:val="17"/>
              </w:rPr>
              <w:t>3 months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21.0 · p50 30.7 · p95 44.9</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C)</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split-legs net asset value</w:t>
            </w:r>
          </w:p>
        </w:tc>
        <w:tc>
          <w:tcPr>
            <w:tcW w:type="dxa" w:w="3384"/>
          </w:tcPr>
          <w:p>
            <w:pPr>
              <w:spacing w:after="20"/>
              <w:jc w:val="right"/>
            </w:pPr>
            <w:r>
              <w:rPr>
                <w:color w:val="1C3A36"/>
                <w:sz w:val="17"/>
              </w:rPr>
              <w:t>Marks each leg; argues the wrapper discount</w:t>
            </w:r>
          </w:p>
        </w:tc>
        <w:tc>
          <w:tcPr>
            <w:tcW w:type="dxa" w:w="2088"/>
          </w:tcPr>
          <w:p>
            <w:pPr>
              <w:spacing w:after="20"/>
              <w:jc w:val="right"/>
            </w:pPr>
            <w:r>
              <w:rPr>
                <w:color w:val="1C3A36"/>
                <w:sz w:val="17"/>
              </w:rPr>
              <w:t>EGP 52.07</w:t>
            </w:r>
          </w:p>
        </w:tc>
        <w:tc>
          <w:tcPr>
            <w:tcW w:type="dxa" w:w="1656"/>
          </w:tcPr>
          <w:p>
            <w:pPr>
              <w:spacing w:after="20"/>
              <w:jc w:val="right"/>
            </w:pPr>
            <w:r>
              <w:rPr>
                <w:color w:val="1C3A36"/>
                <w:sz w:val="17"/>
              </w:rPr>
              <w:t>Most bullish</w:t>
            </w:r>
          </w:p>
        </w:tc>
      </w:tr>
      <w:tr>
        <w:tc>
          <w:tcPr>
            <w:tcW w:type="dxa" w:w="3096"/>
          </w:tcPr>
          <w:p>
            <w:pPr>
              <w:spacing w:after="20"/>
            </w:pPr>
            <w:r>
              <w:rPr>
                <w:color w:val="1C3A36"/>
                <w:sz w:val="17"/>
              </w:rPr>
              <w:t>Expert 2 — residual income on the whole group</w:t>
            </w:r>
          </w:p>
        </w:tc>
        <w:tc>
          <w:tcPr>
            <w:tcW w:type="dxa" w:w="3384"/>
          </w:tcPr>
          <w:p>
            <w:pPr>
              <w:spacing w:after="20"/>
              <w:jc w:val="right"/>
            </w:pPr>
            <w:r>
              <w:rPr>
                <w:color w:val="1C3A36"/>
                <w:sz w:val="17"/>
              </w:rPr>
              <w:t>What the group’s own reported return justifies against book</w:t>
            </w:r>
          </w:p>
        </w:tc>
        <w:tc>
          <w:tcPr>
            <w:tcW w:type="dxa" w:w="2088"/>
          </w:tcPr>
          <w:p>
            <w:pPr>
              <w:spacing w:after="20"/>
              <w:jc w:val="right"/>
            </w:pPr>
            <w:r>
              <w:rPr>
                <w:color w:val="1C3A36"/>
                <w:sz w:val="17"/>
              </w:rPr>
              <w:t>EGP 7.89</w:t>
            </w:r>
          </w:p>
        </w:tc>
        <w:tc>
          <w:tcPr>
            <w:tcW w:type="dxa" w:w="1656"/>
          </w:tcPr>
          <w:p>
            <w:pPr>
              <w:spacing w:after="20"/>
              <w:jc w:val="right"/>
            </w:pPr>
            <w:r>
              <w:rPr>
                <w:color w:val="1C3A36"/>
                <w:sz w:val="17"/>
              </w:rPr>
              <w:t>Most conservative</w:t>
            </w:r>
          </w:p>
        </w:tc>
      </w:tr>
      <w:tr>
        <w:tc>
          <w:tcPr>
            <w:tcW w:type="dxa" w:w="3096"/>
          </w:tcPr>
          <w:p>
            <w:pPr>
              <w:spacing w:after="20"/>
            </w:pPr>
            <w:r>
              <w:rPr>
                <w:color w:val="1C3A36"/>
                <w:sz w:val="17"/>
              </w:rPr>
              <w:t>Expert 3 — cash returns (return on capital vs its cost)</w:t>
            </w:r>
          </w:p>
        </w:tc>
        <w:tc>
          <w:tcPr>
            <w:tcW w:type="dxa" w:w="3384"/>
          </w:tcPr>
          <w:p>
            <w:pPr>
              <w:spacing w:after="20"/>
              <w:jc w:val="right"/>
            </w:pPr>
            <w:r>
              <w:rPr>
                <w:color w:val="1C3A36"/>
                <w:sz w:val="17"/>
              </w:rPr>
              <w:t>Economic profit on capital employed</w:t>
            </w:r>
          </w:p>
        </w:tc>
        <w:tc>
          <w:tcPr>
            <w:tcW w:type="dxa" w:w="2088"/>
          </w:tcPr>
          <w:p>
            <w:pPr>
              <w:spacing w:after="20"/>
              <w:jc w:val="right"/>
            </w:pPr>
            <w:r>
              <w:rPr>
                <w:color w:val="1C3A36"/>
                <w:sz w:val="17"/>
              </w:rPr>
              <w:t>EGP 36.88</w:t>
            </w:r>
          </w:p>
        </w:tc>
        <w:tc>
          <w:tcPr>
            <w:tcW w:type="dxa" w:w="1656"/>
          </w:tcPr>
          <w:p>
            <w:pPr>
              <w:spacing w:after="20"/>
              <w:jc w:val="right"/>
            </w:pPr>
            <w:r>
              <w:rPr>
                <w:color w:val="1C3A36"/>
                <w:sz w:val="17"/>
              </w:rPr>
              <w:t>In between</w:t>
            </w:r>
          </w:p>
        </w:tc>
      </w:tr>
      <w:tr>
        <w:tc>
          <w:tcPr>
            <w:tcW w:type="dxa" w:w="3096"/>
          </w:tcPr>
          <w:p>
            <w:pPr>
              <w:spacing w:after="20"/>
            </w:pPr>
            <w:r>
              <w:rPr>
                <w:color w:val="1C3A36"/>
                <w:sz w:val="17"/>
              </w:rPr>
              <w:t>Panel spread</w:t>
            </w:r>
          </w:p>
        </w:tc>
        <w:tc>
          <w:tcPr>
            <w:tcW w:type="dxa" w:w="3384"/>
          </w:tcPr>
          <w:p>
            <w:pPr>
              <w:spacing w:after="20"/>
              <w:jc w:val="right"/>
            </w:pPr>
            <w:r>
              <w:rPr>
                <w:color w:val="1C3A36"/>
                <w:sz w:val="17"/>
              </w:rPr>
              <w:t>The spread is the associate mark and the lender basis</w:t>
            </w:r>
          </w:p>
        </w:tc>
        <w:tc>
          <w:tcPr>
            <w:tcW w:type="dxa" w:w="2088"/>
          </w:tcPr>
          <w:p>
            <w:pPr>
              <w:spacing w:after="20"/>
              <w:jc w:val="right"/>
            </w:pPr>
            <w:r>
              <w:rPr>
                <w:color w:val="1C3A36"/>
                <w:sz w:val="17"/>
              </w:rPr>
              <w:t>EGP 7.89–52.07</w:t>
            </w:r>
          </w:p>
        </w:tc>
        <w:tc>
          <w:tcPr>
            <w:tcW w:type="dxa" w:w="1656"/>
          </w:tcPr>
          <w:p>
            <w:pPr>
              <w:spacing w:after="20"/>
              <w:jc w:val="right"/>
            </w:pPr>
            <w:r>
              <w:rPr>
                <w:color w:val="1C3A36"/>
                <w:sz w:val="17"/>
              </w:rPr>
              <w:t>Middle read EGP 36.88</w:t>
            </w:r>
          </w:p>
        </w:tc>
      </w:tr>
    </w:tbl>
    <w:p>
      <w:pPr>
        <w:spacing w:after="40"/>
      </w:pPr>
    </w:p>
    <w:p>
      <w:pPr>
        <w:spacing w:after="160" w:before="0"/>
      </w:pPr>
      <w:r>
        <w:rPr>
          <w:b/>
          <w:i w:val="0"/>
          <w:color w:val="1C3A36"/>
          <w:sz w:val="19"/>
        </w:rPr>
        <w:t xml:space="preserve">Bottom line. </w:t>
      </w:r>
      <w:r>
        <w:rPr>
          <w:b w:val="0"/>
          <w:i w:val="0"/>
          <w:color w:val="1C3A36"/>
          <w:sz w:val="19"/>
        </w:rPr>
        <w:t>There is no single central estimate in this table and there is not supposed to be. The primary lens reads EGP 41.35 on one of GB Corp’s own disclosures about its associate and EGP 52.35 on the other, +43% and +81% against the price; the cross-checks sit either side of the price, the earnings multiple at EGP 19.29 and the disclosed book floor at EGP 30.82 — and the shares trade BELOW their own book. The three experts span EGP 7.89 to 52.07, and what separates them is the same one line. Strip the associate out and this is an operating group priced at about what it earns; put it back at either of the company's own two bases and the shares look cheap. The three-month distribution is indifferent either way: it prices the stock's own measured path, and its median sits above the anchor because that drift is what this stock's own history measures rather than what anybody hopes for. How often the bands built around it have actually held is published at the end of §3, with the count beside the percentage.</w:t>
      </w:r>
    </w:p>
    <w:p>
      <w:pPr>
        <w:spacing w:after="80" w:before="200"/>
      </w:pPr>
      <w:r>
        <w:rPr>
          <w:b/>
          <w:i w:val="0"/>
          <w:color w:val="1C3A36"/>
          <w:sz w:val="24"/>
        </w:rPr>
        <w:t>Company overview — GB Corp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2736"/>
            <w:shd w:val="clear" w:color="auto" w:fill="EAF0EE"/>
          </w:tcPr>
          <w:p>
            <w:pPr>
              <w:spacing w:after="20"/>
            </w:pPr>
            <w:r>
              <w:rPr>
                <w:b/>
                <w:color w:val="1C3A36"/>
                <w:sz w:val="18"/>
              </w:rPr>
              <w:t>Item</w:t>
            </w:r>
          </w:p>
        </w:tc>
        <w:tc>
          <w:tcPr>
            <w:tcW w:type="dxa" w:w="7488"/>
            <w:shd w:val="clear" w:color="auto" w:fill="EAF0EE"/>
          </w:tcPr>
          <w:p>
            <w:pPr>
              <w:spacing w:after="20"/>
            </w:pPr>
            <w:r>
              <w:rPr>
                <w:b/>
                <w:color w:val="1C3A36"/>
                <w:sz w:val="18"/>
              </w:rPr>
              <w:t>Value</w:t>
            </w:r>
          </w:p>
        </w:tc>
      </w:tr>
      <w:tr>
        <w:tc>
          <w:tcPr>
            <w:tcW w:type="dxa" w:w="2736"/>
          </w:tcPr>
          <w:p>
            <w:pPr>
              <w:spacing w:after="20"/>
            </w:pPr>
            <w:r>
              <w:rPr>
                <w:b/>
                <w:color w:val="1C3A36"/>
                <w:sz w:val="18"/>
              </w:rPr>
              <w:t>Listed entity</w:t>
            </w:r>
          </w:p>
        </w:tc>
        <w:tc>
          <w:tcPr>
            <w:tcW w:type="dxa" w:w="7488"/>
          </w:tcPr>
          <w:p>
            <w:pPr>
              <w:spacing w:after="20"/>
              <w:jc w:val="right"/>
            </w:pPr>
            <w:r>
              <w:rPr>
                <w:color w:val="1C3A36"/>
                <w:sz w:val="18"/>
              </w:rPr>
              <w:t>GB Corp S.A.E. (EGX: GBCO; formerly GB Auto / Ghabbour Auto, AUTO)</w:t>
            </w:r>
          </w:p>
        </w:tc>
      </w:tr>
      <w:tr>
        <w:tc>
          <w:tcPr>
            <w:tcW w:type="dxa" w:w="2736"/>
          </w:tcPr>
          <w:p>
            <w:pPr>
              <w:spacing w:after="20"/>
            </w:pPr>
            <w:r>
              <w:rPr>
                <w:b/>
                <w:color w:val="1C3A36"/>
                <w:sz w:val="18"/>
              </w:rPr>
              <w:t>What it owns</w:t>
            </w:r>
          </w:p>
        </w:tc>
        <w:tc>
          <w:tcPr>
            <w:tcW w:type="dxa" w:w="7488"/>
          </w:tcPr>
          <w:p>
            <w:pPr>
              <w:spacing w:after="20"/>
              <w:jc w:val="right"/>
            </w:pPr>
            <w:r>
              <w:rPr>
                <w:color w:val="1C3A36"/>
                <w:sz w:val="18"/>
              </w:rPr>
              <w:t>GB Auto (passenger-car assembly &amp; distribution, commercial vehicles &amp; construction equipment, tires &amp; trading, light mobility) · GB Capital (Drive Finance, GB Lease &amp; Factoring, rentals, Kredit) · associates: MNT-Halan, Bedaya, Kaf</w:t>
            </w:r>
          </w:p>
        </w:tc>
      </w:tr>
      <w:tr>
        <w:tc>
          <w:tcPr>
            <w:tcW w:type="dxa" w:w="2736"/>
          </w:tcPr>
          <w:p>
            <w:pPr>
              <w:spacing w:after="20"/>
            </w:pPr>
            <w:r>
              <w:rPr>
                <w:b/>
                <w:color w:val="1C3A36"/>
                <w:sz w:val="18"/>
              </w:rPr>
              <w:t>Price / date</w:t>
            </w:r>
          </w:p>
        </w:tc>
        <w:tc>
          <w:tcPr>
            <w:tcW w:type="dxa" w:w="7488"/>
          </w:tcPr>
          <w:p>
            <w:pPr>
              <w:spacing w:after="20"/>
              <w:jc w:val="right"/>
            </w:pPr>
            <w:r>
              <w:rPr>
                <w:color w:val="1C3A36"/>
                <w:sz w:val="18"/>
              </w:rPr>
              <w:t>EGP 28.98 · 3 September 2026 close</w:t>
            </w:r>
          </w:p>
        </w:tc>
      </w:tr>
      <w:tr>
        <w:tc>
          <w:tcPr>
            <w:tcW w:type="dxa" w:w="2736"/>
          </w:tcPr>
          <w:p>
            <w:pPr>
              <w:spacing w:after="20"/>
            </w:pPr>
            <w:r>
              <w:rPr>
                <w:b/>
                <w:color w:val="1C3A36"/>
                <w:sz w:val="18"/>
              </w:rPr>
              <w:t>Shares · market capitalisation</w:t>
            </w:r>
          </w:p>
        </w:tc>
        <w:tc>
          <w:tcPr>
            <w:tcW w:type="dxa" w:w="7488"/>
          </w:tcPr>
          <w:p>
            <w:pPr>
              <w:spacing w:after="20"/>
              <w:jc w:val="right"/>
            </w:pPr>
            <w:r>
              <w:rPr>
                <w:color w:val="1C3A36"/>
                <w:sz w:val="18"/>
              </w:rPr>
              <w:t>1,085.5 mn · EGP 31.5 bn</w:t>
            </w:r>
          </w:p>
        </w:tc>
      </w:tr>
      <w:tr>
        <w:tc>
          <w:tcPr>
            <w:tcW w:type="dxa" w:w="2736"/>
          </w:tcPr>
          <w:p>
            <w:pPr>
              <w:spacing w:after="20"/>
            </w:pPr>
            <w:r>
              <w:rPr>
                <w:b/>
                <w:color w:val="1C3A36"/>
                <w:sz w:val="18"/>
              </w:rPr>
              <w:t>FY2025 revenue / net profit</w:t>
            </w:r>
          </w:p>
        </w:tc>
        <w:tc>
          <w:tcPr>
            <w:tcW w:type="dxa" w:w="7488"/>
          </w:tcPr>
          <w:p>
            <w:pPr>
              <w:spacing w:after="20"/>
              <w:jc w:val="right"/>
            </w:pPr>
            <w:r>
              <w:rPr>
                <w:color w:val="1C3A36"/>
                <w:sz w:val="18"/>
              </w:rPr>
              <w:t>EGP 80,229.8 mn (+49% year on year) · EGP 2,880.0 mn (3.6% of revenue)</w:t>
            </w:r>
          </w:p>
        </w:tc>
      </w:tr>
      <w:tr>
        <w:tc>
          <w:tcPr>
            <w:tcW w:type="dxa" w:w="2736"/>
          </w:tcPr>
          <w:p>
            <w:pPr>
              <w:spacing w:after="20"/>
            </w:pPr>
            <w:r>
              <w:rPr>
                <w:b/>
                <w:color w:val="1C3A36"/>
                <w:sz w:val="18"/>
              </w:rPr>
              <w:t>1H2026 revenue / net profit</w:t>
            </w:r>
          </w:p>
        </w:tc>
        <w:tc>
          <w:tcPr>
            <w:tcW w:type="dxa" w:w="7488"/>
          </w:tcPr>
          <w:p>
            <w:pPr>
              <w:spacing w:after="20"/>
              <w:jc w:val="right"/>
            </w:pPr>
            <w:r>
              <w:rPr>
                <w:color w:val="1C3A36"/>
                <w:sz w:val="18"/>
              </w:rPr>
              <w:t>EGP 48,474.4 mn · EGP 1,262.0 mn (reviewed, six months to 30 June 2026)</w:t>
            </w:r>
          </w:p>
        </w:tc>
      </w:tr>
      <w:tr>
        <w:tc>
          <w:tcPr>
            <w:tcW w:type="dxa" w:w="2736"/>
          </w:tcPr>
          <w:p>
            <w:pPr>
              <w:spacing w:after="20"/>
            </w:pPr>
            <w:r>
              <w:rPr>
                <w:b/>
                <w:color w:val="1C3A36"/>
                <w:sz w:val="18"/>
              </w:rPr>
              <w:t>Group gross margin, FY2023 / FY2024 / FY2025</w:t>
            </w:r>
          </w:p>
        </w:tc>
        <w:tc>
          <w:tcPr>
            <w:tcW w:type="dxa" w:w="7488"/>
          </w:tcPr>
          <w:p>
            <w:pPr>
              <w:spacing w:after="20"/>
              <w:jc w:val="right"/>
            </w:pPr>
            <w:r>
              <w:rPr>
                <w:color w:val="1C3A36"/>
                <w:sz w:val="18"/>
              </w:rPr>
              <w:t>24.31% / 19.48% / 15.49%</w:t>
            </w:r>
          </w:p>
        </w:tc>
      </w:tr>
      <w:tr>
        <w:tc>
          <w:tcPr>
            <w:tcW w:type="dxa" w:w="2736"/>
          </w:tcPr>
          <w:p>
            <w:pPr>
              <w:spacing w:after="20"/>
            </w:pPr>
            <w:r>
              <w:rPr>
                <w:b/>
                <w:color w:val="1C3A36"/>
                <w:sz w:val="18"/>
              </w:rPr>
              <w:t>GB Auto gross margin, reviewed half to 30 June 2026</w:t>
            </w:r>
          </w:p>
        </w:tc>
        <w:tc>
          <w:tcPr>
            <w:tcW w:type="dxa" w:w="7488"/>
          </w:tcPr>
          <w:p>
            <w:pPr>
              <w:spacing w:after="20"/>
              <w:jc w:val="right"/>
            </w:pPr>
            <w:r>
              <w:rPr>
                <w:color w:val="1C3A36"/>
                <w:sz w:val="18"/>
              </w:rPr>
              <w:t>14.30% — the segment revenue and gross profit the release prints for the half</w:t>
            </w:r>
          </w:p>
        </w:tc>
      </w:tr>
      <w:tr>
        <w:tc>
          <w:tcPr>
            <w:tcW w:type="dxa" w:w="2736"/>
          </w:tcPr>
          <w:p>
            <w:pPr>
              <w:spacing w:after="20"/>
            </w:pPr>
            <w:r>
              <w:rPr>
                <w:b/>
                <w:color w:val="1C3A36"/>
                <w:sz w:val="18"/>
              </w:rPr>
              <w:t>Auto net debt · group equity (30 June 2026)</w:t>
            </w:r>
          </w:p>
        </w:tc>
        <w:tc>
          <w:tcPr>
            <w:tcW w:type="dxa" w:w="7488"/>
          </w:tcPr>
          <w:p>
            <w:pPr>
              <w:spacing w:after="20"/>
              <w:jc w:val="right"/>
            </w:pPr>
            <w:r>
              <w:rPr>
                <w:color w:val="1C3A36"/>
                <w:sz w:val="18"/>
              </w:rPr>
              <w:t>EGP 14,623.7 mn · EGP 35,127.9 mn</w:t>
            </w:r>
          </w:p>
        </w:tc>
      </w:tr>
      <w:tr>
        <w:tc>
          <w:tcPr>
            <w:tcW w:type="dxa" w:w="2736"/>
          </w:tcPr>
          <w:p>
            <w:pPr>
              <w:spacing w:after="20"/>
            </w:pPr>
            <w:r>
              <w:rPr>
                <w:b/>
                <w:color w:val="1C3A36"/>
                <w:sz w:val="18"/>
              </w:rPr>
              <w:t>Book value per share (30 June 2026)</w:t>
            </w:r>
          </w:p>
        </w:tc>
        <w:tc>
          <w:tcPr>
            <w:tcW w:type="dxa" w:w="7488"/>
          </w:tcPr>
          <w:p>
            <w:pPr>
              <w:spacing w:after="20"/>
              <w:jc w:val="right"/>
            </w:pPr>
            <w:r>
              <w:rPr>
                <w:color w:val="1C3A36"/>
                <w:sz w:val="18"/>
              </w:rPr>
              <w:t>EGP 30.82 — the shares trade -6% against it</w:t>
            </w:r>
          </w:p>
        </w:tc>
      </w:tr>
      <w:tr>
        <w:tc>
          <w:tcPr>
            <w:tcW w:type="dxa" w:w="2736"/>
          </w:tcPr>
          <w:p>
            <w:pPr>
              <w:spacing w:after="20"/>
            </w:pPr>
            <w:r>
              <w:rPr>
                <w:b/>
                <w:color w:val="1C3A36"/>
                <w:sz w:val="18"/>
              </w:rPr>
              <w:t>52-week range (library, 23 August 2026)</w:t>
            </w:r>
          </w:p>
        </w:tc>
        <w:tc>
          <w:tcPr>
            <w:tcW w:type="dxa" w:w="7488"/>
          </w:tcPr>
          <w:p>
            <w:pPr>
              <w:spacing w:after="20"/>
              <w:jc w:val="right"/>
            </w:pPr>
            <w:r>
              <w:rPr>
                <w:color w:val="1C3A36"/>
                <w:sz w:val="18"/>
              </w:rPr>
              <w:t>EGP 19.10 – 34.20</w:t>
            </w:r>
          </w:p>
        </w:tc>
      </w:tr>
      <w:tr>
        <w:tc>
          <w:tcPr>
            <w:tcW w:type="dxa" w:w="2736"/>
          </w:tcPr>
          <w:p>
            <w:pPr>
              <w:spacing w:after="20"/>
            </w:pPr>
            <w:r>
              <w:rPr>
                <w:b/>
                <w:color w:val="1C3A36"/>
                <w:sz w:val="18"/>
              </w:rPr>
              <w:t>MNT-Halan stake</w:t>
            </w:r>
          </w:p>
        </w:tc>
        <w:tc>
          <w:tcPr>
            <w:tcW w:type="dxa" w:w="7488"/>
          </w:tcPr>
          <w:p>
            <w:pPr>
              <w:spacing w:after="20"/>
              <w:jc w:val="right"/>
            </w:pPr>
            <w:r>
              <w:rPr>
                <w:color w:val="1C3A36"/>
                <w:sz w:val="18"/>
              </w:rPr>
              <w:t>41.61%, stated by the company on 9 June 2026 against 42.58% before that transaction — while its reviewed statements give 42.93% from 44.01% for the same transaction; §1.1 carries both</w:t>
            </w:r>
          </w:p>
        </w:tc>
      </w:tr>
    </w:tbl>
    <w:p>
      <w:pPr>
        <w:spacing w:after="40"/>
      </w:pPr>
    </w:p>
    <w:p>
      <w:pPr>
        <w:spacing w:after="200" w:before="0"/>
      </w:pPr>
      <w:r>
        <w:rPr>
          <w:b w:val="0"/>
          <w:i/>
          <w:color w:val="6E7B77"/>
          <w:sz w:val="17"/>
        </w:rPr>
        <w:t>Source: the company’s own FY2023, FY2024 and FY2025 earnings releases; its 2Q/1H2026 release of 13 August 2026 and the reviewed consolidated statements to 30 June 2026; the MNT-Halan transaction release of 9 June 2026; and the exchange price library. Every figure in this table is read from the study’s committed record.</w:t>
      </w:r>
    </w:p>
    <w:p>
      <w:pPr>
        <w:spacing w:after="120" w:before="280"/>
      </w:pPr>
      <w:r>
        <w:rPr>
          <w:b/>
          <w:i w:val="0"/>
          <w:color w:val="1C3A36"/>
          <w:sz w:val="30"/>
        </w:rPr>
        <w:t>1  Fundamental valuation</w:t>
      </w:r>
    </w:p>
    <w:p>
      <w:pPr>
        <w:spacing w:after="120" w:before="0"/>
      </w:pPr>
      <w:r>
        <w:rPr>
          <w:b w:val="0"/>
          <w:i w:val="0"/>
          <w:color w:val="1C3A36"/>
          <w:sz w:val="21"/>
        </w:rPr>
        <w:t>We value GB Corp as an operating company with a captive finance arm and split the legs: blending an auto assembler-distributor, a leveraged lender and an unlisted fintech associate into one multiple would blur three different economics. The primary lens for this class is therefore a sum of the parts — the Auto operating leg on a free-cash-flow model; GB Capital on the residual income its own disclosed return supports, against its own operating equity; and the associate stakes on the two bases GB Corp itself discloses. That lens is the answer. A relative-multiple read and the disclosed book value are published beside it as cross-checks and carry no weight in it: a number produced by averaging several methods is a new method with parameters nobody tested, wearing the appearance of caution.</w:t>
      </w:r>
    </w:p>
    <w:p>
      <w:pPr>
        <w:spacing w:after="80" w:before="200"/>
      </w:pPr>
      <w:r>
        <w:rPr>
          <w:b/>
          <w:i w:val="0"/>
          <w:color w:val="1C3A36"/>
          <w:sz w:val="24"/>
        </w:rPr>
        <w:t>1.1  The sum of the parts — the primary lens, and both of its branches</w:t>
      </w:r>
    </w:p>
    <w:p>
      <w:pPr>
        <w:spacing w:after="120" w:before="0"/>
      </w:pPr>
      <w:r>
        <w:rPr>
          <w:b w:val="0"/>
          <w:i w:val="0"/>
          <w:color w:val="1C3A36"/>
          <w:sz w:val="21"/>
        </w:rPr>
        <w:t>Each leg is marked on the basis that fits it. The Auto leg takes the §1.2 cash-flow value. GB Capital is marked by residual income in its terminal form — the return the segment earns above the cost of that equity, capitalised — on the segment’s own shareholders’ equity before minority interests LESS the associate holdings carried inside it, so the stake this table adds back at its own mark is not also funding the lender. On a reviewed return of 10.10% against a terminal cost of equity of 18.73% that justifies 0.26× of the EGP 6,267 mn operating equity. The associates are the branch: MNT-Halan is carried at EGP 15,734 mn in the reviewed balance sheet at 30 June 2026 and marks at EGP 27,671 mn on GB Corp’s stated 41.61% of the US$1,400 mn June-2026 round at EGP/USD 47.5. Both are the company’s own numbers. NOTHING IS DEDUCTED FOR COMPLEXITY: a conglomerate discount is a parameter with nothing observable behind it, and the uncertainty it used to stand in for is in the associate line, where it is now published as two branches rather than smuggled into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880"/>
            <w:shd w:val="clear" w:color="auto" w:fill="EAF0EE"/>
          </w:tcPr>
          <w:p>
            <w:pPr>
              <w:spacing w:after="20"/>
            </w:pPr>
            <w:r>
              <w:rPr>
                <w:b/>
                <w:color w:val="1C3A36"/>
                <w:sz w:val="18"/>
              </w:rPr>
              <w:t>Leg</w:t>
            </w:r>
          </w:p>
        </w:tc>
        <w:tc>
          <w:tcPr>
            <w:tcW w:type="dxa" w:w="4176"/>
            <w:shd w:val="clear" w:color="auto" w:fill="EAF0EE"/>
          </w:tcPr>
          <w:p>
            <w:pPr>
              <w:spacing w:after="20"/>
            </w:pPr>
            <w:r>
              <w:rPr>
                <w:b/>
                <w:color w:val="1C3A36"/>
                <w:sz w:val="18"/>
              </w:rPr>
              <w:t>Basis</w:t>
            </w:r>
          </w:p>
        </w:tc>
        <w:tc>
          <w:tcPr>
            <w:tcW w:type="dxa" w:w="1656"/>
            <w:shd w:val="clear" w:color="auto" w:fill="EAF0EE"/>
          </w:tcPr>
          <w:p>
            <w:pPr>
              <w:spacing w:after="20"/>
            </w:pPr>
            <w:r>
              <w:rPr>
                <w:b/>
                <w:color w:val="1C3A36"/>
                <w:sz w:val="18"/>
              </w:rPr>
              <w:t>Carrying-value branch (EGP mn)</w:t>
            </w:r>
          </w:p>
        </w:tc>
        <w:tc>
          <w:tcPr>
            <w:tcW w:type="dxa" w:w="1656"/>
            <w:shd w:val="clear" w:color="auto" w:fill="EAF0EE"/>
          </w:tcPr>
          <w:p>
            <w:pPr>
              <w:spacing w:after="20"/>
            </w:pPr>
            <w:r>
              <w:rPr>
                <w:b/>
                <w:color w:val="1C3A36"/>
                <w:sz w:val="18"/>
              </w:rPr>
              <w:t>Round-price branch (EGP mn)</w:t>
            </w:r>
          </w:p>
        </w:tc>
      </w:tr>
      <w:tr>
        <w:tc>
          <w:tcPr>
            <w:tcW w:type="dxa" w:w="2880"/>
          </w:tcPr>
          <w:p>
            <w:pPr>
              <w:spacing w:after="20"/>
            </w:pPr>
            <w:r>
              <w:rPr>
                <w:b/>
                <w:color w:val="1C3A36"/>
                <w:sz w:val="18"/>
              </w:rPr>
              <w:t>GB Auto operating leg</w:t>
            </w:r>
          </w:p>
        </w:tc>
        <w:tc>
          <w:tcPr>
            <w:tcW w:type="dxa" w:w="4176"/>
          </w:tcPr>
          <w:p>
            <w:pPr>
              <w:spacing w:after="20"/>
              <w:jc w:val="right"/>
            </w:pPr>
            <w:r>
              <w:rPr>
                <w:color w:val="1C3A36"/>
                <w:sz w:val="18"/>
              </w:rPr>
              <w:t>Free-cash-flow model (§1.2), after the leg’s own net debt and minority interests</w:t>
            </w:r>
          </w:p>
        </w:tc>
        <w:tc>
          <w:tcPr>
            <w:tcW w:type="dxa" w:w="1656"/>
          </w:tcPr>
          <w:p>
            <w:pPr>
              <w:spacing w:after="20"/>
              <w:jc w:val="right"/>
            </w:pPr>
            <w:r>
              <w:rPr>
                <w:color w:val="1C3A36"/>
                <w:sz w:val="18"/>
              </w:rPr>
              <w:t>26,998</w:t>
            </w:r>
          </w:p>
        </w:tc>
        <w:tc>
          <w:tcPr>
            <w:tcW w:type="dxa" w:w="1656"/>
          </w:tcPr>
          <w:p>
            <w:pPr>
              <w:spacing w:after="20"/>
              <w:jc w:val="right"/>
            </w:pPr>
            <w:r>
              <w:rPr>
                <w:color w:val="1C3A36"/>
                <w:sz w:val="18"/>
              </w:rPr>
              <w:t>26,998</w:t>
            </w:r>
          </w:p>
        </w:tc>
      </w:tr>
      <w:tr>
        <w:tc>
          <w:tcPr>
            <w:tcW w:type="dxa" w:w="2880"/>
          </w:tcPr>
          <w:p>
            <w:pPr>
              <w:spacing w:after="20"/>
            </w:pPr>
            <w:r>
              <w:rPr>
                <w:b/>
                <w:color w:val="1C3A36"/>
                <w:sz w:val="18"/>
              </w:rPr>
              <w:t>Plus GB Capital lending leg</w:t>
            </w:r>
          </w:p>
        </w:tc>
        <w:tc>
          <w:tcPr>
            <w:tcW w:type="dxa" w:w="4176"/>
          </w:tcPr>
          <w:p>
            <w:pPr>
              <w:spacing w:after="20"/>
              <w:jc w:val="right"/>
            </w:pPr>
            <w:r>
              <w:rPr>
                <w:color w:val="1C3A36"/>
                <w:sz w:val="18"/>
              </w:rPr>
              <w:t>Residual income on the segment’s own operating equity (the multiple and the base are in the paragraph above)</w:t>
            </w:r>
          </w:p>
        </w:tc>
        <w:tc>
          <w:tcPr>
            <w:tcW w:type="dxa" w:w="1656"/>
          </w:tcPr>
          <w:p>
            <w:pPr>
              <w:spacing w:after="20"/>
              <w:jc w:val="right"/>
            </w:pPr>
            <w:r>
              <w:rPr>
                <w:color w:val="1C3A36"/>
                <w:sz w:val="18"/>
              </w:rPr>
              <w:t>1,656</w:t>
            </w:r>
          </w:p>
        </w:tc>
        <w:tc>
          <w:tcPr>
            <w:tcW w:type="dxa" w:w="1656"/>
          </w:tcPr>
          <w:p>
            <w:pPr>
              <w:spacing w:after="20"/>
              <w:jc w:val="right"/>
            </w:pPr>
            <w:r>
              <w:rPr>
                <w:color w:val="1C3A36"/>
                <w:sz w:val="18"/>
              </w:rPr>
              <w:t>1,656</w:t>
            </w:r>
          </w:p>
        </w:tc>
      </w:tr>
      <w:tr>
        <w:tc>
          <w:tcPr>
            <w:tcW w:type="dxa" w:w="2880"/>
          </w:tcPr>
          <w:p>
            <w:pPr>
              <w:spacing w:after="20"/>
            </w:pPr>
            <w:r>
              <w:rPr>
                <w:b/>
                <w:color w:val="1C3A36"/>
                <w:sz w:val="18"/>
              </w:rPr>
              <w:t>Plus associate — MNT-Halan</w:t>
            </w:r>
          </w:p>
        </w:tc>
        <w:tc>
          <w:tcPr>
            <w:tcW w:type="dxa" w:w="4176"/>
          </w:tcPr>
          <w:p>
            <w:pPr>
              <w:spacing w:after="20"/>
              <w:jc w:val="right"/>
            </w:pPr>
            <w:r>
              <w:rPr>
                <w:color w:val="1C3A36"/>
                <w:sz w:val="18"/>
              </w:rPr>
              <w:t>Reviewed carrying value · the June-2026 round at the stated stake</w:t>
            </w:r>
          </w:p>
        </w:tc>
        <w:tc>
          <w:tcPr>
            <w:tcW w:type="dxa" w:w="1656"/>
          </w:tcPr>
          <w:p>
            <w:pPr>
              <w:spacing w:after="20"/>
              <w:jc w:val="right"/>
            </w:pPr>
            <w:r>
              <w:rPr>
                <w:color w:val="1C3A36"/>
                <w:sz w:val="18"/>
              </w:rPr>
              <w:t>15,734</w:t>
            </w:r>
          </w:p>
        </w:tc>
        <w:tc>
          <w:tcPr>
            <w:tcW w:type="dxa" w:w="1656"/>
          </w:tcPr>
          <w:p>
            <w:pPr>
              <w:spacing w:after="20"/>
              <w:jc w:val="right"/>
            </w:pPr>
            <w:r>
              <w:rPr>
                <w:color w:val="1C3A36"/>
                <w:sz w:val="18"/>
              </w:rPr>
              <w:t>27,671</w:t>
            </w:r>
          </w:p>
        </w:tc>
      </w:tr>
      <w:tr>
        <w:tc>
          <w:tcPr>
            <w:tcW w:type="dxa" w:w="2880"/>
          </w:tcPr>
          <w:p>
            <w:pPr>
              <w:spacing w:after="20"/>
            </w:pPr>
            <w:r>
              <w:rPr>
                <w:b/>
                <w:color w:val="1C3A36"/>
                <w:sz w:val="18"/>
              </w:rPr>
              <w:t>Plus other associates (Bedaya, Kaf)</w:t>
            </w:r>
          </w:p>
        </w:tc>
        <w:tc>
          <w:tcPr>
            <w:tcW w:type="dxa" w:w="4176"/>
          </w:tcPr>
          <w:p>
            <w:pPr>
              <w:spacing w:after="20"/>
              <w:jc w:val="right"/>
            </w:pPr>
            <w:r>
              <w:rPr>
                <w:color w:val="1C3A36"/>
                <w:sz w:val="18"/>
              </w:rPr>
              <w:t>Residual carrying value, identical in both branches</w:t>
            </w:r>
          </w:p>
        </w:tc>
        <w:tc>
          <w:tcPr>
            <w:tcW w:type="dxa" w:w="1656"/>
          </w:tcPr>
          <w:p>
            <w:pPr>
              <w:spacing w:after="20"/>
              <w:jc w:val="right"/>
            </w:pPr>
            <w:r>
              <w:rPr>
                <w:color w:val="1C3A36"/>
                <w:sz w:val="18"/>
              </w:rPr>
              <w:t>497</w:t>
            </w:r>
          </w:p>
        </w:tc>
        <w:tc>
          <w:tcPr>
            <w:tcW w:type="dxa" w:w="1656"/>
          </w:tcPr>
          <w:p>
            <w:pPr>
              <w:spacing w:after="20"/>
              <w:jc w:val="right"/>
            </w:pPr>
            <w:r>
              <w:rPr>
                <w:color w:val="1C3A36"/>
                <w:sz w:val="18"/>
              </w:rPr>
              <w:t>497</w:t>
            </w:r>
          </w:p>
        </w:tc>
      </w:tr>
      <w:tr>
        <w:tc>
          <w:tcPr>
            <w:tcW w:type="dxa" w:w="2880"/>
            <w:shd w:val="clear" w:color="auto" w:fill="F6F1E6"/>
          </w:tcPr>
          <w:p>
            <w:pPr>
              <w:spacing w:after="20"/>
            </w:pPr>
            <w:r>
              <w:rPr>
                <w:b/>
                <w:color w:val="1C3A36"/>
                <w:sz w:val="18"/>
              </w:rPr>
              <w:t>Sum of the parts — equity value</w:t>
            </w:r>
          </w:p>
        </w:tc>
        <w:tc>
          <w:tcPr>
            <w:tcW w:type="dxa" w:w="4176"/>
            <w:shd w:val="clear" w:color="auto" w:fill="F6F1E6"/>
          </w:tcPr>
          <w:p>
            <w:pPr>
              <w:spacing w:after="20"/>
              <w:jc w:val="right"/>
            </w:pPr>
            <w:r>
              <w:rPr>
                <w:b/>
                <w:color w:val="1C3A36"/>
                <w:sz w:val="18"/>
              </w:rPr>
              <w:t>no discount is applied to either branch</w:t>
            </w:r>
          </w:p>
        </w:tc>
        <w:tc>
          <w:tcPr>
            <w:tcW w:type="dxa" w:w="1656"/>
            <w:shd w:val="clear" w:color="auto" w:fill="F6F1E6"/>
          </w:tcPr>
          <w:p>
            <w:pPr>
              <w:spacing w:after="20"/>
              <w:jc w:val="right"/>
            </w:pPr>
            <w:r>
              <w:rPr>
                <w:b/>
                <w:color w:val="1C3A36"/>
                <w:sz w:val="18"/>
              </w:rPr>
              <w:t>44,884</w:t>
            </w:r>
          </w:p>
        </w:tc>
        <w:tc>
          <w:tcPr>
            <w:tcW w:type="dxa" w:w="1656"/>
            <w:shd w:val="clear" w:color="auto" w:fill="F6F1E6"/>
          </w:tcPr>
          <w:p>
            <w:pPr>
              <w:spacing w:after="20"/>
              <w:jc w:val="right"/>
            </w:pPr>
            <w:r>
              <w:rPr>
                <w:b/>
                <w:color w:val="1C3A36"/>
                <w:sz w:val="18"/>
              </w:rPr>
              <w:t>56,821</w:t>
            </w:r>
          </w:p>
        </w:tc>
      </w:tr>
      <w:tr>
        <w:tc>
          <w:tcPr>
            <w:tcW w:type="dxa" w:w="2880"/>
            <w:shd w:val="clear" w:color="auto" w:fill="F6F1E6"/>
          </w:tcPr>
          <w:p>
            <w:pPr>
              <w:spacing w:after="20"/>
            </w:pPr>
            <w:r>
              <w:rPr>
                <w:b/>
                <w:color w:val="1C3A36"/>
                <w:sz w:val="18"/>
              </w:rPr>
              <w:t>Equity value per share (EGP)</w:t>
            </w:r>
          </w:p>
        </w:tc>
        <w:tc>
          <w:tcPr>
            <w:tcW w:type="dxa" w:w="4176"/>
            <w:shd w:val="clear" w:color="auto" w:fill="F6F1E6"/>
          </w:tcPr>
          <w:p>
            <w:pPr>
              <w:spacing w:after="20"/>
              <w:jc w:val="right"/>
            </w:pPr>
            <w:r>
              <w:rPr>
                <w:b/>
                <w:color w:val="1C3A36"/>
                <w:sz w:val="18"/>
              </w:rPr>
              <w:t>the two answers this study publishes</w:t>
            </w:r>
          </w:p>
        </w:tc>
        <w:tc>
          <w:tcPr>
            <w:tcW w:type="dxa" w:w="1656"/>
            <w:shd w:val="clear" w:color="auto" w:fill="F6F1E6"/>
          </w:tcPr>
          <w:p>
            <w:pPr>
              <w:spacing w:after="20"/>
              <w:jc w:val="right"/>
            </w:pPr>
            <w:r>
              <w:rPr>
                <w:b/>
                <w:color w:val="1C3A36"/>
                <w:sz w:val="18"/>
              </w:rPr>
              <w:t>41.35</w:t>
            </w:r>
          </w:p>
        </w:tc>
        <w:tc>
          <w:tcPr>
            <w:tcW w:type="dxa" w:w="1656"/>
            <w:shd w:val="clear" w:color="auto" w:fill="F6F1E6"/>
          </w:tcPr>
          <w:p>
            <w:pPr>
              <w:spacing w:after="20"/>
              <w:jc w:val="right"/>
            </w:pPr>
            <w:r>
              <w:rPr>
                <w:b/>
                <w:color w:val="1C3A36"/>
                <w:sz w:val="18"/>
              </w:rPr>
              <w:t>52.35</w:t>
            </w:r>
          </w:p>
        </w:tc>
      </w:tr>
      <w:tr>
        <w:tc>
          <w:tcPr>
            <w:tcW w:type="dxa" w:w="2880"/>
          </w:tcPr>
          <w:p>
            <w:pPr>
              <w:spacing w:after="20"/>
            </w:pPr>
            <w:r>
              <w:rPr>
                <w:b/>
                <w:color w:val="1C3A36"/>
                <w:sz w:val="18"/>
              </w:rPr>
              <w:t>Against the price</w:t>
            </w:r>
          </w:p>
        </w:tc>
        <w:tc>
          <w:tcPr>
            <w:tcW w:type="dxa" w:w="4176"/>
          </w:tcPr>
          <w:p>
            <w:pPr>
              <w:spacing w:after="20"/>
              <w:jc w:val="right"/>
            </w:pPr>
            <w:r>
              <w:rPr>
                <w:color w:val="1C3A36"/>
                <w:sz w:val="18"/>
              </w:rPr>
              <w:t>EGP 28.98, 3 September 2026</w:t>
            </w:r>
          </w:p>
        </w:tc>
        <w:tc>
          <w:tcPr>
            <w:tcW w:type="dxa" w:w="1656"/>
          </w:tcPr>
          <w:p>
            <w:pPr>
              <w:spacing w:after="20"/>
              <w:jc w:val="right"/>
            </w:pPr>
            <w:r>
              <w:rPr>
                <w:color w:val="1C3A36"/>
                <w:sz w:val="18"/>
              </w:rPr>
              <w:t>+43%</w:t>
            </w:r>
          </w:p>
        </w:tc>
        <w:tc>
          <w:tcPr>
            <w:tcW w:type="dxa" w:w="1656"/>
          </w:tcPr>
          <w:p>
            <w:pPr>
              <w:spacing w:after="20"/>
              <w:jc w:val="right"/>
            </w:pPr>
            <w:r>
              <w:rPr>
                <w:color w:val="1C3A36"/>
                <w:sz w:val="18"/>
              </w:rPr>
              <w:t>+81%</w:t>
            </w:r>
          </w:p>
        </w:tc>
      </w:tr>
    </w:tbl>
    <w:p>
      <w:pPr>
        <w:spacing w:after="40"/>
      </w:pPr>
    </w:p>
    <w:p>
      <w:pPr>
        <w:spacing w:after="120" w:before="0"/>
      </w:pPr>
      <w:r>
        <w:rPr>
          <w:b/>
          <w:i w:val="0"/>
          <w:color w:val="1C3A36"/>
          <w:sz w:val="21"/>
        </w:rPr>
        <w:t>Two answers, EGP 41.35 and 52.35 per share</w:t>
      </w:r>
      <w:r>
        <w:rPr>
          <w:b w:val="0"/>
          <w:i w:val="0"/>
          <w:color w:val="1C3A36"/>
          <w:sz w:val="21"/>
        </w:rPr>
        <w:t>, and no number between them. The gap between the branches is EGP 11.9 bn, 21.0% of the higher answer. Averaging them would produce a figure neither of GB Corp's disclosures supports, and applying a discount to bridge them would be the free parameter this edition removed arriving under a new name. What the market does with the same line is the subject of §1.7 and §7.</w:t>
      </w:r>
    </w:p>
    <w:p>
      <w:pPr>
        <w:spacing w:after="80" w:before="200"/>
      </w:pPr>
      <w:r>
        <w:rPr>
          <w:b/>
          <w:i w:val="0"/>
          <w:color w:val="1C3A36"/>
          <w:sz w:val="24"/>
        </w:rPr>
        <w:t>The ownership percentage — two figures for one transaction, and both are printed</w:t>
      </w:r>
    </w:p>
    <w:p>
      <w:pPr>
        <w:spacing w:after="120" w:before="0"/>
      </w:pPr>
      <w:r>
        <w:rPr>
          <w:b w:val="0"/>
          <w:i w:val="0"/>
          <w:color w:val="1C3A36"/>
          <w:sz w:val="19"/>
        </w:rPr>
        <w:t>GB Corp’s press release of 9 June 2026 states the holding directly: 41.61%, against 42.58% before that transaction. Its own reviewed statements to 30 June 2026, and the review report on them, give 42.93% from 44.01% for what is plainly the same transaction — most likely a different level of the structure, the intermediate holding vehicle rather than the operating group. This study adopts 41.61%, because it is the figure the round it is applied to was announced with, and prints the other rather than leaving it out. The difference is worth 1.52% of the round-price branch and exactly nothing on the carrying-value branch, whose mark is a pound figure off a pound balance sheet.</w:t>
      </w:r>
    </w:p>
    <w:p>
      <w:pPr>
        <w:spacing w:after="80" w:before="200"/>
      </w:pPr>
      <w:r>
        <w:rPr>
          <w:b/>
          <w:i w:val="0"/>
          <w:color w:val="1C3A36"/>
          <w:sz w:val="24"/>
        </w:rPr>
        <w:t>What the associate mark is worth inside this valuation</w:t>
      </w:r>
    </w:p>
    <w:p>
      <w:pPr>
        <w:spacing w:after="80" w:before="0"/>
      </w:pPr>
      <w:r>
        <w:rPr>
          <w:b w:val="0"/>
          <w:i w:val="0"/>
          <w:color w:val="1C3A36"/>
          <w:sz w:val="19"/>
        </w:rPr>
        <w:t>Because this single line carries the whole disagreement, here is its exact footprint on both of the company’s own bases: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4608"/>
            <w:shd w:val="clear" w:color="auto" w:fill="EAF0EE"/>
          </w:tcPr>
          <w:p>
            <w:pPr>
              <w:spacing w:after="20"/>
            </w:pPr>
            <w:r>
              <w:rPr>
                <w:b/>
                <w:color w:val="1C3A36"/>
                <w:sz w:val="18"/>
              </w:rPr>
              <w:t>MNT-Halan inside the GBCO valuation</w:t>
            </w:r>
          </w:p>
        </w:tc>
        <w:tc>
          <w:tcPr>
            <w:tcW w:type="dxa" w:w="2808"/>
            <w:shd w:val="clear" w:color="auto" w:fill="EAF0EE"/>
          </w:tcPr>
          <w:p>
            <w:pPr>
              <w:spacing w:after="20"/>
            </w:pPr>
            <w:r>
              <w:rPr>
                <w:b/>
                <w:color w:val="1C3A36"/>
                <w:sz w:val="18"/>
              </w:rPr>
              <w:t>Carrying-value branch</w:t>
            </w:r>
          </w:p>
        </w:tc>
        <w:tc>
          <w:tcPr>
            <w:tcW w:type="dxa" w:w="2808"/>
            <w:shd w:val="clear" w:color="auto" w:fill="EAF0EE"/>
          </w:tcPr>
          <w:p>
            <w:pPr>
              <w:spacing w:after="20"/>
            </w:pPr>
            <w:r>
              <w:rPr>
                <w:b/>
                <w:color w:val="1C3A36"/>
                <w:sz w:val="18"/>
              </w:rPr>
              <w:t>Round-price branch</w:t>
            </w:r>
          </w:p>
        </w:tc>
      </w:tr>
      <w:tr>
        <w:tc>
          <w:tcPr>
            <w:tcW w:type="dxa" w:w="4608"/>
          </w:tcPr>
          <w:p>
            <w:pPr>
              <w:spacing w:after="20"/>
            </w:pPr>
            <w:r>
              <w:rPr>
                <w:b/>
                <w:color w:val="1C3A36"/>
                <w:sz w:val="18"/>
              </w:rPr>
              <w:t>The mark (EGP mn)</w:t>
            </w:r>
          </w:p>
        </w:tc>
        <w:tc>
          <w:tcPr>
            <w:tcW w:type="dxa" w:w="2808"/>
          </w:tcPr>
          <w:p>
            <w:pPr>
              <w:spacing w:after="20"/>
              <w:jc w:val="right"/>
            </w:pPr>
            <w:r>
              <w:rPr>
                <w:color w:val="1C3A36"/>
                <w:sz w:val="18"/>
              </w:rPr>
              <w:t>15,734</w:t>
            </w:r>
          </w:p>
        </w:tc>
        <w:tc>
          <w:tcPr>
            <w:tcW w:type="dxa" w:w="2808"/>
          </w:tcPr>
          <w:p>
            <w:pPr>
              <w:spacing w:after="20"/>
              <w:jc w:val="right"/>
            </w:pPr>
            <w:r>
              <w:rPr>
                <w:color w:val="1C3A36"/>
                <w:sz w:val="18"/>
              </w:rPr>
              <w:t>27,671</w:t>
            </w:r>
          </w:p>
        </w:tc>
      </w:tr>
      <w:tr>
        <w:tc>
          <w:tcPr>
            <w:tcW w:type="dxa" w:w="4608"/>
          </w:tcPr>
          <w:p>
            <w:pPr>
              <w:spacing w:after="20"/>
            </w:pPr>
            <w:r>
              <w:rPr>
                <w:b/>
                <w:color w:val="1C3A36"/>
                <w:sz w:val="18"/>
              </w:rPr>
              <w:t>MNT-Halan as a whole, implied (US$ mn)</w:t>
            </w:r>
          </w:p>
        </w:tc>
        <w:tc>
          <w:tcPr>
            <w:tcW w:type="dxa" w:w="2808"/>
          </w:tcPr>
          <w:p>
            <w:pPr>
              <w:spacing w:after="20"/>
              <w:jc w:val="right"/>
            </w:pPr>
            <w:r>
              <w:rPr>
                <w:color w:val="1C3A36"/>
                <w:sz w:val="18"/>
              </w:rPr>
              <w:t>796</w:t>
            </w:r>
          </w:p>
        </w:tc>
        <w:tc>
          <w:tcPr>
            <w:tcW w:type="dxa" w:w="2808"/>
          </w:tcPr>
          <w:p>
            <w:pPr>
              <w:spacing w:after="20"/>
              <w:jc w:val="right"/>
            </w:pPr>
            <w:r>
              <w:rPr>
                <w:color w:val="1C3A36"/>
                <w:sz w:val="18"/>
              </w:rPr>
              <w:t>1,400</w:t>
            </w:r>
          </w:p>
        </w:tc>
      </w:tr>
      <w:tr>
        <w:tc>
          <w:tcPr>
            <w:tcW w:type="dxa" w:w="4608"/>
          </w:tcPr>
          <w:p>
            <w:pPr>
              <w:spacing w:after="20"/>
            </w:pPr>
            <w:r>
              <w:rPr>
                <w:b/>
                <w:color w:val="1C3A36"/>
                <w:sz w:val="18"/>
              </w:rPr>
              <w:t>Per share (EGP)</w:t>
            </w:r>
          </w:p>
        </w:tc>
        <w:tc>
          <w:tcPr>
            <w:tcW w:type="dxa" w:w="2808"/>
          </w:tcPr>
          <w:p>
            <w:pPr>
              <w:spacing w:after="20"/>
              <w:jc w:val="right"/>
            </w:pPr>
            <w:r>
              <w:rPr>
                <w:color w:val="1C3A36"/>
                <w:sz w:val="18"/>
              </w:rPr>
              <w:t>14.49</w:t>
            </w:r>
          </w:p>
        </w:tc>
        <w:tc>
          <w:tcPr>
            <w:tcW w:type="dxa" w:w="2808"/>
          </w:tcPr>
          <w:p>
            <w:pPr>
              <w:spacing w:after="20"/>
              <w:jc w:val="right"/>
            </w:pPr>
            <w:r>
              <w:rPr>
                <w:color w:val="1C3A36"/>
                <w:sz w:val="18"/>
              </w:rPr>
              <w:t>25.49</w:t>
            </w:r>
          </w:p>
        </w:tc>
      </w:tr>
      <w:tr>
        <w:tc>
          <w:tcPr>
            <w:tcW w:type="dxa" w:w="4608"/>
          </w:tcPr>
          <w:p>
            <w:pPr>
              <w:spacing w:after="20"/>
            </w:pPr>
            <w:r>
              <w:rPr>
                <w:b/>
                <w:color w:val="1C3A36"/>
                <w:sz w:val="18"/>
              </w:rPr>
              <w:t>Share of the equity value on that branch</w:t>
            </w:r>
          </w:p>
        </w:tc>
        <w:tc>
          <w:tcPr>
            <w:tcW w:type="dxa" w:w="2808"/>
          </w:tcPr>
          <w:p>
            <w:pPr>
              <w:spacing w:after="20"/>
              <w:jc w:val="right"/>
            </w:pPr>
            <w:r>
              <w:rPr>
                <w:color w:val="1C3A36"/>
                <w:sz w:val="18"/>
              </w:rPr>
              <w:t>35%</w:t>
            </w:r>
          </w:p>
        </w:tc>
        <w:tc>
          <w:tcPr>
            <w:tcW w:type="dxa" w:w="2808"/>
          </w:tcPr>
          <w:p>
            <w:pPr>
              <w:spacing w:after="20"/>
              <w:jc w:val="right"/>
            </w:pPr>
            <w:r>
              <w:rPr>
                <w:color w:val="1C3A36"/>
                <w:sz w:val="18"/>
              </w:rPr>
              <w:t>49%</w:t>
            </w:r>
          </w:p>
        </w:tc>
      </w:tr>
      <w:tr>
        <w:tc>
          <w:tcPr>
            <w:tcW w:type="dxa" w:w="4608"/>
          </w:tcPr>
          <w:p>
            <w:pPr>
              <w:spacing w:after="20"/>
            </w:pPr>
            <w:r>
              <w:rPr>
                <w:b/>
                <w:color w:val="1C3A36"/>
                <w:sz w:val="18"/>
              </w:rPr>
              <w:t>Share of the traded market capitalisation (EGP 31.5 bn)</w:t>
            </w:r>
          </w:p>
        </w:tc>
        <w:tc>
          <w:tcPr>
            <w:tcW w:type="dxa" w:w="2808"/>
          </w:tcPr>
          <w:p>
            <w:pPr>
              <w:spacing w:after="20"/>
              <w:jc w:val="right"/>
            </w:pPr>
            <w:r>
              <w:rPr>
                <w:color w:val="1C3A36"/>
                <w:sz w:val="18"/>
              </w:rPr>
              <w:t>50%</w:t>
            </w:r>
          </w:p>
        </w:tc>
        <w:tc>
          <w:tcPr>
            <w:tcW w:type="dxa" w:w="2808"/>
          </w:tcPr>
          <w:p>
            <w:pPr>
              <w:spacing w:after="20"/>
              <w:jc w:val="right"/>
            </w:pPr>
            <w:r>
              <w:rPr>
                <w:color w:val="1C3A36"/>
                <w:sz w:val="18"/>
              </w:rPr>
              <w:t>88%</w:t>
            </w:r>
          </w:p>
        </w:tc>
      </w:tr>
      <w:tr>
        <w:tc>
          <w:tcPr>
            <w:tcW w:type="dxa" w:w="4608"/>
          </w:tcPr>
          <w:p>
            <w:pPr>
              <w:spacing w:after="20"/>
            </w:pPr>
            <w:r>
              <w:rPr>
                <w:b/>
                <w:color w:val="1C3A36"/>
                <w:sz w:val="18"/>
              </w:rPr>
              <w:t>What the traded price leaves for ALL the associates (EGP mn)</w:t>
            </w:r>
          </w:p>
        </w:tc>
        <w:tc>
          <w:tcPr>
            <w:tcW w:type="dxa" w:w="2808"/>
          </w:tcPr>
          <w:p>
            <w:pPr>
              <w:spacing w:after="20"/>
              <w:jc w:val="right"/>
            </w:pPr>
            <w:r>
              <w:rPr>
                <w:color w:val="1C3A36"/>
                <w:sz w:val="18"/>
              </w:rPr>
              <w:t>2,805</w:t>
            </w:r>
          </w:p>
        </w:tc>
        <w:tc>
          <w:tcPr>
            <w:tcW w:type="dxa" w:w="2808"/>
          </w:tcPr>
          <w:p>
            <w:pPr>
              <w:spacing w:after="20"/>
              <w:jc w:val="right"/>
            </w:pPr>
            <w:r>
              <w:rPr>
                <w:color w:val="1C3A36"/>
                <w:sz w:val="18"/>
              </w:rPr>
              <w:t>2,805</w:t>
            </w:r>
          </w:p>
        </w:tc>
      </w:tr>
      <w:tr>
        <w:tc>
          <w:tcPr>
            <w:tcW w:type="dxa" w:w="4608"/>
          </w:tcPr>
          <w:p>
            <w:pPr>
              <w:spacing w:after="20"/>
            </w:pPr>
            <w:r>
              <w:rPr>
                <w:b/>
                <w:color w:val="1C3A36"/>
                <w:sz w:val="18"/>
              </w:rPr>
              <w:t>— that is a discount to this branch’s associates line of</w:t>
            </w:r>
          </w:p>
        </w:tc>
        <w:tc>
          <w:tcPr>
            <w:tcW w:type="dxa" w:w="2808"/>
          </w:tcPr>
          <w:p>
            <w:pPr>
              <w:spacing w:after="20"/>
              <w:jc w:val="right"/>
            </w:pPr>
            <w:r>
              <w:rPr>
                <w:color w:val="1C3A36"/>
                <w:sz w:val="18"/>
              </w:rPr>
              <w:t>82.7%</w:t>
            </w:r>
          </w:p>
        </w:tc>
        <w:tc>
          <w:tcPr>
            <w:tcW w:type="dxa" w:w="2808"/>
          </w:tcPr>
          <w:p>
            <w:pPr>
              <w:spacing w:after="20"/>
              <w:jc w:val="right"/>
            </w:pPr>
            <w:r>
              <w:rPr>
                <w:color w:val="1C3A36"/>
                <w:sz w:val="18"/>
              </w:rPr>
              <w:t>90.0%</w:t>
            </w:r>
          </w:p>
        </w:tc>
      </w:tr>
      <w:tr>
        <w:tc>
          <w:tcPr>
            <w:tcW w:type="dxa" w:w="4608"/>
          </w:tcPr>
          <w:p>
            <w:pPr>
              <w:spacing w:after="20"/>
            </w:pPr>
            <w:r>
              <w:rPr>
                <w:b/>
                <w:color w:val="1C3A36"/>
                <w:sz w:val="18"/>
              </w:rPr>
              <w:t>What it leaves for MNT-Halan alone, the others held at carrying value (EGP mn)</w:t>
            </w:r>
          </w:p>
        </w:tc>
        <w:tc>
          <w:tcPr>
            <w:tcW w:type="dxa" w:w="2808"/>
          </w:tcPr>
          <w:p>
            <w:pPr>
              <w:spacing w:after="20"/>
              <w:jc w:val="right"/>
            </w:pPr>
            <w:r>
              <w:rPr>
                <w:color w:val="1C3A36"/>
                <w:sz w:val="18"/>
              </w:rPr>
              <w:t>2,308</w:t>
            </w:r>
          </w:p>
        </w:tc>
        <w:tc>
          <w:tcPr>
            <w:tcW w:type="dxa" w:w="2808"/>
          </w:tcPr>
          <w:p>
            <w:pPr>
              <w:spacing w:after="20"/>
              <w:jc w:val="right"/>
            </w:pPr>
            <w:r>
              <w:rPr>
                <w:color w:val="1C3A36"/>
                <w:sz w:val="18"/>
              </w:rPr>
              <w:t>2,308</w:t>
            </w:r>
          </w:p>
        </w:tc>
      </w:tr>
    </w:tbl>
    <w:p>
      <w:pPr>
        <w:spacing w:after="40"/>
      </w:pPr>
    </w:p>
    <w:p>
      <w:pPr>
        <w:spacing w:after="200" w:before="0"/>
      </w:pPr>
      <w:r>
        <w:rPr>
          <w:b w:val="0"/>
          <w:i/>
          <w:color w:val="6E7B77"/>
          <w:sz w:val="17"/>
        </w:rPr>
        <w:t>The last three rows are the same arithmetic read backwards and they are a DIAGNOSTIC, not an input: the market capitalisation less this study’s marks on the two operating legs is what the price leaves over for the associates. Nothing solved from the price enters the valuation above it.</w:t>
      </w:r>
    </w:p>
    <w:p>
      <w:pPr>
        <w:spacing w:after="80" w:before="200"/>
      </w:pPr>
      <w:r>
        <w:rPr>
          <w:b/>
          <w:i w:val="0"/>
          <w:color w:val="1C3A36"/>
          <w:sz w:val="24"/>
        </w:rPr>
        <w:t>The mark ladder — what each level of the associate mark is worth per share</w:t>
      </w:r>
    </w:p>
    <w:p>
      <w:pPr>
        <w:spacing w:after="120" w:before="0"/>
      </w:pPr>
      <w:r>
        <w:rPr>
          <w:b w:val="0"/>
          <w:i w:val="0"/>
          <w:color w:val="1C3A36"/>
          <w:sz w:val="19"/>
        </w:rPr>
        <w:t>The stake itself is not the open question; the company has stated it. What is open is the basis on which a minority interest in an unlisted company should be carried. The ladder below prices that question directly, holding every other line at its published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232"/>
            <w:shd w:val="clear" w:color="auto" w:fill="EAF0EE"/>
          </w:tcPr>
          <w:p>
            <w:pPr>
              <w:spacing w:after="20"/>
            </w:pPr>
            <w:r>
              <w:rPr>
                <w:b/>
                <w:color w:val="1C3A36"/>
                <w:sz w:val="17"/>
              </w:rPr>
              <w:t>MNT-Halan mark (EGP mn)</w:t>
            </w:r>
          </w:p>
        </w:tc>
        <w:tc>
          <w:tcPr>
            <w:tcW w:type="dxa" w:w="2304"/>
            <w:shd w:val="clear" w:color="auto" w:fill="EAF0EE"/>
          </w:tcPr>
          <w:p>
            <w:pPr>
              <w:spacing w:after="20"/>
            </w:pPr>
            <w:r>
              <w:rPr>
                <w:b/>
                <w:color w:val="1C3A36"/>
                <w:sz w:val="17"/>
              </w:rPr>
              <w:t>MNT-Halan as a whole (US$ mn)</w:t>
            </w:r>
          </w:p>
        </w:tc>
        <w:tc>
          <w:tcPr>
            <w:tcW w:type="dxa" w:w="2160"/>
            <w:shd w:val="clear" w:color="auto" w:fill="EAF0EE"/>
          </w:tcPr>
          <w:p>
            <w:pPr>
              <w:spacing w:after="20"/>
            </w:pPr>
            <w:r>
              <w:rPr>
                <w:b/>
                <w:color w:val="1C3A36"/>
                <w:sz w:val="17"/>
              </w:rPr>
              <w:t>Sum of the parts (EGP/share)</w:t>
            </w:r>
          </w:p>
        </w:tc>
        <w:tc>
          <w:tcPr>
            <w:tcW w:type="dxa" w:w="3528"/>
            <w:shd w:val="clear" w:color="auto" w:fill="EAF0EE"/>
          </w:tcPr>
          <w:p>
            <w:pPr>
              <w:spacing w:after="20"/>
            </w:pPr>
            <w:r>
              <w:rPr>
                <w:b/>
                <w:color w:val="1C3A36"/>
                <w:sz w:val="17"/>
              </w:rPr>
              <w:t>Note</w:t>
            </w:r>
          </w:p>
        </w:tc>
      </w:tr>
      <w:tr>
        <w:tc>
          <w:tcPr>
            <w:tcW w:type="dxa" w:w="2232"/>
          </w:tcPr>
          <w:p>
            <w:pPr>
              <w:spacing w:after="20"/>
            </w:pPr>
            <w:r>
              <w:rPr>
                <w:b/>
                <w:color w:val="1C3A36"/>
                <w:sz w:val="17"/>
              </w:rPr>
              <w:t>2,308</w:t>
            </w:r>
          </w:p>
        </w:tc>
        <w:tc>
          <w:tcPr>
            <w:tcW w:type="dxa" w:w="2304"/>
          </w:tcPr>
          <w:p>
            <w:pPr>
              <w:spacing w:after="20"/>
              <w:jc w:val="right"/>
            </w:pPr>
            <w:r>
              <w:rPr>
                <w:color w:val="1C3A36"/>
                <w:sz w:val="17"/>
              </w:rPr>
              <w:t>117</w:t>
            </w:r>
          </w:p>
        </w:tc>
        <w:tc>
          <w:tcPr>
            <w:tcW w:type="dxa" w:w="2160"/>
          </w:tcPr>
          <w:p>
            <w:pPr>
              <w:spacing w:after="20"/>
              <w:jc w:val="right"/>
            </w:pPr>
            <w:r>
              <w:rPr>
                <w:color w:val="1C3A36"/>
                <w:sz w:val="17"/>
              </w:rPr>
              <w:t>28.98</w:t>
            </w:r>
          </w:p>
        </w:tc>
        <w:tc>
          <w:tcPr>
            <w:tcW w:type="dxa" w:w="3528"/>
          </w:tcPr>
          <w:p>
            <w:pPr>
              <w:spacing w:after="20"/>
              <w:jc w:val="right"/>
            </w:pPr>
            <w:r>
              <w:rPr>
                <w:color w:val="1C3A36"/>
                <w:sz w:val="17"/>
              </w:rPr>
              <w:t>what the traded price leaves for MNT-Halan alone, the other associates held at carrying value</w:t>
            </w:r>
          </w:p>
        </w:tc>
      </w:tr>
      <w:tr>
        <w:tc>
          <w:tcPr>
            <w:tcW w:type="dxa" w:w="2232"/>
          </w:tcPr>
          <w:p>
            <w:pPr>
              <w:spacing w:after="20"/>
            </w:pPr>
            <w:r>
              <w:rPr>
                <w:b/>
                <w:color w:val="1C3A36"/>
                <w:sz w:val="17"/>
              </w:rPr>
              <w:t>6,918</w:t>
            </w:r>
          </w:p>
        </w:tc>
        <w:tc>
          <w:tcPr>
            <w:tcW w:type="dxa" w:w="2304"/>
          </w:tcPr>
          <w:p>
            <w:pPr>
              <w:spacing w:after="20"/>
              <w:jc w:val="right"/>
            </w:pPr>
            <w:r>
              <w:rPr>
                <w:color w:val="1C3A36"/>
                <w:sz w:val="17"/>
              </w:rPr>
              <w:t>350</w:t>
            </w:r>
          </w:p>
        </w:tc>
        <w:tc>
          <w:tcPr>
            <w:tcW w:type="dxa" w:w="2160"/>
          </w:tcPr>
          <w:p>
            <w:pPr>
              <w:spacing w:after="20"/>
              <w:jc w:val="right"/>
            </w:pPr>
            <w:r>
              <w:rPr>
                <w:color w:val="1C3A36"/>
                <w:sz w:val="17"/>
              </w:rPr>
              <w:t>33.23</w:t>
            </w:r>
          </w:p>
        </w:tc>
        <w:tc>
          <w:tcPr>
            <w:tcW w:type="dxa" w:w="3528"/>
          </w:tcPr>
          <w:p>
            <w:pPr>
              <w:spacing w:after="20"/>
              <w:jc w:val="right"/>
            </w:pPr>
            <w:r>
              <w:rPr>
                <w:color w:val="1C3A36"/>
                <w:sz w:val="17"/>
              </w:rPr>
            </w:r>
          </w:p>
        </w:tc>
      </w:tr>
      <w:tr>
        <w:tc>
          <w:tcPr>
            <w:tcW w:type="dxa" w:w="2232"/>
          </w:tcPr>
          <w:p>
            <w:pPr>
              <w:spacing w:after="20"/>
            </w:pPr>
            <w:r>
              <w:rPr>
                <w:b/>
                <w:color w:val="1C3A36"/>
                <w:sz w:val="17"/>
              </w:rPr>
              <w:t>13,835</w:t>
            </w:r>
          </w:p>
        </w:tc>
        <w:tc>
          <w:tcPr>
            <w:tcW w:type="dxa" w:w="2304"/>
          </w:tcPr>
          <w:p>
            <w:pPr>
              <w:spacing w:after="20"/>
              <w:jc w:val="right"/>
            </w:pPr>
            <w:r>
              <w:rPr>
                <w:color w:val="1C3A36"/>
                <w:sz w:val="17"/>
              </w:rPr>
              <w:t>700</w:t>
            </w:r>
          </w:p>
        </w:tc>
        <w:tc>
          <w:tcPr>
            <w:tcW w:type="dxa" w:w="2160"/>
          </w:tcPr>
          <w:p>
            <w:pPr>
              <w:spacing w:after="20"/>
              <w:jc w:val="right"/>
            </w:pPr>
            <w:r>
              <w:rPr>
                <w:color w:val="1C3A36"/>
                <w:sz w:val="17"/>
              </w:rPr>
              <w:t>39.60</w:t>
            </w:r>
          </w:p>
        </w:tc>
        <w:tc>
          <w:tcPr>
            <w:tcW w:type="dxa" w:w="3528"/>
          </w:tcPr>
          <w:p>
            <w:pPr>
              <w:spacing w:after="20"/>
              <w:jc w:val="right"/>
            </w:pPr>
            <w:r>
              <w:rPr>
                <w:color w:val="1C3A36"/>
                <w:sz w:val="17"/>
              </w:rPr>
            </w:r>
          </w:p>
        </w:tc>
      </w:tr>
      <w:tr>
        <w:tc>
          <w:tcPr>
            <w:tcW w:type="dxa" w:w="2232"/>
          </w:tcPr>
          <w:p>
            <w:pPr>
              <w:spacing w:after="20"/>
            </w:pPr>
            <w:r>
              <w:rPr>
                <w:b/>
                <w:color w:val="1C3A36"/>
                <w:sz w:val="17"/>
              </w:rPr>
              <w:t>15,734</w:t>
            </w:r>
          </w:p>
        </w:tc>
        <w:tc>
          <w:tcPr>
            <w:tcW w:type="dxa" w:w="2304"/>
          </w:tcPr>
          <w:p>
            <w:pPr>
              <w:spacing w:after="20"/>
              <w:jc w:val="right"/>
            </w:pPr>
            <w:r>
              <w:rPr>
                <w:color w:val="1C3A36"/>
                <w:sz w:val="17"/>
              </w:rPr>
              <w:t>796</w:t>
            </w:r>
          </w:p>
        </w:tc>
        <w:tc>
          <w:tcPr>
            <w:tcW w:type="dxa" w:w="2160"/>
          </w:tcPr>
          <w:p>
            <w:pPr>
              <w:spacing w:after="20"/>
              <w:jc w:val="right"/>
            </w:pPr>
            <w:r>
              <w:rPr>
                <w:color w:val="1C3A36"/>
                <w:sz w:val="17"/>
              </w:rPr>
              <w:t>41.35</w:t>
            </w:r>
          </w:p>
        </w:tc>
        <w:tc>
          <w:tcPr>
            <w:tcW w:type="dxa" w:w="3528"/>
          </w:tcPr>
          <w:p>
            <w:pPr>
              <w:spacing w:after="20"/>
              <w:jc w:val="right"/>
            </w:pPr>
            <w:r>
              <w:rPr>
                <w:color w:val="1C3A36"/>
                <w:sz w:val="17"/>
              </w:rPr>
              <w:t>the reviewed carrying value at 30 June 2026 — the LOWER published branch</w:t>
            </w:r>
          </w:p>
        </w:tc>
      </w:tr>
      <w:tr>
        <w:tc>
          <w:tcPr>
            <w:tcW w:type="dxa" w:w="2232"/>
          </w:tcPr>
          <w:p>
            <w:pPr>
              <w:spacing w:after="20"/>
            </w:pPr>
            <w:r>
              <w:rPr>
                <w:b/>
                <w:color w:val="1C3A36"/>
                <w:sz w:val="17"/>
              </w:rPr>
              <w:t>20,753</w:t>
            </w:r>
          </w:p>
        </w:tc>
        <w:tc>
          <w:tcPr>
            <w:tcW w:type="dxa" w:w="2304"/>
          </w:tcPr>
          <w:p>
            <w:pPr>
              <w:spacing w:after="20"/>
              <w:jc w:val="right"/>
            </w:pPr>
            <w:r>
              <w:rPr>
                <w:color w:val="1C3A36"/>
                <w:sz w:val="17"/>
              </w:rPr>
              <w:t>1,050</w:t>
            </w:r>
          </w:p>
        </w:tc>
        <w:tc>
          <w:tcPr>
            <w:tcW w:type="dxa" w:w="2160"/>
          </w:tcPr>
          <w:p>
            <w:pPr>
              <w:spacing w:after="20"/>
              <w:jc w:val="right"/>
            </w:pPr>
            <w:r>
              <w:rPr>
                <w:color w:val="1C3A36"/>
                <w:sz w:val="17"/>
              </w:rPr>
              <w:t>45.97</w:t>
            </w:r>
          </w:p>
        </w:tc>
        <w:tc>
          <w:tcPr>
            <w:tcW w:type="dxa" w:w="3528"/>
          </w:tcPr>
          <w:p>
            <w:pPr>
              <w:spacing w:after="20"/>
              <w:jc w:val="right"/>
            </w:pPr>
            <w:r>
              <w:rPr>
                <w:color w:val="1C3A36"/>
                <w:sz w:val="17"/>
              </w:rPr>
            </w:r>
          </w:p>
        </w:tc>
      </w:tr>
      <w:tr>
        <w:tc>
          <w:tcPr>
            <w:tcW w:type="dxa" w:w="2232"/>
          </w:tcPr>
          <w:p>
            <w:pPr>
              <w:spacing w:after="20"/>
            </w:pPr>
            <w:r>
              <w:rPr>
                <w:b/>
                <w:color w:val="1C3A36"/>
                <w:sz w:val="17"/>
              </w:rPr>
              <w:t>27,671</w:t>
            </w:r>
          </w:p>
        </w:tc>
        <w:tc>
          <w:tcPr>
            <w:tcW w:type="dxa" w:w="2304"/>
          </w:tcPr>
          <w:p>
            <w:pPr>
              <w:spacing w:after="20"/>
              <w:jc w:val="right"/>
            </w:pPr>
            <w:r>
              <w:rPr>
                <w:color w:val="1C3A36"/>
                <w:sz w:val="17"/>
              </w:rPr>
              <w:t>1,400</w:t>
            </w:r>
          </w:p>
        </w:tc>
        <w:tc>
          <w:tcPr>
            <w:tcW w:type="dxa" w:w="2160"/>
          </w:tcPr>
          <w:p>
            <w:pPr>
              <w:spacing w:after="20"/>
              <w:jc w:val="right"/>
            </w:pPr>
            <w:r>
              <w:rPr>
                <w:color w:val="1C3A36"/>
                <w:sz w:val="17"/>
              </w:rPr>
              <w:t>52.35</w:t>
            </w:r>
          </w:p>
        </w:tc>
        <w:tc>
          <w:tcPr>
            <w:tcW w:type="dxa" w:w="3528"/>
          </w:tcPr>
          <w:p>
            <w:pPr>
              <w:spacing w:after="20"/>
              <w:jc w:val="right"/>
            </w:pPr>
            <w:r>
              <w:rPr>
                <w:color w:val="1C3A36"/>
                <w:sz w:val="17"/>
              </w:rPr>
              <w:t>the June-2026 round at the stated stake — the HIGHER published branch</w:t>
            </w:r>
          </w:p>
        </w:tc>
      </w:tr>
    </w:tbl>
    <w:p>
      <w:pPr>
        <w:spacing w:after="40"/>
      </w:pPr>
    </w:p>
    <w:p>
      <w:pPr>
        <w:spacing w:after="200" w:before="0"/>
      </w:pPr>
      <w:r>
        <w:rPr>
          <w:b w:val="0"/>
          <w:i/>
          <w:color w:val="6E7B77"/>
          <w:sz w:val="17"/>
        </w:rPr>
        <w:t>Every row recomputes the whole sum of the parts at that mark; the auto leg, the lender and the other associates are held exactly where §1.2 and this section publish them. The two published branches are the two rows the note column names, and the top row is the mark the traded price itself implies — which is why it reproduces the traded price exactly.</w:t>
      </w:r>
    </w:p>
    <w:p>
      <w:pPr>
        <w:spacing w:after="80" w:before="200"/>
      </w:pPr>
      <w:r>
        <w:rPr>
          <w:b/>
          <w:i w:val="0"/>
          <w:color w:val="1C3A36"/>
          <w:sz w:val="24"/>
        </w:rPr>
        <w:t>1.2  The Auto-leg cash-flow model</w:t>
      </w:r>
    </w:p>
    <w:p>
      <w:pPr>
        <w:spacing w:after="120" w:before="0"/>
      </w:pPr>
      <w:r>
        <w:rPr>
          <w:b w:val="0"/>
          <w:i w:val="0"/>
          <w:color w:val="1C3A36"/>
          <w:sz w:val="21"/>
        </w:rPr>
        <w:t>The Auto leg is built bottom-up on disclosed units × average selling price per line of business: volumes and revenue are published per line, so the price is arithmetic rather than an assumption, and the driver table is in §1.6 and Appendix A. Gross margin opens at 13.80% and settles at 14.50%; selling and administrative cost holds near 7.3% of revenue; capital expenditure follows the EGP 3,000 mn guided for the first year and then normalises; and the crux — net working capital — glides from 26.5% of revenue to 21.5% as the payables re-extension completes and the Sadat stock build unwinds. The cost of capital is not one crisis rate held for ever: it is a schedule, built through the house cost-of-capital module from a normalised risk-free rate of 19.59%, a regression beta of 0.8907 and an equity risk premium of 9.41%, gliding from 22.88% in the first forecast year to a norm-built terminal of 14.18%. Terminal growth is stored as a REAL rate of 0.0% on the house Egyptian inflation path and recomputes to 7.00% nominal; it is not a typed nominal figure. §1.8 carries the whole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Auto revenue</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95,736</w:t>
            </w:r>
          </w:p>
        </w:tc>
        <w:tc>
          <w:tcPr>
            <w:tcW w:type="dxa" w:w="1440"/>
          </w:tcPr>
          <w:p>
            <w:pPr>
              <w:spacing w:after="20"/>
              <w:jc w:val="right"/>
            </w:pPr>
            <w:r>
              <w:rPr>
                <w:color w:val="1C3A36"/>
                <w:sz w:val="17"/>
              </w:rPr>
              <w:t>112,459</w:t>
            </w:r>
          </w:p>
        </w:tc>
        <w:tc>
          <w:tcPr>
            <w:tcW w:type="dxa" w:w="1440"/>
          </w:tcPr>
          <w:p>
            <w:pPr>
              <w:spacing w:after="20"/>
              <w:jc w:val="right"/>
            </w:pPr>
            <w:r>
              <w:rPr>
                <w:color w:val="1C3A36"/>
                <w:sz w:val="17"/>
              </w:rPr>
              <w:t>128,714</w:t>
            </w:r>
          </w:p>
        </w:tc>
        <w:tc>
          <w:tcPr>
            <w:tcW w:type="dxa" w:w="1440"/>
          </w:tcPr>
          <w:p>
            <w:pPr>
              <w:spacing w:after="20"/>
              <w:jc w:val="right"/>
            </w:pPr>
            <w:r>
              <w:rPr>
                <w:color w:val="1C3A36"/>
                <w:sz w:val="17"/>
              </w:rPr>
              <w:t>144,761</w:t>
            </w:r>
          </w:p>
        </w:tc>
      </w:tr>
      <w:tr>
        <w:tc>
          <w:tcPr>
            <w:tcW w:type="dxa" w:w="3024"/>
          </w:tcPr>
          <w:p>
            <w:pPr>
              <w:spacing w:after="20"/>
            </w:pPr>
            <w:r>
              <w:rPr>
                <w:b/>
                <w:color w:val="1C3A36"/>
                <w:sz w:val="17"/>
              </w:rPr>
              <w:t>Operating profit before depreciation</w:t>
            </w:r>
          </w:p>
        </w:tc>
        <w:tc>
          <w:tcPr>
            <w:tcW w:type="dxa" w:w="1440"/>
          </w:tcPr>
          <w:p>
            <w:pPr>
              <w:spacing w:after="20"/>
              <w:jc w:val="right"/>
            </w:pPr>
            <w:r>
              <w:rPr>
                <w:color w:val="1C3A36"/>
                <w:sz w:val="17"/>
              </w:rPr>
              <w:t>6,677</w:t>
            </w:r>
          </w:p>
        </w:tc>
        <w:tc>
          <w:tcPr>
            <w:tcW w:type="dxa" w:w="1440"/>
          </w:tcPr>
          <w:p>
            <w:pPr>
              <w:spacing w:after="20"/>
              <w:jc w:val="right"/>
            </w:pPr>
            <w:r>
              <w:rPr>
                <w:color w:val="1C3A36"/>
                <w:sz w:val="17"/>
              </w:rPr>
              <w:t>8,616</w:t>
            </w:r>
          </w:p>
        </w:tc>
        <w:tc>
          <w:tcPr>
            <w:tcW w:type="dxa" w:w="1440"/>
          </w:tcPr>
          <w:p>
            <w:pPr>
              <w:spacing w:after="20"/>
              <w:jc w:val="right"/>
            </w:pPr>
            <w:r>
              <w:rPr>
                <w:color w:val="1C3A36"/>
                <w:sz w:val="17"/>
              </w:rPr>
              <w:t>10,571</w:t>
            </w:r>
          </w:p>
        </w:tc>
        <w:tc>
          <w:tcPr>
            <w:tcW w:type="dxa" w:w="1440"/>
          </w:tcPr>
          <w:p>
            <w:pPr>
              <w:spacing w:after="20"/>
              <w:jc w:val="right"/>
            </w:pPr>
            <w:r>
              <w:rPr>
                <w:color w:val="1C3A36"/>
                <w:sz w:val="17"/>
              </w:rPr>
              <w:t>12,228</w:t>
            </w:r>
          </w:p>
        </w:tc>
        <w:tc>
          <w:tcPr>
            <w:tcW w:type="dxa" w:w="1440"/>
          </w:tcPr>
          <w:p>
            <w:pPr>
              <w:spacing w:after="20"/>
              <w:jc w:val="right"/>
            </w:pPr>
            <w:r>
              <w:rPr>
                <w:color w:val="1C3A36"/>
                <w:sz w:val="17"/>
              </w:rPr>
              <w:t>13,752</w:t>
            </w:r>
          </w:p>
        </w:tc>
      </w:tr>
      <w:tr>
        <w:tc>
          <w:tcPr>
            <w:tcW w:type="dxa" w:w="3024"/>
          </w:tcPr>
          <w:p>
            <w:pPr>
              <w:spacing w:after="20"/>
            </w:pPr>
            <w:r>
              <w:rPr>
                <w:b/>
                <w:color w:val="1C3A36"/>
                <w:sz w:val="17"/>
              </w:rPr>
              <w:t>Depreciation &amp; amortisation</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Operating profit</w:t>
            </w:r>
          </w:p>
        </w:tc>
        <w:tc>
          <w:tcPr>
            <w:tcW w:type="dxa" w:w="1440"/>
          </w:tcPr>
          <w:p>
            <w:pPr>
              <w:spacing w:after="20"/>
              <w:jc w:val="right"/>
            </w:pPr>
            <w:r>
              <w:rPr>
                <w:color w:val="1C3A36"/>
                <w:sz w:val="17"/>
              </w:rPr>
              <w:t>5,813</w:t>
            </w:r>
          </w:p>
        </w:tc>
        <w:tc>
          <w:tcPr>
            <w:tcW w:type="dxa" w:w="1440"/>
          </w:tcPr>
          <w:p>
            <w:pPr>
              <w:spacing w:after="20"/>
              <w:jc w:val="right"/>
            </w:pPr>
            <w:r>
              <w:rPr>
                <w:color w:val="1C3A36"/>
                <w:sz w:val="17"/>
              </w:rPr>
              <w:t>7,563</w:t>
            </w:r>
          </w:p>
        </w:tc>
        <w:tc>
          <w:tcPr>
            <w:tcW w:type="dxa" w:w="1440"/>
          </w:tcPr>
          <w:p>
            <w:pPr>
              <w:spacing w:after="20"/>
              <w:jc w:val="right"/>
            </w:pPr>
            <w:r>
              <w:rPr>
                <w:color w:val="1C3A36"/>
                <w:sz w:val="17"/>
              </w:rPr>
              <w:t>9,334</w:t>
            </w:r>
          </w:p>
        </w:tc>
        <w:tc>
          <w:tcPr>
            <w:tcW w:type="dxa" w:w="1440"/>
          </w:tcPr>
          <w:p>
            <w:pPr>
              <w:spacing w:after="20"/>
              <w:jc w:val="right"/>
            </w:pPr>
            <w:r>
              <w:rPr>
                <w:color w:val="1C3A36"/>
                <w:sz w:val="17"/>
              </w:rPr>
              <w:t>10,812</w:t>
            </w:r>
          </w:p>
        </w:tc>
        <w:tc>
          <w:tcPr>
            <w:tcW w:type="dxa" w:w="1440"/>
          </w:tcPr>
          <w:p>
            <w:pPr>
              <w:spacing w:after="20"/>
              <w:jc w:val="right"/>
            </w:pPr>
            <w:r>
              <w:rPr>
                <w:color w:val="1C3A36"/>
                <w:sz w:val="17"/>
              </w:rPr>
              <w:t>12,160</w:t>
            </w:r>
          </w:p>
        </w:tc>
      </w:tr>
      <w:tr>
        <w:tc>
          <w:tcPr>
            <w:tcW w:type="dxa" w:w="3024"/>
          </w:tcPr>
          <w:p>
            <w:pPr>
              <w:spacing w:after="20"/>
            </w:pPr>
            <w:r>
              <w:rPr>
                <w:b/>
                <w:color w:val="1C3A36"/>
                <w:sz w:val="17"/>
              </w:rPr>
              <w:t>Operating profit after tax at 28%</w:t>
            </w:r>
          </w:p>
        </w:tc>
        <w:tc>
          <w:tcPr>
            <w:tcW w:type="dxa" w:w="1440"/>
          </w:tcPr>
          <w:p>
            <w:pPr>
              <w:spacing w:after="20"/>
              <w:jc w:val="right"/>
            </w:pPr>
            <w:r>
              <w:rPr>
                <w:color w:val="1C3A36"/>
                <w:sz w:val="17"/>
              </w:rPr>
              <w:t>4,185</w:t>
            </w:r>
          </w:p>
        </w:tc>
        <w:tc>
          <w:tcPr>
            <w:tcW w:type="dxa" w:w="1440"/>
          </w:tcPr>
          <w:p>
            <w:pPr>
              <w:spacing w:after="20"/>
              <w:jc w:val="right"/>
            </w:pPr>
            <w:r>
              <w:rPr>
                <w:color w:val="1C3A36"/>
                <w:sz w:val="17"/>
              </w:rPr>
              <w:t>5,445</w:t>
            </w:r>
          </w:p>
        </w:tc>
        <w:tc>
          <w:tcPr>
            <w:tcW w:type="dxa" w:w="1440"/>
          </w:tcPr>
          <w:p>
            <w:pPr>
              <w:spacing w:after="20"/>
              <w:jc w:val="right"/>
            </w:pPr>
            <w:r>
              <w:rPr>
                <w:color w:val="1C3A36"/>
                <w:sz w:val="17"/>
              </w:rPr>
              <w:t>6,721</w:t>
            </w:r>
          </w:p>
        </w:tc>
        <w:tc>
          <w:tcPr>
            <w:tcW w:type="dxa" w:w="1440"/>
          </w:tcPr>
          <w:p>
            <w:pPr>
              <w:spacing w:after="20"/>
              <w:jc w:val="right"/>
            </w:pPr>
            <w:r>
              <w:rPr>
                <w:color w:val="1C3A36"/>
                <w:sz w:val="17"/>
              </w:rPr>
              <w:t>7,785</w:t>
            </w:r>
          </w:p>
        </w:tc>
        <w:tc>
          <w:tcPr>
            <w:tcW w:type="dxa" w:w="1440"/>
          </w:tcPr>
          <w:p>
            <w:pPr>
              <w:spacing w:after="20"/>
              <w:jc w:val="right"/>
            </w:pPr>
            <w:r>
              <w:rPr>
                <w:color w:val="1C3A36"/>
                <w:sz w:val="17"/>
              </w:rPr>
              <w:t>8,755</w:t>
            </w:r>
          </w:p>
        </w:tc>
      </w:tr>
      <w:tr>
        <w:tc>
          <w:tcPr>
            <w:tcW w:type="dxa" w:w="3024"/>
          </w:tcPr>
          <w:p>
            <w:pPr>
              <w:spacing w:after="20"/>
            </w:pPr>
            <w:r>
              <w:rPr>
                <w:b/>
                <w:color w:val="1C3A36"/>
                <w:sz w:val="17"/>
              </w:rPr>
              <w:t>Plus depreciation &amp; amortisation</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Less capital expenditure</w:t>
            </w:r>
          </w:p>
        </w:tc>
        <w:tc>
          <w:tcPr>
            <w:tcW w:type="dxa" w:w="1440"/>
          </w:tcPr>
          <w:p>
            <w:pPr>
              <w:spacing w:after="20"/>
              <w:jc w:val="right"/>
            </w:pPr>
            <w:r>
              <w:rPr>
                <w:color w:val="1C3A36"/>
                <w:sz w:val="17"/>
              </w:rPr>
              <w:t>(3,000)</w:t>
            </w:r>
          </w:p>
        </w:tc>
        <w:tc>
          <w:tcPr>
            <w:tcW w:type="dxa" w:w="1440"/>
          </w:tcPr>
          <w:p>
            <w:pPr>
              <w:spacing w:after="20"/>
              <w:jc w:val="right"/>
            </w:pPr>
            <w:r>
              <w:rPr>
                <w:color w:val="1C3A36"/>
                <w:sz w:val="17"/>
              </w:rPr>
              <w:t>(2,400)</w:t>
            </w:r>
          </w:p>
        </w:tc>
        <w:tc>
          <w:tcPr>
            <w:tcW w:type="dxa" w:w="1440"/>
          </w:tcPr>
          <w:p>
            <w:pPr>
              <w:spacing w:after="20"/>
              <w:jc w:val="right"/>
            </w:pPr>
            <w:r>
              <w:rPr>
                <w:color w:val="1C3A36"/>
                <w:sz w:val="17"/>
              </w:rPr>
              <w:t>(2,500)</w:t>
            </w:r>
          </w:p>
        </w:tc>
        <w:tc>
          <w:tcPr>
            <w:tcW w:type="dxa" w:w="1440"/>
          </w:tcPr>
          <w:p>
            <w:pPr>
              <w:spacing w:after="20"/>
              <w:jc w:val="right"/>
            </w:pPr>
            <w:r>
              <w:rPr>
                <w:color w:val="1C3A36"/>
                <w:sz w:val="17"/>
              </w:rPr>
              <w:t>(2,600)</w:t>
            </w:r>
          </w:p>
        </w:tc>
        <w:tc>
          <w:tcPr>
            <w:tcW w:type="dxa" w:w="1440"/>
          </w:tcPr>
          <w:p>
            <w:pPr>
              <w:spacing w:after="20"/>
              <w:jc w:val="right"/>
            </w:pPr>
            <w:r>
              <w:rPr>
                <w:color w:val="1C3A36"/>
                <w:sz w:val="17"/>
              </w:rPr>
              <w:t>(2,800)</w:t>
            </w:r>
          </w:p>
        </w:tc>
      </w:tr>
      <w:tr>
        <w:tc>
          <w:tcPr>
            <w:tcW w:type="dxa" w:w="3024"/>
          </w:tcPr>
          <w:p>
            <w:pPr>
              <w:spacing w:after="20"/>
            </w:pPr>
            <w:r>
              <w:rPr>
                <w:b/>
                <w:color w:val="1C3A36"/>
                <w:sz w:val="17"/>
              </w:rPr>
              <w:t>Less increase in working capital</w:t>
            </w:r>
          </w:p>
        </w:tc>
        <w:tc>
          <w:tcPr>
            <w:tcW w:type="dxa" w:w="1440"/>
          </w:tcPr>
          <w:p>
            <w:pPr>
              <w:spacing w:after="20"/>
              <w:jc w:val="right"/>
            </w:pPr>
            <w:r>
              <w:rPr>
                <w:color w:val="1C3A36"/>
                <w:sz w:val="17"/>
              </w:rPr>
              <w:t>(1,899)</w:t>
            </w:r>
          </w:p>
        </w:tc>
        <w:tc>
          <w:tcPr>
            <w:tcW w:type="dxa" w:w="1440"/>
          </w:tcPr>
          <w:p>
            <w:pPr>
              <w:spacing w:after="20"/>
              <w:jc w:val="right"/>
            </w:pPr>
            <w:r>
              <w:rPr>
                <w:color w:val="1C3A36"/>
                <w:sz w:val="17"/>
              </w:rPr>
              <w:t>(3,118)</w:t>
            </w:r>
          </w:p>
        </w:tc>
        <w:tc>
          <w:tcPr>
            <w:tcW w:type="dxa" w:w="1440"/>
          </w:tcPr>
          <w:p>
            <w:pPr>
              <w:spacing w:after="20"/>
              <w:jc w:val="right"/>
            </w:pPr>
            <w:r>
              <w:rPr>
                <w:color w:val="1C3A36"/>
                <w:sz w:val="17"/>
              </w:rPr>
              <w:t>(2,494)</w:t>
            </w:r>
          </w:p>
        </w:tc>
        <w:tc>
          <w:tcPr>
            <w:tcW w:type="dxa" w:w="1440"/>
          </w:tcPr>
          <w:p>
            <w:pPr>
              <w:spacing w:after="20"/>
              <w:jc w:val="right"/>
            </w:pPr>
            <w:r>
              <w:rPr>
                <w:color w:val="1C3A36"/>
                <w:sz w:val="17"/>
              </w:rPr>
              <w:t>(2,533)</w:t>
            </w:r>
          </w:p>
        </w:tc>
        <w:tc>
          <w:tcPr>
            <w:tcW w:type="dxa" w:w="1440"/>
          </w:tcPr>
          <w:p>
            <w:pPr>
              <w:spacing w:after="20"/>
              <w:jc w:val="right"/>
            </w:pPr>
            <w:r>
              <w:rPr>
                <w:color w:val="1C3A36"/>
                <w:sz w:val="17"/>
              </w:rPr>
              <w:t>(2,163)</w:t>
            </w:r>
          </w:p>
        </w:tc>
      </w:tr>
      <w:tr>
        <w:tc>
          <w:tcPr>
            <w:tcW w:type="dxa" w:w="3024"/>
          </w:tcPr>
          <w:p>
            <w:pPr>
              <w:spacing w:after="20"/>
            </w:pPr>
            <w:r>
              <w:rPr>
                <w:b/>
                <w:color w:val="1C3A36"/>
                <w:sz w:val="17"/>
              </w:rPr>
              <w:t>Free cash flow to the firm</w:t>
            </w:r>
          </w:p>
        </w:tc>
        <w:tc>
          <w:tcPr>
            <w:tcW w:type="dxa" w:w="1440"/>
          </w:tcPr>
          <w:p>
            <w:pPr>
              <w:spacing w:after="20"/>
              <w:jc w:val="right"/>
            </w:pPr>
            <w:r>
              <w:rPr>
                <w:color w:val="1C3A36"/>
                <w:sz w:val="17"/>
              </w:rPr>
              <w:t>151</w:t>
            </w:r>
          </w:p>
        </w:tc>
        <w:tc>
          <w:tcPr>
            <w:tcW w:type="dxa" w:w="1440"/>
          </w:tcPr>
          <w:p>
            <w:pPr>
              <w:spacing w:after="20"/>
              <w:jc w:val="right"/>
            </w:pPr>
            <w:r>
              <w:rPr>
                <w:color w:val="1C3A36"/>
                <w:sz w:val="17"/>
              </w:rPr>
              <w:t>980</w:t>
            </w:r>
          </w:p>
        </w:tc>
        <w:tc>
          <w:tcPr>
            <w:tcW w:type="dxa" w:w="1440"/>
          </w:tcPr>
          <w:p>
            <w:pPr>
              <w:spacing w:after="20"/>
              <w:jc w:val="right"/>
            </w:pPr>
            <w:r>
              <w:rPr>
                <w:color w:val="1C3A36"/>
                <w:sz w:val="17"/>
              </w:rPr>
              <w:t>2,964</w:t>
            </w:r>
          </w:p>
        </w:tc>
        <w:tc>
          <w:tcPr>
            <w:tcW w:type="dxa" w:w="1440"/>
          </w:tcPr>
          <w:p>
            <w:pPr>
              <w:spacing w:after="20"/>
              <w:jc w:val="right"/>
            </w:pPr>
            <w:r>
              <w:rPr>
                <w:color w:val="1C3A36"/>
                <w:sz w:val="17"/>
              </w:rPr>
              <w:t>4,068</w:t>
            </w:r>
          </w:p>
        </w:tc>
        <w:tc>
          <w:tcPr>
            <w:tcW w:type="dxa" w:w="1440"/>
          </w:tcPr>
          <w:p>
            <w:pPr>
              <w:spacing w:after="20"/>
              <w:jc w:val="right"/>
            </w:pPr>
            <w:r>
              <w:rPr>
                <w:color w:val="1C3A36"/>
                <w:sz w:val="17"/>
              </w:rPr>
              <w:t>5,384</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0.814</w:t>
            </w:r>
          </w:p>
        </w:tc>
        <w:tc>
          <w:tcPr>
            <w:tcW w:type="dxa" w:w="1440"/>
          </w:tcPr>
          <w:p>
            <w:pPr>
              <w:spacing w:after="20"/>
              <w:jc w:val="right"/>
            </w:pPr>
            <w:r>
              <w:rPr>
                <w:color w:val="1C3A36"/>
                <w:sz w:val="17"/>
              </w:rPr>
              <w:t>0.680</w:t>
            </w:r>
          </w:p>
        </w:tc>
        <w:tc>
          <w:tcPr>
            <w:tcW w:type="dxa" w:w="1440"/>
          </w:tcPr>
          <w:p>
            <w:pPr>
              <w:spacing w:after="20"/>
              <w:jc w:val="right"/>
            </w:pPr>
            <w:r>
              <w:rPr>
                <w:color w:val="1C3A36"/>
                <w:sz w:val="17"/>
              </w:rPr>
              <w:t>0.579</w:t>
            </w:r>
          </w:p>
        </w:tc>
        <w:tc>
          <w:tcPr>
            <w:tcW w:type="dxa" w:w="1440"/>
          </w:tcPr>
          <w:p>
            <w:pPr>
              <w:spacing w:after="20"/>
              <w:jc w:val="right"/>
            </w:pPr>
            <w:r>
              <w:rPr>
                <w:color w:val="1C3A36"/>
                <w:sz w:val="17"/>
              </w:rPr>
              <w:t>0.502</w:t>
            </w:r>
          </w:p>
        </w:tc>
        <w:tc>
          <w:tcPr>
            <w:tcW w:type="dxa" w:w="1440"/>
          </w:tcPr>
          <w:p>
            <w:pPr>
              <w:spacing w:after="20"/>
              <w:jc w:val="right"/>
            </w:pPr>
            <w:r>
              <w:rPr>
                <w:color w:val="1C3A36"/>
                <w:sz w:val="17"/>
              </w:rPr>
              <w:t>0.440</w:t>
            </w:r>
          </w:p>
        </w:tc>
      </w:tr>
      <w:tr>
        <w:tc>
          <w:tcPr>
            <w:tcW w:type="dxa" w:w="3024"/>
          </w:tcPr>
          <w:p>
            <w:pPr>
              <w:spacing w:after="20"/>
            </w:pPr>
            <w:r>
              <w:rPr>
                <w:b/>
                <w:color w:val="1C3A36"/>
                <w:sz w:val="17"/>
              </w:rPr>
              <w:t>Present value of free cash flow</w:t>
            </w:r>
          </w:p>
        </w:tc>
        <w:tc>
          <w:tcPr>
            <w:tcW w:type="dxa" w:w="1440"/>
          </w:tcPr>
          <w:p>
            <w:pPr>
              <w:spacing w:after="20"/>
              <w:jc w:val="right"/>
            </w:pPr>
            <w:r>
              <w:rPr>
                <w:color w:val="1C3A36"/>
                <w:sz w:val="17"/>
              </w:rPr>
              <w:t>123</w:t>
            </w:r>
          </w:p>
        </w:tc>
        <w:tc>
          <w:tcPr>
            <w:tcW w:type="dxa" w:w="1440"/>
          </w:tcPr>
          <w:p>
            <w:pPr>
              <w:spacing w:after="20"/>
              <w:jc w:val="right"/>
            </w:pPr>
            <w:r>
              <w:rPr>
                <w:color w:val="1C3A36"/>
                <w:sz w:val="17"/>
              </w:rPr>
              <w:t>666</w:t>
            </w:r>
          </w:p>
        </w:tc>
        <w:tc>
          <w:tcPr>
            <w:tcW w:type="dxa" w:w="1440"/>
          </w:tcPr>
          <w:p>
            <w:pPr>
              <w:spacing w:after="20"/>
              <w:jc w:val="right"/>
            </w:pPr>
            <w:r>
              <w:rPr>
                <w:color w:val="1C3A36"/>
                <w:sz w:val="17"/>
              </w:rPr>
              <w:t>1,717</w:t>
            </w:r>
          </w:p>
        </w:tc>
        <w:tc>
          <w:tcPr>
            <w:tcW w:type="dxa" w:w="1440"/>
          </w:tcPr>
          <w:p>
            <w:pPr>
              <w:spacing w:after="20"/>
              <w:jc w:val="right"/>
            </w:pPr>
            <w:r>
              <w:rPr>
                <w:color w:val="1C3A36"/>
                <w:sz w:val="17"/>
              </w:rPr>
              <w:t>2,042</w:t>
            </w:r>
          </w:p>
        </w:tc>
        <w:tc>
          <w:tcPr>
            <w:tcW w:type="dxa" w:w="1440"/>
          </w:tcPr>
          <w:p>
            <w:pPr>
              <w:spacing w:after="20"/>
              <w:jc w:val="right"/>
            </w:pPr>
            <w:r>
              <w:rPr>
                <w:color w:val="1C3A36"/>
                <w:sz w:val="17"/>
              </w:rPr>
              <w:t>2,367</w:t>
            </w:r>
          </w:p>
        </w:tc>
      </w:tr>
    </w:tbl>
    <w:p>
      <w:pPr>
        <w:spacing w:after="40"/>
      </w:pPr>
    </w:p>
    <w:p>
      <w:pPr>
        <w:spacing w:after="200" w:before="0"/>
      </w:pPr>
      <w:r>
        <w:rPr>
          <w:b w:val="0"/>
          <w:i/>
          <w:color w:val="6E7B77"/>
          <w:sz w:val="17"/>
        </w:rPr>
        <w:t>The discount factors are the cost-of-capital schedule’s own cumulative factors, one forward rate per year; they are not a single rate compounded. Deductions are printed as magnitudes in brackets and the labels state the operation, so the column can be followed from operating profit after tax to free 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shd w:val="clear" w:color="auto" w:fill="EAF0EE"/>
          </w:tcPr>
          <w:p>
            <w:pPr>
              <w:spacing w:after="20"/>
            </w:pPr>
            <w:r>
              <w:rPr>
                <w:b/>
                <w:color w:val="1C3A36"/>
                <w:sz w:val="18"/>
              </w:rPr>
              <w:t>Bridge to the Auto leg’s equity value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present value of explicit free cash flow</w:t>
            </w:r>
          </w:p>
        </w:tc>
        <w:tc>
          <w:tcPr>
            <w:tcW w:type="dxa" w:w="2304"/>
          </w:tcPr>
          <w:p>
            <w:pPr>
              <w:spacing w:after="20"/>
              <w:jc w:val="right"/>
            </w:pPr>
            <w:r>
              <w:rPr>
                <w:color w:val="1C3A36"/>
                <w:sz w:val="18"/>
              </w:rPr>
              <w:t>6,915</w:t>
            </w:r>
          </w:p>
        </w:tc>
      </w:tr>
      <w:tr>
        <w:tc>
          <w:tcPr>
            <w:tcW w:type="dxa" w:w="5760"/>
          </w:tcPr>
          <w:p>
            <w:pPr>
              <w:spacing w:after="20"/>
            </w:pPr>
            <w:r>
              <w:rPr>
                <w:b/>
                <w:color w:val="1C3A36"/>
                <w:sz w:val="18"/>
              </w:rPr>
              <w:t>Terminal value at 7.00% nominal growth</w:t>
            </w:r>
          </w:p>
        </w:tc>
        <w:tc>
          <w:tcPr>
            <w:tcW w:type="dxa" w:w="2304"/>
          </w:tcPr>
          <w:p>
            <w:pPr>
              <w:spacing w:after="20"/>
              <w:jc w:val="right"/>
            </w:pPr>
            <w:r>
              <w:rPr>
                <w:color w:val="1C3A36"/>
                <w:sz w:val="18"/>
              </w:rPr>
              <w:t>80,285</w:t>
            </w:r>
          </w:p>
        </w:tc>
      </w:tr>
      <w:tr>
        <w:tc>
          <w:tcPr>
            <w:tcW w:type="dxa" w:w="5760"/>
          </w:tcPr>
          <w:p>
            <w:pPr>
              <w:spacing w:after="20"/>
            </w:pPr>
            <w:r>
              <w:rPr>
                <w:b/>
                <w:color w:val="1C3A36"/>
                <w:sz w:val="18"/>
              </w:rPr>
              <w:t>Present value of the terminal value</w:t>
            </w:r>
          </w:p>
        </w:tc>
        <w:tc>
          <w:tcPr>
            <w:tcW w:type="dxa" w:w="2304"/>
          </w:tcPr>
          <w:p>
            <w:pPr>
              <w:spacing w:after="20"/>
              <w:jc w:val="right"/>
            </w:pPr>
            <w:r>
              <w:rPr>
                <w:color w:val="1C3A36"/>
                <w:sz w:val="18"/>
              </w:rPr>
              <w:t>35,297</w:t>
            </w:r>
          </w:p>
        </w:tc>
      </w:tr>
      <w:tr>
        <w:tc>
          <w:tcPr>
            <w:tcW w:type="dxa" w:w="5760"/>
          </w:tcPr>
          <w:p>
            <w:pPr>
              <w:spacing w:after="20"/>
            </w:pPr>
            <w:r>
              <w:rPr>
                <w:b/>
                <w:color w:val="1C3A36"/>
                <w:sz w:val="18"/>
              </w:rPr>
              <w:t>Enterprise value — Auto leg</w:t>
            </w:r>
          </w:p>
        </w:tc>
        <w:tc>
          <w:tcPr>
            <w:tcW w:type="dxa" w:w="2304"/>
          </w:tcPr>
          <w:p>
            <w:pPr>
              <w:spacing w:after="20"/>
              <w:jc w:val="right"/>
            </w:pPr>
            <w:r>
              <w:rPr>
                <w:color w:val="1C3A36"/>
                <w:sz w:val="18"/>
              </w:rPr>
              <w:t>42,212</w:t>
            </w:r>
          </w:p>
        </w:tc>
      </w:tr>
      <w:tr>
        <w:tc>
          <w:tcPr>
            <w:tcW w:type="dxa" w:w="5760"/>
          </w:tcPr>
          <w:p>
            <w:pPr>
              <w:spacing w:after="20"/>
            </w:pPr>
            <w:r>
              <w:rPr>
                <w:b/>
                <w:color w:val="1C3A36"/>
                <w:sz w:val="18"/>
              </w:rPr>
              <w:t>Terminal value as a share of enterprise value</w:t>
            </w:r>
          </w:p>
        </w:tc>
        <w:tc>
          <w:tcPr>
            <w:tcW w:type="dxa" w:w="2304"/>
          </w:tcPr>
          <w:p>
            <w:pPr>
              <w:spacing w:after="20"/>
              <w:jc w:val="right"/>
            </w:pPr>
            <w:r>
              <w:rPr>
                <w:color w:val="1C3A36"/>
                <w:sz w:val="18"/>
              </w:rPr>
              <w:t>84%</w:t>
            </w:r>
          </w:p>
        </w:tc>
      </w:tr>
      <w:tr>
        <w:tc>
          <w:tcPr>
            <w:tcW w:type="dxa" w:w="5760"/>
          </w:tcPr>
          <w:p>
            <w:pPr>
              <w:spacing w:after="20"/>
            </w:pPr>
            <w:r>
              <w:rPr>
                <w:b/>
                <w:color w:val="1C3A36"/>
                <w:sz w:val="18"/>
              </w:rPr>
              <w:t>less: Auto net debt</w:t>
            </w:r>
          </w:p>
        </w:tc>
        <w:tc>
          <w:tcPr>
            <w:tcW w:type="dxa" w:w="2304"/>
          </w:tcPr>
          <w:p>
            <w:pPr>
              <w:spacing w:after="20"/>
              <w:jc w:val="right"/>
            </w:pPr>
            <w:r>
              <w:rPr>
                <w:color w:val="1C3A36"/>
                <w:sz w:val="18"/>
              </w:rPr>
              <w:t>(14,624)</w:t>
            </w:r>
          </w:p>
        </w:tc>
      </w:tr>
      <w:tr>
        <w:tc>
          <w:tcPr>
            <w:tcW w:type="dxa" w:w="5760"/>
          </w:tcPr>
          <w:p>
            <w:pPr>
              <w:spacing w:after="20"/>
            </w:pPr>
            <w:r>
              <w:rPr>
                <w:b/>
                <w:color w:val="1C3A36"/>
                <w:sz w:val="18"/>
              </w:rPr>
              <w:t>less: Auto non-controlling interests</w:t>
            </w:r>
          </w:p>
        </w:tc>
        <w:tc>
          <w:tcPr>
            <w:tcW w:type="dxa" w:w="2304"/>
          </w:tcPr>
          <w:p>
            <w:pPr>
              <w:spacing w:after="20"/>
              <w:jc w:val="right"/>
            </w:pPr>
            <w:r>
              <w:rPr>
                <w:color w:val="1C3A36"/>
                <w:sz w:val="18"/>
              </w:rPr>
              <w:t>(591)</w:t>
            </w:r>
          </w:p>
        </w:tc>
      </w:tr>
      <w:tr>
        <w:tc>
          <w:tcPr>
            <w:tcW w:type="dxa" w:w="5760"/>
          </w:tcPr>
          <w:p>
            <w:pPr>
              <w:spacing w:after="20"/>
            </w:pPr>
            <w:r>
              <w:rPr>
                <w:b/>
                <w:color w:val="1C3A36"/>
                <w:sz w:val="18"/>
              </w:rPr>
              <w:t>Auto equity value</w:t>
            </w:r>
          </w:p>
        </w:tc>
        <w:tc>
          <w:tcPr>
            <w:tcW w:type="dxa" w:w="2304"/>
          </w:tcPr>
          <w:p>
            <w:pPr>
              <w:spacing w:after="20"/>
              <w:jc w:val="right"/>
            </w:pPr>
            <w:r>
              <w:rPr>
                <w:color w:val="1C3A36"/>
                <w:sz w:val="18"/>
              </w:rPr>
              <w:t>26,998</w:t>
            </w:r>
          </w:p>
        </w:tc>
      </w:tr>
    </w:tbl>
    <w:p>
      <w:pPr>
        <w:spacing w:after="40"/>
      </w:pPr>
    </w:p>
    <w:p>
      <w:pPr>
        <w:spacing w:after="120" w:before="0"/>
      </w:pPr>
      <w:r>
        <w:rPr>
          <w:b w:val="0"/>
          <w:i w:val="0"/>
          <w:color w:val="1C3A36"/>
          <w:sz w:val="21"/>
        </w:rPr>
        <w:t>Two honesty notes. First, 84% of the enterprise value sits in the terminal value — this is a growth-and-rates bet dressed as a five-year model, which is why §1.9 sensitises the discount-rate and terminal-growth grid rather than hiding it. Second, the explicit-period cash flow is thin in the first year (EGP 151 mn) precisely because growth consumes working capital; the value is in the steady state, not the ramp. Both are disclosed rather than blended away.</w:t>
      </w:r>
    </w:p>
    <w:p>
      <w:pPr>
        <w:spacing w:after="120" w:before="0"/>
      </w:pPr>
      <w:r>
        <w:rPr>
          <w:b w:val="0"/>
          <w:i w:val="0"/>
          <w:color w:val="1C3A36"/>
          <w:sz w:val="19"/>
        </w:rPr>
        <w:t>A third note, and it is a refusal rather than a caveat. The house standard is that a terminal rests on a DISCLOSED asset life, and no usable life could be sourced for this company: the accounting-policy note discloses rate RANGES by asset class rather than a scalar, and the identity route — recovering an implied life from the property, plant and equipment note — returns a span that depends on an undisclosed land split and produces per-class rates that contradict the disclosed bands. A life this desk chose would not be a disclosed life, so none was chosen; the terminal is carried on the construction described above and the refusal is recorded rather than papered over. Appendix B’s research register carries that search among this study’s negative results.</w:t>
      </w:r>
    </w:p>
    <w:p>
      <w:pPr>
        <w:spacing w:after="80" w:before="200"/>
      </w:pPr>
      <w:r>
        <w:rPr>
          <w:b/>
          <w:i w:val="0"/>
          <w:color w:val="1C3A36"/>
          <w:sz w:val="24"/>
        </w:rPr>
        <w:t>1.3  Relative multiples — a cross-check, on the company’s own history</w:t>
      </w:r>
    </w:p>
    <w:p>
      <w:pPr>
        <w:spacing w:after="120" w:before="0"/>
      </w:pPr>
      <w:r>
        <w:rPr>
          <w:b w:val="0"/>
          <w:i w:val="0"/>
          <w:color w:val="1C3A36"/>
          <w:sz w:val="21"/>
        </w:rPr>
        <w:t>On the model's own forward build — group net profit attributable of EGP 3,298 mn in the first forecast year, earnings per share of EGP 3.04 — GB Corp trades at 9.54× forward earnings. The multiple applied here is NOT that one, and the distinction is the whole point of the lens: a multiple taken off the current price values the company at what it already trades at. It is the MEDIAN of GB Corp’s own trailing multiple at its last three year-end closes — 4.54× · 6.35× · 10.18× — which is 6.35×. THAT IS 3 OBSERVATIONS, and the count is published with the median because a median of three is a thin statistic and a reader is entitled to know how thin. The lens returns one value rather than a range, because a range around a median of three would be an invented spread.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192"/>
            <w:shd w:val="clear" w:color="auto" w:fill="EAF0EE"/>
          </w:tcPr>
          <w:p>
            <w:pPr>
              <w:spacing w:after="20"/>
            </w:pPr>
            <w:r>
              <w:rPr>
                <w:b/>
                <w:color w:val="1C3A36"/>
                <w:sz w:val="18"/>
              </w:rPr>
              <w:t>Relative basis</w:t>
            </w:r>
          </w:p>
        </w:tc>
        <w:tc>
          <w:tcPr>
            <w:tcW w:type="dxa" w:w="2592"/>
            <w:shd w:val="clear" w:color="auto" w:fill="EAF0EE"/>
          </w:tcPr>
          <w:p>
            <w:pPr>
              <w:spacing w:after="20"/>
            </w:pPr>
            <w:r>
              <w:rPr>
                <w:b/>
                <w:color w:val="1C3A36"/>
                <w:sz w:val="18"/>
              </w:rPr>
              <w:t>Value</w:t>
            </w:r>
          </w:p>
        </w:tc>
      </w:tr>
      <w:tr>
        <w:tc>
          <w:tcPr>
            <w:tcW w:type="dxa" w:w="6192"/>
          </w:tcPr>
          <w:p>
            <w:pPr>
              <w:spacing w:after="20"/>
            </w:pPr>
            <w:r>
              <w:rPr>
                <w:b/>
                <w:color w:val="1C3A36"/>
                <w:sz w:val="18"/>
              </w:rPr>
              <w:t>FY2026E group net profit attributable (EGP mn)</w:t>
            </w:r>
          </w:p>
        </w:tc>
        <w:tc>
          <w:tcPr>
            <w:tcW w:type="dxa" w:w="2592"/>
          </w:tcPr>
          <w:p>
            <w:pPr>
              <w:spacing w:after="20"/>
              <w:jc w:val="right"/>
            </w:pPr>
            <w:r>
              <w:rPr>
                <w:color w:val="1C3A36"/>
                <w:sz w:val="18"/>
              </w:rPr>
              <w:t>3,298</w:t>
            </w:r>
          </w:p>
        </w:tc>
      </w:tr>
      <w:tr>
        <w:tc>
          <w:tcPr>
            <w:tcW w:type="dxa" w:w="6192"/>
          </w:tcPr>
          <w:p>
            <w:pPr>
              <w:spacing w:after="20"/>
            </w:pPr>
            <w:r>
              <w:rPr>
                <w:b/>
                <w:color w:val="1C3A36"/>
                <w:sz w:val="18"/>
              </w:rPr>
              <w:t>Divided by shares in issue (mn)</w:t>
            </w:r>
          </w:p>
        </w:tc>
        <w:tc>
          <w:tcPr>
            <w:tcW w:type="dxa" w:w="2592"/>
          </w:tcPr>
          <w:p>
            <w:pPr>
              <w:spacing w:after="20"/>
              <w:jc w:val="right"/>
            </w:pPr>
            <w:r>
              <w:rPr>
                <w:color w:val="1C3A36"/>
                <w:sz w:val="18"/>
              </w:rPr>
              <w:t>1,085.5</w:t>
            </w:r>
          </w:p>
        </w:tc>
      </w:tr>
      <w:tr>
        <w:tc>
          <w:tcPr>
            <w:tcW w:type="dxa" w:w="6192"/>
          </w:tcPr>
          <w:p>
            <w:pPr>
              <w:spacing w:after="20"/>
            </w:pPr>
            <w:r>
              <w:rPr>
                <w:b/>
                <w:color w:val="1C3A36"/>
                <w:sz w:val="18"/>
              </w:rPr>
              <w:t>Earnings per share (EGP)</w:t>
            </w:r>
          </w:p>
        </w:tc>
        <w:tc>
          <w:tcPr>
            <w:tcW w:type="dxa" w:w="2592"/>
          </w:tcPr>
          <w:p>
            <w:pPr>
              <w:spacing w:after="20"/>
              <w:jc w:val="right"/>
            </w:pPr>
            <w:r>
              <w:rPr>
                <w:color w:val="1C3A36"/>
                <w:sz w:val="18"/>
              </w:rPr>
              <w:t>3.04</w:t>
            </w:r>
          </w:p>
        </w:tc>
      </w:tr>
      <w:tr>
        <w:tc>
          <w:tcPr>
            <w:tcW w:type="dxa" w:w="6192"/>
          </w:tcPr>
          <w:p>
            <w:pPr>
              <w:spacing w:after="20"/>
            </w:pPr>
            <w:r>
              <w:rPr>
                <w:b/>
                <w:color w:val="1C3A36"/>
                <w:sz w:val="18"/>
              </w:rPr>
              <w:t>Times the multiple applied — the median of the company’s own three year-end closes</w:t>
            </w:r>
          </w:p>
        </w:tc>
        <w:tc>
          <w:tcPr>
            <w:tcW w:type="dxa" w:w="2592"/>
          </w:tcPr>
          <w:p>
            <w:pPr>
              <w:spacing w:after="20"/>
              <w:jc w:val="right"/>
            </w:pPr>
            <w:r>
              <w:rPr>
                <w:color w:val="1C3A36"/>
                <w:sz w:val="18"/>
              </w:rPr>
              <w:t>6.35×</w:t>
            </w:r>
          </w:p>
        </w:tc>
      </w:tr>
      <w:tr>
        <w:tc>
          <w:tcPr>
            <w:tcW w:type="dxa" w:w="6192"/>
          </w:tcPr>
          <w:p>
            <w:pPr>
              <w:spacing w:after="20"/>
            </w:pPr>
            <w:r>
              <w:rPr>
                <w:b/>
                <w:color w:val="1C3A36"/>
                <w:sz w:val="18"/>
              </w:rPr>
              <w:t>Fair value per share (EGP)</w:t>
            </w:r>
          </w:p>
        </w:tc>
        <w:tc>
          <w:tcPr>
            <w:tcW w:type="dxa" w:w="2592"/>
          </w:tcPr>
          <w:p>
            <w:pPr>
              <w:spacing w:after="20"/>
              <w:jc w:val="right"/>
            </w:pPr>
            <w:r>
              <w:rPr>
                <w:color w:val="1C3A36"/>
                <w:sz w:val="18"/>
              </w:rPr>
              <w:t>19.29</w:t>
            </w:r>
          </w:p>
        </w:tc>
      </w:tr>
      <w:tr>
        <w:tc>
          <w:tcPr>
            <w:tcW w:type="dxa" w:w="6192"/>
          </w:tcPr>
          <w:p>
            <w:pPr>
              <w:spacing w:after="20"/>
            </w:pPr>
            <w:r>
              <w:rPr>
                <w:b/>
                <w:color w:val="1C3A36"/>
                <w:sz w:val="18"/>
              </w:rPr>
              <w:t>Memo — the multiple the traded price implies on the same earnings</w:t>
            </w:r>
          </w:p>
        </w:tc>
        <w:tc>
          <w:tcPr>
            <w:tcW w:type="dxa" w:w="2592"/>
          </w:tcPr>
          <w:p>
            <w:pPr>
              <w:spacing w:after="20"/>
              <w:jc w:val="right"/>
            </w:pPr>
            <w:r>
              <w:rPr>
                <w:color w:val="1C3A36"/>
                <w:sz w:val="18"/>
              </w:rPr>
              <w:t>9.54×</w:t>
            </w:r>
          </w:p>
        </w:tc>
      </w:tr>
    </w:tbl>
    <w:p>
      <w:pPr>
        <w:spacing w:after="40"/>
      </w:pPr>
    </w:p>
    <w:p>
      <w:pPr>
        <w:spacing w:after="120" w:before="0"/>
      </w:pPr>
      <w:r>
        <w:rPr>
          <w:b/>
          <w:i w:val="0"/>
          <w:color w:val="1C3A36"/>
          <w:sz w:val="21"/>
        </w:rPr>
        <w:t>Relative cross-check EGP 19.29</w:t>
      </w:r>
      <w:r>
        <w:rPr>
          <w:b w:val="0"/>
          <w:i w:val="0"/>
          <w:color w:val="1C3A36"/>
          <w:sz w:val="21"/>
        </w:rPr>
        <w:t xml:space="preserve"> — -33% against the price, and the most conservative read in the study: it pays for one year's earnings on the company's own historical rating and gives nothing at all for the working-capital release or the associate stake. It is a CROSS-CHECK. It carries no weight in the answer, and the reason is that the largest asset on GB Corp's balance sheet contributes to its earnings only through an equity-accounted share of profit that the reviewers of those very statements could not verify.</w:t>
      </w:r>
    </w:p>
    <w:p>
      <w:pPr>
        <w:spacing w:after="80" w:before="200"/>
      </w:pPr>
      <w:r>
        <w:rPr>
          <w:b/>
          <w:i w:val="0"/>
          <w:color w:val="1C3A36"/>
          <w:sz w:val="24"/>
        </w:rPr>
        <w:t>1.4  Earnings power — why this class carries no normalised-earnings lens, and the book floor instead</w:t>
      </w:r>
    </w:p>
    <w:p>
      <w:pPr>
        <w:spacing w:after="120" w:before="0"/>
      </w:pPr>
      <w:r>
        <w:rPr>
          <w:b w:val="0"/>
          <w:i w:val="0"/>
          <w:color w:val="1C3A36"/>
          <w:sz w:val="21"/>
        </w:rPr>
        <w:t>A normalised-earnings read — mid-cycle profit times a through-cycle multiple — is a lens this study does NOT carry, and the reason is specific to this issuer rather than a matter of taste. Normalising earnings means averaging out the cycle to find the level a business can sustain. GB Corp’s reported earnings do not swing with an operating cycle alone: they swing with what its associates are marked at.</w:t>
      </w:r>
    </w:p>
    <w:p>
      <w:pPr>
        <w:spacing w:after="120" w:before="0"/>
      </w:pPr>
      <w:r>
        <w:rPr>
          <w:b w:val="0"/>
          <w:i w:val="0"/>
          <w:color w:val="1C3A36"/>
          <w:sz w:val="21"/>
        </w:rPr>
        <w:t>The company’s own filed record makes the point. Its share of associates’ results ran EGP 1,061.7 mn, 867.6 mn and 974.8 mn in FY2023, FY2024 and FY2025 — that is 56%, 30% and 34% of profit attributable to the parent in those years, and the quarterly figures behind them move by a large multiple from one quarter to the next. On top of that sits a revaluation booked on deconsolidating an associate, which GB Corp itself strips out of its own return measure. A mid-cycle average of a series driven by that is an average of marks, not of trading. Normalising earnings that swing on associate marks normalises noise, and a lens built on it would look precise and mean nothing.</w:t>
      </w:r>
    </w:p>
    <w:p>
      <w:pPr>
        <w:spacing w:after="80" w:before="0"/>
      </w:pPr>
      <w:r>
        <w:rPr>
          <w:b w:val="0"/>
          <w:i w:val="0"/>
          <w:color w:val="1C3A36"/>
          <w:sz w:val="19"/>
        </w:rPr>
        <w:t>What is published in its place is the figure that needs no normalisation at all, because the company discloses it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192"/>
            <w:shd w:val="clear" w:color="auto" w:fill="EAF0EE"/>
          </w:tcPr>
          <w:p>
            <w:pPr>
              <w:spacing w:after="20"/>
            </w:pPr>
            <w:r>
              <w:rPr>
                <w:b/>
                <w:color w:val="1C3A36"/>
                <w:sz w:val="18"/>
              </w:rPr>
              <w:t>The disclosed book floor</w:t>
            </w:r>
          </w:p>
        </w:tc>
        <w:tc>
          <w:tcPr>
            <w:tcW w:type="dxa" w:w="2592"/>
            <w:shd w:val="clear" w:color="auto" w:fill="EAF0EE"/>
          </w:tcPr>
          <w:p>
            <w:pPr>
              <w:spacing w:after="20"/>
            </w:pPr>
            <w:r>
              <w:rPr>
                <w:b/>
                <w:color w:val="1C3A36"/>
                <w:sz w:val="18"/>
              </w:rPr>
              <w:t>Value</w:t>
            </w:r>
          </w:p>
        </w:tc>
      </w:tr>
      <w:tr>
        <w:tc>
          <w:tcPr>
            <w:tcW w:type="dxa" w:w="6192"/>
          </w:tcPr>
          <w:p>
            <w:pPr>
              <w:spacing w:after="20"/>
            </w:pPr>
            <w:r>
              <w:rPr>
                <w:b/>
                <w:color w:val="1C3A36"/>
                <w:sz w:val="18"/>
              </w:rPr>
              <w:t>Shareholders’ equity before minority interests, 30 June 2026 (EGP mn)</w:t>
            </w:r>
          </w:p>
        </w:tc>
        <w:tc>
          <w:tcPr>
            <w:tcW w:type="dxa" w:w="2592"/>
          </w:tcPr>
          <w:p>
            <w:pPr>
              <w:spacing w:after="20"/>
              <w:jc w:val="right"/>
            </w:pPr>
            <w:r>
              <w:rPr>
                <w:color w:val="1C3A36"/>
                <w:sz w:val="18"/>
              </w:rPr>
              <w:t>33,454.3</w:t>
            </w:r>
          </w:p>
        </w:tc>
      </w:tr>
      <w:tr>
        <w:tc>
          <w:tcPr>
            <w:tcW w:type="dxa" w:w="6192"/>
          </w:tcPr>
          <w:p>
            <w:pPr>
              <w:spacing w:after="20"/>
            </w:pPr>
            <w:r>
              <w:rPr>
                <w:b/>
                <w:color w:val="1C3A36"/>
                <w:sz w:val="18"/>
              </w:rPr>
              <w:t>Divided by shares in issue (mn)</w:t>
            </w:r>
          </w:p>
        </w:tc>
        <w:tc>
          <w:tcPr>
            <w:tcW w:type="dxa" w:w="2592"/>
          </w:tcPr>
          <w:p>
            <w:pPr>
              <w:spacing w:after="20"/>
              <w:jc w:val="right"/>
            </w:pPr>
            <w:r>
              <w:rPr>
                <w:color w:val="1C3A36"/>
                <w:sz w:val="18"/>
              </w:rPr>
              <w:t>1,085.5</w:t>
            </w:r>
          </w:p>
        </w:tc>
      </w:tr>
      <w:tr>
        <w:tc>
          <w:tcPr>
            <w:tcW w:type="dxa" w:w="6192"/>
          </w:tcPr>
          <w:p>
            <w:pPr>
              <w:spacing w:after="20"/>
            </w:pPr>
            <w:r>
              <w:rPr>
                <w:b/>
                <w:color w:val="1C3A36"/>
                <w:sz w:val="18"/>
              </w:rPr>
              <w:t>Book value per share (EGP)</w:t>
            </w:r>
          </w:p>
        </w:tc>
        <w:tc>
          <w:tcPr>
            <w:tcW w:type="dxa" w:w="2592"/>
          </w:tcPr>
          <w:p>
            <w:pPr>
              <w:spacing w:after="20"/>
              <w:jc w:val="right"/>
            </w:pPr>
            <w:r>
              <w:rPr>
                <w:color w:val="1C3A36"/>
                <w:sz w:val="18"/>
              </w:rPr>
              <w:t>30.82</w:t>
            </w:r>
          </w:p>
        </w:tc>
      </w:tr>
      <w:tr>
        <w:tc>
          <w:tcPr>
            <w:tcW w:type="dxa" w:w="6192"/>
          </w:tcPr>
          <w:p>
            <w:pPr>
              <w:spacing w:after="20"/>
            </w:pPr>
            <w:r>
              <w:rPr>
                <w:b/>
                <w:color w:val="1C3A36"/>
                <w:sz w:val="18"/>
              </w:rPr>
              <w:t>Memo — total equity including minority interests, same date (EGP mn)</w:t>
            </w:r>
          </w:p>
        </w:tc>
        <w:tc>
          <w:tcPr>
            <w:tcW w:type="dxa" w:w="2592"/>
          </w:tcPr>
          <w:p>
            <w:pPr>
              <w:spacing w:after="20"/>
              <w:jc w:val="right"/>
            </w:pPr>
            <w:r>
              <w:rPr>
                <w:color w:val="1C3A36"/>
                <w:sz w:val="18"/>
              </w:rPr>
              <w:t>35,127.9</w:t>
            </w:r>
          </w:p>
        </w:tc>
      </w:tr>
      <w:tr>
        <w:tc>
          <w:tcPr>
            <w:tcW w:type="dxa" w:w="6192"/>
          </w:tcPr>
          <w:p>
            <w:pPr>
              <w:spacing w:after="20"/>
            </w:pPr>
            <w:r>
              <w:rPr>
                <w:b/>
                <w:color w:val="1C3A36"/>
                <w:sz w:val="18"/>
              </w:rPr>
              <w:t>The traded price against book</w:t>
            </w:r>
          </w:p>
        </w:tc>
        <w:tc>
          <w:tcPr>
            <w:tcW w:type="dxa" w:w="2592"/>
          </w:tcPr>
          <w:p>
            <w:pPr>
              <w:spacing w:after="20"/>
              <w:jc w:val="right"/>
            </w:pPr>
            <w:r>
              <w:rPr>
                <w:color w:val="1C3A36"/>
                <w:sz w:val="18"/>
              </w:rPr>
              <w:t>EGP 28.98, -6%</w:t>
            </w:r>
          </w:p>
        </w:tc>
      </w:tr>
    </w:tbl>
    <w:p>
      <w:pPr>
        <w:spacing w:after="40"/>
      </w:pPr>
    </w:p>
    <w:p>
      <w:pPr>
        <w:spacing w:after="120" w:before="0"/>
      </w:pPr>
      <w:r>
        <w:rPr>
          <w:b/>
          <w:i w:val="0"/>
          <w:color w:val="1C3A36"/>
          <w:sz w:val="21"/>
        </w:rPr>
        <w:t>Book value EGP 30.82 per share, and the shares trade below it</w:t>
      </w:r>
      <w:r>
        <w:rPr>
          <w:b w:val="0"/>
          <w:i w:val="0"/>
          <w:color w:val="1C3A36"/>
          <w:sz w:val="21"/>
        </w:rPr>
        <w:t xml:space="preserve"> — -6%. This is a DISCLOSED FLOOR and it carries no weight in any answer above; book is struck at historical cost and says nothing about what a business earns. It is worth printing for one reason: a reader who distrusts every forecast in this document, every multiple and both bases for the associate mark can still observe that the market is paying less than the accounting value of the equity — and that book value itself contains the associate at the lower of the two marks, not the higher.</w:t>
      </w:r>
    </w:p>
    <w:p>
      <w:pPr>
        <w:spacing w:after="80" w:before="200"/>
      </w:pPr>
      <w:r>
        <w:rPr>
          <w:b/>
          <w:i w:val="0"/>
          <w:color w:val="1C3A36"/>
          <w:sz w:val="24"/>
        </w:rPr>
        <w:t>1.5  Synthesis — one primary, two branches, and the cross-checks beside them</w:t>
      </w:r>
    </w:p>
    <w:p>
      <w:pPr>
        <w:spacing w:after="120" w:before="0"/>
      </w:pPr>
      <w:r>
        <w:rPr>
          <w:b w:val="0"/>
          <w:i w:val="0"/>
          <w:color w:val="1C3A36"/>
          <w:sz w:val="21"/>
        </w:rPr>
        <w:t>There is no weighted blend in this study and no central estimate. The class primary is the sum of the parts and it IS the answer; the relative multiple and the disclosed book value are cross-checks, published in the same table so a reader can see the disagreement rather than an average of it. The primary has two branches because one input has two company-published values and the filings do not choose; the branches are carried to the end and printed side by side. The envelope below is the RANGE OF THE READS on one clock — the two branches and the relative multiple — and it is not a spread invented around a central, because there is no central to invent one around.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600"/>
            <w:shd w:val="clear" w:color="auto" w:fill="EAF0EE"/>
          </w:tcPr>
          <w:p>
            <w:pPr>
              <w:spacing w:after="20"/>
            </w:pPr>
            <w:r>
              <w:rPr>
                <w:b/>
                <w:color w:val="1C3A36"/>
                <w:sz w:val="18"/>
              </w:rPr>
              <w:t>Read</w:t>
            </w:r>
          </w:p>
        </w:tc>
        <w:tc>
          <w:tcPr>
            <w:tcW w:type="dxa" w:w="2448"/>
            <w:shd w:val="clear" w:color="auto" w:fill="EAF0EE"/>
          </w:tcPr>
          <w:p>
            <w:pPr>
              <w:spacing w:after="20"/>
            </w:pPr>
            <w:r>
              <w:rPr>
                <w:b/>
                <w:color w:val="1C3A36"/>
                <w:sz w:val="18"/>
              </w:rPr>
              <w:t>Role</w:t>
            </w:r>
          </w:p>
        </w:tc>
        <w:tc>
          <w:tcPr>
            <w:tcW w:type="dxa" w:w="1944"/>
            <w:shd w:val="clear" w:color="auto" w:fill="EAF0EE"/>
          </w:tcPr>
          <w:p>
            <w:pPr>
              <w:spacing w:after="20"/>
            </w:pPr>
            <w:r>
              <w:rPr>
                <w:b/>
                <w:color w:val="1C3A36"/>
                <w:sz w:val="18"/>
              </w:rPr>
              <w:t>EGP per share</w:t>
            </w:r>
          </w:p>
        </w:tc>
        <w:tc>
          <w:tcPr>
            <w:tcW w:type="dxa" w:w="1944"/>
            <w:shd w:val="clear" w:color="auto" w:fill="EAF0EE"/>
          </w:tcPr>
          <w:p>
            <w:pPr>
              <w:spacing w:after="20"/>
            </w:pPr>
            <w:r>
              <w:rPr>
                <w:b/>
                <w:color w:val="1C3A36"/>
                <w:sz w:val="18"/>
              </w:rPr>
              <w:t>Against the price</w:t>
            </w:r>
          </w:p>
        </w:tc>
      </w:tr>
      <w:tr>
        <w:tc>
          <w:tcPr>
            <w:tcW w:type="dxa" w:w="3600"/>
          </w:tcPr>
          <w:p>
            <w:pPr>
              <w:spacing w:after="20"/>
            </w:pPr>
            <w:r>
              <w:rPr>
                <w:b/>
                <w:color w:val="1C3A36"/>
                <w:sz w:val="18"/>
              </w:rPr>
              <w:t>Sum of the parts — carrying-value branch</w:t>
            </w:r>
          </w:p>
        </w:tc>
        <w:tc>
          <w:tcPr>
            <w:tcW w:type="dxa" w:w="2448"/>
          </w:tcPr>
          <w:p>
            <w:pPr>
              <w:spacing w:after="20"/>
              <w:jc w:val="right"/>
            </w:pPr>
            <w:r>
              <w:rPr>
                <w:color w:val="1C3A36"/>
                <w:sz w:val="18"/>
              </w:rPr>
              <w:t>Class primary — the answer</w:t>
            </w:r>
          </w:p>
        </w:tc>
        <w:tc>
          <w:tcPr>
            <w:tcW w:type="dxa" w:w="1944"/>
          </w:tcPr>
          <w:p>
            <w:pPr>
              <w:spacing w:after="20"/>
              <w:jc w:val="right"/>
            </w:pPr>
            <w:r>
              <w:rPr>
                <w:color w:val="1C3A36"/>
                <w:sz w:val="18"/>
              </w:rPr>
              <w:t>41.35</w:t>
            </w:r>
          </w:p>
        </w:tc>
        <w:tc>
          <w:tcPr>
            <w:tcW w:type="dxa" w:w="1944"/>
          </w:tcPr>
          <w:p>
            <w:pPr>
              <w:spacing w:after="20"/>
              <w:jc w:val="right"/>
            </w:pPr>
            <w:r>
              <w:rPr>
                <w:color w:val="1C3A36"/>
                <w:sz w:val="18"/>
              </w:rPr>
              <w:t>+43%</w:t>
            </w:r>
          </w:p>
        </w:tc>
      </w:tr>
      <w:tr>
        <w:tc>
          <w:tcPr>
            <w:tcW w:type="dxa" w:w="3600"/>
          </w:tcPr>
          <w:p>
            <w:pPr>
              <w:spacing w:after="20"/>
            </w:pPr>
            <w:r>
              <w:rPr>
                <w:b/>
                <w:color w:val="1C3A36"/>
                <w:sz w:val="18"/>
              </w:rPr>
              <w:t>Sum of the parts — round-price branch</w:t>
            </w:r>
          </w:p>
        </w:tc>
        <w:tc>
          <w:tcPr>
            <w:tcW w:type="dxa" w:w="2448"/>
          </w:tcPr>
          <w:p>
            <w:pPr>
              <w:spacing w:after="20"/>
              <w:jc w:val="right"/>
            </w:pPr>
            <w:r>
              <w:rPr>
                <w:color w:val="1C3A36"/>
                <w:sz w:val="18"/>
              </w:rPr>
              <w:t>Class primary — the answer</w:t>
            </w:r>
          </w:p>
        </w:tc>
        <w:tc>
          <w:tcPr>
            <w:tcW w:type="dxa" w:w="1944"/>
          </w:tcPr>
          <w:p>
            <w:pPr>
              <w:spacing w:after="20"/>
              <w:jc w:val="right"/>
            </w:pPr>
            <w:r>
              <w:rPr>
                <w:color w:val="1C3A36"/>
                <w:sz w:val="18"/>
              </w:rPr>
              <w:t>52.35</w:t>
            </w:r>
          </w:p>
        </w:tc>
        <w:tc>
          <w:tcPr>
            <w:tcW w:type="dxa" w:w="1944"/>
          </w:tcPr>
          <w:p>
            <w:pPr>
              <w:spacing w:after="20"/>
              <w:jc w:val="right"/>
            </w:pPr>
            <w:r>
              <w:rPr>
                <w:color w:val="1C3A36"/>
                <w:sz w:val="18"/>
              </w:rPr>
              <w:t>+81%</w:t>
            </w:r>
          </w:p>
        </w:tc>
      </w:tr>
      <w:tr>
        <w:tc>
          <w:tcPr>
            <w:tcW w:type="dxa" w:w="3600"/>
          </w:tcPr>
          <w:p>
            <w:pPr>
              <w:spacing w:after="20"/>
            </w:pPr>
            <w:r>
              <w:rPr>
                <w:b/>
                <w:color w:val="1C3A36"/>
                <w:sz w:val="18"/>
              </w:rPr>
              <w:t>Relative multiple on FY2026E earnings</w:t>
            </w:r>
          </w:p>
        </w:tc>
        <w:tc>
          <w:tcPr>
            <w:tcW w:type="dxa" w:w="2448"/>
          </w:tcPr>
          <w:p>
            <w:pPr>
              <w:spacing w:after="20"/>
              <w:jc w:val="right"/>
            </w:pPr>
            <w:r>
              <w:rPr>
                <w:color w:val="1C3A36"/>
                <w:sz w:val="18"/>
              </w:rPr>
              <w:t>Cross-check</w:t>
            </w:r>
          </w:p>
        </w:tc>
        <w:tc>
          <w:tcPr>
            <w:tcW w:type="dxa" w:w="1944"/>
          </w:tcPr>
          <w:p>
            <w:pPr>
              <w:spacing w:after="20"/>
              <w:jc w:val="right"/>
            </w:pPr>
            <w:r>
              <w:rPr>
                <w:color w:val="1C3A36"/>
                <w:sz w:val="18"/>
              </w:rPr>
              <w:t>19.29</w:t>
            </w:r>
          </w:p>
        </w:tc>
        <w:tc>
          <w:tcPr>
            <w:tcW w:type="dxa" w:w="1944"/>
          </w:tcPr>
          <w:p>
            <w:pPr>
              <w:spacing w:after="20"/>
              <w:jc w:val="right"/>
            </w:pPr>
            <w:r>
              <w:rPr>
                <w:color w:val="1C3A36"/>
                <w:sz w:val="18"/>
              </w:rPr>
              <w:t>-33%</w:t>
            </w:r>
          </w:p>
        </w:tc>
      </w:tr>
      <w:tr>
        <w:tc>
          <w:tcPr>
            <w:tcW w:type="dxa" w:w="3600"/>
          </w:tcPr>
          <w:p>
            <w:pPr>
              <w:spacing w:after="20"/>
            </w:pPr>
            <w:r>
              <w:rPr>
                <w:b/>
                <w:color w:val="1C3A36"/>
                <w:sz w:val="18"/>
              </w:rPr>
              <w:t>Disclosed book value</w:t>
            </w:r>
          </w:p>
        </w:tc>
        <w:tc>
          <w:tcPr>
            <w:tcW w:type="dxa" w:w="2448"/>
          </w:tcPr>
          <w:p>
            <w:pPr>
              <w:spacing w:after="20"/>
              <w:jc w:val="right"/>
            </w:pPr>
            <w:r>
              <w:rPr>
                <w:color w:val="1C3A36"/>
                <w:sz w:val="18"/>
              </w:rPr>
              <w:t>Cross-check — a floor</w:t>
            </w:r>
          </w:p>
        </w:tc>
        <w:tc>
          <w:tcPr>
            <w:tcW w:type="dxa" w:w="1944"/>
          </w:tcPr>
          <w:p>
            <w:pPr>
              <w:spacing w:after="20"/>
              <w:jc w:val="right"/>
            </w:pPr>
            <w:r>
              <w:rPr>
                <w:color w:val="1C3A36"/>
                <w:sz w:val="18"/>
              </w:rPr>
              <w:t>30.82</w:t>
            </w:r>
          </w:p>
        </w:tc>
        <w:tc>
          <w:tcPr>
            <w:tcW w:type="dxa" w:w="1944"/>
          </w:tcPr>
          <w:p>
            <w:pPr>
              <w:spacing w:after="20"/>
              <w:jc w:val="right"/>
            </w:pPr>
            <w:r>
              <w:rPr>
                <w:color w:val="1C3A36"/>
                <w:sz w:val="18"/>
              </w:rPr>
              <w:t>+6%</w:t>
            </w:r>
          </w:p>
        </w:tc>
      </w:tr>
      <w:tr>
        <w:tc>
          <w:tcPr>
            <w:tcW w:type="dxa" w:w="3600"/>
            <w:shd w:val="clear" w:color="auto" w:fill="F6F1E6"/>
          </w:tcPr>
          <w:p>
            <w:pPr>
              <w:spacing w:after="20"/>
            </w:pPr>
            <w:r>
              <w:rPr>
                <w:b/>
                <w:color w:val="1C3A36"/>
                <w:sz w:val="18"/>
              </w:rPr>
              <w:t>Envelope of the present-value reads</w:t>
            </w:r>
          </w:p>
        </w:tc>
        <w:tc>
          <w:tcPr>
            <w:tcW w:type="dxa" w:w="2448"/>
            <w:shd w:val="clear" w:color="auto" w:fill="F6F1E6"/>
          </w:tcPr>
          <w:p>
            <w:pPr>
              <w:spacing w:after="20"/>
              <w:jc w:val="right"/>
            </w:pPr>
            <w:r>
              <w:rPr>
                <w:b/>
                <w:color w:val="1C3A36"/>
                <w:sz w:val="18"/>
              </w:rPr>
              <w:t>the range, never an average</w:t>
            </w:r>
          </w:p>
        </w:tc>
        <w:tc>
          <w:tcPr>
            <w:tcW w:type="dxa" w:w="1944"/>
            <w:shd w:val="clear" w:color="auto" w:fill="F6F1E6"/>
          </w:tcPr>
          <w:p>
            <w:pPr>
              <w:spacing w:after="20"/>
              <w:jc w:val="right"/>
            </w:pPr>
            <w:r>
              <w:rPr>
                <w:b/>
                <w:color w:val="1C3A36"/>
                <w:sz w:val="18"/>
              </w:rPr>
              <w:t>19.29 – 52.35</w:t>
            </w:r>
          </w:p>
        </w:tc>
        <w:tc>
          <w:tcPr>
            <w:tcW w:type="dxa" w:w="1944"/>
            <w:shd w:val="clear" w:color="auto" w:fill="F6F1E6"/>
          </w:tcPr>
          <w:p>
            <w:pPr>
              <w:spacing w:after="20"/>
              <w:jc w:val="right"/>
            </w:pPr>
            <w:r>
              <w:rPr>
                <w:b/>
                <w:color w:val="1C3A36"/>
                <w:sz w:val="18"/>
              </w:rPr>
              <w:t>-33% to +81%</w:t>
            </w:r>
          </w:p>
        </w:tc>
      </w:tr>
    </w:tbl>
    <w:p>
      <w:pPr>
        <w:spacing w:after="40"/>
      </w:pPr>
    </w:p>
    <w:p>
      <w:pPr>
        <w:spacing w:after="200" w:before="0"/>
      </w:pPr>
      <w:r>
        <w:rPr>
          <w:b w:val="0"/>
          <w:i/>
          <w:color w:val="6E7B77"/>
          <w:sz w:val="17"/>
        </w:rPr>
        <w:t>The envelope spans the present-value reads — both branches of the primary and the relative multiple. The disclosed book value is a floor and is deliberately not in it: a floor is not a valuation.</w:t>
      </w:r>
    </w:p>
    <w:p>
      <w:pPr>
        <w:spacing w:after="40"/>
        <w:jc w:val="center"/>
      </w:pPr>
      <w:r>
        <w:drawing>
          <wp:inline xmlns:a="http://schemas.openxmlformats.org/drawingml/2006/main" xmlns:pic="http://schemas.openxmlformats.org/drawingml/2006/picture">
            <wp:extent cx="5760720" cy="20786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078610"/>
                    </a:xfrm>
                    <a:prstGeom prst="rect"/>
                  </pic:spPr>
                </pic:pic>
              </a:graphicData>
            </a:graphic>
          </wp:inline>
        </w:drawing>
      </w:r>
    </w:p>
    <w:p>
      <w:pPr>
        <w:spacing w:after="200" w:before="0"/>
      </w:pPr>
      <w:r>
        <w:rPr>
          <w:b w:val="0"/>
          <w:i/>
          <w:color w:val="6E7B77"/>
          <w:sz w:val="17"/>
        </w:rPr>
        <w:t>Figure 1 — Valuation football field. The primary lens is drawn as the span between its two branches with a brass tick on each; the cross-checks are single marks; the gold band is the envelope of the present-value reads; the ink line is the price.</w:t>
      </w:r>
    </w:p>
    <w:p>
      <w:pPr>
        <w:spacing w:after="120" w:before="0"/>
      </w:pPr>
      <w:r>
        <w:rPr>
          <w:b/>
          <w:i w:val="0"/>
          <w:color w:val="1C3A36"/>
          <w:sz w:val="21"/>
        </w:rPr>
        <w:t>The answer is EGP 41.35 on one of the company’s disclosures and EGP 52.35 on the other</w:t>
      </w:r>
      <w:r>
        <w:rPr>
          <w:b w:val="0"/>
          <w:i w:val="0"/>
          <w:color w:val="1C3A36"/>
          <w:sz w:val="21"/>
        </w:rPr>
        <w:t>, +43% and +81% against the price. The width of this picture is not four independent methods converging or failing to converge. Two of the marks — the primary’s branches — differ only in the associate line, and the two cross-checks do not touch that line at all: the earnings multiple reads EGP 19.29 and the disclosed book floor EGP 30.82, both within 33% of the traded price. That split is itself the finding, and it is the same finding on either branch: strip the associate out and this is an operating group priced about where its own earnings and its own book say it should be; put it back at either company-published mark and the shares look cheap.</w:t>
      </w:r>
    </w:p>
    <w:p>
      <w:pPr>
        <w:spacing w:after="80" w:before="200"/>
      </w:pPr>
      <w:r>
        <w:rPr>
          <w:b/>
          <w:i w:val="0"/>
          <w:color w:val="1C3A36"/>
          <w:sz w:val="24"/>
        </w:rPr>
        <w:t>1.6  The legs, and the units × price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736"/>
            <w:shd w:val="clear" w:color="auto" w:fill="EAF0EE"/>
          </w:tcPr>
          <w:p>
            <w:pPr>
              <w:spacing w:after="20"/>
            </w:pPr>
            <w:r>
              <w:rPr>
                <w:b/>
                <w:color w:val="1C3A36"/>
                <w:sz w:val="17"/>
              </w:rPr>
              <w:t>Leg</w:t>
            </w:r>
          </w:p>
        </w:tc>
        <w:tc>
          <w:tcPr>
            <w:tcW w:type="dxa" w:w="1728"/>
            <w:shd w:val="clear" w:color="auto" w:fill="EAF0EE"/>
          </w:tcPr>
          <w:p>
            <w:pPr>
              <w:spacing w:after="20"/>
            </w:pPr>
            <w:r>
              <w:rPr>
                <w:b/>
                <w:color w:val="1C3A36"/>
                <w:sz w:val="17"/>
              </w:rPr>
              <w:t>Cyclicality</w:t>
            </w:r>
          </w:p>
        </w:tc>
        <w:tc>
          <w:tcPr>
            <w:tcW w:type="dxa" w:w="2736"/>
            <w:shd w:val="clear" w:color="auto" w:fill="EAF0EE"/>
          </w:tcPr>
          <w:p>
            <w:pPr>
              <w:spacing w:after="20"/>
            </w:pPr>
            <w:r>
              <w:rPr>
                <w:b/>
                <w:color w:val="1C3A36"/>
                <w:sz w:val="17"/>
              </w:rPr>
              <w:t>Margin / return trend</w:t>
            </w:r>
          </w:p>
        </w:tc>
        <w:tc>
          <w:tcPr>
            <w:tcW w:type="dxa" w:w="1944"/>
            <w:shd w:val="clear" w:color="auto" w:fill="EAF0EE"/>
          </w:tcPr>
          <w:p>
            <w:pPr>
              <w:spacing w:after="20"/>
            </w:pPr>
            <w:r>
              <w:rPr>
                <w:b/>
                <w:color w:val="1C3A36"/>
                <w:sz w:val="17"/>
              </w:rPr>
              <w:t>Capital intensity</w:t>
            </w:r>
          </w:p>
        </w:tc>
        <w:tc>
          <w:tcPr>
            <w:tcW w:type="dxa" w:w="1224"/>
            <w:shd w:val="clear" w:color="auto" w:fill="EAF0EE"/>
          </w:tcPr>
          <w:p>
            <w:pPr>
              <w:spacing w:after="20"/>
            </w:pPr>
            <w:r>
              <w:rPr>
                <w:b/>
                <w:color w:val="1C3A36"/>
                <w:sz w:val="17"/>
              </w:rPr>
              <w:t>Swing role</w:t>
            </w:r>
          </w:p>
        </w:tc>
      </w:tr>
      <w:tr>
        <w:tc>
          <w:tcPr>
            <w:tcW w:type="dxa" w:w="2736"/>
          </w:tcPr>
          <w:p>
            <w:pPr>
              <w:spacing w:after="20"/>
            </w:pPr>
            <w:r>
              <w:rPr>
                <w:b/>
                <w:color w:val="1C3A36"/>
                <w:sz w:val="17"/>
              </w:rPr>
              <w:t>GB Auto — passenger cars</w:t>
            </w:r>
          </w:p>
        </w:tc>
        <w:tc>
          <w:tcPr>
            <w:tcW w:type="dxa" w:w="1728"/>
          </w:tcPr>
          <w:p>
            <w:pPr>
              <w:spacing w:after="20"/>
              <w:jc w:val="right"/>
            </w:pPr>
            <w:r>
              <w:rPr>
                <w:color w:val="1C3A36"/>
                <w:sz w:val="17"/>
              </w:rPr>
              <w:t>High (rates, currency, imports)</w:t>
            </w:r>
          </w:p>
        </w:tc>
        <w:tc>
          <w:tcPr>
            <w:tcW w:type="dxa" w:w="2736"/>
          </w:tcPr>
          <w:p>
            <w:pPr>
              <w:spacing w:after="20"/>
              <w:jc w:val="right"/>
            </w:pPr>
            <w:r>
              <w:rPr>
                <w:color w:val="1C3A36"/>
                <w:sz w:val="17"/>
              </w:rPr>
              <w:t>Auto gross margin 14.30% in the reviewed half; the forecast opens at 13.80%</w:t>
            </w:r>
          </w:p>
        </w:tc>
        <w:tc>
          <w:tcPr>
            <w:tcW w:type="dxa" w:w="1944"/>
          </w:tcPr>
          <w:p>
            <w:pPr>
              <w:spacing w:after="20"/>
              <w:jc w:val="right"/>
            </w:pPr>
            <w:r>
              <w:rPr>
                <w:color w:val="1C3A36"/>
                <w:sz w:val="17"/>
              </w:rPr>
              <w:t>Very high (working capital)</w:t>
            </w:r>
          </w:p>
        </w:tc>
        <w:tc>
          <w:tcPr>
            <w:tcW w:type="dxa" w:w="1224"/>
          </w:tcPr>
          <w:p>
            <w:pPr>
              <w:spacing w:after="20"/>
              <w:jc w:val="right"/>
            </w:pPr>
            <w:r>
              <w:rPr>
                <w:color w:val="1C3A36"/>
                <w:sz w:val="17"/>
              </w:rPr>
              <w:t>Dominant</w:t>
            </w:r>
          </w:p>
        </w:tc>
      </w:tr>
      <w:tr>
        <w:tc>
          <w:tcPr>
            <w:tcW w:type="dxa" w:w="2736"/>
          </w:tcPr>
          <w:p>
            <w:pPr>
              <w:spacing w:after="20"/>
            </w:pPr>
            <w:r>
              <w:rPr>
                <w:b/>
                <w:color w:val="1C3A36"/>
                <w:sz w:val="17"/>
              </w:rPr>
              <w:t>GB Auto — commercial vehicles, trading, mobility</w:t>
            </w:r>
          </w:p>
        </w:tc>
        <w:tc>
          <w:tcPr>
            <w:tcW w:type="dxa" w:w="1728"/>
          </w:tcPr>
          <w:p>
            <w:pPr>
              <w:spacing w:after="20"/>
              <w:jc w:val="right"/>
            </w:pPr>
            <w:r>
              <w:rPr>
                <w:color w:val="1C3A36"/>
                <w:sz w:val="17"/>
              </w:rPr>
              <w:t>Moderate</w:t>
            </w:r>
          </w:p>
        </w:tc>
        <w:tc>
          <w:tcPr>
            <w:tcW w:type="dxa" w:w="2736"/>
          </w:tcPr>
          <w:p>
            <w:pPr>
              <w:spacing w:after="20"/>
              <w:jc w:val="right"/>
            </w:pPr>
            <w:r>
              <w:rPr>
                <w:color w:val="1C3A36"/>
                <w:sz w:val="17"/>
              </w:rPr>
              <w:t>Bus exports scaling</w:t>
            </w:r>
          </w:p>
        </w:tc>
        <w:tc>
          <w:tcPr>
            <w:tcW w:type="dxa" w:w="1944"/>
          </w:tcPr>
          <w:p>
            <w:pPr>
              <w:spacing w:after="20"/>
              <w:jc w:val="right"/>
            </w:pPr>
            <w:r>
              <w:rPr>
                <w:color w:val="1C3A36"/>
                <w:sz w:val="17"/>
              </w:rPr>
              <w:t>Moderate</w:t>
            </w:r>
          </w:p>
        </w:tc>
        <w:tc>
          <w:tcPr>
            <w:tcW w:type="dxa" w:w="1224"/>
          </w:tcPr>
          <w:p>
            <w:pPr>
              <w:spacing w:after="20"/>
              <w:jc w:val="right"/>
            </w:pPr>
            <w:r>
              <w:rPr>
                <w:color w:val="1C3A36"/>
                <w:sz w:val="17"/>
              </w:rPr>
              <w:t>Diversifier</w:t>
            </w:r>
          </w:p>
        </w:tc>
      </w:tr>
      <w:tr>
        <w:tc>
          <w:tcPr>
            <w:tcW w:type="dxa" w:w="2736"/>
          </w:tcPr>
          <w:p>
            <w:pPr>
              <w:spacing w:after="20"/>
            </w:pPr>
            <w:r>
              <w:rPr>
                <w:b/>
                <w:color w:val="1C3A36"/>
                <w:sz w:val="17"/>
              </w:rPr>
              <w:t>GB Capital</w:t>
            </w:r>
          </w:p>
        </w:tc>
        <w:tc>
          <w:tcPr>
            <w:tcW w:type="dxa" w:w="1728"/>
          </w:tcPr>
          <w:p>
            <w:pPr>
              <w:spacing w:after="20"/>
              <w:jc w:val="right"/>
            </w:pPr>
            <w:r>
              <w:rPr>
                <w:color w:val="1C3A36"/>
                <w:sz w:val="17"/>
              </w:rPr>
              <w:t>Credit cycle</w:t>
            </w:r>
          </w:p>
        </w:tc>
        <w:tc>
          <w:tcPr>
            <w:tcW w:type="dxa" w:w="2736"/>
          </w:tcPr>
          <w:p>
            <w:pPr>
              <w:spacing w:after="20"/>
              <w:jc w:val="right"/>
            </w:pPr>
            <w:r>
              <w:rPr>
                <w:color w:val="1C3A36"/>
                <w:sz w:val="17"/>
              </w:rPr>
              <w:t>Reviewed return on operating equity 10.10%</w:t>
            </w:r>
          </w:p>
        </w:tc>
        <w:tc>
          <w:tcPr>
            <w:tcW w:type="dxa" w:w="1944"/>
          </w:tcPr>
          <w:p>
            <w:pPr>
              <w:spacing w:after="20"/>
              <w:jc w:val="right"/>
            </w:pPr>
            <w:r>
              <w:rPr>
                <w:color w:val="1C3A36"/>
                <w:sz w:val="17"/>
              </w:rPr>
              <w:t>Leveraged by construction</w:t>
            </w:r>
          </w:p>
        </w:tc>
        <w:tc>
          <w:tcPr>
            <w:tcW w:type="dxa" w:w="1224"/>
          </w:tcPr>
          <w:p>
            <w:pPr>
              <w:spacing w:after="20"/>
              <w:jc w:val="right"/>
            </w:pPr>
            <w:r>
              <w:rPr>
                <w:color w:val="1C3A36"/>
                <w:sz w:val="17"/>
              </w:rPr>
              <w:t>Compounder</w:t>
            </w:r>
          </w:p>
        </w:tc>
      </w:tr>
      <w:tr>
        <w:tc>
          <w:tcPr>
            <w:tcW w:type="dxa" w:w="2736"/>
          </w:tcPr>
          <w:p>
            <w:pPr>
              <w:spacing w:after="20"/>
            </w:pPr>
            <w:r>
              <w:rPr>
                <w:b/>
                <w:color w:val="1C3A36"/>
                <w:sz w:val="17"/>
              </w:rPr>
              <w:t>Associates (MNT-Halan and others)</w:t>
            </w:r>
          </w:p>
        </w:tc>
        <w:tc>
          <w:tcPr>
            <w:tcW w:type="dxa" w:w="1728"/>
          </w:tcPr>
          <w:p>
            <w:pPr>
              <w:spacing w:after="20"/>
              <w:jc w:val="right"/>
            </w:pPr>
            <w:r>
              <w:rPr>
                <w:color w:val="1C3A36"/>
                <w:sz w:val="17"/>
              </w:rPr>
              <w:t>Venture-like</w:t>
            </w:r>
          </w:p>
        </w:tc>
        <w:tc>
          <w:tcPr>
            <w:tcW w:type="dxa" w:w="2736"/>
          </w:tcPr>
          <w:p>
            <w:pPr>
              <w:spacing w:after="20"/>
              <w:jc w:val="right"/>
            </w:pPr>
            <w:r>
              <w:rPr>
                <w:color w:val="1C3A36"/>
                <w:sz w:val="17"/>
              </w:rPr>
              <w:t>Two company-published marks; no public price</w:t>
            </w:r>
          </w:p>
        </w:tc>
        <w:tc>
          <w:tcPr>
            <w:tcW w:type="dxa" w:w="1944"/>
          </w:tcPr>
          <w:p>
            <w:pPr>
              <w:spacing w:after="20"/>
              <w:jc w:val="right"/>
            </w:pPr>
            <w:r>
              <w:rPr>
                <w:color w:val="1C3A36"/>
                <w:sz w:val="17"/>
              </w:rPr>
              <w:t>Off balance sheet</w:t>
            </w:r>
          </w:p>
        </w:tc>
        <w:tc>
          <w:tcPr>
            <w:tcW w:type="dxa" w:w="1224"/>
          </w:tcPr>
          <w:p>
            <w:pPr>
              <w:spacing w:after="20"/>
              <w:jc w:val="right"/>
            </w:pPr>
            <w:r>
              <w:rPr>
                <w:color w:val="1C3A36"/>
                <w:sz w:val="17"/>
              </w:rPr>
              <w:t>The whole disagreement</w:t>
            </w:r>
          </w:p>
        </w:tc>
      </w:tr>
    </w:tbl>
    <w:p>
      <w:pPr>
        <w:spacing w:after="40"/>
      </w:pPr>
    </w:p>
    <w:p>
      <w:pPr>
        <w:spacing w:after="120" w:before="0"/>
      </w:pPr>
      <w:r>
        <w:rPr>
          <w:b w:val="0"/>
          <w:i w:val="0"/>
          <w:color w:val="1C3A36"/>
          <w:sz w:val="19"/>
        </w:rPr>
        <w:t>The bottom-up build. Every historical figure below is the company’s own disclosure; the forecast columns are the model’s own driver path: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168"/>
            <w:shd w:val="clear" w:color="auto" w:fill="EAF0EE"/>
          </w:tcPr>
          <w:p>
            <w:pPr>
              <w:spacing w:after="20"/>
            </w:pPr>
            <w:r>
              <w:rPr>
                <w:b/>
                <w:color w:val="1C3A36"/>
                <w:sz w:val="17"/>
              </w:rPr>
              <w:t>Driver</w:t>
            </w:r>
          </w:p>
        </w:tc>
        <w:tc>
          <w:tcPr>
            <w:tcW w:type="dxa" w:w="1368"/>
            <w:shd w:val="clear" w:color="auto" w:fill="EAF0EE"/>
          </w:tcPr>
          <w:p>
            <w:pPr>
              <w:spacing w:after="20"/>
            </w:pPr>
            <w:r>
              <w:rPr>
                <w:b/>
                <w:color w:val="1C3A36"/>
                <w:sz w:val="17"/>
              </w:rPr>
              <w:t>FY2023</w:t>
            </w:r>
          </w:p>
        </w:tc>
        <w:tc>
          <w:tcPr>
            <w:tcW w:type="dxa" w:w="1368"/>
            <w:shd w:val="clear" w:color="auto" w:fill="EAF0EE"/>
          </w:tcPr>
          <w:p>
            <w:pPr>
              <w:spacing w:after="20"/>
            </w:pPr>
            <w:r>
              <w:rPr>
                <w:b/>
                <w:color w:val="1C3A36"/>
                <w:sz w:val="17"/>
              </w:rPr>
              <w:t>FY2024</w:t>
            </w:r>
          </w:p>
        </w:tc>
        <w:tc>
          <w:tcPr>
            <w:tcW w:type="dxa" w:w="1368"/>
            <w:shd w:val="clear" w:color="auto" w:fill="EAF0EE"/>
          </w:tcPr>
          <w:p>
            <w:pPr>
              <w:spacing w:after="20"/>
            </w:pPr>
            <w:r>
              <w:rPr>
                <w:b/>
                <w:color w:val="1C3A36"/>
                <w:sz w:val="17"/>
              </w:rPr>
              <w:t>FY2025</w:t>
            </w:r>
          </w:p>
        </w:tc>
        <w:tc>
          <w:tcPr>
            <w:tcW w:type="dxa" w:w="1440"/>
            <w:shd w:val="clear" w:color="auto" w:fill="EAF0EE"/>
          </w:tcPr>
          <w:p>
            <w:pPr>
              <w:spacing w:after="20"/>
            </w:pPr>
            <w:r>
              <w:rPr>
                <w:b/>
                <w:color w:val="1C3A36"/>
                <w:sz w:val="17"/>
              </w:rPr>
              <w:t>FY2026E</w:t>
            </w:r>
          </w:p>
        </w:tc>
        <w:tc>
          <w:tcPr>
            <w:tcW w:type="dxa" w:w="1440"/>
            <w:shd w:val="clear" w:color="auto" w:fill="EAF0EE"/>
          </w:tcPr>
          <w:p>
            <w:pPr>
              <w:spacing w:after="20"/>
            </w:pPr>
            <w:r>
              <w:rPr>
                <w:b/>
                <w:color w:val="1C3A36"/>
                <w:sz w:val="17"/>
              </w:rPr>
              <w:t>FY2030E</w:t>
            </w:r>
          </w:p>
        </w:tc>
      </w:tr>
      <w:tr>
        <w:tc>
          <w:tcPr>
            <w:tcW w:type="dxa" w:w="3168"/>
          </w:tcPr>
          <w:p>
            <w:pPr>
              <w:spacing w:after="20"/>
            </w:pPr>
            <w:r>
              <w:rPr>
                <w:b/>
                <w:color w:val="1C3A36"/>
                <w:sz w:val="17"/>
              </w:rPr>
              <w:t>Passenger-car volume (units)</w:t>
            </w:r>
          </w:p>
        </w:tc>
        <w:tc>
          <w:tcPr>
            <w:tcW w:type="dxa" w:w="1368"/>
          </w:tcPr>
          <w:p>
            <w:pPr>
              <w:spacing w:after="20"/>
              <w:jc w:val="right"/>
            </w:pPr>
            <w:r>
              <w:rPr>
                <w:color w:val="1C3A36"/>
                <w:sz w:val="17"/>
              </w:rPr>
              <w:t>26,994</w:t>
            </w:r>
          </w:p>
        </w:tc>
        <w:tc>
          <w:tcPr>
            <w:tcW w:type="dxa" w:w="1368"/>
          </w:tcPr>
          <w:p>
            <w:pPr>
              <w:spacing w:after="20"/>
              <w:jc w:val="right"/>
            </w:pPr>
            <w:r>
              <w:rPr>
                <w:color w:val="1C3A36"/>
                <w:sz w:val="17"/>
              </w:rPr>
              <w:t>42,043</w:t>
            </w:r>
          </w:p>
        </w:tc>
        <w:tc>
          <w:tcPr>
            <w:tcW w:type="dxa" w:w="1368"/>
          </w:tcPr>
          <w:p>
            <w:pPr>
              <w:spacing w:after="20"/>
              <w:jc w:val="right"/>
            </w:pPr>
            <w:r>
              <w:rPr>
                <w:color w:val="1C3A36"/>
                <w:sz w:val="17"/>
              </w:rPr>
              <w:t>56,548</w:t>
            </w:r>
          </w:p>
        </w:tc>
        <w:tc>
          <w:tcPr>
            <w:tcW w:type="dxa" w:w="1440"/>
          </w:tcPr>
          <w:p>
            <w:pPr>
              <w:spacing w:after="20"/>
              <w:jc w:val="right"/>
            </w:pPr>
            <w:r>
              <w:rPr>
                <w:color w:val="1C3A36"/>
                <w:sz w:val="17"/>
              </w:rPr>
              <w:t>63,334</w:t>
            </w:r>
          </w:p>
        </w:tc>
        <w:tc>
          <w:tcPr>
            <w:tcW w:type="dxa" w:w="1440"/>
          </w:tcPr>
          <w:p>
            <w:pPr>
              <w:spacing w:after="20"/>
              <w:jc w:val="right"/>
            </w:pPr>
            <w:r>
              <w:rPr>
                <w:color w:val="1C3A36"/>
                <w:sz w:val="17"/>
              </w:rPr>
              <w:t>90,921</w:t>
            </w:r>
          </w:p>
        </w:tc>
      </w:tr>
      <w:tr>
        <w:tc>
          <w:tcPr>
            <w:tcW w:type="dxa" w:w="3168"/>
          </w:tcPr>
          <w:p>
            <w:pPr>
              <w:spacing w:after="20"/>
            </w:pPr>
            <w:r>
              <w:rPr>
                <w:b/>
                <w:color w:val="1C3A36"/>
                <w:sz w:val="17"/>
              </w:rPr>
              <w:t>Passenger-car price (EGP mn/unit)</w:t>
            </w:r>
          </w:p>
        </w:tc>
        <w:tc>
          <w:tcPr>
            <w:tcW w:type="dxa" w:w="1368"/>
          </w:tcPr>
          <w:p>
            <w:pPr>
              <w:spacing w:after="20"/>
              <w:jc w:val="right"/>
            </w:pPr>
            <w:r>
              <w:rPr>
                <w:color w:val="1C3A36"/>
                <w:sz w:val="17"/>
              </w:rPr>
              <w:t>0.61</w:t>
            </w:r>
          </w:p>
        </w:tc>
        <w:tc>
          <w:tcPr>
            <w:tcW w:type="dxa" w:w="1368"/>
          </w:tcPr>
          <w:p>
            <w:pPr>
              <w:spacing w:after="20"/>
              <w:jc w:val="right"/>
            </w:pPr>
            <w:r>
              <w:rPr>
                <w:color w:val="1C3A36"/>
                <w:sz w:val="17"/>
              </w:rPr>
              <w:t>0.87</w:t>
            </w:r>
          </w:p>
        </w:tc>
        <w:tc>
          <w:tcPr>
            <w:tcW w:type="dxa" w:w="1368"/>
          </w:tcPr>
          <w:p>
            <w:pPr>
              <w:spacing w:after="20"/>
              <w:jc w:val="right"/>
            </w:pPr>
            <w:r>
              <w:rPr>
                <w:color w:val="1C3A36"/>
                <w:sz w:val="17"/>
              </w:rPr>
              <w:t>0.93</w:t>
            </w:r>
          </w:p>
        </w:tc>
        <w:tc>
          <w:tcPr>
            <w:tcW w:type="dxa" w:w="1440"/>
          </w:tcPr>
          <w:p>
            <w:pPr>
              <w:spacing w:after="20"/>
              <w:jc w:val="right"/>
            </w:pPr>
            <w:r>
              <w:rPr>
                <w:color w:val="1C3A36"/>
                <w:sz w:val="17"/>
              </w:rPr>
              <w:t>0.99</w:t>
            </w:r>
          </w:p>
        </w:tc>
        <w:tc>
          <w:tcPr>
            <w:tcW w:type="dxa" w:w="1440"/>
          </w:tcPr>
          <w:p>
            <w:pPr>
              <w:spacing w:after="20"/>
              <w:jc w:val="right"/>
            </w:pPr>
            <w:r>
              <w:rPr>
                <w:color w:val="1C3A36"/>
                <w:sz w:val="17"/>
              </w:rPr>
              <w:t>1.27</w:t>
            </w:r>
          </w:p>
        </w:tc>
      </w:tr>
      <w:tr>
        <w:tc>
          <w:tcPr>
            <w:tcW w:type="dxa" w:w="3168"/>
          </w:tcPr>
          <w:p>
            <w:pPr>
              <w:spacing w:after="20"/>
            </w:pPr>
            <w:r>
              <w:rPr>
                <w:b/>
                <w:color w:val="1C3A36"/>
                <w:sz w:val="17"/>
              </w:rPr>
              <w:t>Passenger-car revenue (EGP mn)</w:t>
            </w:r>
          </w:p>
        </w:tc>
        <w:tc>
          <w:tcPr>
            <w:tcW w:type="dxa" w:w="1368"/>
          </w:tcPr>
          <w:p>
            <w:pPr>
              <w:spacing w:after="20"/>
              <w:jc w:val="right"/>
            </w:pPr>
            <w:r>
              <w:rPr>
                <w:color w:val="1C3A36"/>
                <w:sz w:val="17"/>
              </w:rPr>
              <w:t>16,544</w:t>
            </w:r>
          </w:p>
        </w:tc>
        <w:tc>
          <w:tcPr>
            <w:tcW w:type="dxa" w:w="1368"/>
          </w:tcPr>
          <w:p>
            <w:pPr>
              <w:spacing w:after="20"/>
              <w:jc w:val="right"/>
            </w:pPr>
            <w:r>
              <w:rPr>
                <w:color w:val="1C3A36"/>
                <w:sz w:val="17"/>
              </w:rPr>
              <w:t>36,533</w:t>
            </w:r>
          </w:p>
        </w:tc>
        <w:tc>
          <w:tcPr>
            <w:tcW w:type="dxa" w:w="1368"/>
          </w:tcPr>
          <w:p>
            <w:pPr>
              <w:spacing w:after="20"/>
              <w:jc w:val="right"/>
            </w:pPr>
            <w:r>
              <w:rPr>
                <w:color w:val="1C3A36"/>
                <w:sz w:val="17"/>
              </w:rPr>
              <w:t>52,827</w:t>
            </w:r>
          </w:p>
        </w:tc>
        <w:tc>
          <w:tcPr>
            <w:tcW w:type="dxa" w:w="1440"/>
          </w:tcPr>
          <w:p>
            <w:pPr>
              <w:spacing w:after="20"/>
              <w:jc w:val="right"/>
            </w:pPr>
            <w:r>
              <w:rPr>
                <w:color w:val="1C3A36"/>
                <w:sz w:val="17"/>
              </w:rPr>
              <w:t>62,717</w:t>
            </w:r>
          </w:p>
        </w:tc>
        <w:tc>
          <w:tcPr>
            <w:tcW w:type="dxa" w:w="1440"/>
          </w:tcPr>
          <w:p>
            <w:pPr>
              <w:spacing w:after="20"/>
              <w:jc w:val="right"/>
            </w:pPr>
            <w:r>
              <w:rPr>
                <w:color w:val="1C3A36"/>
                <w:sz w:val="17"/>
              </w:rPr>
              <w:t>115,821</w:t>
            </w:r>
          </w:p>
        </w:tc>
      </w:tr>
      <w:tr>
        <w:tc>
          <w:tcPr>
            <w:tcW w:type="dxa" w:w="3168"/>
          </w:tcPr>
          <w:p>
            <w:pPr>
              <w:spacing w:after="20"/>
            </w:pPr>
            <w:r>
              <w:rPr>
                <w:b/>
                <w:color w:val="1C3A36"/>
                <w:sz w:val="17"/>
              </w:rPr>
              <w:t>Commercial vehicles &amp; equipment</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5,957</w:t>
            </w:r>
          </w:p>
        </w:tc>
        <w:tc>
          <w:tcPr>
            <w:tcW w:type="dxa" w:w="1440"/>
          </w:tcPr>
          <w:p>
            <w:pPr>
              <w:spacing w:after="20"/>
              <w:jc w:val="right"/>
            </w:pPr>
            <w:r>
              <w:rPr>
                <w:color w:val="1C3A36"/>
                <w:sz w:val="17"/>
              </w:rPr>
              <w:t>7,818</w:t>
            </w:r>
          </w:p>
        </w:tc>
        <w:tc>
          <w:tcPr>
            <w:tcW w:type="dxa" w:w="1440"/>
          </w:tcPr>
          <w:p>
            <w:pPr>
              <w:spacing w:after="20"/>
              <w:jc w:val="right"/>
            </w:pPr>
            <w:r>
              <w:rPr>
                <w:color w:val="1C3A36"/>
                <w:sz w:val="17"/>
              </w:rPr>
              <w:t>14,921</w:t>
            </w:r>
          </w:p>
        </w:tc>
      </w:tr>
      <w:tr>
        <w:tc>
          <w:tcPr>
            <w:tcW w:type="dxa" w:w="3168"/>
          </w:tcPr>
          <w:p>
            <w:pPr>
              <w:spacing w:after="20"/>
            </w:pPr>
            <w:r>
              <w:rPr>
                <w:b/>
                <w:color w:val="1C3A36"/>
                <w:sz w:val="17"/>
              </w:rPr>
              <w:t>Light mobility</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2,204</w:t>
            </w:r>
          </w:p>
        </w:tc>
        <w:tc>
          <w:tcPr>
            <w:tcW w:type="dxa" w:w="1440"/>
          </w:tcPr>
          <w:p>
            <w:pPr>
              <w:spacing w:after="20"/>
              <w:jc w:val="right"/>
            </w:pPr>
            <w:r>
              <w:rPr>
                <w:color w:val="1C3A36"/>
                <w:sz w:val="17"/>
              </w:rPr>
              <w:t>3,008</w:t>
            </w:r>
          </w:p>
        </w:tc>
        <w:tc>
          <w:tcPr>
            <w:tcW w:type="dxa" w:w="1440"/>
          </w:tcPr>
          <w:p>
            <w:pPr>
              <w:spacing w:after="20"/>
              <w:jc w:val="right"/>
            </w:pPr>
            <w:r>
              <w:rPr>
                <w:color w:val="1C3A36"/>
                <w:sz w:val="17"/>
              </w:rPr>
              <w:t>6,217</w:t>
            </w:r>
          </w:p>
        </w:tc>
      </w:tr>
      <w:tr>
        <w:tc>
          <w:tcPr>
            <w:tcW w:type="dxa" w:w="3168"/>
          </w:tcPr>
          <w:p>
            <w:pPr>
              <w:spacing w:after="20"/>
            </w:pPr>
            <w:r>
              <w:rPr>
                <w:b/>
                <w:color w:val="1C3A36"/>
                <w:sz w:val="17"/>
              </w:rPr>
              <w:t>Trading (tires and parts)</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4,243</w:t>
            </w:r>
          </w:p>
        </w:tc>
        <w:tc>
          <w:tcPr>
            <w:tcW w:type="dxa" w:w="1440"/>
          </w:tcPr>
          <w:p>
            <w:pPr>
              <w:spacing w:after="20"/>
              <w:jc w:val="right"/>
            </w:pPr>
            <w:r>
              <w:rPr>
                <w:color w:val="1C3A36"/>
                <w:sz w:val="17"/>
              </w:rPr>
              <w:t>5,007</w:t>
            </w:r>
          </w:p>
        </w:tc>
        <w:tc>
          <w:tcPr>
            <w:tcW w:type="dxa" w:w="1440"/>
          </w:tcPr>
          <w:p>
            <w:pPr>
              <w:spacing w:after="20"/>
              <w:jc w:val="right"/>
            </w:pPr>
            <w:r>
              <w:rPr>
                <w:color w:val="1C3A36"/>
                <w:sz w:val="17"/>
              </w:rPr>
              <w:t>7,803</w:t>
            </w:r>
          </w:p>
        </w:tc>
      </w:tr>
      <w:tr>
        <w:tc>
          <w:tcPr>
            <w:tcW w:type="dxa" w:w="3168"/>
          </w:tcPr>
          <w:p>
            <w:pPr>
              <w:spacing w:after="20"/>
            </w:pPr>
            <w:r>
              <w:rPr>
                <w:b/>
                <w:color w:val="1C3A36"/>
                <w:sz w:val="17"/>
              </w:rPr>
              <w:t>GB Auto total revenue</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66,358</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144,761</w:t>
            </w:r>
          </w:p>
        </w:tc>
      </w:tr>
    </w:tbl>
    <w:p>
      <w:pPr>
        <w:spacing w:after="40"/>
      </w:pPr>
    </w:p>
    <w:p>
      <w:pPr>
        <w:spacing w:after="200" w:before="0"/>
      </w:pPr>
      <w:r>
        <w:rPr>
          <w:b w:val="0"/>
          <w:i/>
          <w:color w:val="6E7B77"/>
          <w:sz w:val="17"/>
        </w:rPr>
        <w:t>Sources: the company’s own FY2023, FY2024 and FY2025 earnings releases, segment volume and revenue tables. A dash marks a line the study’s committed record does not carry for that year rather than a nil figure — the segment split is disclosed for the base year and this study does not reconstruct the earlier years it did not source. The forecast columns are the model’s own driver path.</w:t>
      </w:r>
    </w:p>
    <w:p>
      <w:pPr>
        <w:spacing w:after="80" w:before="200"/>
      </w:pPr>
      <w:r>
        <w:rPr>
          <w:b/>
          <w:i w:val="0"/>
          <w:color w:val="1C3A36"/>
          <w:sz w:val="24"/>
        </w:rPr>
        <w:t>1.7  The crux: the basis of the associate mark, then cash conversion and the rate path</w:t>
      </w:r>
    </w:p>
    <w:p>
      <w:pPr>
        <w:spacing w:after="120" w:before="0"/>
      </w:pPr>
      <w:r>
        <w:rPr>
          <w:b w:val="0"/>
          <w:i w:val="0"/>
          <w:color w:val="1C3A36"/>
          <w:sz w:val="21"/>
        </w:rPr>
        <w:t>Three judgments drive this valuation, in order of size. First and by a wide margin: not what GB Corp’s MNT-Halan stake IS — the company stated it — but on what BASIS a minority interest in an unlisted company should be carried. The two the company itself publishes are EGP 15,734 mn and EGP 27,671 mn, a difference of 21.0% of the higher answer, and this study does not choose between them. What the traded price implies for that line is EGP 2,805 mn for ALL the associates together — a discount of 82.7% to the reviewed carrying value and 90.0% to the round-price read. A discount of that size to a private round is arguable; a discount of that size to a figure a reviewing accountant has signed a balance sheet on is a different claim, and it is the one the market is making. Second, where Auto working-capital intensity settles: it is modelled from 26.5% of revenue down to 21.5%, and because the auto leg’s free cash flow is a thin residual, that path moves it directly — §1.9 prices the grid rather than a single point estimate. Third, the Egyptian nominal-rate path: the schedule glides from 22.88% to 14.18% against terminal growth of 7.00%, a terminal real spread of 7.18%. A fourth exposure is regional: part of passenger-car revenue is Iraq and Jordan, where conflict has already cut volumes, and this study does not hold a sourced split of that revenue for the reviewed half, so it is named as an exposure and not priced.</w:t>
      </w:r>
    </w:p>
    <w:p>
      <w:pPr>
        <w:spacing w:after="120" w:before="0"/>
      </w:pPr>
      <w:r>
        <w:rPr>
          <w:b/>
          <w:i w:val="0"/>
          <w:color w:val="1C3A36"/>
          <w:sz w:val="19"/>
        </w:rPr>
        <w:t xml:space="preserve">And the same gap asked of a different input does not look nearly so stark. </w:t>
      </w:r>
      <w:r>
        <w:rPr>
          <w:b w:val="0"/>
          <w:i w:val="0"/>
          <w:color w:val="1C3A36"/>
          <w:sz w:val="19"/>
        </w:rPr>
        <w:t>The paragraph above solves the price for the associate mark, which is the input the two branches actually differ in. Solve it instead for the auto leg’s cost of capital, holding every other line at its published value, and the traded price implies 31.28% against this study’s 22.88% on the round-price branch — 8.4 points, a stretch on a leg worth less than half the sum of the parts — but only 25.71% on the carrying-value branch, 2.8 points, which is an ordinary disagreement about the cost of capital in this market. A reader is entitled to both readings, and on the branch this study can most easily defend the market is not making an extraordinary claim at all. Neither figure is used anywhere in the valuation; both are solved from it.</w:t>
      </w:r>
    </w:p>
    <w:p>
      <w:pPr>
        <w:spacing w:after="80" w:before="200"/>
      </w:pPr>
      <w:r>
        <w:rPr>
          <w:b/>
          <w:i w:val="0"/>
          <w:color w:val="1C3A36"/>
          <w:sz w:val="24"/>
        </w:rPr>
        <w:t>1.8  Macro and country — rates, the pound, and the cost of capital</w:t>
      </w:r>
    </w:p>
    <w:p>
      <w:pPr>
        <w:spacing w:after="120" w:before="0"/>
      </w:pPr>
      <w:r>
        <w:rPr>
          <w:b w:val="0"/>
          <w:i w:val="0"/>
          <w:color w:val="1C3A36"/>
          <w:sz w:val="21"/>
        </w:rPr>
        <w:t>GB Corp is a leveraged play on Egyptian nominal normalisation. Every cut lowers GB Capital’s funding cost on a fixed-rate lending book, lowers the customer’s instalment, and compresses the discount rate this study applies. The pound sets assembly input costs and the pound value of the MNT-Halan round-price mark; a step devaluation is the single nastiest macro scenario for both margin and multiple. The cost-of-capital build below is produced by the house module rather than assembled by hand, and the whole schedule is published — not one rate held for ever: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744"/>
            <w:shd w:val="clear" w:color="auto" w:fill="EAF0EE"/>
          </w:tcPr>
          <w:p>
            <w:pPr>
              <w:spacing w:after="20"/>
            </w:pPr>
            <w:r>
              <w:rPr>
                <w:b/>
                <w:color w:val="1C3A36"/>
                <w:sz w:val="17"/>
              </w:rPr>
              <w:t>Cost-of-capital build</w:t>
            </w:r>
          </w:p>
        </w:tc>
        <w:tc>
          <w:tcPr>
            <w:tcW w:type="dxa" w:w="1872"/>
            <w:shd w:val="clear" w:color="auto" w:fill="EAF0EE"/>
          </w:tcPr>
          <w:p>
            <w:pPr>
              <w:spacing w:after="20"/>
            </w:pPr>
            <w:r>
              <w:rPr>
                <w:b/>
                <w:color w:val="1C3A36"/>
                <w:sz w:val="17"/>
              </w:rPr>
              <w:t>Value</w:t>
            </w:r>
          </w:p>
        </w:tc>
        <w:tc>
          <w:tcPr>
            <w:tcW w:type="dxa" w:w="4320"/>
            <w:shd w:val="clear" w:color="auto" w:fill="EAF0EE"/>
          </w:tcPr>
          <w:p>
            <w:pPr>
              <w:spacing w:after="20"/>
            </w:pPr>
            <w:r>
              <w:rPr>
                <w:b/>
                <w:color w:val="1C3A36"/>
                <w:sz w:val="17"/>
              </w:rPr>
              <w:t>Source</w:t>
            </w:r>
          </w:p>
        </w:tc>
      </w:tr>
      <w:tr>
        <w:tc>
          <w:tcPr>
            <w:tcW w:type="dxa" w:w="3744"/>
          </w:tcPr>
          <w:p>
            <w:pPr>
              <w:spacing w:after="20"/>
            </w:pPr>
            <w:r>
              <w:rPr>
                <w:b/>
                <w:color w:val="1C3A36"/>
                <w:sz w:val="17"/>
              </w:rPr>
              <w:t>Observed risk-free rate</w:t>
            </w:r>
          </w:p>
        </w:tc>
        <w:tc>
          <w:tcPr>
            <w:tcW w:type="dxa" w:w="1872"/>
          </w:tcPr>
          <w:p>
            <w:pPr>
              <w:spacing w:after="20"/>
              <w:jc w:val="right"/>
            </w:pPr>
            <w:r>
              <w:rPr>
                <w:color w:val="1C3A36"/>
                <w:sz w:val="17"/>
              </w:rPr>
              <w:t>23.00%</w:t>
            </w:r>
          </w:p>
        </w:tc>
        <w:tc>
          <w:tcPr>
            <w:tcW w:type="dxa" w:w="4320"/>
          </w:tcPr>
          <w:p>
            <w:pPr>
              <w:spacing w:after="20"/>
              <w:jc w:val="right"/>
            </w:pPr>
            <w:r>
              <w:rPr>
                <w:color w:val="1C3A36"/>
                <w:sz w:val="17"/>
              </w:rPr>
              <w:t>Egypt 10-year local-currency government bond yield, house macro path</w:t>
            </w:r>
          </w:p>
        </w:tc>
      </w:tr>
      <w:tr>
        <w:tc>
          <w:tcPr>
            <w:tcW w:type="dxa" w:w="3744"/>
          </w:tcPr>
          <w:p>
            <w:pPr>
              <w:spacing w:after="20"/>
            </w:pPr>
            <w:r>
              <w:rPr>
                <w:b/>
                <w:color w:val="1C3A36"/>
                <w:sz w:val="17"/>
              </w:rPr>
              <w:t>less: Egypt’s own sovereign default spread</w:t>
            </w:r>
          </w:p>
        </w:tc>
        <w:tc>
          <w:tcPr>
            <w:tcW w:type="dxa" w:w="1872"/>
          </w:tcPr>
          <w:p>
            <w:pPr>
              <w:spacing w:after="20"/>
              <w:jc w:val="right"/>
            </w:pPr>
            <w:r>
              <w:rPr>
                <w:color w:val="1C3A36"/>
                <w:sz w:val="17"/>
              </w:rPr>
              <w:t>3.41%</w:t>
            </w:r>
          </w:p>
        </w:tc>
        <w:tc>
          <w:tcPr>
            <w:tcW w:type="dxa" w:w="4320"/>
          </w:tcPr>
          <w:p>
            <w:pPr>
              <w:spacing w:after="20"/>
              <w:jc w:val="right"/>
            </w:pPr>
            <w:r>
              <w:rPr>
                <w:color w:val="1C3A36"/>
                <w:sz w:val="17"/>
              </w:rPr>
              <w:t>so country risk is counted exactly once, inside the premium below</w:t>
            </w:r>
          </w:p>
        </w:tc>
      </w:tr>
      <w:tr>
        <w:tc>
          <w:tcPr>
            <w:tcW w:type="dxa" w:w="3744"/>
          </w:tcPr>
          <w:p>
            <w:pPr>
              <w:spacing w:after="20"/>
            </w:pPr>
            <w:r>
              <w:rPr>
                <w:b/>
                <w:color w:val="1C3A36"/>
                <w:sz w:val="17"/>
              </w:rPr>
              <w:t>Normalised risk-free rate</w:t>
            </w:r>
          </w:p>
        </w:tc>
        <w:tc>
          <w:tcPr>
            <w:tcW w:type="dxa" w:w="1872"/>
          </w:tcPr>
          <w:p>
            <w:pPr>
              <w:spacing w:after="20"/>
              <w:jc w:val="right"/>
            </w:pPr>
            <w:r>
              <w:rPr>
                <w:color w:val="1C3A36"/>
                <w:sz w:val="17"/>
              </w:rPr>
              <w:t>19.59%</w:t>
            </w:r>
          </w:p>
        </w:tc>
        <w:tc>
          <w:tcPr>
            <w:tcW w:type="dxa" w:w="4320"/>
          </w:tcPr>
          <w:p>
            <w:pPr>
              <w:spacing w:after="20"/>
              <w:jc w:val="right"/>
            </w:pPr>
            <w:r>
              <w:rPr>
                <w:color w:val="1C3A36"/>
                <w:sz w:val="17"/>
              </w:rPr>
              <w:t>the difference of the two rows above</w:t>
            </w:r>
          </w:p>
        </w:tc>
      </w:tr>
      <w:tr>
        <w:tc>
          <w:tcPr>
            <w:tcW w:type="dxa" w:w="3744"/>
          </w:tcPr>
          <w:p>
            <w:pPr>
              <w:spacing w:after="20"/>
            </w:pPr>
            <w:r>
              <w:rPr>
                <w:b/>
                <w:color w:val="1C3A36"/>
                <w:sz w:val="17"/>
              </w:rPr>
              <w:t>Equity beta</w:t>
            </w:r>
          </w:p>
        </w:tc>
        <w:tc>
          <w:tcPr>
            <w:tcW w:type="dxa" w:w="1872"/>
          </w:tcPr>
          <w:p>
            <w:pPr>
              <w:spacing w:after="20"/>
              <w:jc w:val="right"/>
            </w:pPr>
            <w:r>
              <w:rPr>
                <w:color w:val="1C3A36"/>
                <w:sz w:val="17"/>
              </w:rPr>
              <w:t>0.8907</w:t>
            </w:r>
          </w:p>
        </w:tc>
        <w:tc>
          <w:tcPr>
            <w:tcW w:type="dxa" w:w="4320"/>
          </w:tcPr>
          <w:p>
            <w:pPr>
              <w:spacing w:after="20"/>
              <w:jc w:val="right"/>
            </w:pPr>
            <w:r>
              <w:rPr>
                <w:color w:val="1C3A36"/>
                <w:sz w:val="17"/>
              </w:rPr>
              <w:t>own-stock weekly regression against the published EGX30 index</w:t>
            </w:r>
          </w:p>
        </w:tc>
      </w:tr>
      <w:tr>
        <w:tc>
          <w:tcPr>
            <w:tcW w:type="dxa" w:w="3744"/>
          </w:tcPr>
          <w:p>
            <w:pPr>
              <w:spacing w:after="20"/>
            </w:pPr>
            <w:r>
              <w:rPr>
                <w:b/>
                <w:color w:val="1C3A36"/>
                <w:sz w:val="17"/>
              </w:rPr>
              <w:t>Equity risk premium (market basis, adopted)</w:t>
            </w:r>
          </w:p>
        </w:tc>
        <w:tc>
          <w:tcPr>
            <w:tcW w:type="dxa" w:w="1872"/>
          </w:tcPr>
          <w:p>
            <w:pPr>
              <w:spacing w:after="20"/>
              <w:jc w:val="right"/>
            </w:pPr>
            <w:r>
              <w:rPr>
                <w:color w:val="1C3A36"/>
                <w:sz w:val="17"/>
              </w:rPr>
              <w:t>9.41%</w:t>
            </w:r>
          </w:p>
        </w:tc>
        <w:tc>
          <w:tcPr>
            <w:tcW w:type="dxa" w:w="4320"/>
          </w:tcPr>
          <w:p>
            <w:pPr>
              <w:spacing w:after="20"/>
              <w:jc w:val="right"/>
            </w:pPr>
            <w:r>
              <w:rPr>
                <w:color w:val="1C3A36"/>
                <w:sz w:val="17"/>
              </w:rPr>
              <w:t>the sovereign’s own row, read for this country</w:t>
            </w:r>
          </w:p>
        </w:tc>
      </w:tr>
      <w:tr>
        <w:tc>
          <w:tcPr>
            <w:tcW w:type="dxa" w:w="3744"/>
          </w:tcPr>
          <w:p>
            <w:pPr>
              <w:spacing w:after="20"/>
            </w:pPr>
            <w:r>
              <w:rPr>
                <w:b/>
                <w:color w:val="1C3A36"/>
                <w:sz w:val="17"/>
              </w:rPr>
              <w:t>Equity risk premium (rating basis, alternative)</w:t>
            </w:r>
          </w:p>
        </w:tc>
        <w:tc>
          <w:tcPr>
            <w:tcW w:type="dxa" w:w="1872"/>
          </w:tcPr>
          <w:p>
            <w:pPr>
              <w:spacing w:after="20"/>
              <w:jc w:val="right"/>
            </w:pPr>
            <w:r>
              <w:rPr>
                <w:color w:val="1C3A36"/>
                <w:sz w:val="17"/>
              </w:rPr>
              <w:t>13.94%</w:t>
            </w:r>
          </w:p>
        </w:tc>
        <w:tc>
          <w:tcPr>
            <w:tcW w:type="dxa" w:w="4320"/>
          </w:tcPr>
          <w:p>
            <w:pPr>
              <w:spacing w:after="20"/>
              <w:jc w:val="right"/>
            </w:pPr>
            <w:r>
              <w:rPr>
                <w:color w:val="1C3A36"/>
                <w:sz w:val="17"/>
              </w:rPr>
              <w:t>same source, rating-based column; published beside the adopted basis</w:t>
            </w:r>
          </w:p>
        </w:tc>
      </w:tr>
      <w:tr>
        <w:tc>
          <w:tcPr>
            <w:tcW w:type="dxa" w:w="3744"/>
          </w:tcPr>
          <w:p>
            <w:pPr>
              <w:spacing w:after="20"/>
            </w:pPr>
            <w:r>
              <w:rPr>
                <w:b/>
                <w:color w:val="1C3A36"/>
                <w:sz w:val="17"/>
              </w:rPr>
              <w:t>Cost of equity, explicit window</w:t>
            </w:r>
          </w:p>
        </w:tc>
        <w:tc>
          <w:tcPr>
            <w:tcW w:type="dxa" w:w="1872"/>
          </w:tcPr>
          <w:p>
            <w:pPr>
              <w:spacing w:after="20"/>
              <w:jc w:val="right"/>
            </w:pPr>
            <w:r>
              <w:rPr>
                <w:color w:val="1C3A36"/>
                <w:sz w:val="17"/>
              </w:rPr>
              <w:t>27.97%</w:t>
            </w:r>
          </w:p>
        </w:tc>
        <w:tc>
          <w:tcPr>
            <w:tcW w:type="dxa" w:w="4320"/>
          </w:tcPr>
          <w:p>
            <w:pPr>
              <w:spacing w:after="20"/>
              <w:jc w:val="right"/>
            </w:pPr>
            <w:r>
              <w:rPr>
                <w:color w:val="1C3A36"/>
                <w:sz w:val="17"/>
              </w:rPr>
              <w:t>reproduces from the normalised rate plus beta times the premium; 29.05% on the rating basis</w:t>
            </w:r>
          </w:p>
        </w:tc>
      </w:tr>
      <w:tr>
        <w:tc>
          <w:tcPr>
            <w:tcW w:type="dxa" w:w="3744"/>
          </w:tcPr>
          <w:p>
            <w:pPr>
              <w:spacing w:after="20"/>
            </w:pPr>
            <w:r>
              <w:rPr>
                <w:b/>
                <w:color w:val="1C3A36"/>
                <w:sz w:val="17"/>
              </w:rPr>
              <w:t>Cost of equity, terminal</w:t>
            </w:r>
          </w:p>
        </w:tc>
        <w:tc>
          <w:tcPr>
            <w:tcW w:type="dxa" w:w="1872"/>
          </w:tcPr>
          <w:p>
            <w:pPr>
              <w:spacing w:after="20"/>
              <w:jc w:val="right"/>
            </w:pPr>
            <w:r>
              <w:rPr>
                <w:color w:val="1C3A36"/>
                <w:sz w:val="17"/>
              </w:rPr>
              <w:t>18.73%</w:t>
            </w:r>
          </w:p>
        </w:tc>
        <w:tc>
          <w:tcPr>
            <w:tcW w:type="dxa" w:w="4320"/>
          </w:tcPr>
          <w:p>
            <w:pPr>
              <w:spacing w:after="20"/>
              <w:jc w:val="right"/>
            </w:pPr>
            <w:r>
              <w:rPr>
                <w:color w:val="1C3A36"/>
                <w:sz w:val="17"/>
              </w:rPr>
              <w:t>the rate the lender’s residual income is capitalised at in §1.1</w:t>
            </w:r>
          </w:p>
        </w:tc>
      </w:tr>
      <w:tr>
        <w:tc>
          <w:tcPr>
            <w:tcW w:type="dxa" w:w="3744"/>
          </w:tcPr>
          <w:p>
            <w:pPr>
              <w:spacing w:after="20"/>
            </w:pPr>
            <w:r>
              <w:rPr>
                <w:b/>
                <w:color w:val="1C3A36"/>
                <w:sz w:val="17"/>
              </w:rPr>
              <w:t>Pre-tax cost of debt</w:t>
            </w:r>
          </w:p>
        </w:tc>
        <w:tc>
          <w:tcPr>
            <w:tcW w:type="dxa" w:w="1872"/>
          </w:tcPr>
          <w:p>
            <w:pPr>
              <w:spacing w:after="20"/>
              <w:jc w:val="right"/>
            </w:pPr>
            <w:r>
              <w:rPr>
                <w:color w:val="1C3A36"/>
                <w:sz w:val="17"/>
              </w:rPr>
              <w:t>26.53%</w:t>
            </w:r>
          </w:p>
        </w:tc>
        <w:tc>
          <w:tcPr>
            <w:tcW w:type="dxa" w:w="4320"/>
          </w:tcPr>
          <w:p>
            <w:pPr>
              <w:spacing w:after="20"/>
              <w:jc w:val="right"/>
            </w:pPr>
            <w:r>
              <w:rPr>
                <w:color w:val="1C3A36"/>
                <w:sz w:val="17"/>
              </w:rPr>
              <w:t>the company’s own effective borrowing rate, computed on the borrowings that actually bear the interest</w:t>
            </w:r>
          </w:p>
        </w:tc>
      </w:tr>
      <w:tr>
        <w:tc>
          <w:tcPr>
            <w:tcW w:type="dxa" w:w="3744"/>
          </w:tcPr>
          <w:p>
            <w:pPr>
              <w:spacing w:after="20"/>
            </w:pPr>
            <w:r>
              <w:rPr>
                <w:b/>
                <w:color w:val="1C3A36"/>
                <w:sz w:val="17"/>
              </w:rPr>
              <w:t>After-tax cost of debt</w:t>
            </w:r>
          </w:p>
        </w:tc>
        <w:tc>
          <w:tcPr>
            <w:tcW w:type="dxa" w:w="1872"/>
          </w:tcPr>
          <w:p>
            <w:pPr>
              <w:spacing w:after="20"/>
              <w:jc w:val="right"/>
            </w:pPr>
            <w:r>
              <w:rPr>
                <w:color w:val="1C3A36"/>
                <w:sz w:val="17"/>
              </w:rPr>
              <w:t>19.10%</w:t>
            </w:r>
          </w:p>
        </w:tc>
        <w:tc>
          <w:tcPr>
            <w:tcW w:type="dxa" w:w="4320"/>
          </w:tcPr>
          <w:p>
            <w:pPr>
              <w:spacing w:after="20"/>
              <w:jc w:val="right"/>
            </w:pPr>
            <w:r>
              <w:rPr>
                <w:color w:val="1C3A36"/>
                <w:sz w:val="17"/>
              </w:rPr>
              <w:t>debt is entirely local-currency on the disclosed facility note</w:t>
            </w:r>
          </w:p>
        </w:tc>
      </w:tr>
      <w:tr>
        <w:tc>
          <w:tcPr>
            <w:tcW w:type="dxa" w:w="3744"/>
          </w:tcPr>
          <w:p>
            <w:pPr>
              <w:spacing w:after="20"/>
            </w:pPr>
            <w:r>
              <w:rPr>
                <w:b/>
                <w:color w:val="1C3A36"/>
                <w:sz w:val="17"/>
              </w:rPr>
              <w:t>Weights (equity / debt)</w:t>
            </w:r>
          </w:p>
        </w:tc>
        <w:tc>
          <w:tcPr>
            <w:tcW w:type="dxa" w:w="1872"/>
          </w:tcPr>
          <w:p>
            <w:pPr>
              <w:spacing w:after="20"/>
              <w:jc w:val="right"/>
            </w:pPr>
            <w:r>
              <w:rPr>
                <w:color w:val="1C3A36"/>
                <w:sz w:val="17"/>
              </w:rPr>
              <w:t>42.5% / 57.5%</w:t>
            </w:r>
          </w:p>
        </w:tc>
        <w:tc>
          <w:tcPr>
            <w:tcW w:type="dxa" w:w="4320"/>
          </w:tcPr>
          <w:p>
            <w:pPr>
              <w:spacing w:after="20"/>
              <w:jc w:val="right"/>
            </w:pPr>
            <w:r>
              <w:rPr>
                <w:color w:val="1C3A36"/>
                <w:sz w:val="17"/>
              </w:rPr>
              <w:t>market capitalisation against disclosed borrowings</w:t>
            </w:r>
          </w:p>
        </w:tc>
      </w:tr>
      <w:tr>
        <w:tc>
          <w:tcPr>
            <w:tcW w:type="dxa" w:w="3744"/>
          </w:tcPr>
          <w:p>
            <w:pPr>
              <w:spacing w:after="20"/>
            </w:pPr>
            <w:r>
              <w:rPr>
                <w:b/>
                <w:color w:val="1C3A36"/>
                <w:sz w:val="17"/>
              </w:rPr>
              <w:t>Weighted cost of capital, first forecast year</w:t>
            </w:r>
          </w:p>
        </w:tc>
        <w:tc>
          <w:tcPr>
            <w:tcW w:type="dxa" w:w="1872"/>
          </w:tcPr>
          <w:p>
            <w:pPr>
              <w:spacing w:after="20"/>
              <w:jc w:val="right"/>
            </w:pPr>
            <w:r>
              <w:rPr>
                <w:color w:val="1C3A36"/>
                <w:sz w:val="17"/>
              </w:rPr>
              <w:t>22.88%</w:t>
            </w:r>
          </w:p>
        </w:tc>
        <w:tc>
          <w:tcPr>
            <w:tcW w:type="dxa" w:w="4320"/>
          </w:tcPr>
          <w:p>
            <w:pPr>
              <w:spacing w:after="20"/>
              <w:jc w:val="right"/>
            </w:pPr>
            <w:r>
              <w:rPr>
                <w:color w:val="1C3A36"/>
                <w:sz w:val="17"/>
              </w:rPr>
              <w:t>23.33% on the rating-based alternative</w:t>
            </w:r>
          </w:p>
        </w:tc>
      </w:tr>
      <w:tr>
        <w:tc>
          <w:tcPr>
            <w:tcW w:type="dxa" w:w="3744"/>
          </w:tcPr>
          <w:p>
            <w:pPr>
              <w:spacing w:after="20"/>
            </w:pPr>
            <w:r>
              <w:rPr>
                <w:b/>
                <w:color w:val="1C3A36"/>
                <w:sz w:val="17"/>
              </w:rPr>
              <w:t>Weighted cost of capital, terminal</w:t>
            </w:r>
          </w:p>
        </w:tc>
        <w:tc>
          <w:tcPr>
            <w:tcW w:type="dxa" w:w="1872"/>
          </w:tcPr>
          <w:p>
            <w:pPr>
              <w:spacing w:after="20"/>
              <w:jc w:val="right"/>
            </w:pPr>
            <w:r>
              <w:rPr>
                <w:color w:val="1C3A36"/>
                <w:sz w:val="17"/>
              </w:rPr>
              <w:t>14.18%</w:t>
            </w:r>
          </w:p>
        </w:tc>
        <w:tc>
          <w:tcPr>
            <w:tcW w:type="dxa" w:w="4320"/>
          </w:tcPr>
          <w:p>
            <w:pPr>
              <w:spacing w:after="20"/>
              <w:jc w:val="right"/>
            </w:pPr>
            <w:r>
              <w:rPr>
                <w:color w:val="1C3A36"/>
                <w:sz w:val="17"/>
              </w:rPr>
              <w:t>norm-built, reached by a glide inherited from the policy-rate path</w:t>
            </w:r>
          </w:p>
        </w:tc>
      </w:tr>
      <w:tr>
        <w:tc>
          <w:tcPr>
            <w:tcW w:type="dxa" w:w="3744"/>
          </w:tcPr>
          <w:p>
            <w:pPr>
              <w:spacing w:after="20"/>
            </w:pPr>
            <w:r>
              <w:rPr>
                <w:b/>
                <w:color w:val="1C3A36"/>
                <w:sz w:val="17"/>
              </w:rPr>
              <w:t>Terminal growth (real, then nominal)</w:t>
            </w:r>
          </w:p>
        </w:tc>
        <w:tc>
          <w:tcPr>
            <w:tcW w:type="dxa" w:w="1872"/>
          </w:tcPr>
          <w:p>
            <w:pPr>
              <w:spacing w:after="20"/>
              <w:jc w:val="right"/>
            </w:pPr>
            <w:r>
              <w:rPr>
                <w:color w:val="1C3A36"/>
                <w:sz w:val="17"/>
              </w:rPr>
              <w:t>0.0% → 7.00%</w:t>
            </w:r>
          </w:p>
        </w:tc>
        <w:tc>
          <w:tcPr>
            <w:tcW w:type="dxa" w:w="4320"/>
          </w:tcPr>
          <w:p>
            <w:pPr>
              <w:spacing w:after="20"/>
              <w:jc w:val="right"/>
            </w:pPr>
            <w:r>
              <w:rPr>
                <w:color w:val="1C3A36"/>
                <w:sz w:val="17"/>
              </w:rPr>
              <w:t>stored as a real rate on the house inflation path and recomputed; never typed as a nominal figure</w:t>
            </w:r>
          </w:p>
        </w:tc>
      </w:tr>
    </w:tbl>
    <w:p>
      <w:pPr>
        <w:spacing w:after="40"/>
      </w:pPr>
    </w:p>
    <w:p>
      <w:pPr>
        <w:spacing w:after="120" w:before="0"/>
      </w:pPr>
      <w:r>
        <w:rPr>
          <w:b w:val="0"/>
          <w:i w:val="0"/>
          <w:color w:val="1C3A36"/>
          <w:sz w:val="19"/>
        </w:rPr>
        <w:t>Three honesty notes on this build. First, the beta is the stock’s own regression against the published index of the exchange it is listed on — 0.8907, on weekly observations over nearly five years, clearing the minimum sample, explanatory power and precision required before a regression beta may be used at all — and it replaces an assumed unit beta the superseded edition carried because an earlier attempt on five annual observations was unusable. Second, the country risk enters exactly once: the observed local yield is reduced by this sovereign’s own default spread and the premium added back carries the country risk, rather than the raw yield being combined with a country-loaded premium. Third, both premium bases are published and the market basis is named as the adopted one; the rating basis is shown beside it rather than averaged into it.</w:t>
      </w:r>
    </w:p>
    <w:p>
      <w:pPr>
        <w:spacing w:after="120" w:before="0"/>
      </w:pPr>
      <w:r>
        <w:rPr>
          <w:b w:val="0"/>
          <w:i/>
          <w:color w:val="6E7B77"/>
          <w:sz w:val="18"/>
        </w:rPr>
        <w:t>Disclosed staleness of the macro anchors: The house Egyptian path's sovereign quote and currency spot are both anchored 2026-08-06 and this study is struck against the latest known price, 2026-09-03 — 28 days later. Refreshing a house macro path is a house-level act rather than a step of one name's rebuild, so the staleness is DISCLOSED and deliberately accepted rather than switched off, exactly as this house already treats a deliberately-accepted stale sovereign quote.</w:t>
      </w:r>
    </w:p>
    <w:p>
      <w:pPr>
        <w:spacing w:after="80" w:before="200"/>
      </w:pPr>
      <w:r>
        <w:rPr>
          <w:b/>
          <w:i w:val="0"/>
          <w:color w:val="1C3A36"/>
          <w:sz w:val="24"/>
        </w:rPr>
        <w:t>1.9  Sensitivity — the mark, the rate path, and terminal growth</w:t>
      </w:r>
    </w:p>
    <w:p>
      <w:pPr>
        <w:spacing w:after="120" w:before="0"/>
      </w:pPr>
      <w:r>
        <w:rPr>
          <w:b w:val="0"/>
          <w:i w:val="0"/>
          <w:color w:val="1C3A36"/>
          <w:sz w:val="21"/>
        </w:rPr>
        <w:t>The crux is priced first, and on its own axes. The grid below re-prices the whole sum of the parts across the two things this study cannot settle from the filings: what MNT-Halan is worth, and what the auto leg’s operations should be discounted at. Every other line is held exactly where it is published. There is no complexity-discount axis, because this study applies no complexity discount — the uncertainty that a discount used to stand in for is the vertical axis of this grid.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384"/>
            <w:shd w:val="clear" w:color="auto" w:fill="EAF0EE"/>
          </w:tcPr>
          <w:p>
            <w:pPr>
              <w:spacing w:after="20"/>
            </w:pPr>
            <w:r>
              <w:rPr>
                <w:b/>
                <w:color w:val="1C3A36"/>
                <w:sz w:val="17"/>
              </w:rPr>
              <w:t>MNT-Halan mark (EGP mn) \ first-year cost of capital</w:t>
            </w:r>
          </w:p>
        </w:tc>
        <w:tc>
          <w:tcPr>
            <w:tcW w:type="dxa" w:w="1224"/>
            <w:shd w:val="clear" w:color="auto" w:fill="EAF0EE"/>
          </w:tcPr>
          <w:p>
            <w:pPr>
              <w:spacing w:after="20"/>
            </w:pPr>
            <w:r>
              <w:rPr>
                <w:b/>
                <w:color w:val="1C3A36"/>
                <w:sz w:val="17"/>
              </w:rPr>
              <w:t>20.9%</w:t>
            </w:r>
          </w:p>
        </w:tc>
        <w:tc>
          <w:tcPr>
            <w:tcW w:type="dxa" w:w="1224"/>
            <w:shd w:val="clear" w:color="auto" w:fill="EAF0EE"/>
          </w:tcPr>
          <w:p>
            <w:pPr>
              <w:spacing w:after="20"/>
            </w:pPr>
            <w:r>
              <w:rPr>
                <w:b/>
                <w:color w:val="1C3A36"/>
                <w:sz w:val="17"/>
              </w:rPr>
              <w:t>21.9%</w:t>
            </w:r>
          </w:p>
        </w:tc>
        <w:tc>
          <w:tcPr>
            <w:tcW w:type="dxa" w:w="1224"/>
            <w:shd w:val="clear" w:color="auto" w:fill="EAF0EE"/>
          </w:tcPr>
          <w:p>
            <w:pPr>
              <w:spacing w:after="20"/>
            </w:pPr>
            <w:r>
              <w:rPr>
                <w:b/>
                <w:color w:val="1C3A36"/>
                <w:sz w:val="17"/>
              </w:rPr>
              <w:t>22.9%</w:t>
            </w:r>
          </w:p>
        </w:tc>
        <w:tc>
          <w:tcPr>
            <w:tcW w:type="dxa" w:w="1224"/>
            <w:shd w:val="clear" w:color="auto" w:fill="EAF0EE"/>
          </w:tcPr>
          <w:p>
            <w:pPr>
              <w:spacing w:after="20"/>
            </w:pPr>
            <w:r>
              <w:rPr>
                <w:b/>
                <w:color w:val="1C3A36"/>
                <w:sz w:val="17"/>
              </w:rPr>
              <w:t>23.9%</w:t>
            </w:r>
          </w:p>
        </w:tc>
        <w:tc>
          <w:tcPr>
            <w:tcW w:type="dxa" w:w="1224"/>
            <w:shd w:val="clear" w:color="auto" w:fill="EAF0EE"/>
          </w:tcPr>
          <w:p>
            <w:pPr>
              <w:spacing w:after="20"/>
            </w:pPr>
            <w:r>
              <w:rPr>
                <w:b/>
                <w:color w:val="1C3A36"/>
                <w:sz w:val="17"/>
              </w:rPr>
              <w:t>24.9%</w:t>
            </w:r>
          </w:p>
        </w:tc>
      </w:tr>
      <w:tr>
        <w:tc>
          <w:tcPr>
            <w:tcW w:type="dxa" w:w="3384"/>
          </w:tcPr>
          <w:p>
            <w:pPr>
              <w:spacing w:after="20"/>
            </w:pPr>
            <w:r>
              <w:rPr>
                <w:b/>
                <w:color w:val="1C3A36"/>
                <w:sz w:val="17"/>
              </w:rPr>
              <w:t>6,918</w:t>
            </w:r>
          </w:p>
        </w:tc>
        <w:tc>
          <w:tcPr>
            <w:tcW w:type="dxa" w:w="1224"/>
          </w:tcPr>
          <w:p>
            <w:pPr>
              <w:spacing w:after="20"/>
              <w:jc w:val="right"/>
            </w:pPr>
            <w:r>
              <w:rPr>
                <w:color w:val="1C3A36"/>
                <w:sz w:val="17"/>
              </w:rPr>
              <w:t>50.3</w:t>
            </w:r>
          </w:p>
        </w:tc>
        <w:tc>
          <w:tcPr>
            <w:tcW w:type="dxa" w:w="1224"/>
          </w:tcPr>
          <w:p>
            <w:pPr>
              <w:spacing w:after="20"/>
              <w:jc w:val="right"/>
            </w:pPr>
            <w:r>
              <w:rPr>
                <w:color w:val="1C3A36"/>
                <w:sz w:val="17"/>
              </w:rPr>
              <w:t>40.3</w:t>
            </w:r>
          </w:p>
        </w:tc>
        <w:tc>
          <w:tcPr>
            <w:tcW w:type="dxa" w:w="1224"/>
          </w:tcPr>
          <w:p>
            <w:pPr>
              <w:spacing w:after="20"/>
              <w:jc w:val="right"/>
            </w:pPr>
            <w:r>
              <w:rPr>
                <w:color w:val="1C3A36"/>
                <w:sz w:val="17"/>
              </w:rPr>
              <w:t>33.2</w:t>
            </w:r>
          </w:p>
        </w:tc>
        <w:tc>
          <w:tcPr>
            <w:tcW w:type="dxa" w:w="1224"/>
          </w:tcPr>
          <w:p>
            <w:pPr>
              <w:spacing w:after="20"/>
              <w:jc w:val="right"/>
            </w:pPr>
            <w:r>
              <w:rPr>
                <w:color w:val="1C3A36"/>
                <w:sz w:val="17"/>
              </w:rPr>
              <w:t>27.9</w:t>
            </w:r>
          </w:p>
        </w:tc>
        <w:tc>
          <w:tcPr>
            <w:tcW w:type="dxa" w:w="1224"/>
          </w:tcPr>
          <w:p>
            <w:pPr>
              <w:spacing w:after="20"/>
              <w:jc w:val="right"/>
            </w:pPr>
            <w:r>
              <w:rPr>
                <w:color w:val="1C3A36"/>
                <w:sz w:val="17"/>
              </w:rPr>
              <w:t>23.7</w:t>
            </w:r>
          </w:p>
        </w:tc>
      </w:tr>
      <w:tr>
        <w:tc>
          <w:tcPr>
            <w:tcW w:type="dxa" w:w="3384"/>
          </w:tcPr>
          <w:p>
            <w:pPr>
              <w:spacing w:after="20"/>
            </w:pPr>
            <w:r>
              <w:rPr>
                <w:b/>
                <w:color w:val="1C3A36"/>
                <w:sz w:val="17"/>
              </w:rPr>
              <w:t>13,835</w:t>
            </w:r>
          </w:p>
        </w:tc>
        <w:tc>
          <w:tcPr>
            <w:tcW w:type="dxa" w:w="1224"/>
          </w:tcPr>
          <w:p>
            <w:pPr>
              <w:spacing w:after="20"/>
              <w:jc w:val="right"/>
            </w:pPr>
            <w:r>
              <w:rPr>
                <w:color w:val="1C3A36"/>
                <w:sz w:val="17"/>
              </w:rPr>
              <w:t>56.6</w:t>
            </w:r>
          </w:p>
        </w:tc>
        <w:tc>
          <w:tcPr>
            <w:tcW w:type="dxa" w:w="1224"/>
          </w:tcPr>
          <w:p>
            <w:pPr>
              <w:spacing w:after="20"/>
              <w:jc w:val="right"/>
            </w:pPr>
            <w:r>
              <w:rPr>
                <w:color w:val="1C3A36"/>
                <w:sz w:val="17"/>
              </w:rPr>
              <w:t>46.7</w:t>
            </w:r>
          </w:p>
        </w:tc>
        <w:tc>
          <w:tcPr>
            <w:tcW w:type="dxa" w:w="1224"/>
          </w:tcPr>
          <w:p>
            <w:pPr>
              <w:spacing w:after="20"/>
              <w:jc w:val="right"/>
            </w:pPr>
            <w:r>
              <w:rPr>
                <w:color w:val="1C3A36"/>
                <w:sz w:val="17"/>
              </w:rPr>
              <w:t>39.6</w:t>
            </w:r>
          </w:p>
        </w:tc>
        <w:tc>
          <w:tcPr>
            <w:tcW w:type="dxa" w:w="1224"/>
          </w:tcPr>
          <w:p>
            <w:pPr>
              <w:spacing w:after="20"/>
              <w:jc w:val="right"/>
            </w:pPr>
            <w:r>
              <w:rPr>
                <w:color w:val="1C3A36"/>
                <w:sz w:val="17"/>
              </w:rPr>
              <w:t>34.2</w:t>
            </w:r>
          </w:p>
        </w:tc>
        <w:tc>
          <w:tcPr>
            <w:tcW w:type="dxa" w:w="1224"/>
          </w:tcPr>
          <w:p>
            <w:pPr>
              <w:spacing w:after="20"/>
              <w:jc w:val="right"/>
            </w:pPr>
            <w:r>
              <w:rPr>
                <w:color w:val="1C3A36"/>
                <w:sz w:val="17"/>
              </w:rPr>
              <w:t>30.1</w:t>
            </w:r>
          </w:p>
        </w:tc>
      </w:tr>
      <w:tr>
        <w:tc>
          <w:tcPr>
            <w:tcW w:type="dxa" w:w="3384"/>
          </w:tcPr>
          <w:p>
            <w:pPr>
              <w:spacing w:after="20"/>
            </w:pPr>
            <w:r>
              <w:rPr>
                <w:b/>
                <w:color w:val="1C3A36"/>
                <w:sz w:val="17"/>
              </w:rPr>
              <w:t>15,734  ‡</w:t>
            </w:r>
          </w:p>
        </w:tc>
        <w:tc>
          <w:tcPr>
            <w:tcW w:type="dxa" w:w="1224"/>
          </w:tcPr>
          <w:p>
            <w:pPr>
              <w:spacing w:after="20"/>
              <w:jc w:val="right"/>
            </w:pPr>
            <w:r>
              <w:rPr>
                <w:color w:val="1C3A36"/>
                <w:sz w:val="17"/>
              </w:rPr>
              <w:t>58.4</w:t>
            </w:r>
          </w:p>
        </w:tc>
        <w:tc>
          <w:tcPr>
            <w:tcW w:type="dxa" w:w="1224"/>
          </w:tcPr>
          <w:p>
            <w:pPr>
              <w:spacing w:after="20"/>
              <w:jc w:val="right"/>
            </w:pPr>
            <w:r>
              <w:rPr>
                <w:color w:val="1C3A36"/>
                <w:sz w:val="17"/>
              </w:rPr>
              <w:t>48.5</w:t>
            </w:r>
          </w:p>
        </w:tc>
        <w:tc>
          <w:tcPr>
            <w:tcW w:type="dxa" w:w="1224"/>
          </w:tcPr>
          <w:p>
            <w:pPr>
              <w:spacing w:after="20"/>
              <w:jc w:val="right"/>
            </w:pPr>
            <w:r>
              <w:rPr>
                <w:color w:val="1C3A36"/>
                <w:sz w:val="17"/>
              </w:rPr>
              <w:t>41.3</w:t>
            </w:r>
          </w:p>
        </w:tc>
        <w:tc>
          <w:tcPr>
            <w:tcW w:type="dxa" w:w="1224"/>
          </w:tcPr>
          <w:p>
            <w:pPr>
              <w:spacing w:after="20"/>
              <w:jc w:val="right"/>
            </w:pPr>
            <w:r>
              <w:rPr>
                <w:color w:val="1C3A36"/>
                <w:sz w:val="17"/>
              </w:rPr>
              <w:t>36.0</w:t>
            </w:r>
          </w:p>
        </w:tc>
        <w:tc>
          <w:tcPr>
            <w:tcW w:type="dxa" w:w="1224"/>
          </w:tcPr>
          <w:p>
            <w:pPr>
              <w:spacing w:after="20"/>
              <w:jc w:val="right"/>
            </w:pPr>
            <w:r>
              <w:rPr>
                <w:color w:val="1C3A36"/>
                <w:sz w:val="17"/>
              </w:rPr>
              <w:t>31.8</w:t>
            </w:r>
          </w:p>
        </w:tc>
      </w:tr>
      <w:tr>
        <w:tc>
          <w:tcPr>
            <w:tcW w:type="dxa" w:w="3384"/>
          </w:tcPr>
          <w:p>
            <w:pPr>
              <w:spacing w:after="20"/>
            </w:pPr>
            <w:r>
              <w:rPr>
                <w:b/>
                <w:color w:val="1C3A36"/>
                <w:sz w:val="17"/>
              </w:rPr>
              <w:t>20,753</w:t>
            </w:r>
          </w:p>
        </w:tc>
        <w:tc>
          <w:tcPr>
            <w:tcW w:type="dxa" w:w="1224"/>
          </w:tcPr>
          <w:p>
            <w:pPr>
              <w:spacing w:after="20"/>
              <w:jc w:val="right"/>
            </w:pPr>
            <w:r>
              <w:rPr>
                <w:color w:val="1C3A36"/>
                <w:sz w:val="17"/>
              </w:rPr>
              <w:t>63.0</w:t>
            </w:r>
          </w:p>
        </w:tc>
        <w:tc>
          <w:tcPr>
            <w:tcW w:type="dxa" w:w="1224"/>
          </w:tcPr>
          <w:p>
            <w:pPr>
              <w:spacing w:after="20"/>
              <w:jc w:val="right"/>
            </w:pPr>
            <w:r>
              <w:rPr>
                <w:color w:val="1C3A36"/>
                <w:sz w:val="17"/>
              </w:rPr>
              <w:t>53.1</w:t>
            </w:r>
          </w:p>
        </w:tc>
        <w:tc>
          <w:tcPr>
            <w:tcW w:type="dxa" w:w="1224"/>
          </w:tcPr>
          <w:p>
            <w:pPr>
              <w:spacing w:after="20"/>
              <w:jc w:val="right"/>
            </w:pPr>
            <w:r>
              <w:rPr>
                <w:color w:val="1C3A36"/>
                <w:sz w:val="17"/>
              </w:rPr>
              <w:t>46.0</w:t>
            </w:r>
          </w:p>
        </w:tc>
        <w:tc>
          <w:tcPr>
            <w:tcW w:type="dxa" w:w="1224"/>
          </w:tcPr>
          <w:p>
            <w:pPr>
              <w:spacing w:after="20"/>
              <w:jc w:val="right"/>
            </w:pPr>
            <w:r>
              <w:rPr>
                <w:color w:val="1C3A36"/>
                <w:sz w:val="17"/>
              </w:rPr>
              <w:t>40.6</w:t>
            </w:r>
          </w:p>
        </w:tc>
        <w:tc>
          <w:tcPr>
            <w:tcW w:type="dxa" w:w="1224"/>
          </w:tcPr>
          <w:p>
            <w:pPr>
              <w:spacing w:after="20"/>
              <w:jc w:val="right"/>
            </w:pPr>
            <w:r>
              <w:rPr>
                <w:color w:val="1C3A36"/>
                <w:sz w:val="17"/>
              </w:rPr>
              <w:t>36.4</w:t>
            </w:r>
          </w:p>
        </w:tc>
      </w:tr>
      <w:tr>
        <w:tc>
          <w:tcPr>
            <w:tcW w:type="dxa" w:w="3384"/>
          </w:tcPr>
          <w:p>
            <w:pPr>
              <w:spacing w:after="20"/>
            </w:pPr>
            <w:r>
              <w:rPr>
                <w:b/>
                <w:color w:val="1C3A36"/>
                <w:sz w:val="17"/>
              </w:rPr>
              <w:t>27,671  ‡</w:t>
            </w:r>
          </w:p>
        </w:tc>
        <w:tc>
          <w:tcPr>
            <w:tcW w:type="dxa" w:w="1224"/>
          </w:tcPr>
          <w:p>
            <w:pPr>
              <w:spacing w:after="20"/>
              <w:jc w:val="right"/>
            </w:pPr>
            <w:r>
              <w:rPr>
                <w:color w:val="1C3A36"/>
                <w:sz w:val="17"/>
              </w:rPr>
              <w:t>69.4</w:t>
            </w:r>
          </w:p>
        </w:tc>
        <w:tc>
          <w:tcPr>
            <w:tcW w:type="dxa" w:w="1224"/>
          </w:tcPr>
          <w:p>
            <w:pPr>
              <w:spacing w:after="20"/>
              <w:jc w:val="right"/>
            </w:pPr>
            <w:r>
              <w:rPr>
                <w:color w:val="1C3A36"/>
                <w:sz w:val="17"/>
              </w:rPr>
              <w:t>59.5</w:t>
            </w:r>
          </w:p>
        </w:tc>
        <w:tc>
          <w:tcPr>
            <w:tcW w:type="dxa" w:w="1224"/>
          </w:tcPr>
          <w:p>
            <w:pPr>
              <w:spacing w:after="20"/>
              <w:jc w:val="right"/>
            </w:pPr>
            <w:r>
              <w:rPr>
                <w:color w:val="1C3A36"/>
                <w:sz w:val="17"/>
              </w:rPr>
              <w:t>52.3</w:t>
            </w:r>
          </w:p>
        </w:tc>
        <w:tc>
          <w:tcPr>
            <w:tcW w:type="dxa" w:w="1224"/>
          </w:tcPr>
          <w:p>
            <w:pPr>
              <w:spacing w:after="20"/>
              <w:jc w:val="right"/>
            </w:pPr>
            <w:r>
              <w:rPr>
                <w:color w:val="1C3A36"/>
                <w:sz w:val="17"/>
              </w:rPr>
              <w:t>47.0</w:t>
            </w:r>
          </w:p>
        </w:tc>
        <w:tc>
          <w:tcPr>
            <w:tcW w:type="dxa" w:w="1224"/>
          </w:tcPr>
          <w:p>
            <w:pPr>
              <w:spacing w:after="20"/>
              <w:jc w:val="right"/>
            </w:pPr>
            <w:r>
              <w:rPr>
                <w:color w:val="1C3A36"/>
                <w:sz w:val="17"/>
              </w:rPr>
              <w:t>42.8</w:t>
            </w:r>
          </w:p>
        </w:tc>
      </w:tr>
    </w:tbl>
    <w:p>
      <w:pPr>
        <w:spacing w:after="40"/>
      </w:pPr>
    </w:p>
    <w:p>
      <w:pPr>
        <w:spacing w:after="200" w:before="0"/>
      </w:pPr>
      <w:r>
        <w:rPr>
          <w:b w:val="0"/>
          <w:i/>
          <w:color w:val="6E7B77"/>
          <w:sz w:val="17"/>
        </w:rPr>
        <w:t>Sum-of-the-parts fair value, EGP per share, spanning EGP 23.7 to 69.4 across the grid. The two rows marked ‡ are the study’s two published branches; the centre column is the model’s own first-year cost of capital of 22.88%. The rate axis shifts the WHOLE schedule, explicit years and terminal together, because moving one rate and not the others would price one date at two prices.</w:t>
      </w:r>
    </w:p>
    <w:p>
      <w:pPr>
        <w:spacing w:after="40"/>
        <w:jc w:val="center"/>
      </w:pPr>
      <w:r>
        <w:drawing>
          <wp:inline xmlns:a="http://schemas.openxmlformats.org/drawingml/2006/main" xmlns:pic="http://schemas.openxmlformats.org/drawingml/2006/picture">
            <wp:extent cx="5120640" cy="2627697"/>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627697"/>
                    </a:xfrm>
                    <a:prstGeom prst="rect"/>
                  </pic:spPr>
                </pic:pic>
              </a:graphicData>
            </a:graphic>
          </wp:inline>
        </w:drawing>
      </w:r>
    </w:p>
    <w:p>
      <w:pPr>
        <w:spacing w:after="200" w:before="0"/>
      </w:pPr>
      <w:r>
        <w:rPr>
          <w:b w:val="0"/>
          <w:i/>
          <w:color w:val="6E7B77"/>
          <w:sz w:val="17"/>
        </w:rPr>
        <w:t>Figure 2 — the same grid drawn. Rows are the MNT-Halan mark, columns the first-year cost of capital on the auto leg; the two published branches are the marked rows.</w:t>
      </w:r>
    </w:p>
    <w:p>
      <w:pPr>
        <w:spacing w:after="120" w:before="120"/>
      </w:pPr>
      <w:r>
        <w:rPr>
          <w:b w:val="0"/>
          <w:i w:val="0"/>
          <w:color w:val="1C3A36"/>
          <w:sz w:val="19"/>
        </w:rPr>
        <w:t>The second grid holds the associate at the round-price branch and moves the rate path against terminal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Cost of capital \ terminal growth</w:t>
            </w:r>
          </w:p>
        </w:tc>
        <w:tc>
          <w:tcPr>
            <w:tcW w:type="dxa" w:w="1368"/>
            <w:shd w:val="clear" w:color="auto" w:fill="EAF0EE"/>
          </w:tcPr>
          <w:p>
            <w:pPr>
              <w:spacing w:after="20"/>
            </w:pPr>
            <w:r>
              <w:rPr>
                <w:b/>
                <w:color w:val="1C3A36"/>
                <w:sz w:val="18"/>
              </w:rPr>
              <w:t>5.0%</w:t>
            </w:r>
          </w:p>
        </w:tc>
        <w:tc>
          <w:tcPr>
            <w:tcW w:type="dxa" w:w="1368"/>
            <w:shd w:val="clear" w:color="auto" w:fill="EAF0EE"/>
          </w:tcPr>
          <w:p>
            <w:pPr>
              <w:spacing w:after="20"/>
            </w:pPr>
            <w:r>
              <w:rPr>
                <w:b/>
                <w:color w:val="1C3A36"/>
                <w:sz w:val="18"/>
              </w:rPr>
              <w:t>6.0%</w:t>
            </w:r>
          </w:p>
        </w:tc>
        <w:tc>
          <w:tcPr>
            <w:tcW w:type="dxa" w:w="1368"/>
            <w:shd w:val="clear" w:color="auto" w:fill="EAF0EE"/>
          </w:tcPr>
          <w:p>
            <w:pPr>
              <w:spacing w:after="20"/>
            </w:pPr>
            <w:r>
              <w:rPr>
                <w:b/>
                <w:color w:val="1C3A36"/>
                <w:sz w:val="18"/>
              </w:rPr>
              <w:t>7.0%</w:t>
            </w:r>
          </w:p>
        </w:tc>
        <w:tc>
          <w:tcPr>
            <w:tcW w:type="dxa" w:w="1368"/>
            <w:shd w:val="clear" w:color="auto" w:fill="EAF0EE"/>
          </w:tcPr>
          <w:p>
            <w:pPr>
              <w:spacing w:after="20"/>
            </w:pPr>
            <w:r>
              <w:rPr>
                <w:b/>
                <w:color w:val="1C3A36"/>
                <w:sz w:val="18"/>
              </w:rPr>
              <w:t>8.0%</w:t>
            </w:r>
          </w:p>
        </w:tc>
        <w:tc>
          <w:tcPr>
            <w:tcW w:type="dxa" w:w="1368"/>
            <w:shd w:val="clear" w:color="auto" w:fill="EAF0EE"/>
          </w:tcPr>
          <w:p>
            <w:pPr>
              <w:spacing w:after="20"/>
            </w:pPr>
            <w:r>
              <w:rPr>
                <w:b/>
                <w:color w:val="1C3A36"/>
                <w:sz w:val="18"/>
              </w:rPr>
              <w:t>9.0%</w:t>
            </w:r>
          </w:p>
        </w:tc>
      </w:tr>
      <w:tr>
        <w:tc>
          <w:tcPr>
            <w:tcW w:type="dxa" w:w="2736"/>
          </w:tcPr>
          <w:p>
            <w:pPr>
              <w:spacing w:after="20"/>
            </w:pPr>
            <w:r>
              <w:rPr>
                <w:b/>
                <w:color w:val="1C3A36"/>
                <w:sz w:val="18"/>
              </w:rPr>
              <w:t>20.9%</w:t>
            </w:r>
          </w:p>
        </w:tc>
        <w:tc>
          <w:tcPr>
            <w:tcW w:type="dxa" w:w="1368"/>
          </w:tcPr>
          <w:p>
            <w:pPr>
              <w:spacing w:after="20"/>
              <w:jc w:val="right"/>
            </w:pPr>
            <w:r>
              <w:rPr>
                <w:color w:val="1C3A36"/>
                <w:sz w:val="18"/>
              </w:rPr>
              <w:t>55.0</w:t>
            </w:r>
          </w:p>
        </w:tc>
        <w:tc>
          <w:tcPr>
            <w:tcW w:type="dxa" w:w="1368"/>
          </w:tcPr>
          <w:p>
            <w:pPr>
              <w:spacing w:after="20"/>
              <w:jc w:val="right"/>
            </w:pPr>
            <w:r>
              <w:rPr>
                <w:color w:val="1C3A36"/>
                <w:sz w:val="18"/>
              </w:rPr>
              <w:t>61.0</w:t>
            </w:r>
          </w:p>
        </w:tc>
        <w:tc>
          <w:tcPr>
            <w:tcW w:type="dxa" w:w="1368"/>
          </w:tcPr>
          <w:p>
            <w:pPr>
              <w:spacing w:after="20"/>
              <w:jc w:val="right"/>
            </w:pPr>
            <w:r>
              <w:rPr>
                <w:color w:val="1C3A36"/>
                <w:sz w:val="18"/>
              </w:rPr>
              <w:t>69.4</w:t>
            </w:r>
          </w:p>
        </w:tc>
        <w:tc>
          <w:tcPr>
            <w:tcW w:type="dxa" w:w="1368"/>
          </w:tcPr>
          <w:p>
            <w:pPr>
              <w:spacing w:after="20"/>
              <w:jc w:val="right"/>
            </w:pPr>
            <w:r>
              <w:rPr>
                <w:color w:val="1C3A36"/>
                <w:sz w:val="18"/>
              </w:rPr>
              <w:t>n.m.</w:t>
            </w:r>
          </w:p>
        </w:tc>
        <w:tc>
          <w:tcPr>
            <w:tcW w:type="dxa" w:w="1368"/>
          </w:tcPr>
          <w:p>
            <w:pPr>
              <w:spacing w:after="20"/>
              <w:jc w:val="right"/>
            </w:pPr>
            <w:r>
              <w:rPr>
                <w:color w:val="1C3A36"/>
                <w:sz w:val="18"/>
              </w:rPr>
              <w:t>n.m.</w:t>
            </w:r>
          </w:p>
        </w:tc>
      </w:tr>
      <w:tr>
        <w:tc>
          <w:tcPr>
            <w:tcW w:type="dxa" w:w="2736"/>
          </w:tcPr>
          <w:p>
            <w:pPr>
              <w:spacing w:after="20"/>
            </w:pPr>
            <w:r>
              <w:rPr>
                <w:b/>
                <w:color w:val="1C3A36"/>
                <w:sz w:val="18"/>
              </w:rPr>
              <w:t>21.9%</w:t>
            </w:r>
          </w:p>
        </w:tc>
        <w:tc>
          <w:tcPr>
            <w:tcW w:type="dxa" w:w="1368"/>
          </w:tcPr>
          <w:p>
            <w:pPr>
              <w:spacing w:after="20"/>
              <w:jc w:val="right"/>
            </w:pPr>
            <w:r>
              <w:rPr>
                <w:color w:val="1C3A36"/>
                <w:sz w:val="18"/>
              </w:rPr>
              <w:t>49.3</w:t>
            </w:r>
          </w:p>
        </w:tc>
        <w:tc>
          <w:tcPr>
            <w:tcW w:type="dxa" w:w="1368"/>
          </w:tcPr>
          <w:p>
            <w:pPr>
              <w:spacing w:after="20"/>
              <w:jc w:val="right"/>
            </w:pPr>
            <w:r>
              <w:rPr>
                <w:color w:val="1C3A36"/>
                <w:sz w:val="18"/>
              </w:rPr>
              <w:t>53.7</w:t>
            </w:r>
          </w:p>
        </w:tc>
        <w:tc>
          <w:tcPr>
            <w:tcW w:type="dxa" w:w="1368"/>
          </w:tcPr>
          <w:p>
            <w:pPr>
              <w:spacing w:after="20"/>
              <w:jc w:val="right"/>
            </w:pPr>
            <w:r>
              <w:rPr>
                <w:color w:val="1C3A36"/>
                <w:sz w:val="18"/>
              </w:rPr>
              <w:t>59.5</w:t>
            </w:r>
          </w:p>
        </w:tc>
        <w:tc>
          <w:tcPr>
            <w:tcW w:type="dxa" w:w="1368"/>
          </w:tcPr>
          <w:p>
            <w:pPr>
              <w:spacing w:after="20"/>
              <w:jc w:val="right"/>
            </w:pPr>
            <w:r>
              <w:rPr>
                <w:color w:val="1C3A36"/>
                <w:sz w:val="18"/>
              </w:rPr>
              <w:t>67.5</w:t>
            </w:r>
          </w:p>
        </w:tc>
        <w:tc>
          <w:tcPr>
            <w:tcW w:type="dxa" w:w="1368"/>
          </w:tcPr>
          <w:p>
            <w:pPr>
              <w:spacing w:after="20"/>
              <w:jc w:val="right"/>
            </w:pPr>
            <w:r>
              <w:rPr>
                <w:color w:val="1C3A36"/>
                <w:sz w:val="18"/>
              </w:rPr>
              <w:t>n.m.</w:t>
            </w:r>
          </w:p>
        </w:tc>
      </w:tr>
      <w:tr>
        <w:tc>
          <w:tcPr>
            <w:tcW w:type="dxa" w:w="2736"/>
          </w:tcPr>
          <w:p>
            <w:pPr>
              <w:spacing w:after="20"/>
            </w:pPr>
            <w:r>
              <w:rPr>
                <w:b/>
                <w:color w:val="1C3A36"/>
                <w:sz w:val="18"/>
              </w:rPr>
              <w:t>22.9%</w:t>
            </w:r>
          </w:p>
        </w:tc>
        <w:tc>
          <w:tcPr>
            <w:tcW w:type="dxa" w:w="1368"/>
          </w:tcPr>
          <w:p>
            <w:pPr>
              <w:spacing w:after="20"/>
              <w:jc w:val="right"/>
            </w:pPr>
            <w:r>
              <w:rPr>
                <w:color w:val="1C3A36"/>
                <w:sz w:val="18"/>
              </w:rPr>
              <w:t>44.8</w:t>
            </w:r>
          </w:p>
        </w:tc>
        <w:tc>
          <w:tcPr>
            <w:tcW w:type="dxa" w:w="1368"/>
          </w:tcPr>
          <w:p>
            <w:pPr>
              <w:spacing w:after="20"/>
              <w:jc w:val="right"/>
            </w:pPr>
            <w:r>
              <w:rPr>
                <w:color w:val="1C3A36"/>
                <w:sz w:val="18"/>
              </w:rPr>
              <w:t>48.1</w:t>
            </w:r>
          </w:p>
        </w:tc>
        <w:tc>
          <w:tcPr>
            <w:tcW w:type="dxa" w:w="1368"/>
          </w:tcPr>
          <w:p>
            <w:pPr>
              <w:spacing w:after="20"/>
              <w:jc w:val="right"/>
            </w:pPr>
            <w:r>
              <w:rPr>
                <w:color w:val="1C3A36"/>
                <w:sz w:val="18"/>
              </w:rPr>
              <w:t>52.3</w:t>
            </w:r>
          </w:p>
        </w:tc>
        <w:tc>
          <w:tcPr>
            <w:tcW w:type="dxa" w:w="1368"/>
          </w:tcPr>
          <w:p>
            <w:pPr>
              <w:spacing w:after="20"/>
              <w:jc w:val="right"/>
            </w:pPr>
            <w:r>
              <w:rPr>
                <w:color w:val="1C3A36"/>
                <w:sz w:val="18"/>
              </w:rPr>
              <w:t>58.0</w:t>
            </w:r>
          </w:p>
        </w:tc>
        <w:tc>
          <w:tcPr>
            <w:tcW w:type="dxa" w:w="1368"/>
          </w:tcPr>
          <w:p>
            <w:pPr>
              <w:spacing w:after="20"/>
              <w:jc w:val="right"/>
            </w:pPr>
            <w:r>
              <w:rPr>
                <w:color w:val="1C3A36"/>
                <w:sz w:val="18"/>
              </w:rPr>
              <w:t>65.8</w:t>
            </w:r>
          </w:p>
        </w:tc>
      </w:tr>
      <w:tr>
        <w:tc>
          <w:tcPr>
            <w:tcW w:type="dxa" w:w="2736"/>
          </w:tcPr>
          <w:p>
            <w:pPr>
              <w:spacing w:after="20"/>
            </w:pPr>
            <w:r>
              <w:rPr>
                <w:b/>
                <w:color w:val="1C3A36"/>
                <w:sz w:val="18"/>
              </w:rPr>
              <w:t>23.9%</w:t>
            </w:r>
          </w:p>
        </w:tc>
        <w:tc>
          <w:tcPr>
            <w:tcW w:type="dxa" w:w="1368"/>
          </w:tcPr>
          <w:p>
            <w:pPr>
              <w:spacing w:after="20"/>
              <w:jc w:val="right"/>
            </w:pPr>
            <w:r>
              <w:rPr>
                <w:color w:val="1C3A36"/>
                <w:sz w:val="18"/>
              </w:rPr>
              <w:t>41.2</w:t>
            </w:r>
          </w:p>
        </w:tc>
        <w:tc>
          <w:tcPr>
            <w:tcW w:type="dxa" w:w="1368"/>
          </w:tcPr>
          <w:p>
            <w:pPr>
              <w:spacing w:after="20"/>
              <w:jc w:val="right"/>
            </w:pPr>
            <w:r>
              <w:rPr>
                <w:color w:val="1C3A36"/>
                <w:sz w:val="18"/>
              </w:rPr>
              <w:t>43.8</w:t>
            </w:r>
          </w:p>
        </w:tc>
        <w:tc>
          <w:tcPr>
            <w:tcW w:type="dxa" w:w="1368"/>
          </w:tcPr>
          <w:p>
            <w:pPr>
              <w:spacing w:after="20"/>
              <w:jc w:val="right"/>
            </w:pPr>
            <w:r>
              <w:rPr>
                <w:color w:val="1C3A36"/>
                <w:sz w:val="18"/>
              </w:rPr>
              <w:t>47.0</w:t>
            </w:r>
          </w:p>
        </w:tc>
        <w:tc>
          <w:tcPr>
            <w:tcW w:type="dxa" w:w="1368"/>
          </w:tcPr>
          <w:p>
            <w:pPr>
              <w:spacing w:after="20"/>
              <w:jc w:val="right"/>
            </w:pPr>
            <w:r>
              <w:rPr>
                <w:color w:val="1C3A36"/>
                <w:sz w:val="18"/>
              </w:rPr>
              <w:t>51.1</w:t>
            </w:r>
          </w:p>
        </w:tc>
        <w:tc>
          <w:tcPr>
            <w:tcW w:type="dxa" w:w="1368"/>
          </w:tcPr>
          <w:p>
            <w:pPr>
              <w:spacing w:after="20"/>
              <w:jc w:val="right"/>
            </w:pPr>
            <w:r>
              <w:rPr>
                <w:color w:val="1C3A36"/>
                <w:sz w:val="18"/>
              </w:rPr>
              <w:t>56.5</w:t>
            </w:r>
          </w:p>
        </w:tc>
      </w:tr>
      <w:tr>
        <w:tc>
          <w:tcPr>
            <w:tcW w:type="dxa" w:w="2736"/>
          </w:tcPr>
          <w:p>
            <w:pPr>
              <w:spacing w:after="20"/>
            </w:pPr>
            <w:r>
              <w:rPr>
                <w:b/>
                <w:color w:val="1C3A36"/>
                <w:sz w:val="18"/>
              </w:rPr>
              <w:t>24.9%</w:t>
            </w:r>
          </w:p>
        </w:tc>
        <w:tc>
          <w:tcPr>
            <w:tcW w:type="dxa" w:w="1368"/>
          </w:tcPr>
          <w:p>
            <w:pPr>
              <w:spacing w:after="20"/>
              <w:jc w:val="right"/>
            </w:pPr>
            <w:r>
              <w:rPr>
                <w:color w:val="1C3A36"/>
                <w:sz w:val="18"/>
              </w:rPr>
              <w:t>38.3</w:t>
            </w:r>
          </w:p>
        </w:tc>
        <w:tc>
          <w:tcPr>
            <w:tcW w:type="dxa" w:w="1368"/>
          </w:tcPr>
          <w:p>
            <w:pPr>
              <w:spacing w:after="20"/>
              <w:jc w:val="right"/>
            </w:pPr>
            <w:r>
              <w:rPr>
                <w:color w:val="1C3A36"/>
                <w:sz w:val="18"/>
              </w:rPr>
              <w:t>40.3</w:t>
            </w:r>
          </w:p>
        </w:tc>
        <w:tc>
          <w:tcPr>
            <w:tcW w:type="dxa" w:w="1368"/>
          </w:tcPr>
          <w:p>
            <w:pPr>
              <w:spacing w:after="20"/>
              <w:jc w:val="right"/>
            </w:pPr>
            <w:r>
              <w:rPr>
                <w:color w:val="1C3A36"/>
                <w:sz w:val="18"/>
              </w:rPr>
              <w:t>42.8</w:t>
            </w:r>
          </w:p>
        </w:tc>
        <w:tc>
          <w:tcPr>
            <w:tcW w:type="dxa" w:w="1368"/>
          </w:tcPr>
          <w:p>
            <w:pPr>
              <w:spacing w:after="20"/>
              <w:jc w:val="right"/>
            </w:pPr>
            <w:r>
              <w:rPr>
                <w:color w:val="1C3A36"/>
                <w:sz w:val="18"/>
              </w:rPr>
              <w:t>45.9</w:t>
            </w:r>
          </w:p>
        </w:tc>
        <w:tc>
          <w:tcPr>
            <w:tcW w:type="dxa" w:w="1368"/>
          </w:tcPr>
          <w:p>
            <w:pPr>
              <w:spacing w:after="20"/>
              <w:jc w:val="right"/>
            </w:pPr>
            <w:r>
              <w:rPr>
                <w:color w:val="1C3A36"/>
                <w:sz w:val="18"/>
              </w:rPr>
              <w:t>49.9</w:t>
            </w:r>
          </w:p>
        </w:tc>
      </w:tr>
    </w:tbl>
    <w:p>
      <w:pPr>
        <w:spacing w:after="40"/>
      </w:pPr>
    </w:p>
    <w:p>
      <w:pPr>
        <w:spacing w:after="200" w:before="0"/>
      </w:pPr>
      <w:r>
        <w:rPr>
          <w:b w:val="0"/>
          <w:i/>
          <w:color w:val="6E7B77"/>
          <w:sz w:val="17"/>
        </w:rPr>
        <w:t>Sum-of-the-parts fair value on the round-price branch, EGP per share. The centre cell, 22.9% against 7.0%, is EGP 52.3 — the published branch. Both axes are centred on the model's own build rather than on round numbers. On the carrying-value branch every cell is EGP 11.00 lower, because the branches differ by a constant.</w:t>
      </w:r>
    </w:p>
    <w:p>
      <w:pPr>
        <w:spacing w:after="120" w:before="280"/>
      </w:pPr>
      <w:r>
        <w:rPr>
          <w:b/>
          <w:i w:val="0"/>
          <w:color w:val="1C3A36"/>
          <w:sz w:val="30"/>
        </w:rPr>
        <w:t>2  Technical and price structure</w:t>
      </w:r>
    </w:p>
    <w:p>
      <w:pPr>
        <w:spacing w:after="120" w:before="0"/>
      </w:pPr>
      <w:r>
        <w:rPr>
          <w:b w:val="0"/>
          <w:i w:val="0"/>
          <w:color w:val="1C3A36"/>
          <w:sz w:val="21"/>
        </w:rPr>
        <w:t>The technical read is computed on the exchange library’s own last session — EGP 29.51 on 23 August 2026 — which is a different and older clock than the price the valuation is struck on. On that session the price sat below the 20- and 50-day averages and above the 100- and 200-day averages: the long trend is intact and the short one has rolled over. The oscillator reads 40.2, below neutral and well above oversold; the convergence histogram is -0.27, so short-term momentum is negative. The 52-week range runs EGP 19.10 to 34.20, and the session sits 69% of the way up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880"/>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880"/>
          </w:tcPr>
          <w:p>
            <w:pPr>
              <w:spacing w:after="20"/>
            </w:pPr>
            <w:r>
              <w:rPr>
                <w:b/>
                <w:color w:val="1C3A36"/>
                <w:sz w:val="18"/>
              </w:rPr>
              <w:t>Close the read is computed on</w:t>
            </w:r>
          </w:p>
        </w:tc>
        <w:tc>
          <w:tcPr>
            <w:tcW w:type="dxa" w:w="3744"/>
          </w:tcPr>
          <w:p>
            <w:pPr>
              <w:spacing w:after="20"/>
              <w:jc w:val="right"/>
            </w:pPr>
            <w:r>
              <w:rPr>
                <w:color w:val="1C3A36"/>
                <w:sz w:val="18"/>
              </w:rPr>
              <w:t>EGP 29.51 (23 August 2026)</w:t>
            </w:r>
          </w:p>
        </w:tc>
        <w:tc>
          <w:tcPr>
            <w:tcW w:type="dxa" w:w="3600"/>
          </w:tcPr>
          <w:p>
            <w:pPr>
              <w:spacing w:after="20"/>
              <w:jc w:val="right"/>
            </w:pPr>
            <w:r>
              <w:rPr>
                <w:color w:val="1C3A36"/>
                <w:sz w:val="18"/>
              </w:rPr>
              <w:t>—</w:t>
            </w:r>
          </w:p>
        </w:tc>
      </w:tr>
      <w:tr>
        <w:tc>
          <w:tcPr>
            <w:tcW w:type="dxa" w:w="2880"/>
          </w:tcPr>
          <w:p>
            <w:pPr>
              <w:spacing w:after="20"/>
            </w:pPr>
            <w:r>
              <w:rPr>
                <w:b/>
                <w:color w:val="1C3A36"/>
                <w:sz w:val="18"/>
              </w:rPr>
              <w:t>20-day / 50-day average</w:t>
            </w:r>
          </w:p>
        </w:tc>
        <w:tc>
          <w:tcPr>
            <w:tcW w:type="dxa" w:w="3744"/>
          </w:tcPr>
          <w:p>
            <w:pPr>
              <w:spacing w:after="20"/>
              <w:jc w:val="right"/>
            </w:pPr>
            <w:r>
              <w:rPr>
                <w:color w:val="1C3A36"/>
                <w:sz w:val="18"/>
              </w:rPr>
              <w:t>EGP 30.80 / 30.83</w:t>
            </w:r>
          </w:p>
        </w:tc>
        <w:tc>
          <w:tcPr>
            <w:tcW w:type="dxa" w:w="3600"/>
          </w:tcPr>
          <w:p>
            <w:pPr>
              <w:spacing w:after="20"/>
              <w:jc w:val="right"/>
            </w:pPr>
            <w:r>
              <w:rPr>
                <w:color w:val="1C3A36"/>
                <w:sz w:val="18"/>
              </w:rPr>
              <w:t>Price -4.2% / -4.3% — short-term down</w:t>
            </w:r>
          </w:p>
        </w:tc>
      </w:tr>
      <w:tr>
        <w:tc>
          <w:tcPr>
            <w:tcW w:type="dxa" w:w="2880"/>
          </w:tcPr>
          <w:p>
            <w:pPr>
              <w:spacing w:after="20"/>
            </w:pPr>
            <w:r>
              <w:rPr>
                <w:b/>
                <w:color w:val="1C3A36"/>
                <w:sz w:val="18"/>
              </w:rPr>
              <w:t>100-day / 200-day average</w:t>
            </w:r>
          </w:p>
        </w:tc>
        <w:tc>
          <w:tcPr>
            <w:tcW w:type="dxa" w:w="3744"/>
          </w:tcPr>
          <w:p>
            <w:pPr>
              <w:spacing w:after="20"/>
              <w:jc w:val="right"/>
            </w:pPr>
            <w:r>
              <w:rPr>
                <w:color w:val="1C3A36"/>
                <w:sz w:val="18"/>
              </w:rPr>
              <w:t>EGP 28.63 / 28.04</w:t>
            </w:r>
          </w:p>
        </w:tc>
        <w:tc>
          <w:tcPr>
            <w:tcW w:type="dxa" w:w="3600"/>
          </w:tcPr>
          <w:p>
            <w:pPr>
              <w:spacing w:after="20"/>
              <w:jc w:val="right"/>
            </w:pPr>
            <w:r>
              <w:rPr>
                <w:color w:val="1C3A36"/>
                <w:sz w:val="18"/>
              </w:rPr>
              <w:t>Price +3.1% / +5.2% — long trend intact</w:t>
            </w:r>
          </w:p>
        </w:tc>
      </w:tr>
      <w:tr>
        <w:tc>
          <w:tcPr>
            <w:tcW w:type="dxa" w:w="2880"/>
          </w:tcPr>
          <w:p>
            <w:pPr>
              <w:spacing w:after="20"/>
            </w:pPr>
            <w:r>
              <w:rPr>
                <w:b/>
                <w:color w:val="1C3A36"/>
                <w:sz w:val="18"/>
              </w:rPr>
              <w:t>Relative strength (14)</w:t>
            </w:r>
          </w:p>
        </w:tc>
        <w:tc>
          <w:tcPr>
            <w:tcW w:type="dxa" w:w="3744"/>
          </w:tcPr>
          <w:p>
            <w:pPr>
              <w:spacing w:after="20"/>
              <w:jc w:val="right"/>
            </w:pPr>
            <w:r>
              <w:rPr>
                <w:color w:val="1C3A36"/>
                <w:sz w:val="18"/>
              </w:rPr>
              <w:t>40.2</w:t>
            </w:r>
          </w:p>
        </w:tc>
        <w:tc>
          <w:tcPr>
            <w:tcW w:type="dxa" w:w="3600"/>
          </w:tcPr>
          <w:p>
            <w:pPr>
              <w:spacing w:after="20"/>
              <w:jc w:val="right"/>
            </w:pPr>
            <w:r>
              <w:rPr>
                <w:color w:val="1C3A36"/>
                <w:sz w:val="18"/>
              </w:rPr>
              <w:t>Below neutral, above oversold</w:t>
            </w:r>
          </w:p>
        </w:tc>
      </w:tr>
      <w:tr>
        <w:tc>
          <w:tcPr>
            <w:tcW w:type="dxa" w:w="2880"/>
          </w:tcPr>
          <w:p>
            <w:pPr>
              <w:spacing w:after="20"/>
            </w:pPr>
            <w:r>
              <w:rPr>
                <w:b/>
                <w:color w:val="1C3A36"/>
                <w:sz w:val="18"/>
              </w:rPr>
              <w:t>Convergence (12,26,9)</w:t>
            </w:r>
          </w:p>
        </w:tc>
        <w:tc>
          <w:tcPr>
            <w:tcW w:type="dxa" w:w="3744"/>
          </w:tcPr>
          <w:p>
            <w:pPr>
              <w:spacing w:after="20"/>
              <w:jc w:val="right"/>
            </w:pPr>
            <w:r>
              <w:rPr>
                <w:color w:val="1C3A36"/>
                <w:sz w:val="18"/>
              </w:rPr>
              <w:t>line -0.24 / signal +0.03 / histogram -0.27</w:t>
            </w:r>
          </w:p>
        </w:tc>
        <w:tc>
          <w:tcPr>
            <w:tcW w:type="dxa" w:w="3600"/>
          </w:tcPr>
          <w:p>
            <w:pPr>
              <w:spacing w:after="20"/>
              <w:jc w:val="right"/>
            </w:pPr>
            <w:r>
              <w:rPr>
                <w:color w:val="1C3A36"/>
                <w:sz w:val="18"/>
              </w:rPr>
              <w:t>Negative — momentum has rolled</w:t>
            </w:r>
          </w:p>
        </w:tc>
      </w:tr>
      <w:tr>
        <w:tc>
          <w:tcPr>
            <w:tcW w:type="dxa" w:w="2880"/>
          </w:tcPr>
          <w:p>
            <w:pPr>
              <w:spacing w:after="20"/>
            </w:pPr>
            <w:r>
              <w:rPr>
                <w:b/>
                <w:color w:val="1C3A36"/>
                <w:sz w:val="18"/>
              </w:rPr>
              <w:t>52-week range</w:t>
            </w:r>
          </w:p>
        </w:tc>
        <w:tc>
          <w:tcPr>
            <w:tcW w:type="dxa" w:w="3744"/>
          </w:tcPr>
          <w:p>
            <w:pPr>
              <w:spacing w:after="20"/>
              <w:jc w:val="right"/>
            </w:pPr>
            <w:r>
              <w:rPr>
                <w:color w:val="1C3A36"/>
                <w:sz w:val="18"/>
              </w:rPr>
              <w:t>EGP 19.10 – 34.20</w:t>
            </w:r>
          </w:p>
        </w:tc>
        <w:tc>
          <w:tcPr>
            <w:tcW w:type="dxa" w:w="3600"/>
          </w:tcPr>
          <w:p>
            <w:pPr>
              <w:spacing w:after="20"/>
              <w:jc w:val="right"/>
            </w:pPr>
            <w:r>
              <w:rPr>
                <w:color w:val="1C3A36"/>
                <w:sz w:val="18"/>
              </w:rPr>
              <w:t>69% of the way up the range</w:t>
            </w:r>
          </w:p>
        </w:tc>
      </w:tr>
      <w:tr>
        <w:tc>
          <w:tcPr>
            <w:tcW w:type="dxa" w:w="2880"/>
          </w:tcPr>
          <w:p>
            <w:pPr>
              <w:spacing w:after="20"/>
            </w:pPr>
            <w:r>
              <w:rPr>
                <w:b/>
                <w:color w:val="1C3A36"/>
                <w:sz w:val="18"/>
              </w:rPr>
              <w:t>Realised volatility (252 sessions)</w:t>
            </w:r>
          </w:p>
        </w:tc>
        <w:tc>
          <w:tcPr>
            <w:tcW w:type="dxa" w:w="3744"/>
          </w:tcPr>
          <w:p>
            <w:pPr>
              <w:spacing w:after="20"/>
              <w:jc w:val="right"/>
            </w:pPr>
            <w:r>
              <w:rPr>
                <w:color w:val="1C3A36"/>
                <w:sz w:val="18"/>
              </w:rPr>
              <w:t>35.1%</w:t>
            </w:r>
          </w:p>
        </w:tc>
        <w:tc>
          <w:tcPr>
            <w:tcW w:type="dxa" w:w="3600"/>
          </w:tcPr>
          <w:p>
            <w:pPr>
              <w:spacing w:after="20"/>
              <w:jc w:val="right"/>
            </w:pPr>
            <w:r>
              <w:rPr>
                <w:color w:val="1C3A36"/>
                <w:sz w:val="18"/>
              </w:rPr>
              <w:t>Elevated but off crisis highs</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versus the moving-average stack, last 260 sessions of the exchange library.</w:t>
      </w:r>
    </w:p>
    <w:p>
      <w:pPr>
        <w:spacing w:after="120" w:before="0"/>
      </w:pPr>
      <w:r>
        <w:rPr>
          <w:b w:val="0"/>
          <w:i w:val="0"/>
          <w:color w:val="1C3A36"/>
          <w:sz w:val="21"/>
        </w:rPr>
        <w:t>For the probabilistic work this matters in one way. A tape that has come off its short averages with negative momentum thins the near-term upside tail rather than thickening it. The technical and fundamental pictures still disagree — the fundamental work says value has been reached on either branch and the tape says the market is not yet interested — and §6 reads the resulting probability zones without forcing a reconciliation between them.</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rather than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4752"/>
            <w:shd w:val="clear" w:color="auto" w:fill="F6F1E6"/>
          </w:tcPr>
          <w:p>
            <w:pPr>
              <w:spacing w:after="20"/>
            </w:pPr>
            <w:r>
              <w:rPr>
                <w:b/>
                <w:color w:val="1C3A36"/>
                <w:sz w:val="18"/>
              </w:rPr>
              <w:t>The probability read (3 months)</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Probability the price finishes above the anchor</w:t>
            </w:r>
          </w:p>
        </w:tc>
        <w:tc>
          <w:tcPr>
            <w:tcW w:type="dxa" w:w="4752"/>
          </w:tcPr>
          <w:p>
            <w:pPr>
              <w:spacing w:after="20"/>
              <w:jc w:val="right"/>
            </w:pPr>
            <w:r>
              <w:rPr>
                <w:color w:val="1C3A36"/>
                <w:sz w:val="18"/>
              </w:rPr>
              <w:t>58%</w:t>
            </w:r>
          </w:p>
        </w:tc>
      </w:tr>
      <w:tr>
        <w:tc>
          <w:tcPr>
            <w:tcW w:type="dxa" w:w="4752"/>
          </w:tcPr>
          <w:p>
            <w:pPr>
              <w:spacing w:after="20"/>
            </w:pPr>
            <w:r>
              <w:rPr>
                <w:b/>
                <w:color w:val="1C3A36"/>
                <w:sz w:val="18"/>
              </w:rPr>
              <w:t>Probability of +10% against −10% — the odds</w:t>
            </w:r>
          </w:p>
        </w:tc>
        <w:tc>
          <w:tcPr>
            <w:tcW w:type="dxa" w:w="4752"/>
          </w:tcPr>
          <w:p>
            <w:pPr>
              <w:spacing w:after="20"/>
              <w:jc w:val="right"/>
            </w:pPr>
            <w:r>
              <w:rPr>
                <w:color w:val="1C3A36"/>
                <w:sz w:val="18"/>
              </w:rPr>
              <w:t>39% against 24%  ·  1.66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30.69  (+4.0%)</w:t>
            </w:r>
          </w:p>
        </w:tc>
      </w:tr>
      <w:tr>
        <w:tc>
          <w:tcPr>
            <w:tcW w:type="dxa" w:w="4752"/>
          </w:tcPr>
          <w:p>
            <w:pPr>
              <w:spacing w:after="20"/>
            </w:pPr>
            <w:r>
              <w:rPr>
                <w:b/>
                <w:color w:val="1C3A36"/>
                <w:sz w:val="18"/>
              </w:rPr>
              <w:t>The 50% band (25th–75th percentile)</w:t>
            </w:r>
          </w:p>
        </w:tc>
        <w:tc>
          <w:tcPr>
            <w:tcW w:type="dxa" w:w="4752"/>
          </w:tcPr>
          <w:p>
            <w:pPr>
              <w:spacing w:after="20"/>
              <w:jc w:val="right"/>
            </w:pPr>
            <w:r>
              <w:rPr>
                <w:color w:val="1C3A36"/>
                <w:sz w:val="18"/>
              </w:rPr>
              <w:t>EGP 26.80 – 35.18   (-9% / +19% of the anchor)</w:t>
            </w:r>
          </w:p>
        </w:tc>
      </w:tr>
      <w:tr>
        <w:tc>
          <w:tcPr>
            <w:tcW w:type="dxa" w:w="4752"/>
          </w:tcPr>
          <w:p>
            <w:pPr>
              <w:spacing w:after="20"/>
            </w:pPr>
            <w:r>
              <w:rPr>
                <w:b/>
                <w:color w:val="1C3A36"/>
                <w:sz w:val="18"/>
              </w:rPr>
              <w:t>Probability of touching +10% / −10% at any point</w:t>
            </w:r>
          </w:p>
        </w:tc>
        <w:tc>
          <w:tcPr>
            <w:tcW w:type="dxa" w:w="4752"/>
          </w:tcPr>
          <w:p>
            <w:pPr>
              <w:spacing w:after="20"/>
              <w:jc w:val="right"/>
            </w:pPr>
            <w:r>
              <w:rPr>
                <w:color w:val="1C3A36"/>
                <w:sz w:val="18"/>
              </w:rPr>
              <w:t>65%  /  49%</w:t>
            </w:r>
          </w:p>
        </w:tc>
      </w:tr>
    </w:tbl>
    <w:p>
      <w:pPr>
        <w:spacing w:after="40"/>
      </w:pPr>
    </w:p>
    <w:p>
      <w:pPr>
        <w:spacing w:after="120" w:before="0"/>
      </w:pPr>
      <w:r>
        <w:rPr>
          <w:b w:val="0"/>
          <w:i w:val="0"/>
          <w:color w:val="1C3A36"/>
          <w:sz w:val="21"/>
        </w:rPr>
        <w:t>We simulate 50,000 three-month price paths from the exchange library’s last session, EGP 29.51 on 23 August 2026. Width comes from a pooled cascade on a gap-aware variance proxy, projecting the average daily variance over the window — 49.7% annualised at this origin, regime-conditional by construction and with no calibration multiplier bolted on. Shape comes from unit-variance fat-tailed innovations through a per-path mixture: a tighter interquartile body and honest tails. Drift is the expanding-window secular term measured on this stock’s own history (+2.5% per quarter) rather than an assumption about where value sits; how often the bands built around it have actually held is published at the end of this section. A sixteen-factor stack layers on top — seven continuous drivers and nine discrete events, each firing with a probability and an impact — together adding +1.46% over the quarter.</w:t>
      </w:r>
    </w:p>
    <w:p>
      <w:pPr>
        <w:spacing w:after="120" w:before="0"/>
      </w:pPr>
      <w:r>
        <w:rPr>
          <w:b/>
          <w:i w:val="0"/>
          <w:color w:val="1C3A36"/>
          <w:sz w:val="21"/>
        </w:rPr>
        <w:t xml:space="preserve">By design the paths diffuse from the anchor as near-term price and deliberately do not embed the fundamental value. </w:t>
      </w:r>
      <w:r>
        <w:rPr>
          <w:b w:val="0"/>
          <w:i w:val="0"/>
          <w:color w:val="1C3A36"/>
          <w:sz w:val="21"/>
        </w:rPr>
        <w:t>Neither branch of §1 is in the drift. §3 maps where price could go from here, not where value sits. The upward median is this stock’s own measured behaviour surviving a calibration test — never a target, and never the §1 disagreement smuggled in through a side door.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096"/>
            <w:shd w:val="clear" w:color="auto" w:fill="EAF0EE"/>
          </w:tcPr>
          <w:p>
            <w:pPr>
              <w:spacing w:after="20"/>
            </w:pPr>
            <w:r>
              <w:rPr>
                <w:b/>
                <w:color w:val="1C3A36"/>
                <w:sz w:val="17"/>
              </w:rPr>
              <w:t>Continuous factor (7)</w:t>
            </w:r>
          </w:p>
        </w:tc>
        <w:tc>
          <w:tcPr>
            <w:tcW w:type="dxa" w:w="864"/>
            <w:shd w:val="clear" w:color="auto" w:fill="EAF0EE"/>
          </w:tcPr>
          <w:p>
            <w:pPr>
              <w:spacing w:after="20"/>
            </w:pPr>
            <w:r>
              <w:rPr>
                <w:b/>
                <w:color w:val="1C3A36"/>
                <w:sz w:val="17"/>
              </w:rPr>
              <w:t>Direction</w:t>
            </w:r>
          </w:p>
        </w:tc>
        <w:tc>
          <w:tcPr>
            <w:tcW w:type="dxa" w:w="3168"/>
            <w:shd w:val="clear" w:color="auto" w:fill="EAF0EE"/>
          </w:tcPr>
          <w:p>
            <w:pPr>
              <w:spacing w:after="20"/>
            </w:pPr>
            <w:r>
              <w:rPr>
                <w:b/>
                <w:color w:val="1C3A36"/>
                <w:sz w:val="17"/>
              </w:rPr>
              <w:t>Discrete event (9)</w:t>
            </w:r>
          </w:p>
        </w:tc>
        <w:tc>
          <w:tcPr>
            <w:tcW w:type="dxa" w:w="1152"/>
            <w:shd w:val="clear" w:color="auto" w:fill="EAF0EE"/>
          </w:tcPr>
          <w:p>
            <w:pPr>
              <w:spacing w:after="20"/>
            </w:pPr>
            <w:r>
              <w:rPr>
                <w:b/>
                <w:color w:val="1C3A36"/>
                <w:sz w:val="17"/>
              </w:rPr>
              <w:t>Probability</w:t>
            </w:r>
          </w:p>
        </w:tc>
        <w:tc>
          <w:tcPr>
            <w:tcW w:type="dxa" w:w="1224"/>
            <w:shd w:val="clear" w:color="auto" w:fill="EAF0EE"/>
          </w:tcPr>
          <w:p>
            <w:pPr>
              <w:spacing w:after="20"/>
            </w:pPr>
            <w:r>
              <w:rPr>
                <w:b/>
                <w:color w:val="1C3A36"/>
                <w:sz w:val="17"/>
              </w:rPr>
              <w:t>Mean impact</w:t>
            </w:r>
          </w:p>
        </w:tc>
      </w:tr>
      <w:tr>
        <w:tc>
          <w:tcPr>
            <w:tcW w:type="dxa" w:w="3096"/>
          </w:tcPr>
          <w:p>
            <w:pPr>
              <w:spacing w:after="20"/>
            </w:pPr>
            <w:r>
              <w:rPr>
                <w:color w:val="1C3A36"/>
                <w:sz w:val="17"/>
              </w:rPr>
              <w:t>Egyptian passenger-car demand and the rate-cut cycle</w:t>
            </w:r>
          </w:p>
        </w:tc>
        <w:tc>
          <w:tcPr>
            <w:tcW w:type="dxa" w:w="864"/>
          </w:tcPr>
          <w:p>
            <w:pPr>
              <w:spacing w:after="20"/>
              <w:jc w:val="right"/>
            </w:pPr>
            <w:r>
              <w:rPr>
                <w:color w:val="1C3A36"/>
                <w:sz w:val="17"/>
              </w:rPr>
              <w:t>+</w:t>
            </w:r>
          </w:p>
        </w:tc>
        <w:tc>
          <w:tcPr>
            <w:tcW w:type="dxa" w:w="3168"/>
          </w:tcPr>
          <w:p>
            <w:pPr>
              <w:spacing w:after="20"/>
              <w:jc w:val="right"/>
            </w:pPr>
            <w:r>
              <w:rPr>
                <w:color w:val="1C3A36"/>
                <w:sz w:val="17"/>
              </w:rPr>
              <w:t>A results release inside the window</w:t>
            </w:r>
          </w:p>
        </w:tc>
        <w:tc>
          <w:tcPr>
            <w:tcW w:type="dxa" w:w="1152"/>
          </w:tcPr>
          <w:p>
            <w:pPr>
              <w:spacing w:after="20"/>
              <w:jc w:val="right"/>
            </w:pPr>
            <w:r>
              <w:rPr>
                <w:color w:val="1C3A36"/>
                <w:sz w:val="17"/>
              </w:rPr>
              <w:t>90%</w:t>
            </w:r>
          </w:p>
        </w:tc>
        <w:tc>
          <w:tcPr>
            <w:tcW w:type="dxa" w:w="1224"/>
          </w:tcPr>
          <w:p>
            <w:pPr>
              <w:spacing w:after="20"/>
              <w:jc w:val="right"/>
            </w:pPr>
            <w:r>
              <w:rPr>
                <w:color w:val="1C3A36"/>
                <w:sz w:val="17"/>
              </w:rPr>
              <w:t>+0.5%</w:t>
            </w:r>
          </w:p>
        </w:tc>
      </w:tr>
      <w:tr>
        <w:tc>
          <w:tcPr>
            <w:tcW w:type="dxa" w:w="3096"/>
          </w:tcPr>
          <w:p>
            <w:pPr>
              <w:spacing w:after="20"/>
            </w:pPr>
            <w:r>
              <w:rPr>
                <w:color w:val="1C3A36"/>
                <w:sz w:val="17"/>
              </w:rPr>
              <w:t>Currency drift through imported assembly content</w:t>
            </w:r>
          </w:p>
        </w:tc>
        <w:tc>
          <w:tcPr>
            <w:tcW w:type="dxa" w:w="864"/>
          </w:tcPr>
          <w:p>
            <w:pPr>
              <w:spacing w:after="20"/>
              <w:jc w:val="right"/>
            </w:pPr>
            <w:r>
              <w:rPr>
                <w:color w:val="1C3A36"/>
                <w:sz w:val="17"/>
              </w:rPr>
              <w:t>±</w:t>
            </w:r>
          </w:p>
        </w:tc>
        <w:tc>
          <w:tcPr>
            <w:tcW w:type="dxa" w:w="3168"/>
          </w:tcPr>
          <w:p>
            <w:pPr>
              <w:spacing w:after="20"/>
              <w:jc w:val="right"/>
            </w:pPr>
            <w:r>
              <w:rPr>
                <w:color w:val="1C3A36"/>
                <w:sz w:val="17"/>
              </w:rPr>
              <w:t>MNT-Halan second closing at or above the round</w:t>
            </w:r>
          </w:p>
        </w:tc>
        <w:tc>
          <w:tcPr>
            <w:tcW w:type="dxa" w:w="1152"/>
          </w:tcPr>
          <w:p>
            <w:pPr>
              <w:spacing w:after="20"/>
              <w:jc w:val="right"/>
            </w:pPr>
            <w:r>
              <w:rPr>
                <w:color w:val="1C3A36"/>
                <w:sz w:val="17"/>
              </w:rPr>
              <w:t>45%</w:t>
            </w:r>
          </w:p>
        </w:tc>
        <w:tc>
          <w:tcPr>
            <w:tcW w:type="dxa" w:w="1224"/>
          </w:tcPr>
          <w:p>
            <w:pPr>
              <w:spacing w:after="20"/>
              <w:jc w:val="right"/>
            </w:pPr>
            <w:r>
              <w:rPr>
                <w:color w:val="1C3A36"/>
                <w:sz w:val="17"/>
              </w:rPr>
              <w:t>+1.5%</w:t>
            </w:r>
          </w:p>
        </w:tc>
      </w:tr>
      <w:tr>
        <w:tc>
          <w:tcPr>
            <w:tcW w:type="dxa" w:w="3096"/>
          </w:tcPr>
          <w:p>
            <w:pPr>
              <w:spacing w:after="20"/>
            </w:pPr>
            <w:r>
              <w:rPr>
                <w:color w:val="1C3A36"/>
                <w:sz w:val="17"/>
              </w:rPr>
              <w:t>Policy easing — affordability and lender margin</w:t>
            </w:r>
          </w:p>
        </w:tc>
        <w:tc>
          <w:tcPr>
            <w:tcW w:type="dxa" w:w="864"/>
          </w:tcPr>
          <w:p>
            <w:pPr>
              <w:spacing w:after="20"/>
              <w:jc w:val="right"/>
            </w:pPr>
            <w:r>
              <w:rPr>
                <w:color w:val="1C3A36"/>
                <w:sz w:val="17"/>
              </w:rPr>
              <w:t>+</w:t>
            </w:r>
          </w:p>
        </w:tc>
        <w:tc>
          <w:tcPr>
            <w:tcW w:type="dxa" w:w="3168"/>
          </w:tcPr>
          <w:p>
            <w:pPr>
              <w:spacing w:after="20"/>
              <w:jc w:val="right"/>
            </w:pPr>
            <w:r>
              <w:rPr>
                <w:color w:val="1C3A36"/>
                <w:sz w:val="17"/>
              </w:rPr>
              <w:t>A policy cut of 100 basis points or more</w:t>
            </w:r>
          </w:p>
        </w:tc>
        <w:tc>
          <w:tcPr>
            <w:tcW w:type="dxa" w:w="1152"/>
          </w:tcPr>
          <w:p>
            <w:pPr>
              <w:spacing w:after="20"/>
              <w:jc w:val="right"/>
            </w:pPr>
            <w:r>
              <w:rPr>
                <w:color w:val="1C3A36"/>
                <w:sz w:val="17"/>
              </w:rPr>
              <w:t>50%</w:t>
            </w:r>
          </w:p>
        </w:tc>
        <w:tc>
          <w:tcPr>
            <w:tcW w:type="dxa" w:w="1224"/>
          </w:tcPr>
          <w:p>
            <w:pPr>
              <w:spacing w:after="20"/>
              <w:jc w:val="right"/>
            </w:pPr>
            <w:r>
              <w:rPr>
                <w:color w:val="1C3A36"/>
                <w:sz w:val="17"/>
              </w:rPr>
              <w:t>+1.0%</w:t>
            </w:r>
          </w:p>
        </w:tc>
      </w:tr>
      <w:tr>
        <w:tc>
          <w:tcPr>
            <w:tcW w:type="dxa" w:w="3096"/>
          </w:tcPr>
          <w:p>
            <w:pPr>
              <w:spacing w:after="20"/>
            </w:pPr>
            <w:r>
              <w:rPr>
                <w:color w:val="1C3A36"/>
                <w:sz w:val="17"/>
              </w:rPr>
              <w:t>Regional conflict drag on Iraq and Jordan</w:t>
            </w:r>
          </w:p>
        </w:tc>
        <w:tc>
          <w:tcPr>
            <w:tcW w:type="dxa" w:w="864"/>
          </w:tcPr>
          <w:p>
            <w:pPr>
              <w:spacing w:after="20"/>
              <w:jc w:val="right"/>
            </w:pPr>
            <w:r>
              <w:rPr>
                <w:color w:val="1C3A36"/>
                <w:sz w:val="17"/>
              </w:rPr>
              <w:t>−</w:t>
            </w:r>
          </w:p>
        </w:tc>
        <w:tc>
          <w:tcPr>
            <w:tcW w:type="dxa" w:w="3168"/>
          </w:tcPr>
          <w:p>
            <w:pPr>
              <w:spacing w:after="20"/>
              <w:jc w:val="right"/>
            </w:pPr>
            <w:r>
              <w:rPr>
                <w:color w:val="1C3A36"/>
                <w:sz w:val="17"/>
              </w:rPr>
              <w:t>Regional escalation spillover</w:t>
            </w:r>
          </w:p>
        </w:tc>
        <w:tc>
          <w:tcPr>
            <w:tcW w:type="dxa" w:w="1152"/>
          </w:tcPr>
          <w:p>
            <w:pPr>
              <w:spacing w:after="20"/>
              <w:jc w:val="right"/>
            </w:pPr>
            <w:r>
              <w:rPr>
                <w:color w:val="1C3A36"/>
                <w:sz w:val="17"/>
              </w:rPr>
              <w:t>25%</w:t>
            </w:r>
          </w:p>
        </w:tc>
        <w:tc>
          <w:tcPr>
            <w:tcW w:type="dxa" w:w="1224"/>
          </w:tcPr>
          <w:p>
            <w:pPr>
              <w:spacing w:after="20"/>
              <w:jc w:val="right"/>
            </w:pPr>
            <w:r>
              <w:rPr>
                <w:color w:val="1C3A36"/>
                <w:sz w:val="17"/>
              </w:rPr>
              <w:t>−2.5%</w:t>
            </w:r>
          </w:p>
        </w:tc>
      </w:tr>
      <w:tr>
        <w:tc>
          <w:tcPr>
            <w:tcW w:type="dxa" w:w="3096"/>
          </w:tcPr>
          <w:p>
            <w:pPr>
              <w:spacing w:after="20"/>
            </w:pPr>
            <w:r>
              <w:rPr>
                <w:color w:val="1C3A36"/>
                <w:sz w:val="17"/>
              </w:rPr>
              <w:t>Chinese grey-import competition</w:t>
            </w:r>
          </w:p>
        </w:tc>
        <w:tc>
          <w:tcPr>
            <w:tcW w:type="dxa" w:w="864"/>
          </w:tcPr>
          <w:p>
            <w:pPr>
              <w:spacing w:after="20"/>
              <w:jc w:val="right"/>
            </w:pPr>
            <w:r>
              <w:rPr>
                <w:color w:val="1C3A36"/>
                <w:sz w:val="17"/>
              </w:rPr>
              <w:t>−</w:t>
            </w:r>
          </w:p>
        </w:tc>
        <w:tc>
          <w:tcPr>
            <w:tcW w:type="dxa" w:w="3168"/>
          </w:tcPr>
          <w:p>
            <w:pPr>
              <w:spacing w:after="20"/>
              <w:jc w:val="right"/>
            </w:pPr>
            <w:r>
              <w:rPr>
                <w:color w:val="1C3A36"/>
                <w:sz w:val="17"/>
              </w:rPr>
              <w:t>A new entrant resetting price points</w:t>
            </w:r>
          </w:p>
        </w:tc>
        <w:tc>
          <w:tcPr>
            <w:tcW w:type="dxa" w:w="1152"/>
          </w:tcPr>
          <w:p>
            <w:pPr>
              <w:spacing w:after="20"/>
              <w:jc w:val="right"/>
            </w:pPr>
            <w:r>
              <w:rPr>
                <w:color w:val="1C3A36"/>
                <w:sz w:val="17"/>
              </w:rPr>
              <w:t>35%</w:t>
            </w:r>
          </w:p>
        </w:tc>
        <w:tc>
          <w:tcPr>
            <w:tcW w:type="dxa" w:w="1224"/>
          </w:tcPr>
          <w:p>
            <w:pPr>
              <w:spacing w:after="20"/>
              <w:jc w:val="right"/>
            </w:pPr>
            <w:r>
              <w:rPr>
                <w:color w:val="1C3A36"/>
                <w:sz w:val="17"/>
              </w:rPr>
              <w:t>−1.0%</w:t>
            </w:r>
          </w:p>
        </w:tc>
      </w:tr>
      <w:tr>
        <w:tc>
          <w:tcPr>
            <w:tcW w:type="dxa" w:w="3096"/>
          </w:tcPr>
          <w:p>
            <w:pPr>
              <w:spacing w:after="20"/>
            </w:pPr>
            <w:r>
              <w:rPr>
                <w:color w:val="1C3A36"/>
                <w:sz w:val="17"/>
              </w:rPr>
              <w:t>Localisation and the assembly-plant ramp</w:t>
            </w:r>
          </w:p>
        </w:tc>
        <w:tc>
          <w:tcPr>
            <w:tcW w:type="dxa" w:w="864"/>
          </w:tcPr>
          <w:p>
            <w:pPr>
              <w:spacing w:after="20"/>
              <w:jc w:val="right"/>
            </w:pPr>
            <w:r>
              <w:rPr>
                <w:color w:val="1C3A36"/>
                <w:sz w:val="17"/>
              </w:rPr>
              <w:t>+</w:t>
            </w:r>
          </w:p>
        </w:tc>
        <w:tc>
          <w:tcPr>
            <w:tcW w:type="dxa" w:w="3168"/>
          </w:tcPr>
          <w:p>
            <w:pPr>
              <w:spacing w:after="20"/>
              <w:jc w:val="right"/>
            </w:pPr>
            <w:r>
              <w:rPr>
                <w:color w:val="1C3A36"/>
                <w:sz w:val="17"/>
              </w:rPr>
              <w:t>Plant ramp or a new assembled model</w:t>
            </w:r>
          </w:p>
        </w:tc>
        <w:tc>
          <w:tcPr>
            <w:tcW w:type="dxa" w:w="1152"/>
          </w:tcPr>
          <w:p>
            <w:pPr>
              <w:spacing w:after="20"/>
              <w:jc w:val="right"/>
            </w:pPr>
            <w:r>
              <w:rPr>
                <w:color w:val="1C3A36"/>
                <w:sz w:val="17"/>
              </w:rPr>
              <w:t>55%</w:t>
            </w:r>
          </w:p>
        </w:tc>
        <w:tc>
          <w:tcPr>
            <w:tcW w:type="dxa" w:w="1224"/>
          </w:tcPr>
          <w:p>
            <w:pPr>
              <w:spacing w:after="20"/>
              <w:jc w:val="right"/>
            </w:pPr>
            <w:r>
              <w:rPr>
                <w:color w:val="1C3A36"/>
                <w:sz w:val="17"/>
              </w:rPr>
              <w:t>+0.6%</w:t>
            </w:r>
          </w:p>
        </w:tc>
      </w:tr>
      <w:tr>
        <w:tc>
          <w:tcPr>
            <w:tcW w:type="dxa" w:w="3096"/>
          </w:tcPr>
          <w:p>
            <w:pPr>
              <w:spacing w:after="20"/>
            </w:pPr>
            <w:r>
              <w:rPr>
                <w:color w:val="1C3A36"/>
                <w:sz w:val="17"/>
              </w:rPr>
              <w:t>Funding cost and the provisioning cycle</w:t>
            </w:r>
          </w:p>
        </w:tc>
        <w:tc>
          <w:tcPr>
            <w:tcW w:type="dxa" w:w="864"/>
          </w:tcPr>
          <w:p>
            <w:pPr>
              <w:spacing w:after="20"/>
              <w:jc w:val="right"/>
            </w:pPr>
            <w:r>
              <w:rPr>
                <w:color w:val="1C3A36"/>
                <w:sz w:val="17"/>
              </w:rPr>
              <w:t>−</w:t>
            </w:r>
          </w:p>
        </w:tc>
        <w:tc>
          <w:tcPr>
            <w:tcW w:type="dxa" w:w="3168"/>
          </w:tcPr>
          <w:p>
            <w:pPr>
              <w:spacing w:after="20"/>
              <w:jc w:val="right"/>
            </w:pPr>
            <w:r>
              <w:rPr>
                <w:color w:val="1C3A36"/>
                <w:sz w:val="17"/>
              </w:rPr>
              <w:t>Dividend or capital-return surprise</w:t>
            </w:r>
          </w:p>
        </w:tc>
        <w:tc>
          <w:tcPr>
            <w:tcW w:type="dxa" w:w="1152"/>
          </w:tcPr>
          <w:p>
            <w:pPr>
              <w:spacing w:after="20"/>
              <w:jc w:val="right"/>
            </w:pPr>
            <w:r>
              <w:rPr>
                <w:color w:val="1C3A36"/>
                <w:sz w:val="17"/>
              </w:rPr>
              <w:t>15%</w:t>
            </w:r>
          </w:p>
        </w:tc>
        <w:tc>
          <w:tcPr>
            <w:tcW w:type="dxa" w:w="1224"/>
          </w:tcPr>
          <w:p>
            <w:pPr>
              <w:spacing w:after="20"/>
              <w:jc w:val="right"/>
            </w:pPr>
            <w:r>
              <w:rPr>
                <w:color w:val="1C3A36"/>
                <w:sz w:val="17"/>
              </w:rPr>
              <w:t>+0.8%</w:t>
            </w:r>
          </w:p>
        </w:tc>
      </w:tr>
      <w:tr>
        <w:tc>
          <w:tcPr>
            <w:tcW w:type="dxa" w:w="3096"/>
          </w:tcPr>
          <w:p>
            <w:pPr>
              <w:spacing w:after="20"/>
            </w:pPr>
            <w:r>
              <w:rPr>
                <w:color w:val="1C3A36"/>
                <w:sz w:val="17"/>
              </w:rPr>
            </w:r>
          </w:p>
        </w:tc>
        <w:tc>
          <w:tcPr>
            <w:tcW w:type="dxa" w:w="864"/>
          </w:tcPr>
          <w:p>
            <w:pPr>
              <w:spacing w:after="20"/>
              <w:jc w:val="right"/>
            </w:pPr>
            <w:r>
              <w:rPr>
                <w:color w:val="1C3A36"/>
                <w:sz w:val="17"/>
              </w:rPr>
            </w:r>
          </w:p>
        </w:tc>
        <w:tc>
          <w:tcPr>
            <w:tcW w:type="dxa" w:w="3168"/>
          </w:tcPr>
          <w:p>
            <w:pPr>
              <w:spacing w:after="20"/>
              <w:jc w:val="right"/>
            </w:pPr>
            <w:r>
              <w:rPr>
                <w:color w:val="1C3A36"/>
                <w:sz w:val="17"/>
              </w:rPr>
              <w:t>A step devaluation of the pound</w:t>
            </w:r>
          </w:p>
        </w:tc>
        <w:tc>
          <w:tcPr>
            <w:tcW w:type="dxa" w:w="1152"/>
          </w:tcPr>
          <w:p>
            <w:pPr>
              <w:spacing w:after="20"/>
              <w:jc w:val="right"/>
            </w:pPr>
            <w:r>
              <w:rPr>
                <w:color w:val="1C3A36"/>
                <w:sz w:val="17"/>
              </w:rPr>
              <w:t>12%</w:t>
            </w:r>
          </w:p>
        </w:tc>
        <w:tc>
          <w:tcPr>
            <w:tcW w:type="dxa" w:w="1224"/>
          </w:tcPr>
          <w:p>
            <w:pPr>
              <w:spacing w:after="20"/>
              <w:jc w:val="right"/>
            </w:pPr>
            <w:r>
              <w:rPr>
                <w:color w:val="1C3A36"/>
                <w:sz w:val="17"/>
              </w:rPr>
              <w:t>−2.0%</w:t>
            </w:r>
          </w:p>
        </w:tc>
      </w:tr>
      <w:tr>
        <w:tc>
          <w:tcPr>
            <w:tcW w:type="dxa" w:w="3096"/>
          </w:tcPr>
          <w:p>
            <w:pPr>
              <w:spacing w:after="20"/>
            </w:pPr>
            <w:r>
              <w:rPr>
                <w:color w:val="1C3A36"/>
                <w:sz w:val="17"/>
              </w:rPr>
            </w:r>
          </w:p>
        </w:tc>
        <w:tc>
          <w:tcPr>
            <w:tcW w:type="dxa" w:w="864"/>
          </w:tcPr>
          <w:p>
            <w:pPr>
              <w:spacing w:after="20"/>
              <w:jc w:val="right"/>
            </w:pPr>
            <w:r>
              <w:rPr>
                <w:color w:val="1C3A36"/>
                <w:sz w:val="17"/>
              </w:rPr>
            </w:r>
          </w:p>
        </w:tc>
        <w:tc>
          <w:tcPr>
            <w:tcW w:type="dxa" w:w="3168"/>
          </w:tcPr>
          <w:p>
            <w:pPr>
              <w:spacing w:after="20"/>
              <w:jc w:val="right"/>
            </w:pPr>
            <w:r>
              <w:rPr>
                <w:color w:val="1C3A36"/>
                <w:sz w:val="17"/>
              </w:rPr>
              <w:t>Index flows or an index event</w:t>
            </w:r>
          </w:p>
        </w:tc>
        <w:tc>
          <w:tcPr>
            <w:tcW w:type="dxa" w:w="1152"/>
          </w:tcPr>
          <w:p>
            <w:pPr>
              <w:spacing w:after="20"/>
              <w:jc w:val="right"/>
            </w:pPr>
            <w:r>
              <w:rPr>
                <w:color w:val="1C3A36"/>
                <w:sz w:val="17"/>
              </w:rPr>
              <w:t>25%</w:t>
            </w:r>
          </w:p>
        </w:tc>
        <w:tc>
          <w:tcPr>
            <w:tcW w:type="dxa" w:w="1224"/>
          </w:tcPr>
          <w:p>
            <w:pPr>
              <w:spacing w:after="20"/>
              <w:jc w:val="right"/>
            </w:pPr>
            <w:r>
              <w:rPr>
                <w:color w:val="1C3A36"/>
                <w:sz w:val="17"/>
              </w:rPr>
              <w:t>+0.8%</w:t>
            </w:r>
          </w:p>
        </w:tc>
      </w:tr>
    </w:tbl>
    <w:p>
      <w:pPr>
        <w:spacing w:after="40"/>
      </w:pPr>
    </w:p>
    <w:p>
      <w:pPr>
        <w:spacing w:after="200" w:before="0"/>
      </w:pPr>
      <w:r>
        <w:rPr>
          <w:b w:val="0"/>
          <w:i/>
          <w:color w:val="6E7B77"/>
          <w:sz w:val="17"/>
        </w:rPr>
        <w:t>The factor stack is the preparer’s own judgment, stated so a reader can disagree with each line. It is deliberately modest in aggregate: the whole stack moves the quarter by less than two per cent.</w:t>
      </w:r>
    </w:p>
    <w:p>
      <w:pPr>
        <w:spacing w:after="80" w:before="200"/>
      </w:pPr>
      <w:r>
        <w:rPr>
          <w:b/>
          <w:i w:val="0"/>
          <w:color w:val="1C3A36"/>
          <w:sz w:val="24"/>
        </w:rPr>
        <w:t>Percentile map (EGP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1 month</w:t>
            </w:r>
          </w:p>
        </w:tc>
        <w:tc>
          <w:tcPr>
            <w:tcW w:type="dxa" w:w="1440"/>
          </w:tcPr>
          <w:p>
            <w:pPr>
              <w:spacing w:after="20"/>
              <w:jc w:val="right"/>
            </w:pPr>
            <w:r>
              <w:rPr>
                <w:color w:val="1C3A36"/>
                <w:sz w:val="18"/>
              </w:rPr>
              <w:t>24.03</w:t>
            </w:r>
          </w:p>
        </w:tc>
        <w:tc>
          <w:tcPr>
            <w:tcW w:type="dxa" w:w="1440"/>
          </w:tcPr>
          <w:p>
            <w:pPr>
              <w:spacing w:after="20"/>
              <w:jc w:val="right"/>
            </w:pPr>
            <w:r>
              <w:rPr>
                <w:color w:val="1C3A36"/>
                <w:sz w:val="18"/>
              </w:rPr>
              <w:t>27.64</w:t>
            </w:r>
          </w:p>
        </w:tc>
        <w:tc>
          <w:tcPr>
            <w:tcW w:type="dxa" w:w="1440"/>
          </w:tcPr>
          <w:p>
            <w:pPr>
              <w:spacing w:after="20"/>
              <w:jc w:val="right"/>
            </w:pPr>
            <w:r>
              <w:rPr>
                <w:color w:val="1C3A36"/>
                <w:sz w:val="18"/>
              </w:rPr>
              <w:t>29.91</w:t>
            </w:r>
          </w:p>
        </w:tc>
        <w:tc>
          <w:tcPr>
            <w:tcW w:type="dxa" w:w="1440"/>
          </w:tcPr>
          <w:p>
            <w:pPr>
              <w:spacing w:after="20"/>
              <w:jc w:val="right"/>
            </w:pPr>
            <w:r>
              <w:rPr>
                <w:color w:val="1C3A36"/>
                <w:sz w:val="18"/>
              </w:rPr>
              <w:t>32.37</w:t>
            </w:r>
          </w:p>
        </w:tc>
        <w:tc>
          <w:tcPr>
            <w:tcW w:type="dxa" w:w="1440"/>
          </w:tcPr>
          <w:p>
            <w:pPr>
              <w:spacing w:after="20"/>
              <w:jc w:val="right"/>
            </w:pPr>
            <w:r>
              <w:rPr>
                <w:color w:val="1C3A36"/>
                <w:sz w:val="18"/>
              </w:rPr>
              <w:t>37.31</w:t>
            </w:r>
          </w:p>
        </w:tc>
      </w:tr>
      <w:tr>
        <w:tc>
          <w:tcPr>
            <w:tcW w:type="dxa" w:w="2736"/>
          </w:tcPr>
          <w:p>
            <w:pPr>
              <w:spacing w:after="20"/>
            </w:pPr>
            <w:r>
              <w:rPr>
                <w:b/>
                <w:color w:val="1C3A36"/>
                <w:sz w:val="18"/>
              </w:rPr>
              <w:t>3 months</w:t>
            </w:r>
          </w:p>
        </w:tc>
        <w:tc>
          <w:tcPr>
            <w:tcW w:type="dxa" w:w="1440"/>
          </w:tcPr>
          <w:p>
            <w:pPr>
              <w:spacing w:after="20"/>
              <w:jc w:val="right"/>
            </w:pPr>
            <w:r>
              <w:rPr>
                <w:color w:val="1C3A36"/>
                <w:sz w:val="18"/>
              </w:rPr>
              <w:t>21.00</w:t>
            </w:r>
          </w:p>
        </w:tc>
        <w:tc>
          <w:tcPr>
            <w:tcW w:type="dxa" w:w="1440"/>
          </w:tcPr>
          <w:p>
            <w:pPr>
              <w:spacing w:after="20"/>
              <w:jc w:val="right"/>
            </w:pPr>
            <w:r>
              <w:rPr>
                <w:color w:val="1C3A36"/>
                <w:sz w:val="18"/>
              </w:rPr>
              <w:t>26.80</w:t>
            </w:r>
          </w:p>
        </w:tc>
        <w:tc>
          <w:tcPr>
            <w:tcW w:type="dxa" w:w="1440"/>
          </w:tcPr>
          <w:p>
            <w:pPr>
              <w:spacing w:after="20"/>
              <w:jc w:val="right"/>
            </w:pPr>
            <w:r>
              <w:rPr>
                <w:color w:val="1C3A36"/>
                <w:sz w:val="18"/>
              </w:rPr>
              <w:t>30.69</w:t>
            </w:r>
          </w:p>
        </w:tc>
        <w:tc>
          <w:tcPr>
            <w:tcW w:type="dxa" w:w="1440"/>
          </w:tcPr>
          <w:p>
            <w:pPr>
              <w:spacing w:after="20"/>
              <w:jc w:val="right"/>
            </w:pPr>
            <w:r>
              <w:rPr>
                <w:color w:val="1C3A36"/>
                <w:sz w:val="18"/>
              </w:rPr>
              <w:t>35.18</w:t>
            </w:r>
          </w:p>
        </w:tc>
        <w:tc>
          <w:tcPr>
            <w:tcW w:type="dxa" w:w="1440"/>
          </w:tcPr>
          <w:p>
            <w:pPr>
              <w:spacing w:after="20"/>
              <w:jc w:val="right"/>
            </w:pPr>
            <w:r>
              <w:rPr>
                <w:color w:val="1C3A36"/>
                <w:sz w:val="18"/>
              </w:rPr>
              <w:t>44.89</w:t>
            </w:r>
          </w:p>
        </w:tc>
      </w:tr>
    </w:tbl>
    <w:p>
      <w:pPr>
        <w:spacing w:after="40"/>
      </w:pPr>
    </w:p>
    <w:p>
      <w:pPr>
        <w:spacing w:after="120" w:before="0"/>
      </w:pPr>
      <w:r>
        <w:rPr>
          <w:b w:val="0"/>
          <w:i w:val="0"/>
          <w:color w:val="1C3A36"/>
          <w:sz w:val="19"/>
        </w:rPr>
        <w:t>Lead with the 50% band rather than the tails: a quarter ahead, half of all paths finish between EGP 26.80 and 35.18; at one month the band is EGP 27.64–32.37. The 5th-to-95th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three months. The median drifts up with the calibrated secular term; the two brass dashed lines mark the two branches of the fundamental answer. At three months the cone’s 95th percentile reaches EGP 44.89, so the lower branch (EGP 41.35) sits inside the cone’s upper tail and the higher (EGP 52.35) above it entirely. The two are on different clocks and the picture is a comparison, not a forecast of the value.</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one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three months.</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 the running maximum for levels above the anchor, the running minimum for levels below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728"/>
            <w:shd w:val="clear" w:color="auto" w:fill="EAF0EE"/>
          </w:tcPr>
          <w:p>
            <w:pPr>
              <w:spacing w:after="20"/>
            </w:pPr>
            <w:r>
              <w:rPr>
                <w:b/>
                <w:color w:val="1C3A36"/>
                <w:sz w:val="18"/>
              </w:rPr>
              <w:t>Level (EGP)</w:t>
            </w:r>
          </w:p>
        </w:tc>
        <w:tc>
          <w:tcPr>
            <w:tcW w:type="dxa" w:w="2016"/>
            <w:shd w:val="clear" w:color="auto" w:fill="EAF0EE"/>
          </w:tcPr>
          <w:p>
            <w:pPr>
              <w:spacing w:after="20"/>
            </w:pPr>
            <w:r>
              <w:rPr>
                <w:b/>
                <w:color w:val="1C3A36"/>
                <w:sz w:val="18"/>
              </w:rPr>
              <w:t>1-month touch</w:t>
            </w:r>
          </w:p>
        </w:tc>
        <w:tc>
          <w:tcPr>
            <w:tcW w:type="dxa" w:w="2016"/>
            <w:shd w:val="clear" w:color="auto" w:fill="EAF0EE"/>
          </w:tcPr>
          <w:p>
            <w:pPr>
              <w:spacing w:after="20"/>
            </w:pPr>
            <w:r>
              <w:rPr>
                <w:b/>
                <w:color w:val="1C3A36"/>
                <w:sz w:val="18"/>
              </w:rPr>
              <w:t>3-month touch</w:t>
            </w:r>
          </w:p>
        </w:tc>
        <w:tc>
          <w:tcPr>
            <w:tcW w:type="dxa" w:w="3744"/>
            <w:shd w:val="clear" w:color="auto" w:fill="EAF0EE"/>
          </w:tcPr>
          <w:p>
            <w:pPr>
              <w:spacing w:after="20"/>
            </w:pPr>
            <w:r>
              <w:rPr>
                <w:b/>
                <w:color w:val="1C3A36"/>
                <w:sz w:val="18"/>
              </w:rPr>
              <w:t>Against the anchor</w:t>
            </w:r>
          </w:p>
        </w:tc>
      </w:tr>
      <w:tr>
        <w:tc>
          <w:tcPr>
            <w:tcW w:type="dxa" w:w="1728"/>
          </w:tcPr>
          <w:p>
            <w:pPr>
              <w:spacing w:after="20"/>
            </w:pPr>
            <w:r>
              <w:rPr>
                <w:b/>
                <w:color w:val="1C3A36"/>
                <w:sz w:val="18"/>
              </w:rPr>
              <w:t>40</w:t>
            </w:r>
          </w:p>
        </w:tc>
        <w:tc>
          <w:tcPr>
            <w:tcW w:type="dxa" w:w="2016"/>
          </w:tcPr>
          <w:p>
            <w:pPr>
              <w:spacing w:after="20"/>
              <w:jc w:val="right"/>
            </w:pPr>
            <w:r>
              <w:rPr>
                <w:color w:val="1C3A36"/>
                <w:sz w:val="18"/>
              </w:rPr>
              <w:t>3%</w:t>
            </w:r>
          </w:p>
        </w:tc>
        <w:tc>
          <w:tcPr>
            <w:tcW w:type="dxa" w:w="2016"/>
          </w:tcPr>
          <w:p>
            <w:pPr>
              <w:spacing w:after="20"/>
              <w:jc w:val="right"/>
            </w:pPr>
            <w:r>
              <w:rPr>
                <w:color w:val="1C3A36"/>
                <w:sz w:val="18"/>
              </w:rPr>
              <w:t>18%</w:t>
            </w:r>
          </w:p>
        </w:tc>
        <w:tc>
          <w:tcPr>
            <w:tcW w:type="dxa" w:w="3744"/>
          </w:tcPr>
          <w:p>
            <w:pPr>
              <w:spacing w:after="20"/>
              <w:jc w:val="right"/>
            </w:pPr>
            <w:r>
              <w:rPr>
                <w:color w:val="1C3A36"/>
                <w:sz w:val="18"/>
              </w:rPr>
              <w:t>+35.5%</w:t>
            </w:r>
          </w:p>
        </w:tc>
      </w:tr>
      <w:tr>
        <w:tc>
          <w:tcPr>
            <w:tcW w:type="dxa" w:w="1728"/>
          </w:tcPr>
          <w:p>
            <w:pPr>
              <w:spacing w:after="20"/>
            </w:pPr>
            <w:r>
              <w:rPr>
                <w:b/>
                <w:color w:val="1C3A36"/>
                <w:sz w:val="18"/>
              </w:rPr>
              <w:t>38</w:t>
            </w:r>
          </w:p>
        </w:tc>
        <w:tc>
          <w:tcPr>
            <w:tcW w:type="dxa" w:w="2016"/>
          </w:tcPr>
          <w:p>
            <w:pPr>
              <w:spacing w:after="20"/>
              <w:jc w:val="right"/>
            </w:pPr>
            <w:r>
              <w:rPr>
                <w:color w:val="1C3A36"/>
                <w:sz w:val="18"/>
              </w:rPr>
              <w:t>6%</w:t>
            </w:r>
          </w:p>
        </w:tc>
        <w:tc>
          <w:tcPr>
            <w:tcW w:type="dxa" w:w="2016"/>
          </w:tcPr>
          <w:p>
            <w:pPr>
              <w:spacing w:after="20"/>
              <w:jc w:val="right"/>
            </w:pPr>
            <w:r>
              <w:rPr>
                <w:color w:val="1C3A36"/>
                <w:sz w:val="18"/>
              </w:rPr>
              <w:t>26%</w:t>
            </w:r>
          </w:p>
        </w:tc>
        <w:tc>
          <w:tcPr>
            <w:tcW w:type="dxa" w:w="3744"/>
          </w:tcPr>
          <w:p>
            <w:pPr>
              <w:spacing w:after="20"/>
              <w:jc w:val="right"/>
            </w:pPr>
            <w:r>
              <w:rPr>
                <w:color w:val="1C3A36"/>
                <w:sz w:val="18"/>
              </w:rPr>
              <w:t>+28.8%</w:t>
            </w:r>
          </w:p>
        </w:tc>
      </w:tr>
      <w:tr>
        <w:tc>
          <w:tcPr>
            <w:tcW w:type="dxa" w:w="1728"/>
          </w:tcPr>
          <w:p>
            <w:pPr>
              <w:spacing w:after="20"/>
            </w:pPr>
            <w:r>
              <w:rPr>
                <w:b/>
                <w:color w:val="1C3A36"/>
                <w:sz w:val="18"/>
              </w:rPr>
              <w:t>36</w:t>
            </w:r>
          </w:p>
        </w:tc>
        <w:tc>
          <w:tcPr>
            <w:tcW w:type="dxa" w:w="2016"/>
          </w:tcPr>
          <w:p>
            <w:pPr>
              <w:spacing w:after="20"/>
              <w:jc w:val="right"/>
            </w:pPr>
            <w:r>
              <w:rPr>
                <w:color w:val="1C3A36"/>
                <w:sz w:val="18"/>
              </w:rPr>
              <w:t>12%</w:t>
            </w:r>
          </w:p>
        </w:tc>
        <w:tc>
          <w:tcPr>
            <w:tcW w:type="dxa" w:w="2016"/>
          </w:tcPr>
          <w:p>
            <w:pPr>
              <w:spacing w:after="20"/>
              <w:jc w:val="right"/>
            </w:pPr>
            <w:r>
              <w:rPr>
                <w:color w:val="1C3A36"/>
                <w:sz w:val="18"/>
              </w:rPr>
              <w:t>36%</w:t>
            </w:r>
          </w:p>
        </w:tc>
        <w:tc>
          <w:tcPr>
            <w:tcW w:type="dxa" w:w="3744"/>
          </w:tcPr>
          <w:p>
            <w:pPr>
              <w:spacing w:after="20"/>
              <w:jc w:val="right"/>
            </w:pPr>
            <w:r>
              <w:rPr>
                <w:color w:val="1C3A36"/>
                <w:sz w:val="18"/>
              </w:rPr>
              <w:t>+22.0%</w:t>
            </w:r>
          </w:p>
        </w:tc>
      </w:tr>
      <w:tr>
        <w:tc>
          <w:tcPr>
            <w:tcW w:type="dxa" w:w="1728"/>
          </w:tcPr>
          <w:p>
            <w:pPr>
              <w:spacing w:after="20"/>
            </w:pPr>
            <w:r>
              <w:rPr>
                <w:b/>
                <w:color w:val="1C3A36"/>
                <w:sz w:val="18"/>
              </w:rPr>
              <w:t>34</w:t>
            </w:r>
          </w:p>
        </w:tc>
        <w:tc>
          <w:tcPr>
            <w:tcW w:type="dxa" w:w="2016"/>
          </w:tcPr>
          <w:p>
            <w:pPr>
              <w:spacing w:after="20"/>
              <w:jc w:val="right"/>
            </w:pPr>
            <w:r>
              <w:rPr>
                <w:color w:val="1C3A36"/>
                <w:sz w:val="18"/>
              </w:rPr>
              <w:t>23%</w:t>
            </w:r>
          </w:p>
        </w:tc>
        <w:tc>
          <w:tcPr>
            <w:tcW w:type="dxa" w:w="2016"/>
          </w:tcPr>
          <w:p>
            <w:pPr>
              <w:spacing w:after="20"/>
              <w:jc w:val="right"/>
            </w:pPr>
            <w:r>
              <w:rPr>
                <w:color w:val="1C3A36"/>
                <w:sz w:val="18"/>
              </w:rPr>
              <w:t>51%</w:t>
            </w:r>
          </w:p>
        </w:tc>
        <w:tc>
          <w:tcPr>
            <w:tcW w:type="dxa" w:w="3744"/>
          </w:tcPr>
          <w:p>
            <w:pPr>
              <w:spacing w:after="20"/>
              <w:jc w:val="right"/>
            </w:pPr>
            <w:r>
              <w:rPr>
                <w:color w:val="1C3A36"/>
                <w:sz w:val="18"/>
              </w:rPr>
              <w:t>+15.2%</w:t>
            </w:r>
          </w:p>
        </w:tc>
      </w:tr>
      <w:tr>
        <w:tc>
          <w:tcPr>
            <w:tcW w:type="dxa" w:w="1728"/>
          </w:tcPr>
          <w:p>
            <w:pPr>
              <w:spacing w:after="20"/>
            </w:pPr>
            <w:r>
              <w:rPr>
                <w:b/>
                <w:color w:val="1C3A36"/>
                <w:sz w:val="18"/>
              </w:rPr>
              <w:t>32</w:t>
            </w:r>
          </w:p>
        </w:tc>
        <w:tc>
          <w:tcPr>
            <w:tcW w:type="dxa" w:w="2016"/>
          </w:tcPr>
          <w:p>
            <w:pPr>
              <w:spacing w:after="20"/>
              <w:jc w:val="right"/>
            </w:pPr>
            <w:r>
              <w:rPr>
                <w:color w:val="1C3A36"/>
                <w:sz w:val="18"/>
              </w:rPr>
              <w:t>46%</w:t>
            </w:r>
          </w:p>
        </w:tc>
        <w:tc>
          <w:tcPr>
            <w:tcW w:type="dxa" w:w="2016"/>
          </w:tcPr>
          <w:p>
            <w:pPr>
              <w:spacing w:after="20"/>
              <w:jc w:val="right"/>
            </w:pPr>
            <w:r>
              <w:rPr>
                <w:color w:val="1C3A36"/>
                <w:sz w:val="18"/>
              </w:rPr>
              <w:t>69%</w:t>
            </w:r>
          </w:p>
        </w:tc>
        <w:tc>
          <w:tcPr>
            <w:tcW w:type="dxa" w:w="3744"/>
          </w:tcPr>
          <w:p>
            <w:pPr>
              <w:spacing w:after="20"/>
              <w:jc w:val="right"/>
            </w:pPr>
            <w:r>
              <w:rPr>
                <w:color w:val="1C3A36"/>
                <w:sz w:val="18"/>
              </w:rPr>
              <w:t>+8.4%</w:t>
            </w:r>
          </w:p>
        </w:tc>
      </w:tr>
      <w:tr>
        <w:tc>
          <w:tcPr>
            <w:tcW w:type="dxa" w:w="1728"/>
          </w:tcPr>
          <w:p>
            <w:pPr>
              <w:spacing w:after="20"/>
            </w:pPr>
            <w:r>
              <w:rPr>
                <w:b/>
                <w:color w:val="1C3A36"/>
                <w:sz w:val="18"/>
              </w:rPr>
              <w:t>30</w:t>
            </w:r>
          </w:p>
        </w:tc>
        <w:tc>
          <w:tcPr>
            <w:tcW w:type="dxa" w:w="2016"/>
          </w:tcPr>
          <w:p>
            <w:pPr>
              <w:spacing w:after="20"/>
              <w:jc w:val="right"/>
            </w:pPr>
            <w:r>
              <w:rPr>
                <w:color w:val="1C3A36"/>
                <w:sz w:val="18"/>
              </w:rPr>
              <w:t>81%</w:t>
            </w:r>
          </w:p>
        </w:tc>
        <w:tc>
          <w:tcPr>
            <w:tcW w:type="dxa" w:w="2016"/>
          </w:tcPr>
          <w:p>
            <w:pPr>
              <w:spacing w:after="20"/>
              <w:jc w:val="right"/>
            </w:pPr>
            <w:r>
              <w:rPr>
                <w:color w:val="1C3A36"/>
                <w:sz w:val="18"/>
              </w:rPr>
              <w:t>90%</w:t>
            </w:r>
          </w:p>
        </w:tc>
        <w:tc>
          <w:tcPr>
            <w:tcW w:type="dxa" w:w="3744"/>
          </w:tcPr>
          <w:p>
            <w:pPr>
              <w:spacing w:after="20"/>
              <w:jc w:val="right"/>
            </w:pPr>
            <w:r>
              <w:rPr>
                <w:color w:val="1C3A36"/>
                <w:sz w:val="18"/>
              </w:rPr>
              <w:t>+1.7%</w:t>
            </w:r>
          </w:p>
        </w:tc>
      </w:tr>
      <w:tr>
        <w:tc>
          <w:tcPr>
            <w:tcW w:type="dxa" w:w="1728"/>
          </w:tcPr>
          <w:p>
            <w:pPr>
              <w:spacing w:after="20"/>
            </w:pPr>
            <w:r>
              <w:rPr>
                <w:b/>
                <w:color w:val="1C3A36"/>
                <w:sz w:val="18"/>
              </w:rPr>
              <w:t>28</w:t>
            </w:r>
          </w:p>
        </w:tc>
        <w:tc>
          <w:tcPr>
            <w:tcW w:type="dxa" w:w="2016"/>
          </w:tcPr>
          <w:p>
            <w:pPr>
              <w:spacing w:after="20"/>
              <w:jc w:val="right"/>
            </w:pPr>
            <w:r>
              <w:rPr>
                <w:color w:val="1C3A36"/>
                <w:sz w:val="18"/>
              </w:rPr>
              <w:t>53%</w:t>
            </w:r>
          </w:p>
        </w:tc>
        <w:tc>
          <w:tcPr>
            <w:tcW w:type="dxa" w:w="2016"/>
          </w:tcPr>
          <w:p>
            <w:pPr>
              <w:spacing w:after="20"/>
              <w:jc w:val="right"/>
            </w:pPr>
            <w:r>
              <w:rPr>
                <w:color w:val="1C3A36"/>
                <w:sz w:val="18"/>
              </w:rPr>
              <w:t>68%</w:t>
            </w:r>
          </w:p>
        </w:tc>
        <w:tc>
          <w:tcPr>
            <w:tcW w:type="dxa" w:w="3744"/>
          </w:tcPr>
          <w:p>
            <w:pPr>
              <w:spacing w:after="20"/>
              <w:jc w:val="right"/>
            </w:pPr>
            <w:r>
              <w:rPr>
                <w:color w:val="1C3A36"/>
                <w:sz w:val="18"/>
              </w:rPr>
              <w:t>-5.1%</w:t>
            </w:r>
          </w:p>
        </w:tc>
      </w:tr>
      <w:tr>
        <w:tc>
          <w:tcPr>
            <w:tcW w:type="dxa" w:w="1728"/>
          </w:tcPr>
          <w:p>
            <w:pPr>
              <w:spacing w:after="20"/>
            </w:pPr>
            <w:r>
              <w:rPr>
                <w:b/>
                <w:color w:val="1C3A36"/>
                <w:sz w:val="18"/>
              </w:rPr>
              <w:t>26</w:t>
            </w:r>
          </w:p>
        </w:tc>
        <w:tc>
          <w:tcPr>
            <w:tcW w:type="dxa" w:w="2016"/>
          </w:tcPr>
          <w:p>
            <w:pPr>
              <w:spacing w:after="20"/>
              <w:jc w:val="right"/>
            </w:pPr>
            <w:r>
              <w:rPr>
                <w:color w:val="1C3A36"/>
                <w:sz w:val="18"/>
              </w:rPr>
              <w:t>22%</w:t>
            </w:r>
          </w:p>
        </w:tc>
        <w:tc>
          <w:tcPr>
            <w:tcW w:type="dxa" w:w="2016"/>
          </w:tcPr>
          <w:p>
            <w:pPr>
              <w:spacing w:after="20"/>
              <w:jc w:val="right"/>
            </w:pPr>
            <w:r>
              <w:rPr>
                <w:color w:val="1C3A36"/>
                <w:sz w:val="18"/>
              </w:rPr>
              <w:t>42%</w:t>
            </w:r>
          </w:p>
        </w:tc>
        <w:tc>
          <w:tcPr>
            <w:tcW w:type="dxa" w:w="3744"/>
          </w:tcPr>
          <w:p>
            <w:pPr>
              <w:spacing w:after="20"/>
              <w:jc w:val="right"/>
            </w:pPr>
            <w:r>
              <w:rPr>
                <w:color w:val="1C3A36"/>
                <w:sz w:val="18"/>
              </w:rPr>
              <w:t>-11.9%</w:t>
            </w:r>
          </w:p>
        </w:tc>
      </w:tr>
    </w:tbl>
    <w:p>
      <w:pPr>
        <w:spacing w:after="40"/>
      </w:pPr>
    </w:p>
    <w:p>
      <w:pPr>
        <w:spacing w:after="200" w:before="0"/>
      </w:pPr>
      <w:r>
        <w:rPr>
          <w:b w:val="0"/>
          <w:i/>
          <w:color w:val="6E7B77"/>
          <w:sz w:val="17"/>
        </w:rPr>
        <w:t>Every rung and every probability in this ladder is computed from the same 50,000 paths; the distance column is measured against the session the cone was struck on, not against the later price the valuation uses.</w:t>
      </w:r>
    </w:p>
    <w:p>
      <w:pPr>
        <w:spacing w:after="80" w:before="200"/>
      </w:pPr>
      <w:r>
        <w:rPr>
          <w:b/>
          <w:i w:val="0"/>
          <w:color w:val="1C3A36"/>
          <w:sz w:val="24"/>
        </w:rPr>
        <w:t>How often these bands have actually held</w:t>
      </w:r>
    </w:p>
    <w:p>
      <w:pPr>
        <w:spacing w:after="120" w:before="0"/>
      </w:pPr>
      <w:r>
        <w:rPr>
          <w:b w:val="0"/>
          <w:i w:val="0"/>
          <w:color w:val="1C3A36"/>
          <w:sz w:val="21"/>
        </w:rPr>
        <w:t>A cone is only worth what its record says. Over 57 resolved three-month forecasts on this stock — every one struck, frozen and then graded against the close on its own stated date — the price finished inside the 90% band 95% of the time, against a 90% target, and inside the middle 50% band 60% of the time against a 50% target. THE COUNT IS PRINTED BESIDE THE PERCENTAGE because a percentage without its count is the number that misleads, and 57 resolved windows is a long record for a single name rather than a short one — long enough for the figure to tell an honest cone from a broken one.</w:t>
      </w:r>
    </w:p>
    <w:p>
      <w:pPr>
        <w:spacing w:after="120" w:before="0"/>
      </w:pPr>
      <w:r>
        <w:rPr>
          <w:b w:val="0"/>
          <w:i w:val="0"/>
          <w:color w:val="1C3A36"/>
          <w:sz w:val="21"/>
        </w:rPr>
        <w:t>One more figure is disclosed and carries no threshold: this cone’s 90% band is 1.42 times as wide as a naive carry-anchored one. That ratio is published because a band can hold as often as it promises simply by being too wide to be useful, and a reader is entitled to see how wide. It is NOT a pass mark and nothing here is graded against it — a wider band is not automatically wrong where the tail it covers is real, and Egyptian three-month moves have a real tail. What the record above supports is a BAND, not an edge, and the difference is the whole reason the counts are printed.</w:t>
      </w:r>
    </w:p>
    <w:p>
      <w:pPr>
        <w:spacing w:after="120" w:before="280"/>
      </w:pPr>
      <w:r>
        <w:rPr>
          <w:b/>
          <w:i w:val="0"/>
          <w:color w:val="1C3A36"/>
          <w:sz w:val="30"/>
        </w:rPr>
        <w:t>4  Comparison of the lenses</w:t>
      </w:r>
    </w:p>
    <w:p>
      <w:pPr>
        <w:spacing w:after="120" w:before="0"/>
      </w:pPr>
      <w:r>
        <w:rPr>
          <w:b w:val="0"/>
          <w:i w:val="0"/>
          <w:color w:val="1C3A36"/>
          <w:sz w:val="21"/>
        </w:rPr>
        <w:t>Three readings sit side by side and they genuinely disagree. The fundamental primary reads EGP 41.35 and 52.35 — +43% and +81% against the price — on the two bases GB Corp itself publishes for one asset, while its cross-checks sit either side of the traded price at EGP 19.29 on forward earnings and EGP 30.82 on disclosed book. The technical picture has turned: the price came off its short averages with negative momentum and sits in the middle of its own 52-week range. The probabilistic map is the one piece untouched by any of this: its median (30.69) sits above the anchor because the repricing that carried this stock over the sample period has not yet statistically died. That is a description of measured price behaviour, not a claim about value, and it does not know what an associate stake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312"/>
            <w:shd w:val="clear" w:color="auto" w:fill="EAF0EE"/>
          </w:tcPr>
          <w:p>
            <w:pPr>
              <w:spacing w:after="20"/>
            </w:pPr>
            <w:r>
              <w:rPr>
                <w:b/>
                <w:color w:val="1C3A36"/>
                <w:sz w:val="18"/>
              </w:rPr>
              <w:t>Lens</w:t>
            </w:r>
          </w:p>
        </w:tc>
        <w:tc>
          <w:tcPr>
            <w:tcW w:type="dxa" w:w="3312"/>
            <w:shd w:val="clear" w:color="auto" w:fill="EAF0EE"/>
          </w:tcPr>
          <w:p>
            <w:pPr>
              <w:spacing w:after="20"/>
            </w:pPr>
            <w:r>
              <w:rPr>
                <w:b/>
                <w:color w:val="1C3A36"/>
                <w:sz w:val="18"/>
              </w:rPr>
              <w:t>What it reads</w:t>
            </w:r>
          </w:p>
        </w:tc>
        <w:tc>
          <w:tcPr>
            <w:tcW w:type="dxa" w:w="3312"/>
            <w:shd w:val="clear" w:color="auto" w:fill="EAF0EE"/>
          </w:tcPr>
          <w:p>
            <w:pPr>
              <w:spacing w:after="20"/>
            </w:pPr>
            <w:r>
              <w:rPr>
                <w:b/>
                <w:color w:val="1C3A36"/>
                <w:sz w:val="18"/>
              </w:rPr>
              <w:t>Central / implication</w:t>
            </w:r>
          </w:p>
        </w:tc>
      </w:tr>
      <w:tr>
        <w:tc>
          <w:tcPr>
            <w:tcW w:type="dxa" w:w="3312"/>
          </w:tcPr>
          <w:p>
            <w:pPr>
              <w:spacing w:after="20"/>
            </w:pPr>
            <w:r>
              <w:rPr>
                <w:b/>
                <w:color w:val="1C3A36"/>
                <w:sz w:val="18"/>
              </w:rPr>
              <w:t>Fundamental — primary, carrying-value branch</w:t>
            </w:r>
          </w:p>
        </w:tc>
        <w:tc>
          <w:tcPr>
            <w:tcW w:type="dxa" w:w="3312"/>
          </w:tcPr>
          <w:p>
            <w:pPr>
              <w:spacing w:after="20"/>
              <w:jc w:val="right"/>
            </w:pPr>
            <w:r>
              <w:rPr>
                <w:color w:val="1C3A36"/>
                <w:sz w:val="18"/>
              </w:rPr>
              <w:t>The associate at its reviewed carrying value</w:t>
            </w:r>
          </w:p>
        </w:tc>
        <w:tc>
          <w:tcPr>
            <w:tcW w:type="dxa" w:w="3312"/>
          </w:tcPr>
          <w:p>
            <w:pPr>
              <w:spacing w:after="20"/>
              <w:jc w:val="right"/>
            </w:pPr>
            <w:r>
              <w:rPr>
                <w:color w:val="1C3A36"/>
                <w:sz w:val="18"/>
              </w:rPr>
              <w:t>EGP 41.35 (+43%)</w:t>
            </w:r>
          </w:p>
        </w:tc>
      </w:tr>
      <w:tr>
        <w:tc>
          <w:tcPr>
            <w:tcW w:type="dxa" w:w="3312"/>
          </w:tcPr>
          <w:p>
            <w:pPr>
              <w:spacing w:after="20"/>
            </w:pPr>
            <w:r>
              <w:rPr>
                <w:b/>
                <w:color w:val="1C3A36"/>
                <w:sz w:val="18"/>
              </w:rPr>
              <w:t>Fundamental — primary, round-price branch</w:t>
            </w:r>
          </w:p>
        </w:tc>
        <w:tc>
          <w:tcPr>
            <w:tcW w:type="dxa" w:w="3312"/>
          </w:tcPr>
          <w:p>
            <w:pPr>
              <w:spacing w:after="20"/>
              <w:jc w:val="right"/>
            </w:pPr>
            <w:r>
              <w:rPr>
                <w:color w:val="1C3A36"/>
                <w:sz w:val="18"/>
              </w:rPr>
              <w:t>The associate at the June-2026 round price</w:t>
            </w:r>
          </w:p>
        </w:tc>
        <w:tc>
          <w:tcPr>
            <w:tcW w:type="dxa" w:w="3312"/>
          </w:tcPr>
          <w:p>
            <w:pPr>
              <w:spacing w:after="20"/>
              <w:jc w:val="right"/>
            </w:pPr>
            <w:r>
              <w:rPr>
                <w:color w:val="1C3A36"/>
                <w:sz w:val="18"/>
              </w:rPr>
              <w:t>EGP 52.35 (+81%)</w:t>
            </w:r>
          </w:p>
        </w:tc>
      </w:tr>
      <w:tr>
        <w:tc>
          <w:tcPr>
            <w:tcW w:type="dxa" w:w="3312"/>
          </w:tcPr>
          <w:p>
            <w:pPr>
              <w:spacing w:after="20"/>
            </w:pPr>
            <w:r>
              <w:rPr>
                <w:b/>
                <w:color w:val="1C3A36"/>
                <w:sz w:val="18"/>
              </w:rPr>
              <w:t>Fundamental — cross-checks</w:t>
            </w:r>
          </w:p>
        </w:tc>
        <w:tc>
          <w:tcPr>
            <w:tcW w:type="dxa" w:w="3312"/>
          </w:tcPr>
          <w:p>
            <w:pPr>
              <w:spacing w:after="20"/>
              <w:jc w:val="right"/>
            </w:pPr>
            <w:r>
              <w:rPr>
                <w:color w:val="1C3A36"/>
                <w:sz w:val="18"/>
              </w:rPr>
              <w:t>Forward earnings multiple · disclosed book floor</w:t>
            </w:r>
          </w:p>
        </w:tc>
        <w:tc>
          <w:tcPr>
            <w:tcW w:type="dxa" w:w="3312"/>
          </w:tcPr>
          <w:p>
            <w:pPr>
              <w:spacing w:after="20"/>
              <w:jc w:val="right"/>
            </w:pPr>
            <w:r>
              <w:rPr>
                <w:color w:val="1C3A36"/>
                <w:sz w:val="18"/>
              </w:rPr>
              <w:t>EGP 19.29 · 30.82</w:t>
            </w:r>
          </w:p>
        </w:tc>
      </w:tr>
      <w:tr>
        <w:tc>
          <w:tcPr>
            <w:tcW w:type="dxa" w:w="3312"/>
          </w:tcPr>
          <w:p>
            <w:pPr>
              <w:spacing w:after="20"/>
            </w:pPr>
            <w:r>
              <w:rPr>
                <w:b/>
                <w:color w:val="1C3A36"/>
                <w:sz w:val="18"/>
              </w:rPr>
              <w:t>Technical</w:t>
            </w:r>
          </w:p>
        </w:tc>
        <w:tc>
          <w:tcPr>
            <w:tcW w:type="dxa" w:w="3312"/>
          </w:tcPr>
          <w:p>
            <w:pPr>
              <w:spacing w:after="20"/>
              <w:jc w:val="right"/>
            </w:pPr>
            <w:r>
              <w:rPr>
                <w:color w:val="1C3A36"/>
                <w:sz w:val="18"/>
              </w:rPr>
              <w:t>Momentum lost, long trend intact</w:t>
            </w:r>
          </w:p>
        </w:tc>
        <w:tc>
          <w:tcPr>
            <w:tcW w:type="dxa" w:w="3312"/>
          </w:tcPr>
          <w:p>
            <w:pPr>
              <w:spacing w:after="20"/>
              <w:jc w:val="right"/>
            </w:pPr>
            <w:r>
              <w:rPr>
                <w:color w:val="1C3A36"/>
                <w:sz w:val="18"/>
              </w:rPr>
              <w:t>Below the 20- and 50-day averages; above the 100- and 200-day</w:t>
            </w:r>
          </w:p>
        </w:tc>
      </w:tr>
      <w:tr>
        <w:tc>
          <w:tcPr>
            <w:tcW w:type="dxa" w:w="3312"/>
          </w:tcPr>
          <w:p>
            <w:pPr>
              <w:spacing w:after="20"/>
            </w:pPr>
            <w:r>
              <w:rPr>
                <w:b/>
                <w:color w:val="1C3A36"/>
                <w:sz w:val="18"/>
              </w:rPr>
              <w:t>Simulation (three months)</w:t>
            </w:r>
          </w:p>
        </w:tc>
        <w:tc>
          <w:tcPr>
            <w:tcW w:type="dxa" w:w="3312"/>
          </w:tcPr>
          <w:p>
            <w:pPr>
              <w:spacing w:after="20"/>
              <w:jc w:val="right"/>
            </w:pPr>
            <w:r>
              <w:rPr>
                <w:color w:val="1C3A36"/>
                <w:sz w:val="18"/>
              </w:rPr>
              <w:t>Drift up, right-skewed</w:t>
            </w:r>
          </w:p>
        </w:tc>
        <w:tc>
          <w:tcPr>
            <w:tcW w:type="dxa" w:w="3312"/>
          </w:tcPr>
          <w:p>
            <w:pPr>
              <w:spacing w:after="20"/>
              <w:jc w:val="right"/>
            </w:pPr>
            <w:r>
              <w:rPr>
                <w:color w:val="1C3A36"/>
                <w:sz w:val="18"/>
              </w:rPr>
              <w:t>Median 30.69; p5–p95 21.00–44.89</w:t>
            </w:r>
          </w:p>
        </w:tc>
      </w:tr>
    </w:tbl>
    <w:p>
      <w:pPr>
        <w:spacing w:after="40"/>
      </w:pPr>
    </w:p>
    <w:p>
      <w:pPr>
        <w:spacing w:after="120" w:before="0"/>
      </w:pPr>
      <w:r>
        <w:rPr>
          <w:b/>
          <w:i w:val="0"/>
          <w:color w:val="1C3A36"/>
          <w:sz w:val="21"/>
        </w:rPr>
        <w:t xml:space="preserve">A fair-value read, not a recommendation. </w:t>
      </w:r>
      <w:r>
        <w:rPr>
          <w:b w:val="0"/>
          <w:i w:val="0"/>
          <w:color w:val="1C3A36"/>
          <w:sz w:val="21"/>
        </w:rPr>
        <w:t>GB Corp trades below both branches of its primary lens, and the distance between those branches rests on a basis question rather than a fact: the company states a 41.61% holding in MNT-Halan, carries it at EGP 15.7 bn in its own reviewed balance sheet, and announced a funding round in June 2026 that marks the same holding at EGP 27.7 bn. What the traded price leaves for ALL the associates together is EGP 2.8 bn. Strip the associate leg out and what remains — the auto business and the lender — is 91% of the entire market capitalisation, which is close to what the tape and the earnings multiple already say. The honest summary is that the operating businesses are priced about right, and whether the shares are cheap depends on how much of a discount an unlisted minority financial-services stake is entitled to — a question this study poses precisely rather than settles. The envelope of the present-value reads, EGP 19.29 to 52.35, is wide enough on its own to demand real humility.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The next results release. </w:t>
      </w:r>
      <w:r>
        <w:rPr>
          <w:color w:val="1C3A36"/>
          <w:sz w:val="21"/>
        </w:rPr>
        <w:t>The reviewed half to 30 June 2026 is the anchor this forecast is struck on; the next print is the first test of whether the auto gross margin holds where that half left it, and of whether the finance-cost line responds as policy eases.</w:t>
      </w:r>
    </w:p>
    <w:p>
      <w:pPr>
        <w:pStyle w:val="ListBullet"/>
        <w:spacing w:after="60"/>
      </w:pPr>
      <w:r>
        <w:rPr>
          <w:b/>
          <w:color w:val="1C3A36"/>
          <w:sz w:val="21"/>
        </w:rPr>
        <w:t xml:space="preserve">Policy meetings. </w:t>
      </w:r>
      <w:r>
        <w:rPr>
          <w:color w:val="1C3A36"/>
          <w:sz w:val="21"/>
        </w:rPr>
        <w:t>Each cut lowers GB Capital’s funding cost, the customer’s instalment and this study’s discount rate at once — the single most mechanical catalyst on the list.</w:t>
      </w:r>
    </w:p>
    <w:p>
      <w:pPr>
        <w:pStyle w:val="ListBullet"/>
        <w:spacing w:after="60"/>
      </w:pPr>
      <w:r>
        <w:rPr>
          <w:b/>
          <w:color w:val="1C3A36"/>
          <w:sz w:val="21"/>
        </w:rPr>
        <w:t xml:space="preserve">An audited MNT-Halan financial statement. </w:t>
      </w:r>
      <w:r>
        <w:rPr>
          <w:color w:val="1C3A36"/>
          <w:sz w:val="21"/>
        </w:rPr>
        <w:t>The one disclosure that would collapse the gap between this study’s two branches. The reviewers of GB Corp’s own 30 June 2026 statements were not given that company’s accounts and said so; until somebody is, the carrying value and the round price are two claims with nothing between them.</w:t>
      </w:r>
    </w:p>
    <w:p>
      <w:pPr>
        <w:pStyle w:val="ListBullet"/>
        <w:spacing w:after="60"/>
      </w:pPr>
      <w:r>
        <w:rPr>
          <w:b/>
          <w:color w:val="1C3A36"/>
          <w:sz w:val="21"/>
        </w:rPr>
        <w:t xml:space="preserve">A secondary transaction in the associate’s shares. </w:t>
      </w:r>
      <w:r>
        <w:rPr>
          <w:color w:val="1C3A36"/>
          <w:sz w:val="21"/>
        </w:rPr>
        <w:t>A real trade at a real price is the only thing that would tell a reader which of the two branches — or neither — the market should be using. Any further disclosure bearing on how an unlisted minority stake of this size should be marked is the most value-relevant event available.</w:t>
      </w:r>
    </w:p>
    <w:p>
      <w:pPr>
        <w:pStyle w:val="ListBullet"/>
        <w:spacing w:after="60"/>
      </w:pPr>
      <w:r>
        <w:rPr>
          <w:b/>
          <w:color w:val="1C3A36"/>
          <w:sz w:val="21"/>
        </w:rPr>
        <w:t xml:space="preserve">The second closing of that round. </w:t>
      </w:r>
      <w:r>
        <w:rPr>
          <w:color w:val="1C3A36"/>
          <w:sz w:val="21"/>
        </w:rPr>
        <w:t>It would test whether the round’s valuation holds or moves; it does not change the ownership percentage, which the company has already stated.</w:t>
      </w:r>
    </w:p>
    <w:p>
      <w:pPr>
        <w:pStyle w:val="ListBullet"/>
        <w:spacing w:after="60"/>
      </w:pPr>
      <w:r>
        <w:rPr>
          <w:b/>
          <w:color w:val="1C3A36"/>
          <w:sz w:val="21"/>
        </w:rPr>
        <w:t xml:space="preserve">The assembly-plant ramp and new models. </w:t>
      </w:r>
      <w:r>
        <w:rPr>
          <w:color w:val="1C3A36"/>
          <w:sz w:val="21"/>
        </w:rPr>
        <w:t>Added capacity and local content, and the inventory unwind behind them, are the visible working-capital catalysts.</w:t>
      </w:r>
    </w:p>
    <w:p>
      <w:pPr>
        <w:pStyle w:val="ListBullet"/>
        <w:spacing w:after="60"/>
      </w:pPr>
      <w:r>
        <w:rPr>
          <w:b/>
          <w:color w:val="1C3A36"/>
          <w:sz w:val="21"/>
        </w:rPr>
        <w:t xml:space="preserve">Competitive pricing from new entrants. </w:t>
      </w:r>
      <w:r>
        <w:rPr>
          <w:color w:val="1C3A36"/>
          <w:sz w:val="21"/>
        </w:rPr>
        <w:t>The clearest threat to passenger-car prices and share in a recovering market.</w:t>
      </w:r>
    </w:p>
    <w:p>
      <w:pPr>
        <w:pStyle w:val="ListBullet"/>
        <w:spacing w:after="60"/>
      </w:pPr>
      <w:r>
        <w:rPr>
          <w:b/>
          <w:color w:val="1C3A36"/>
          <w:sz w:val="21"/>
        </w:rPr>
        <w:t xml:space="preserve">Regional normalisation. </w:t>
      </w:r>
      <w:r>
        <w:rPr>
          <w:color w:val="1C3A36"/>
          <w:sz w:val="21"/>
        </w:rPr>
        <w:t>Part of passenger-car revenue is Iraq and Jordan. This study does not hold a sourced split of that revenue for the reviewed half, so the exposure is named and not priced; any de-escalation restores the fastest-margin sales in the mix.</w:t>
      </w:r>
    </w:p>
    <w:p>
      <w:pPr>
        <w:pStyle w:val="ListBullet"/>
        <w:spacing w:after="60"/>
      </w:pPr>
      <w:r>
        <w:rPr>
          <w:b/>
          <w:color w:val="1C3A36"/>
          <w:sz w:val="21"/>
        </w:rPr>
        <w:t xml:space="preserve">The pound. </w:t>
      </w:r>
      <w:r>
        <w:rPr>
          <w:color w:val="1C3A36"/>
          <w:sz w:val="21"/>
        </w:rPr>
        <w:t>A step devaluation is the compound risk — assembly costs, rates, and the pound value of the round-price mark at once; continued stability is the quiet tailwind.</w:t>
      </w:r>
    </w:p>
    <w:p>
      <w:pPr>
        <w:pStyle w:val="ListBullet"/>
        <w:spacing w:after="60"/>
      </w:pPr>
      <w:r>
        <w:rPr>
          <w:b/>
          <w:color w:val="1C3A36"/>
          <w:sz w:val="21"/>
        </w:rPr>
        <w:t xml:space="preserve">The dividend decision. </w:t>
      </w:r>
      <w:r>
        <w:rPr>
          <w:color w:val="1C3A36"/>
          <w:sz w:val="21"/>
        </w:rPr>
        <w:t>A payout step-up would mark the cash-conversion inflection this study is waiting for. The model’s own forecast cash flows carry the constraint: the first forecast year converts EGP 151 mn of free cash flow against EGP 5,384 mn in the last.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EGP 29.51 session the cone was struck from and on the fundamental reads of §1: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8"/>
              </w:rPr>
              <w:t>Zone (3 months)</w:t>
            </w:r>
          </w:p>
        </w:tc>
        <w:tc>
          <w:tcPr>
            <w:tcW w:type="dxa" w:w="1872"/>
            <w:shd w:val="clear" w:color="auto" w:fill="EAF0EE"/>
          </w:tcPr>
          <w:p>
            <w:pPr>
              <w:spacing w:after="20"/>
            </w:pPr>
            <w:r>
              <w:rPr>
                <w:b/>
                <w:color w:val="1C3A36"/>
                <w:sz w:val="18"/>
              </w:rPr>
              <w:t>Range</w:t>
            </w:r>
          </w:p>
        </w:tc>
        <w:tc>
          <w:tcPr>
            <w:tcW w:type="dxa" w:w="1728"/>
            <w:shd w:val="clear" w:color="auto" w:fill="EAF0EE"/>
          </w:tcPr>
          <w:p>
            <w:pPr>
              <w:spacing w:after="20"/>
            </w:pPr>
            <w:r>
              <w:rPr>
                <w:b/>
                <w:color w:val="1C3A36"/>
                <w:sz w:val="18"/>
              </w:rPr>
              <w:t>Probability</w:t>
            </w:r>
          </w:p>
        </w:tc>
        <w:tc>
          <w:tcPr>
            <w:tcW w:type="dxa" w:w="4176"/>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below EGP 26</w:t>
            </w:r>
          </w:p>
        </w:tc>
        <w:tc>
          <w:tcPr>
            <w:tcW w:type="dxa" w:w="1728"/>
          </w:tcPr>
          <w:p>
            <w:pPr>
              <w:spacing w:after="20"/>
              <w:jc w:val="right"/>
            </w:pPr>
            <w:r>
              <w:rPr>
                <w:color w:val="1C3A36"/>
                <w:sz w:val="18"/>
              </w:rPr>
              <w:t>21%</w:t>
            </w:r>
          </w:p>
        </w:tc>
        <w:tc>
          <w:tcPr>
            <w:tcW w:type="dxa" w:w="4176"/>
          </w:tcPr>
          <w:p>
            <w:pPr>
              <w:spacing w:after="20"/>
              <w:jc w:val="right"/>
            </w:pPr>
            <w:r>
              <w:rPr>
                <w:color w:val="1C3A36"/>
                <w:sz w:val="18"/>
              </w:rPr>
              <w:t>Regional escalation or a devaluation; tests the lower shelf</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26–30</w:t>
            </w:r>
          </w:p>
        </w:tc>
        <w:tc>
          <w:tcPr>
            <w:tcW w:type="dxa" w:w="1728"/>
          </w:tcPr>
          <w:p>
            <w:pPr>
              <w:spacing w:after="20"/>
              <w:jc w:val="right"/>
            </w:pPr>
            <w:r>
              <w:rPr>
                <w:color w:val="1C3A36"/>
                <w:sz w:val="18"/>
              </w:rPr>
              <w:t>25%</w:t>
            </w:r>
          </w:p>
        </w:tc>
        <w:tc>
          <w:tcPr>
            <w:tcW w:type="dxa" w:w="4176"/>
          </w:tcPr>
          <w:p>
            <w:pPr>
              <w:spacing w:after="20"/>
              <w:jc w:val="right"/>
            </w:pPr>
            <w:r>
              <w:rPr>
                <w:color w:val="1C3A36"/>
                <w:sz w:val="18"/>
              </w:rPr>
              <w:t>Margin proof delayed; the earnings multiple dominates</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EGP 30–34</w:t>
            </w:r>
          </w:p>
        </w:tc>
        <w:tc>
          <w:tcPr>
            <w:tcW w:type="dxa" w:w="1728"/>
          </w:tcPr>
          <w:p>
            <w:pPr>
              <w:spacing w:after="20"/>
              <w:jc w:val="right"/>
            </w:pPr>
            <w:r>
              <w:rPr>
                <w:color w:val="1C3A36"/>
                <w:sz w:val="18"/>
              </w:rPr>
              <w:t>24%</w:t>
            </w:r>
          </w:p>
        </w:tc>
        <w:tc>
          <w:tcPr>
            <w:tcW w:type="dxa" w:w="4176"/>
          </w:tcPr>
          <w:p>
            <w:pPr>
              <w:spacing w:after="20"/>
              <w:jc w:val="right"/>
            </w:pPr>
            <w:r>
              <w:rPr>
                <w:color w:val="1C3A36"/>
                <w:sz w:val="18"/>
              </w:rPr>
              <w:t>Status quo; the price sits near disclosed book and pays nothing for the associate</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34–38</w:t>
            </w:r>
          </w:p>
        </w:tc>
        <w:tc>
          <w:tcPr>
            <w:tcW w:type="dxa" w:w="1728"/>
          </w:tcPr>
          <w:p>
            <w:pPr>
              <w:spacing w:after="20"/>
              <w:jc w:val="right"/>
            </w:pPr>
            <w:r>
              <w:rPr>
                <w:color w:val="1C3A36"/>
                <w:sz w:val="18"/>
              </w:rPr>
              <w:t>15%</w:t>
            </w:r>
          </w:p>
        </w:tc>
        <w:tc>
          <w:tcPr>
            <w:tcW w:type="dxa" w:w="4176"/>
          </w:tcPr>
          <w:p>
            <w:pPr>
              <w:spacing w:after="20"/>
              <w:jc w:val="right"/>
            </w:pPr>
            <w:r>
              <w:rPr>
                <w:color w:val="1C3A36"/>
                <w:sz w:val="18"/>
              </w:rPr>
              <w:t>Cuts and the working-capital release credited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above EGP 38</w:t>
            </w:r>
          </w:p>
        </w:tc>
        <w:tc>
          <w:tcPr>
            <w:tcW w:type="dxa" w:w="1728"/>
          </w:tcPr>
          <w:p>
            <w:pPr>
              <w:spacing w:after="20"/>
              <w:jc w:val="right"/>
            </w:pPr>
            <w:r>
              <w:rPr>
                <w:color w:val="1C3A36"/>
                <w:sz w:val="18"/>
              </w:rPr>
              <w:t>15%</w:t>
            </w:r>
          </w:p>
        </w:tc>
        <w:tc>
          <w:tcPr>
            <w:tcW w:type="dxa" w:w="4176"/>
          </w:tcPr>
          <w:p>
            <w:pPr>
              <w:spacing w:after="20"/>
              <w:jc w:val="right"/>
            </w:pPr>
            <w:r>
              <w:rPr>
                <w:color w:val="1C3A36"/>
                <w:sz w:val="18"/>
              </w:rPr>
              <w:t>The market begins to pay something for the associate line</w:t>
            </w:r>
          </w:p>
        </w:tc>
      </w:tr>
    </w:tbl>
    <w:p>
      <w:pPr>
        <w:spacing w:after="40"/>
      </w:pPr>
    </w:p>
    <w:p>
      <w:pPr>
        <w:spacing w:after="120" w:before="0"/>
      </w:pPr>
      <w:r>
        <w:rPr>
          <w:b w:val="0"/>
          <w:i w:val="0"/>
          <w:color w:val="1C3A36"/>
          <w:sz w:val="21"/>
        </w:rPr>
        <w:t>The distribution is right-skewed by construction: the drift measured on this stock’s own history plus fat-tailed innovations put 15% of terminal mass above EGP 38. Read that against the band record earlier in §3: over 57 resolved three-month forecasts this cone’s 90% band has contained the close 95% of the time against a 90% target. That is evidence about the WIDTH of the cone and says nothing about the direction of its median. This is the spread of outcomes consistent with the stock’s own measured behaviour and the factor stack; it is not a forecast.</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answer has two sides, and neither is a hedge. </w:t>
      </w:r>
      <w:r>
        <w:rPr>
          <w:color w:val="1C3A36"/>
          <w:sz w:val="21"/>
        </w:rPr>
        <w:t>GB Corp carries its MNT-Halan interest at EGP 15.7 bn in its own reviewed balance sheet at 30 June 2026 and announced a June-2026 funding round that marks the same interest at EGP 27.7 bn. Both are the company’s own disclosures; the filings do not decide between them and neither does this study. The two answers, EGP 41.35 and 52.35, differ in that one line and in nothing else — the auto leg, the lender and the residual associates are identical. Averaging them would produce a figure neither disclosure supports.</w:t>
      </w:r>
    </w:p>
    <w:p>
      <w:pPr>
        <w:pStyle w:val="ListBullet"/>
        <w:spacing w:after="60"/>
      </w:pPr>
      <w:r>
        <w:rPr>
          <w:b/>
          <w:color w:val="1C3A36"/>
          <w:sz w:val="21"/>
        </w:rPr>
        <w:t xml:space="preserve">The lower branch is not a safe harbour, and this is the most important sentence in the study. </w:t>
      </w:r>
      <w:r>
        <w:rPr>
          <w:color w:val="1C3A36"/>
          <w:sz w:val="21"/>
        </w:rPr>
        <w:t>The limited review of the 30 June 2026 consolidated statements reaches a QUALIFIED conclusion, and it is qualified at exactly this line: the reviewers state they “were not provided with the consolidated financial statements for one of the associate companies (MNT – BV)” and were therefore “unable to verify the accuracy of the Group’s share of the profits” — EGP 409.9 mn recorded in the period. The same qualification stood on the 31 December 2025 audited statements. So the conservative branch of this study rests on a carrying value that the reviewers of that balance sheet could not verify. That is a disclosure rather than a remeasurement — nothing in the valuation changes because of it — and it is the strongest available argument for discounting BOTH marks.</w:t>
      </w:r>
    </w:p>
    <w:p>
      <w:pPr>
        <w:pStyle w:val="ListBullet"/>
        <w:spacing w:after="60"/>
      </w:pPr>
      <w:r>
        <w:rPr>
          <w:b/>
          <w:color w:val="1C3A36"/>
          <w:sz w:val="21"/>
        </w:rPr>
        <w:t xml:space="preserve">The ownership percentage is disclosed twice and the two disclosures differ. </w:t>
      </w:r>
      <w:r>
        <w:rPr>
          <w:color w:val="1C3A36"/>
          <w:sz w:val="21"/>
        </w:rPr>
        <w:t>The press release of 9 June 2026 gives 41.61% from 42.58%; the reviewed statements and the review report give 42.93% from 44.01% for the same transaction, most likely at a different level of the structure. This study adopts the lower, because it is the figure the round it is applied to was announced with, and prints the other rather than leaving it out. It is worth a little over one and a half per cent of the round-price branch and exactly nothing on the other.</w:t>
      </w:r>
    </w:p>
    <w:p>
      <w:pPr>
        <w:pStyle w:val="ListBullet"/>
        <w:spacing w:after="60"/>
      </w:pPr>
      <w:r>
        <w:rPr>
          <w:b/>
          <w:color w:val="1C3A36"/>
          <w:sz w:val="21"/>
        </w:rPr>
        <w:t xml:space="preserve">There is no complexity discount, and its removal is a correction rather than an opinion. </w:t>
      </w:r>
      <w:r>
        <w:rPr>
          <w:color w:val="1C3A36"/>
          <w:sz w:val="21"/>
        </w:rPr>
        <w:t>The superseded edition deducted a typed ten per cent from the sum of the parts and then weighted the discounted and undiscounted sums, applying an effective four. Both figures were parameters with nothing observable behind them and nothing in GB Corp’s filings discloses a basis for either. They are gone. What such a discount was standing in for is now named instead — the uncertainty is in the associate mark and is published as two branches.</w:t>
      </w:r>
    </w:p>
    <w:p>
      <w:pPr>
        <w:pStyle w:val="ListBullet"/>
        <w:spacing w:after="60"/>
      </w:pPr>
      <w:r>
        <w:rPr>
          <w:b/>
          <w:color w:val="1C3A36"/>
          <w:sz w:val="21"/>
        </w:rPr>
        <w:t xml:space="preserve">There is no weighted blend either. </w:t>
      </w:r>
      <w:r>
        <w:rPr>
          <w:color w:val="1C3A36"/>
          <w:sz w:val="21"/>
        </w:rPr>
        <w:t>The superseded edition published a central that averaged four reads at weights that had never been tested against any alternative. One class primary is the answer and the other reads are cross-checks; a number produced by averaging several methods is a new method with untested parameters, wearing the appearance of caution.</w:t>
      </w:r>
    </w:p>
    <w:p>
      <w:pPr>
        <w:pStyle w:val="ListBullet"/>
        <w:spacing w:after="60"/>
      </w:pPr>
      <w:r>
        <w:rPr>
          <w:b/>
          <w:color w:val="1C3A36"/>
          <w:sz w:val="21"/>
        </w:rPr>
        <w:t xml:space="preserve">Working capital is the second-order model. </w:t>
      </w:r>
      <w:r>
        <w:rPr>
          <w:color w:val="1C3A36"/>
          <w:sz w:val="21"/>
        </w:rPr>
        <w:t>The operating leg’s value lives in the glide of working-capital intensity from 26.5% of revenue to 21.5%. If the higher figure is the new structural cost of holding share — import finance and assembly stock — the auto leg is worth materially less, and the §1.9 grid rather than a single sentence is where that is priced.</w:t>
      </w:r>
    </w:p>
    <w:p>
      <w:pPr>
        <w:pStyle w:val="ListBullet"/>
        <w:spacing w:after="60"/>
      </w:pPr>
      <w:r>
        <w:rPr>
          <w:b/>
          <w:color w:val="1C3A36"/>
          <w:sz w:val="21"/>
        </w:rPr>
        <w:t xml:space="preserve">Terminal-value dependency, and a life that could not be sourced. </w:t>
      </w:r>
      <w:r>
        <w:rPr>
          <w:color w:val="1C3A36"/>
          <w:sz w:val="21"/>
        </w:rPr>
        <w:t>84% of the auto leg’s enterprise value is terminal value, at a terminal spread of 7.18% between the cost of capital and growth. Worse, the house standard is that a terminal rests on a disclosed asset life, and none could be sourced here: the policy note gives rate ranges rather than a scalar, and the identity route depends on an undisclosed land split. The refusal is recorded in §1.2 rather than resolved by choosing a life, and it is the largest single piece of unfinished business in this study.</w:t>
      </w:r>
    </w:p>
    <w:p>
      <w:pPr>
        <w:pStyle w:val="ListBullet"/>
        <w:spacing w:after="60"/>
      </w:pPr>
      <w:r>
        <w:rPr>
          <w:b/>
          <w:color w:val="1C3A36"/>
          <w:sz w:val="21"/>
        </w:rPr>
        <w:t xml:space="preserve">The gap can be read as a rate rather than as a mark, and that reading is milder. </w:t>
      </w:r>
      <w:r>
        <w:rPr>
          <w:color w:val="1C3A36"/>
          <w:sz w:val="21"/>
        </w:rPr>
        <w:t>Solving the traded price for the auto leg’s cost of capital instead of the associate mark implies 31.28% on the round-price branch against this study’s 22.88%, and 25.71% on the carrying-value branch. The second is an ordinary disagreement about the cost of capital in this market. Both figures are solved from the price and used nowhere; they are printed because a binary between “the market is wrong about the associate” and “our auto leg is wrong” is too neat.</w:t>
      </w:r>
    </w:p>
    <w:p>
      <w:pPr>
        <w:pStyle w:val="ListBullet"/>
        <w:spacing w:after="60"/>
      </w:pPr>
      <w:r>
        <w:rPr>
          <w:b/>
          <w:color w:val="1C3A36"/>
          <w:sz w:val="21"/>
        </w:rPr>
        <w:t xml:space="preserve">The drift is empirical, and it is thin. </w:t>
      </w:r>
      <w:r>
        <w:rPr>
          <w:color w:val="1C3A36"/>
          <w:sz w:val="21"/>
        </w:rPr>
        <w:t>The upward median rests on a drift measured on this stock’s own history and on nothing else. What that supports is set out in §3 and is a claim about the WIDTH of the band rather than about the direction of its middle: over 57 resolved three-month forecasts the price finished inside the 90% band 95% of the time against a 90% target. A regime turn would flip the median read; the drift is re-tested at every roll-forward and cut the moment the record stops holding.</w:t>
      </w:r>
    </w:p>
    <w:p>
      <w:pPr>
        <w:pStyle w:val="ListBullet"/>
        <w:spacing w:after="60"/>
      </w:pPr>
      <w:r>
        <w:rPr>
          <w:b/>
          <w:color w:val="1C3A36"/>
          <w:sz w:val="21"/>
        </w:rPr>
        <w:t xml:space="preserve">The lender is a credit cycle, and its mark is a return the cycle sets. </w:t>
      </w:r>
      <w:r>
        <w:rPr>
          <w:color w:val="1C3A36"/>
          <w:sz w:val="21"/>
        </w:rPr>
        <w:t>GB Capital is marked at 0.26× its operating equity because a reviewed return of 10.10% against a terminal cost of equity of 18.73% supports that and no more. On the FY2025 full-year return of 14.71% the same arithmetic gives EGP 4,117 mn instead. The study took the reviewed half because a near-term reviewed actual outranks a stale full-year rate, and that is also the lower number; a funding-market seizure or a deterioration in credit would take it lower again.</w:t>
      </w:r>
    </w:p>
    <w:p>
      <w:pPr>
        <w:pStyle w:val="ListBullet"/>
        <w:spacing w:after="60"/>
      </w:pPr>
      <w:r>
        <w:rPr>
          <w:b/>
          <w:color w:val="1C3A36"/>
          <w:sz w:val="21"/>
        </w:rPr>
        <w:t xml:space="preserve">Consolidation approximations. </w:t>
      </w:r>
      <w:r>
        <w:rPr>
          <w:color w:val="1C3A36"/>
          <w:sz w:val="21"/>
        </w:rPr>
        <w:t>The consolidated forecast maps eliminations, minority interests and the grouped balance-sheet layout with stated simplifications. Segment disclosure, not audited consolidation schedules, is the source for the split of the group into legs.</w:t>
      </w:r>
    </w:p>
    <w:p>
      <w:pPr>
        <w:pStyle w:val="ListBullet"/>
        <w:spacing w:after="60"/>
      </w:pPr>
      <w:r>
        <w:rPr>
          <w:b/>
          <w:color w:val="1C3A36"/>
          <w:sz w:val="21"/>
        </w:rPr>
        <w:t xml:space="preserve">The far forecast years are ranges, and thin ones. </w:t>
      </w:r>
      <w:r>
        <w:rPr>
          <w:color w:val="1C3A36"/>
          <w:sz w:val="21"/>
        </w:rPr>
        <w:t>Appendix A publishes the third, fourth and fifth forecast years as ranges taken from how wrong this method has been on this company’s own history. Those ranges rest on a handful of observations each — the table prints the count beside every one — and the count is what tells a reader what the range can and cannot promise.</w:t>
      </w:r>
    </w:p>
    <w:p>
      <w:pPr>
        <w:pStyle w:val="ListBullet"/>
        <w:spacing w:after="60"/>
      </w:pPr>
      <w:r>
        <w:rPr>
          <w:b/>
          <w:color w:val="1C3A36"/>
          <w:sz w:val="21"/>
        </w:rPr>
        <w:t xml:space="preserve">Technical reminder. </w:t>
      </w:r>
      <w:r>
        <w:rPr>
          <w:color w:val="1C3A36"/>
          <w:sz w:val="21"/>
        </w:rPr>
        <w:t>The technical read is context, not a trigger, and it is computed on an older session than the price the valuation is struck on. Both dates are printed wherever either figure is quoted.</w:t>
      </w:r>
    </w:p>
    <w:p>
      <w:pPr>
        <w:spacing w:after="120" w:before="280"/>
      </w:pPr>
      <w:r>
        <w:rPr>
          <w:b/>
          <w:i w:val="0"/>
          <w:color w:val="1C3A36"/>
          <w:sz w:val="30"/>
        </w:rPr>
        <w:t>Appendix A  Financial statements</w:t>
      </w:r>
    </w:p>
    <w:p>
      <w:pPr>
        <w:spacing w:after="120" w:before="0"/>
      </w:pPr>
      <w:r>
        <w:rPr>
          <w:b w:val="0"/>
          <w:i w:val="0"/>
          <w:color w:val="1C3A36"/>
          <w:sz w:val="21"/>
        </w:rPr>
        <w:t>The historical columns are the company’s own consolidated income statement as originally reported, taken from the earnings release named against each year; every year is asserted to foot against its own arithmetic before it enters this study. The forecast columns are the model’s own build and reprice from the drivers in the companion workbook.</w:t>
      </w:r>
    </w:p>
    <w:p>
      <w:pPr>
        <w:spacing w:after="80" w:before="200"/>
      </w:pPr>
      <w:r>
        <w:rPr>
          <w:b/>
          <w:i w:val="0"/>
          <w:color w:val="1C3A36"/>
          <w:sz w:val="24"/>
        </w:rPr>
        <w:t>A.1  The far forecast years, published as ranges</w:t>
      </w:r>
    </w:p>
    <w:p>
      <w:pPr>
        <w:spacing w:after="120" w:before="0"/>
      </w:pPr>
      <w:r>
        <w:rPr>
          <w:b w:val="0"/>
          <w:i w:val="0"/>
          <w:color w:val="1C3A36"/>
          <w:sz w:val="19"/>
        </w:rPr>
        <w:t>The method behind this forecast was tested on GB Corp’s own history before it was trusted on its future: the driver model was rebuilt as it stood at a series of past origins, projected forward, and every driver scored against what the company actually went on to report. The table below carries what that record supports for the third, fourth and fifth forecast years — a RANGE rather than a point. Read the basis column: these bounds are the SPAN OF THE OBSERVED OUTCOMES, not percentiles. With the counts shown, a percentile would be a statistic invented for the occasion, and this study does not invent one.</w:t>
      </w:r>
    </w:p>
    <w:p>
      <w:pPr>
        <w:spacing w:after="120" w:before="0"/>
      </w:pPr>
      <w:r>
        <w:rPr>
          <w:b w:val="0"/>
          <w:i w:val="0"/>
          <w:color w:val="1C3A36"/>
          <w:sz w:val="19"/>
        </w:rPr>
        <w:t>The bands are stated as the ratio of what the company REPORTED to what the method FORECAST, so a figure above one is a year the method came in low. They are applied by multiplying the point projection.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2088"/>
            <w:shd w:val="clear" w:color="auto" w:fill="EAF0EE"/>
          </w:tcPr>
          <w:p>
            <w:pPr>
              <w:spacing w:after="20"/>
            </w:pPr>
            <w:r>
              <w:rPr>
                <w:b/>
                <w:color w:val="1C3A36"/>
                <w:sz w:val="16"/>
              </w:rPr>
              <w:t>Forecast year</w:t>
            </w:r>
          </w:p>
        </w:tc>
        <w:tc>
          <w:tcPr>
            <w:tcW w:type="dxa" w:w="1368"/>
            <w:shd w:val="clear" w:color="auto" w:fill="EAF0EE"/>
          </w:tcPr>
          <w:p>
            <w:pPr>
              <w:spacing w:after="20"/>
            </w:pPr>
            <w:r>
              <w:rPr>
                <w:b/>
                <w:color w:val="1C3A36"/>
                <w:sz w:val="16"/>
              </w:rPr>
              <w:t>Low</w:t>
            </w:r>
          </w:p>
        </w:tc>
        <w:tc>
          <w:tcPr>
            <w:tcW w:type="dxa" w:w="1368"/>
            <w:shd w:val="clear" w:color="auto" w:fill="EAF0EE"/>
          </w:tcPr>
          <w:p>
            <w:pPr>
              <w:spacing w:after="20"/>
            </w:pPr>
            <w:r>
              <w:rPr>
                <w:b/>
                <w:color w:val="1C3A36"/>
                <w:sz w:val="16"/>
              </w:rPr>
              <w:t>Point</w:t>
            </w:r>
          </w:p>
        </w:tc>
        <w:tc>
          <w:tcPr>
            <w:tcW w:type="dxa" w:w="1368"/>
            <w:shd w:val="clear" w:color="auto" w:fill="EAF0EE"/>
          </w:tcPr>
          <w:p>
            <w:pPr>
              <w:spacing w:after="20"/>
            </w:pPr>
            <w:r>
              <w:rPr>
                <w:b/>
                <w:color w:val="1C3A36"/>
                <w:sz w:val="16"/>
              </w:rPr>
              <w:t>High</w:t>
            </w:r>
          </w:p>
        </w:tc>
        <w:tc>
          <w:tcPr>
            <w:tcW w:type="dxa" w:w="1512"/>
            <w:shd w:val="clear" w:color="auto" w:fill="EAF0EE"/>
          </w:tcPr>
          <w:p>
            <w:pPr>
              <w:spacing w:after="20"/>
            </w:pPr>
            <w:r>
              <w:rPr>
                <w:b/>
                <w:color w:val="1C3A36"/>
                <w:sz w:val="16"/>
              </w:rPr>
              <w:t>Band applied</w:t>
            </w:r>
          </w:p>
        </w:tc>
        <w:tc>
          <w:tcPr>
            <w:tcW w:type="dxa" w:w="1080"/>
            <w:shd w:val="clear" w:color="auto" w:fill="EAF0EE"/>
          </w:tcPr>
          <w:p>
            <w:pPr>
              <w:spacing w:after="20"/>
            </w:pPr>
            <w:r>
              <w:rPr>
                <w:b/>
                <w:color w:val="1C3A36"/>
                <w:sz w:val="16"/>
              </w:rPr>
              <w:t>Basis</w:t>
            </w:r>
          </w:p>
        </w:tc>
        <w:tc>
          <w:tcPr>
            <w:tcW w:type="dxa" w:w="1368"/>
            <w:shd w:val="clear" w:color="auto" w:fill="EAF0EE"/>
          </w:tcPr>
          <w:p>
            <w:pPr>
              <w:spacing w:after="20"/>
            </w:pPr>
            <w:r>
              <w:rPr>
                <w:b/>
                <w:color w:val="1C3A36"/>
                <w:sz w:val="16"/>
              </w:rPr>
              <w:t>Observations</w:t>
            </w:r>
          </w:p>
        </w:tc>
      </w:tr>
      <w:tr>
        <w:tc>
          <w:tcPr>
            <w:tcW w:type="dxa" w:w="2088"/>
            <w:shd w:val="clear" w:color="auto" w:fill="F6F1E6"/>
          </w:tcPr>
          <w:p>
            <w:pPr>
              <w:spacing w:after="20"/>
            </w:pPr>
            <w:r>
              <w:rPr>
                <w:b/>
                <w:color w:val="1C3A36"/>
                <w:sz w:val="16"/>
              </w:rPr>
              <w:t>Group revenue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86,139</w:t>
            </w:r>
          </w:p>
        </w:tc>
        <w:tc>
          <w:tcPr>
            <w:tcW w:type="dxa" w:w="1368"/>
          </w:tcPr>
          <w:p>
            <w:pPr>
              <w:spacing w:after="20"/>
              <w:jc w:val="right"/>
            </w:pPr>
            <w:r>
              <w:rPr>
                <w:color w:val="1C3A36"/>
                <w:sz w:val="16"/>
              </w:rPr>
              <w:t>145,578</w:t>
            </w:r>
          </w:p>
        </w:tc>
        <w:tc>
          <w:tcPr>
            <w:tcW w:type="dxa" w:w="1368"/>
          </w:tcPr>
          <w:p>
            <w:pPr>
              <w:spacing w:after="20"/>
              <w:jc w:val="right"/>
            </w:pPr>
            <w:r>
              <w:rPr>
                <w:color w:val="1C3A36"/>
                <w:sz w:val="16"/>
              </w:rPr>
              <w:t>324,625</w:t>
            </w:r>
          </w:p>
        </w:tc>
        <w:tc>
          <w:tcPr>
            <w:tcW w:type="dxa" w:w="1512"/>
          </w:tcPr>
          <w:p>
            <w:pPr>
              <w:spacing w:after="20"/>
              <w:jc w:val="right"/>
            </w:pPr>
            <w:r>
              <w:rPr>
                <w:color w:val="1C3A36"/>
                <w:sz w:val="16"/>
              </w:rPr>
              <w:t>0.59–2.23×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75,162</w:t>
            </w:r>
          </w:p>
        </w:tc>
        <w:tc>
          <w:tcPr>
            <w:tcW w:type="dxa" w:w="1368"/>
          </w:tcPr>
          <w:p>
            <w:pPr>
              <w:spacing w:after="20"/>
              <w:jc w:val="right"/>
            </w:pPr>
            <w:r>
              <w:rPr>
                <w:color w:val="1C3A36"/>
                <w:sz w:val="16"/>
              </w:rPr>
              <w:t>168,525</w:t>
            </w:r>
          </w:p>
        </w:tc>
        <w:tc>
          <w:tcPr>
            <w:tcW w:type="dxa" w:w="1368"/>
          </w:tcPr>
          <w:p>
            <w:pPr>
              <w:spacing w:after="20"/>
              <w:jc w:val="right"/>
            </w:pPr>
            <w:r>
              <w:rPr>
                <w:color w:val="1C3A36"/>
                <w:sz w:val="16"/>
              </w:rPr>
              <w:t>303,952</w:t>
            </w:r>
          </w:p>
        </w:tc>
        <w:tc>
          <w:tcPr>
            <w:tcW w:type="dxa" w:w="1512"/>
          </w:tcPr>
          <w:p>
            <w:pPr>
              <w:spacing w:after="20"/>
              <w:jc w:val="right"/>
            </w:pPr>
            <w:r>
              <w:rPr>
                <w:color w:val="1C3A36"/>
                <w:sz w:val="16"/>
              </w:rPr>
              <w:t>0.45–1.80×</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64,968</w:t>
            </w:r>
          </w:p>
        </w:tc>
        <w:tc>
          <w:tcPr>
            <w:tcW w:type="dxa" w:w="1368"/>
          </w:tcPr>
          <w:p>
            <w:pPr>
              <w:spacing w:after="20"/>
              <w:jc w:val="right"/>
            </w:pPr>
            <w:r>
              <w:rPr>
                <w:color w:val="1C3A36"/>
                <w:sz w:val="16"/>
              </w:rPr>
              <w:t>191,817</w:t>
            </w:r>
          </w:p>
        </w:tc>
        <w:tc>
          <w:tcPr>
            <w:tcW w:type="dxa" w:w="1368"/>
          </w:tcPr>
          <w:p>
            <w:pPr>
              <w:spacing w:after="20"/>
              <w:jc w:val="right"/>
            </w:pPr>
            <w:r>
              <w:rPr>
                <w:color w:val="1C3A36"/>
                <w:sz w:val="16"/>
              </w:rPr>
              <w:t>391,594</w:t>
            </w:r>
          </w:p>
        </w:tc>
        <w:tc>
          <w:tcPr>
            <w:tcW w:type="dxa" w:w="1512"/>
          </w:tcPr>
          <w:p>
            <w:pPr>
              <w:spacing w:after="20"/>
              <w:jc w:val="right"/>
            </w:pPr>
            <w:r>
              <w:rPr>
                <w:color w:val="1C3A36"/>
                <w:sz w:val="16"/>
              </w:rPr>
              <w:t>0.34–2.04×</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gross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20,525</w:t>
            </w:r>
          </w:p>
        </w:tc>
        <w:tc>
          <w:tcPr>
            <w:tcW w:type="dxa" w:w="1368"/>
          </w:tcPr>
          <w:p>
            <w:pPr>
              <w:spacing w:after="20"/>
              <w:jc w:val="right"/>
            </w:pPr>
            <w:r>
              <w:rPr>
                <w:color w:val="1C3A36"/>
                <w:sz w:val="16"/>
              </w:rPr>
              <w:t>22,653</w:t>
            </w:r>
          </w:p>
        </w:tc>
        <w:tc>
          <w:tcPr>
            <w:tcW w:type="dxa" w:w="1368"/>
          </w:tcPr>
          <w:p>
            <w:pPr>
              <w:spacing w:after="20"/>
              <w:jc w:val="right"/>
            </w:pPr>
            <w:r>
              <w:rPr>
                <w:color w:val="1C3A36"/>
                <w:sz w:val="16"/>
              </w:rPr>
              <w:t>34,672</w:t>
            </w:r>
          </w:p>
        </w:tc>
        <w:tc>
          <w:tcPr>
            <w:tcW w:type="dxa" w:w="1512"/>
          </w:tcPr>
          <w:p>
            <w:pPr>
              <w:spacing w:after="20"/>
              <w:jc w:val="right"/>
            </w:pPr>
            <w:r>
              <w:rPr>
                <w:color w:val="1C3A36"/>
                <w:sz w:val="16"/>
              </w:rPr>
              <w:t>0.91–1.53×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24,474</w:t>
            </w:r>
          </w:p>
        </w:tc>
        <w:tc>
          <w:tcPr>
            <w:tcW w:type="dxa" w:w="1368"/>
          </w:tcPr>
          <w:p>
            <w:pPr>
              <w:spacing w:after="20"/>
              <w:jc w:val="right"/>
            </w:pPr>
            <w:r>
              <w:rPr>
                <w:color w:val="1C3A36"/>
                <w:sz w:val="16"/>
              </w:rPr>
              <w:t>26,376</w:t>
            </w:r>
          </w:p>
        </w:tc>
        <w:tc>
          <w:tcPr>
            <w:tcW w:type="dxa" w:w="1368"/>
          </w:tcPr>
          <w:p>
            <w:pPr>
              <w:spacing w:after="20"/>
              <w:jc w:val="right"/>
            </w:pPr>
            <w:r>
              <w:rPr>
                <w:color w:val="1C3A36"/>
                <w:sz w:val="16"/>
              </w:rPr>
              <w:t>48,151</w:t>
            </w:r>
          </w:p>
        </w:tc>
        <w:tc>
          <w:tcPr>
            <w:tcW w:type="dxa" w:w="1512"/>
          </w:tcPr>
          <w:p>
            <w:pPr>
              <w:spacing w:after="20"/>
              <w:jc w:val="right"/>
            </w:pPr>
            <w:r>
              <w:rPr>
                <w:color w:val="1C3A36"/>
                <w:sz w:val="16"/>
              </w:rPr>
              <w:t>0.93–1.83×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19,002</w:t>
            </w:r>
          </w:p>
        </w:tc>
        <w:tc>
          <w:tcPr>
            <w:tcW w:type="dxa" w:w="1368"/>
          </w:tcPr>
          <w:p>
            <w:pPr>
              <w:spacing w:after="20"/>
              <w:jc w:val="right"/>
            </w:pPr>
            <w:r>
              <w:rPr>
                <w:color w:val="1C3A36"/>
                <w:sz w:val="16"/>
              </w:rPr>
              <w:t>30,205</w:t>
            </w:r>
          </w:p>
        </w:tc>
        <w:tc>
          <w:tcPr>
            <w:tcW w:type="dxa" w:w="1368"/>
          </w:tcPr>
          <w:p>
            <w:pPr>
              <w:spacing w:after="20"/>
              <w:jc w:val="right"/>
            </w:pPr>
            <w:r>
              <w:rPr>
                <w:color w:val="1C3A36"/>
                <w:sz w:val="16"/>
              </w:rPr>
              <w:t>58,174</w:t>
            </w:r>
          </w:p>
        </w:tc>
        <w:tc>
          <w:tcPr>
            <w:tcW w:type="dxa" w:w="1512"/>
          </w:tcPr>
          <w:p>
            <w:pPr>
              <w:spacing w:after="20"/>
              <w:jc w:val="right"/>
            </w:pPr>
            <w:r>
              <w:rPr>
                <w:color w:val="1C3A36"/>
                <w:sz w:val="16"/>
              </w:rPr>
              <w:t>0.63–1.93×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operating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12,995</w:t>
            </w:r>
          </w:p>
        </w:tc>
        <w:tc>
          <w:tcPr>
            <w:tcW w:type="dxa" w:w="1368"/>
          </w:tcPr>
          <w:p>
            <w:pPr>
              <w:spacing w:after="20"/>
              <w:jc w:val="right"/>
            </w:pPr>
            <w:r>
              <w:rPr>
                <w:color w:val="1C3A36"/>
                <w:sz w:val="16"/>
              </w:rPr>
              <w:t>12,462</w:t>
            </w:r>
          </w:p>
        </w:tc>
        <w:tc>
          <w:tcPr>
            <w:tcW w:type="dxa" w:w="1368"/>
          </w:tcPr>
          <w:p>
            <w:pPr>
              <w:spacing w:after="20"/>
              <w:jc w:val="right"/>
            </w:pPr>
            <w:r>
              <w:rPr>
                <w:color w:val="1C3A36"/>
                <w:sz w:val="16"/>
              </w:rPr>
              <w:t>24,477</w:t>
            </w:r>
          </w:p>
        </w:tc>
        <w:tc>
          <w:tcPr>
            <w:tcW w:type="dxa" w:w="1512"/>
          </w:tcPr>
          <w:p>
            <w:pPr>
              <w:spacing w:after="20"/>
              <w:jc w:val="right"/>
            </w:pPr>
            <w:r>
              <w:rPr>
                <w:color w:val="1C3A36"/>
                <w:sz w:val="16"/>
              </w:rPr>
              <w:t>1.04–1.96×</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15,490</w:t>
            </w:r>
          </w:p>
        </w:tc>
        <w:tc>
          <w:tcPr>
            <w:tcW w:type="dxa" w:w="1368"/>
          </w:tcPr>
          <w:p>
            <w:pPr>
              <w:spacing w:after="20"/>
              <w:jc w:val="right"/>
            </w:pPr>
            <w:r>
              <w:rPr>
                <w:color w:val="1C3A36"/>
                <w:sz w:val="16"/>
              </w:rPr>
              <w:t>14,663</w:t>
            </w:r>
          </w:p>
        </w:tc>
        <w:tc>
          <w:tcPr>
            <w:tcW w:type="dxa" w:w="1368"/>
          </w:tcPr>
          <w:p>
            <w:pPr>
              <w:spacing w:after="20"/>
              <w:jc w:val="right"/>
            </w:pPr>
            <w:r>
              <w:rPr>
                <w:color w:val="1C3A36"/>
                <w:sz w:val="16"/>
              </w:rPr>
              <w:t>33,145</w:t>
            </w:r>
          </w:p>
        </w:tc>
        <w:tc>
          <w:tcPr>
            <w:tcW w:type="dxa" w:w="1512"/>
          </w:tcPr>
          <w:p>
            <w:pPr>
              <w:spacing w:after="20"/>
              <w:jc w:val="right"/>
            </w:pPr>
            <w:r>
              <w:rPr>
                <w:color w:val="1C3A36"/>
                <w:sz w:val="16"/>
              </w:rPr>
              <w:t>1.06–2.26×</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14,399</w:t>
            </w:r>
          </w:p>
        </w:tc>
        <w:tc>
          <w:tcPr>
            <w:tcW w:type="dxa" w:w="1368"/>
          </w:tcPr>
          <w:p>
            <w:pPr>
              <w:spacing w:after="20"/>
              <w:jc w:val="right"/>
            </w:pPr>
            <w:r>
              <w:rPr>
                <w:color w:val="1C3A36"/>
                <w:sz w:val="16"/>
              </w:rPr>
              <w:t>16,969</w:t>
            </w:r>
          </w:p>
        </w:tc>
        <w:tc>
          <w:tcPr>
            <w:tcW w:type="dxa" w:w="1368"/>
          </w:tcPr>
          <w:p>
            <w:pPr>
              <w:spacing w:after="20"/>
              <w:jc w:val="right"/>
            </w:pPr>
            <w:r>
              <w:rPr>
                <w:color w:val="1C3A36"/>
                <w:sz w:val="16"/>
              </w:rPr>
              <w:t>38,909</w:t>
            </w:r>
          </w:p>
        </w:tc>
        <w:tc>
          <w:tcPr>
            <w:tcW w:type="dxa" w:w="1512"/>
          </w:tcPr>
          <w:p>
            <w:pPr>
              <w:spacing w:after="20"/>
              <w:jc w:val="right"/>
            </w:pPr>
            <w:r>
              <w:rPr>
                <w:color w:val="1C3A36"/>
                <w:sz w:val="16"/>
              </w:rPr>
              <w:t>0.85–2.29×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net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9,188</w:t>
            </w:r>
          </w:p>
        </w:tc>
        <w:tc>
          <w:tcPr>
            <w:tcW w:type="dxa" w:w="1368"/>
          </w:tcPr>
          <w:p>
            <w:pPr>
              <w:spacing w:after="20"/>
              <w:jc w:val="right"/>
            </w:pPr>
            <w:r>
              <w:rPr>
                <w:color w:val="1C3A36"/>
                <w:sz w:val="16"/>
              </w:rPr>
              <w:t>7,474</w:t>
            </w:r>
          </w:p>
        </w:tc>
        <w:tc>
          <w:tcPr>
            <w:tcW w:type="dxa" w:w="1368"/>
          </w:tcPr>
          <w:p>
            <w:pPr>
              <w:spacing w:after="20"/>
              <w:jc w:val="right"/>
            </w:pPr>
            <w:r>
              <w:rPr>
                <w:color w:val="1C3A36"/>
                <w:sz w:val="16"/>
              </w:rPr>
              <w:t>17,110</w:t>
            </w:r>
          </w:p>
        </w:tc>
        <w:tc>
          <w:tcPr>
            <w:tcW w:type="dxa" w:w="1512"/>
          </w:tcPr>
          <w:p>
            <w:pPr>
              <w:spacing w:after="20"/>
              <w:jc w:val="right"/>
            </w:pPr>
            <w:r>
              <w:rPr>
                <w:color w:val="1C3A36"/>
                <w:sz w:val="16"/>
              </w:rPr>
              <w:t>1.23–2.29×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3</w:t>
            </w:r>
          </w:p>
        </w:tc>
      </w:tr>
      <w:tr>
        <w:tc>
          <w:tcPr>
            <w:tcW w:type="dxa" w:w="2088"/>
          </w:tcPr>
          <w:p>
            <w:pPr>
              <w:spacing w:after="20"/>
            </w:pPr>
            <w:r>
              <w:rPr>
                <w:color w:val="1C3A36"/>
                <w:sz w:val="16"/>
              </w:rPr>
              <w:t>FY2029</w:t>
            </w:r>
          </w:p>
        </w:tc>
        <w:tc>
          <w:tcPr>
            <w:tcW w:type="dxa" w:w="1368"/>
          </w:tcPr>
          <w:p>
            <w:pPr>
              <w:spacing w:after="20"/>
              <w:jc w:val="right"/>
            </w:pPr>
            <w:r>
              <w:rPr>
                <w:color w:val="1C3A36"/>
                <w:sz w:val="16"/>
              </w:rPr>
              <w:t>15,675</w:t>
            </w:r>
          </w:p>
        </w:tc>
        <w:tc>
          <w:tcPr>
            <w:tcW w:type="dxa" w:w="1368"/>
          </w:tcPr>
          <w:p>
            <w:pPr>
              <w:spacing w:after="20"/>
              <w:jc w:val="right"/>
            </w:pPr>
            <w:r>
              <w:rPr>
                <w:color w:val="1C3A36"/>
                <w:sz w:val="16"/>
              </w:rPr>
              <w:t>9,309</w:t>
            </w:r>
          </w:p>
        </w:tc>
        <w:tc>
          <w:tcPr>
            <w:tcW w:type="dxa" w:w="1368"/>
          </w:tcPr>
          <w:p>
            <w:pPr>
              <w:spacing w:after="20"/>
              <w:jc w:val="right"/>
            </w:pPr>
            <w:r>
              <w:rPr>
                <w:color w:val="1C3A36"/>
                <w:sz w:val="16"/>
              </w:rPr>
              <w:t>29,559</w:t>
            </w:r>
          </w:p>
        </w:tc>
        <w:tc>
          <w:tcPr>
            <w:tcW w:type="dxa" w:w="1512"/>
          </w:tcPr>
          <w:p>
            <w:pPr>
              <w:spacing w:after="20"/>
              <w:jc w:val="right"/>
            </w:pPr>
            <w:r>
              <w:rPr>
                <w:color w:val="1C3A36"/>
                <w:sz w:val="16"/>
              </w:rPr>
              <w:t>1.68–3.18×</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2</w:t>
            </w:r>
          </w:p>
        </w:tc>
      </w:tr>
      <w:tr>
        <w:tc>
          <w:tcPr>
            <w:tcW w:type="dxa" w:w="2088"/>
          </w:tcPr>
          <w:p>
            <w:pPr>
              <w:spacing w:after="20"/>
            </w:pPr>
            <w:r>
              <w:rPr>
                <w:color w:val="1C3A36"/>
                <w:sz w:val="16"/>
              </w:rPr>
              <w:t>FY2030</w:t>
            </w:r>
          </w:p>
        </w:tc>
        <w:tc>
          <w:tcPr>
            <w:tcW w:type="dxa" w:w="1368"/>
          </w:tcPr>
          <w:p>
            <w:pPr>
              <w:spacing w:after="20"/>
              <w:jc w:val="right"/>
            </w:pPr>
            <w:r>
              <w:rPr>
                <w:color w:val="1C3A36"/>
                <w:sz w:val="16"/>
              </w:rPr>
              <w:t>31,265</w:t>
            </w:r>
          </w:p>
        </w:tc>
        <w:tc>
          <w:tcPr>
            <w:tcW w:type="dxa" w:w="1368"/>
          </w:tcPr>
          <w:p>
            <w:pPr>
              <w:spacing w:after="20"/>
              <w:jc w:val="right"/>
            </w:pPr>
            <w:r>
              <w:rPr>
                <w:color w:val="1C3A36"/>
                <w:sz w:val="16"/>
              </w:rPr>
              <w:t>11,219</w:t>
            </w:r>
          </w:p>
        </w:tc>
        <w:tc>
          <w:tcPr>
            <w:tcW w:type="dxa" w:w="1368"/>
          </w:tcPr>
          <w:p>
            <w:pPr>
              <w:spacing w:after="20"/>
              <w:jc w:val="right"/>
            </w:pPr>
            <w:r>
              <w:rPr>
                <w:color w:val="1C3A36"/>
                <w:sz w:val="16"/>
              </w:rPr>
              <w:t>31,265</w:t>
            </w:r>
          </w:p>
        </w:tc>
        <w:tc>
          <w:tcPr>
            <w:tcW w:type="dxa" w:w="1512"/>
          </w:tcPr>
          <w:p>
            <w:pPr>
              <w:spacing w:after="20"/>
              <w:jc w:val="right"/>
            </w:pPr>
            <w:r>
              <w:rPr>
                <w:color w:val="1C3A36"/>
                <w:sz w:val="16"/>
              </w:rPr>
              <w:t>2.79–2.79×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1</w:t>
            </w:r>
          </w:p>
        </w:tc>
      </w:tr>
    </w:tbl>
    <w:p>
      <w:pPr>
        <w:spacing w:after="40"/>
      </w:pPr>
    </w:p>
    <w:p>
      <w:pPr>
        <w:spacing w:after="200" w:before="0"/>
      </w:pPr>
      <w:r>
        <w:rPr>
          <w:b w:val="0"/>
          <w:i/>
          <w:color w:val="6E7B77"/>
          <w:sz w:val="17"/>
        </w:rPr>
        <w:t>Table A0 — the third, fourth and fifth forecast years as ranges. Each band is the full span of that many past readings of how far out this method has been on this company, applied to the point projection above. The observation count falls as the horizon lengthens, because a five-year error can only be scored where five years of history have since resolved.</w:t>
      </w:r>
    </w:p>
    <w:p>
      <w:pPr>
        <w:spacing w:after="120" w:before="0"/>
      </w:pPr>
      <w:r>
        <w:rPr>
          <w:b w:val="0"/>
          <w:i w:val="0"/>
          <w:color w:val="1C3A36"/>
          <w:sz w:val="19"/>
        </w:rPr>
        <w:t>What a range of this kind can honestly promise, at each of the record lengths above:</w:t>
      </w:r>
    </w:p>
    <w:p>
      <w:pPr>
        <w:spacing w:after="60" w:before="0"/>
      </w:pPr>
      <w:r>
        <w:rPr>
          <w:b w:val="0"/>
          <w:i w:val="0"/>
          <w:color w:val="1C3A36"/>
          <w:sz w:val="18"/>
        </w:rPr>
        <w:t>· The range is the full span of 1 past observation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2 past observations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3 past observations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5 past readings of how far out this method has been on this company. A span of 5 readings would be expected to contain the next one about 67 times in 100 — not 90. Tested against 43 resolved readings on bands resting on the same 5 readings, ranges of this kind contained the outcome 51 times in 100. Read it as the widest and narrowest we have been, which is narrower than a confidence interval rather than wider.</w:t>
      </w:r>
    </w:p>
    <w:p>
      <w:pPr>
        <w:spacing w:after="60" w:before="0"/>
      </w:pPr>
      <w:r>
        <w:rPr>
          <w:b w:val="0"/>
          <w:i w:val="0"/>
          <w:color w:val="1C3A36"/>
          <w:sz w:val="18"/>
        </w:rPr>
        <w:t>· The range is the full span of 6 past readings of how far out this method has been on this company. A span of 6 readings would be expected to contain the next one about 71 times in 100 — not 90. Tested against 30 resolved readings on bands resting on the same 6 readings, ranges of this kind contained the outcome 50 times in 100. Read it as the widest and narrowest we have been, which is narrower than a confidence interval rather than wider.</w:t>
      </w:r>
    </w:p>
    <w:p>
      <w:pPr>
        <w:spacing w:after="60" w:before="0"/>
      </w:pPr>
      <w:r>
        <w:rPr>
          <w:b w:val="0"/>
          <w:i w:val="0"/>
          <w:color w:val="1C3A36"/>
          <w:sz w:val="18"/>
        </w:rPr>
        <w:t>· The range is the full span of 7 past readings of how far out this method has been on this company. A span of 7 readings would be expected to contain the next one about 75 times in 100 — not 90. Tested against 21 resolved readings on bands resting on the same 7 readings, ranges of this kind contained the outcome 48 times in 100. Read it as the widest and narrowest we have been, which is narrower than a confidence interval rather than wider.</w:t>
      </w:r>
    </w:p>
    <w:p>
      <w:pPr>
        <w:spacing w:after="120" w:before="0"/>
      </w:pPr>
      <w:r>
        <w:rPr>
          <w:b w:val="0"/>
          <w:i w:val="0"/>
          <w:color w:val="1C3A36"/>
          <w:sz w:val="19"/>
        </w:rPr>
        <w:t>One line of the table deserves its own sentence. The net-profit band rests on the fewest observations of any driver here, and at the fifth forecast year on a single one — a span of one reading is not a span at all, and it is printed with its count rather than dressed up. Net profit is the most geared line in this model: it sits below a finance cost and a tax charge, so a modest error on revenue arrives at the bottom multiplied. That is why the range widens down the table rather than narrowing.</w:t>
      </w:r>
    </w:p>
    <w:p>
      <w:pPr>
        <w:spacing w:after="80" w:before="200"/>
      </w:pPr>
      <w:r>
        <w:rPr>
          <w:b/>
          <w:i w:val="0"/>
          <w:color w:val="1C3A36"/>
          <w:sz w:val="24"/>
        </w:rPr>
        <w:t>A.2  Income statement — reported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7"/>
              </w:rPr>
              <w:t>Line</w:t>
            </w:r>
          </w:p>
        </w:tc>
        <w:tc>
          <w:tcPr>
            <w:tcW w:type="dxa" w:w="2160"/>
            <w:shd w:val="clear" w:color="auto" w:fill="EAF0EE"/>
          </w:tcPr>
          <w:p>
            <w:pPr>
              <w:spacing w:after="20"/>
            </w:pPr>
            <w:r>
              <w:rPr>
                <w:b/>
                <w:color w:val="1C3A36"/>
                <w:sz w:val="17"/>
              </w:rPr>
              <w:t>FY2023</w:t>
            </w:r>
          </w:p>
        </w:tc>
        <w:tc>
          <w:tcPr>
            <w:tcW w:type="dxa" w:w="2160"/>
            <w:shd w:val="clear" w:color="auto" w:fill="EAF0EE"/>
          </w:tcPr>
          <w:p>
            <w:pPr>
              <w:spacing w:after="20"/>
            </w:pPr>
            <w:r>
              <w:rPr>
                <w:b/>
                <w:color w:val="1C3A36"/>
                <w:sz w:val="17"/>
              </w:rPr>
              <w:t>FY2024</w:t>
            </w:r>
          </w:p>
        </w:tc>
        <w:tc>
          <w:tcPr>
            <w:tcW w:type="dxa" w:w="2160"/>
            <w:shd w:val="clear" w:color="auto" w:fill="EAF0EE"/>
          </w:tcPr>
          <w:p>
            <w:pPr>
              <w:spacing w:after="20"/>
            </w:pPr>
            <w:r>
              <w:rPr>
                <w:b/>
                <w:color w:val="1C3A36"/>
                <w:sz w:val="17"/>
              </w:rPr>
              <w:t>FY2025</w:t>
            </w:r>
          </w:p>
        </w:tc>
      </w:tr>
      <w:tr>
        <w:tc>
          <w:tcPr>
            <w:tcW w:type="dxa" w:w="3744"/>
          </w:tcPr>
          <w:p>
            <w:pPr>
              <w:spacing w:after="20"/>
            </w:pPr>
            <w:r>
              <w:rPr>
                <w:b/>
                <w:color w:val="1C3A36"/>
                <w:sz w:val="17"/>
              </w:rPr>
              <w:t>Revenue</w:t>
            </w:r>
          </w:p>
        </w:tc>
        <w:tc>
          <w:tcPr>
            <w:tcW w:type="dxa" w:w="2160"/>
          </w:tcPr>
          <w:p>
            <w:pPr>
              <w:spacing w:after="20"/>
              <w:jc w:val="right"/>
            </w:pPr>
            <w:r>
              <w:rPr>
                <w:color w:val="1C3A36"/>
                <w:sz w:val="17"/>
              </w:rPr>
              <w:t>28,317.2</w:t>
            </w:r>
          </w:p>
        </w:tc>
        <w:tc>
          <w:tcPr>
            <w:tcW w:type="dxa" w:w="2160"/>
          </w:tcPr>
          <w:p>
            <w:pPr>
              <w:spacing w:after="20"/>
              <w:jc w:val="right"/>
            </w:pPr>
            <w:r>
              <w:rPr>
                <w:color w:val="1C3A36"/>
                <w:sz w:val="17"/>
              </w:rPr>
              <w:t>53,969.5</w:t>
            </w:r>
          </w:p>
        </w:tc>
        <w:tc>
          <w:tcPr>
            <w:tcW w:type="dxa" w:w="2160"/>
          </w:tcPr>
          <w:p>
            <w:pPr>
              <w:spacing w:after="20"/>
              <w:jc w:val="right"/>
            </w:pPr>
            <w:r>
              <w:rPr>
                <w:color w:val="1C3A36"/>
                <w:sz w:val="17"/>
              </w:rPr>
              <w:t>80,229.8</w:t>
            </w:r>
          </w:p>
        </w:tc>
      </w:tr>
      <w:tr>
        <w:tc>
          <w:tcPr>
            <w:tcW w:type="dxa" w:w="3744"/>
          </w:tcPr>
          <w:p>
            <w:pPr>
              <w:spacing w:after="20"/>
            </w:pPr>
            <w:r>
              <w:rPr>
                <w:b/>
                <w:color w:val="1C3A36"/>
                <w:sz w:val="17"/>
              </w:rPr>
              <w:t>Gross profit</w:t>
            </w:r>
          </w:p>
        </w:tc>
        <w:tc>
          <w:tcPr>
            <w:tcW w:type="dxa" w:w="2160"/>
          </w:tcPr>
          <w:p>
            <w:pPr>
              <w:spacing w:after="20"/>
              <w:jc w:val="right"/>
            </w:pPr>
            <w:r>
              <w:rPr>
                <w:color w:val="1C3A36"/>
                <w:sz w:val="17"/>
              </w:rPr>
              <w:t>6,884.5</w:t>
            </w:r>
          </w:p>
        </w:tc>
        <w:tc>
          <w:tcPr>
            <w:tcW w:type="dxa" w:w="2160"/>
          </w:tcPr>
          <w:p>
            <w:pPr>
              <w:spacing w:after="20"/>
              <w:jc w:val="right"/>
            </w:pPr>
            <w:r>
              <w:rPr>
                <w:color w:val="1C3A36"/>
                <w:sz w:val="17"/>
              </w:rPr>
              <w:t>10,514.6</w:t>
            </w:r>
          </w:p>
        </w:tc>
        <w:tc>
          <w:tcPr>
            <w:tcW w:type="dxa" w:w="2160"/>
          </w:tcPr>
          <w:p>
            <w:pPr>
              <w:spacing w:after="20"/>
              <w:jc w:val="right"/>
            </w:pPr>
            <w:r>
              <w:rPr>
                <w:color w:val="1C3A36"/>
                <w:sz w:val="17"/>
              </w:rPr>
              <w:t>12,431.1</w:t>
            </w:r>
          </w:p>
        </w:tc>
      </w:tr>
      <w:tr>
        <w:tc>
          <w:tcPr>
            <w:tcW w:type="dxa" w:w="3744"/>
          </w:tcPr>
          <w:p>
            <w:pPr>
              <w:spacing w:after="20"/>
            </w:pPr>
            <w:r>
              <w:rPr>
                <w:b/>
                <w:color w:val="1C3A36"/>
                <w:sz w:val="17"/>
              </w:rPr>
              <w:t>Selling and marketing</w:t>
            </w:r>
          </w:p>
        </w:tc>
        <w:tc>
          <w:tcPr>
            <w:tcW w:type="dxa" w:w="2160"/>
          </w:tcPr>
          <w:p>
            <w:pPr>
              <w:spacing w:after="20"/>
              <w:jc w:val="right"/>
            </w:pPr>
            <w:r>
              <w:rPr>
                <w:color w:val="1C3A36"/>
                <w:sz w:val="17"/>
              </w:rPr>
              <w:t>-2,550.4</w:t>
            </w:r>
          </w:p>
        </w:tc>
        <w:tc>
          <w:tcPr>
            <w:tcW w:type="dxa" w:w="2160"/>
          </w:tcPr>
          <w:p>
            <w:pPr>
              <w:spacing w:after="20"/>
              <w:jc w:val="right"/>
            </w:pPr>
            <w:r>
              <w:rPr>
                <w:color w:val="1C3A36"/>
                <w:sz w:val="17"/>
              </w:rPr>
              <w:t>-3,623.4</w:t>
            </w:r>
          </w:p>
        </w:tc>
        <w:tc>
          <w:tcPr>
            <w:tcW w:type="dxa" w:w="2160"/>
          </w:tcPr>
          <w:p>
            <w:pPr>
              <w:spacing w:after="20"/>
              <w:jc w:val="right"/>
            </w:pPr>
            <w:r>
              <w:rPr>
                <w:color w:val="1C3A36"/>
                <w:sz w:val="17"/>
              </w:rPr>
              <w:t>-5,329.7</w:t>
            </w:r>
          </w:p>
        </w:tc>
      </w:tr>
      <w:tr>
        <w:tc>
          <w:tcPr>
            <w:tcW w:type="dxa" w:w="3744"/>
          </w:tcPr>
          <w:p>
            <w:pPr>
              <w:spacing w:after="20"/>
            </w:pPr>
            <w:r>
              <w:rPr>
                <w:b/>
                <w:color w:val="1C3A36"/>
                <w:sz w:val="17"/>
              </w:rPr>
              <w:t>General and administration</w:t>
            </w:r>
          </w:p>
        </w:tc>
        <w:tc>
          <w:tcPr>
            <w:tcW w:type="dxa" w:w="2160"/>
          </w:tcPr>
          <w:p>
            <w:pPr>
              <w:spacing w:after="20"/>
              <w:jc w:val="right"/>
            </w:pPr>
            <w:r>
              <w:rPr>
                <w:color w:val="1C3A36"/>
                <w:sz w:val="17"/>
              </w:rPr>
              <w:t>-880.4</w:t>
            </w:r>
          </w:p>
        </w:tc>
        <w:tc>
          <w:tcPr>
            <w:tcW w:type="dxa" w:w="2160"/>
          </w:tcPr>
          <w:p>
            <w:pPr>
              <w:spacing w:after="20"/>
              <w:jc w:val="right"/>
            </w:pPr>
            <w:r>
              <w:rPr>
                <w:color w:val="1C3A36"/>
                <w:sz w:val="17"/>
              </w:rPr>
              <w:t>-1,220.2</w:t>
            </w:r>
          </w:p>
        </w:tc>
        <w:tc>
          <w:tcPr>
            <w:tcW w:type="dxa" w:w="2160"/>
          </w:tcPr>
          <w:p>
            <w:pPr>
              <w:spacing w:after="20"/>
              <w:jc w:val="right"/>
            </w:pPr>
            <w:r>
              <w:rPr>
                <w:color w:val="1C3A36"/>
                <w:sz w:val="17"/>
              </w:rPr>
              <w:t>-1,217.6</w:t>
            </w:r>
          </w:p>
        </w:tc>
      </w:tr>
      <w:tr>
        <w:tc>
          <w:tcPr>
            <w:tcW w:type="dxa" w:w="3744"/>
          </w:tcPr>
          <w:p>
            <w:pPr>
              <w:spacing w:after="20"/>
            </w:pPr>
            <w:r>
              <w:rPr>
                <w:b/>
                <w:color w:val="1C3A36"/>
                <w:sz w:val="17"/>
              </w:rPr>
              <w:t>Other income</w:t>
            </w:r>
          </w:p>
        </w:tc>
        <w:tc>
          <w:tcPr>
            <w:tcW w:type="dxa" w:w="2160"/>
          </w:tcPr>
          <w:p>
            <w:pPr>
              <w:spacing w:after="20"/>
              <w:jc w:val="right"/>
            </w:pPr>
            <w:r>
              <w:rPr>
                <w:color w:val="1C3A36"/>
                <w:sz w:val="17"/>
              </w:rPr>
              <w:t>523.2</w:t>
            </w:r>
          </w:p>
        </w:tc>
        <w:tc>
          <w:tcPr>
            <w:tcW w:type="dxa" w:w="2160"/>
          </w:tcPr>
          <w:p>
            <w:pPr>
              <w:spacing w:after="20"/>
              <w:jc w:val="right"/>
            </w:pPr>
            <w:r>
              <w:rPr>
                <w:color w:val="1C3A36"/>
                <w:sz w:val="17"/>
              </w:rPr>
              <w:t>505.6</w:t>
            </w:r>
          </w:p>
        </w:tc>
        <w:tc>
          <w:tcPr>
            <w:tcW w:type="dxa" w:w="2160"/>
          </w:tcPr>
          <w:p>
            <w:pPr>
              <w:spacing w:after="20"/>
              <w:jc w:val="right"/>
            </w:pPr>
            <w:r>
              <w:rPr>
                <w:color w:val="1C3A36"/>
                <w:sz w:val="17"/>
              </w:rPr>
              <w:t>912.2</w:t>
            </w:r>
          </w:p>
        </w:tc>
      </w:tr>
      <w:tr>
        <w:tc>
          <w:tcPr>
            <w:tcW w:type="dxa" w:w="3744"/>
          </w:tcPr>
          <w:p>
            <w:pPr>
              <w:spacing w:after="20"/>
            </w:pPr>
            <w:r>
              <w:rPr>
                <w:b/>
                <w:color w:val="1C3A36"/>
                <w:sz w:val="17"/>
              </w:rPr>
              <w:t>Provisions</w:t>
            </w:r>
          </w:p>
        </w:tc>
        <w:tc>
          <w:tcPr>
            <w:tcW w:type="dxa" w:w="2160"/>
          </w:tcPr>
          <w:p>
            <w:pPr>
              <w:spacing w:after="20"/>
              <w:jc w:val="right"/>
            </w:pPr>
            <w:r>
              <w:rPr>
                <w:color w:val="1C3A36"/>
                <w:sz w:val="17"/>
              </w:rPr>
              <w:t>-268.9</w:t>
            </w:r>
          </w:p>
        </w:tc>
        <w:tc>
          <w:tcPr>
            <w:tcW w:type="dxa" w:w="2160"/>
          </w:tcPr>
          <w:p>
            <w:pPr>
              <w:spacing w:after="20"/>
              <w:jc w:val="right"/>
            </w:pPr>
            <w:r>
              <w:rPr>
                <w:color w:val="1C3A36"/>
                <w:sz w:val="17"/>
              </w:rPr>
              <w:t>-355.7</w:t>
            </w:r>
          </w:p>
        </w:tc>
        <w:tc>
          <w:tcPr>
            <w:tcW w:type="dxa" w:w="2160"/>
          </w:tcPr>
          <w:p>
            <w:pPr>
              <w:spacing w:after="20"/>
              <w:jc w:val="right"/>
            </w:pPr>
            <w:r>
              <w:rPr>
                <w:color w:val="1C3A36"/>
                <w:sz w:val="17"/>
              </w:rPr>
              <w:t>-165.1</w:t>
            </w:r>
          </w:p>
        </w:tc>
      </w:tr>
      <w:tr>
        <w:tc>
          <w:tcPr>
            <w:tcW w:type="dxa" w:w="3744"/>
            <w:shd w:val="clear" w:color="auto" w:fill="F6F1E6"/>
          </w:tcPr>
          <w:p>
            <w:pPr>
              <w:spacing w:after="20"/>
            </w:pPr>
            <w:r>
              <w:rPr>
                <w:b/>
                <w:color w:val="1C3A36"/>
                <w:sz w:val="17"/>
              </w:rPr>
              <w:t>Operating profit</w:t>
            </w:r>
          </w:p>
        </w:tc>
        <w:tc>
          <w:tcPr>
            <w:tcW w:type="dxa" w:w="2160"/>
            <w:shd w:val="clear" w:color="auto" w:fill="F6F1E6"/>
          </w:tcPr>
          <w:p>
            <w:pPr>
              <w:spacing w:after="20"/>
              <w:jc w:val="right"/>
            </w:pPr>
            <w:r>
              <w:rPr>
                <w:b/>
                <w:color w:val="1C3A36"/>
                <w:sz w:val="17"/>
              </w:rPr>
              <w:t>3,977.0</w:t>
            </w:r>
          </w:p>
        </w:tc>
        <w:tc>
          <w:tcPr>
            <w:tcW w:type="dxa" w:w="2160"/>
            <w:shd w:val="clear" w:color="auto" w:fill="F6F1E6"/>
          </w:tcPr>
          <w:p>
            <w:pPr>
              <w:spacing w:after="20"/>
              <w:jc w:val="right"/>
            </w:pPr>
            <w:r>
              <w:rPr>
                <w:b/>
                <w:color w:val="1C3A36"/>
                <w:sz w:val="17"/>
              </w:rPr>
              <w:t>6,176.6</w:t>
            </w:r>
          </w:p>
        </w:tc>
        <w:tc>
          <w:tcPr>
            <w:tcW w:type="dxa" w:w="2160"/>
            <w:shd w:val="clear" w:color="auto" w:fill="F6F1E6"/>
          </w:tcPr>
          <w:p>
            <w:pPr>
              <w:spacing w:after="20"/>
              <w:jc w:val="right"/>
            </w:pPr>
            <w:r>
              <w:rPr>
                <w:b/>
                <w:color w:val="1C3A36"/>
                <w:sz w:val="17"/>
              </w:rPr>
              <w:t>6,631.0</w:t>
            </w:r>
          </w:p>
        </w:tc>
      </w:tr>
      <w:tr>
        <w:tc>
          <w:tcPr>
            <w:tcW w:type="dxa" w:w="3744"/>
          </w:tcPr>
          <w:p>
            <w:pPr>
              <w:spacing w:after="20"/>
            </w:pPr>
            <w:r>
              <w:rPr>
                <w:b/>
                <w:color w:val="1C3A36"/>
                <w:sz w:val="17"/>
              </w:rPr>
              <w:t>Share of associates</w:t>
            </w:r>
          </w:p>
        </w:tc>
        <w:tc>
          <w:tcPr>
            <w:tcW w:type="dxa" w:w="2160"/>
          </w:tcPr>
          <w:p>
            <w:pPr>
              <w:spacing w:after="20"/>
              <w:jc w:val="right"/>
            </w:pPr>
            <w:r>
              <w:rPr>
                <w:color w:val="1C3A36"/>
                <w:sz w:val="17"/>
              </w:rPr>
              <w:t>1,061.7</w:t>
            </w:r>
          </w:p>
        </w:tc>
        <w:tc>
          <w:tcPr>
            <w:tcW w:type="dxa" w:w="2160"/>
          </w:tcPr>
          <w:p>
            <w:pPr>
              <w:spacing w:after="20"/>
              <w:jc w:val="right"/>
            </w:pPr>
            <w:r>
              <w:rPr>
                <w:color w:val="1C3A36"/>
                <w:sz w:val="17"/>
              </w:rPr>
              <w:t>867.6</w:t>
            </w:r>
          </w:p>
        </w:tc>
        <w:tc>
          <w:tcPr>
            <w:tcW w:type="dxa" w:w="2160"/>
          </w:tcPr>
          <w:p>
            <w:pPr>
              <w:spacing w:after="20"/>
              <w:jc w:val="right"/>
            </w:pPr>
            <w:r>
              <w:rPr>
                <w:color w:val="1C3A36"/>
                <w:sz w:val="17"/>
              </w:rPr>
              <w:t>974.8</w:t>
            </w:r>
          </w:p>
        </w:tc>
      </w:tr>
      <w:tr>
        <w:tc>
          <w:tcPr>
            <w:tcW w:type="dxa" w:w="3744"/>
            <w:shd w:val="clear" w:color="auto" w:fill="F6F1E6"/>
          </w:tcPr>
          <w:p>
            <w:pPr>
              <w:spacing w:after="20"/>
            </w:pPr>
            <w:r>
              <w:rPr>
                <w:b/>
                <w:color w:val="1C3A36"/>
                <w:sz w:val="17"/>
              </w:rPr>
              <w:t>Operating profit including associates</w:t>
            </w:r>
          </w:p>
        </w:tc>
        <w:tc>
          <w:tcPr>
            <w:tcW w:type="dxa" w:w="2160"/>
            <w:shd w:val="clear" w:color="auto" w:fill="F6F1E6"/>
          </w:tcPr>
          <w:p>
            <w:pPr>
              <w:spacing w:after="20"/>
              <w:jc w:val="right"/>
            </w:pPr>
            <w:r>
              <w:rPr>
                <w:b/>
                <w:color w:val="1C3A36"/>
                <w:sz w:val="17"/>
              </w:rPr>
              <w:t>4,769.7</w:t>
            </w:r>
          </w:p>
        </w:tc>
        <w:tc>
          <w:tcPr>
            <w:tcW w:type="dxa" w:w="2160"/>
            <w:shd w:val="clear" w:color="auto" w:fill="F6F1E6"/>
          </w:tcPr>
          <w:p>
            <w:pPr>
              <w:spacing w:after="20"/>
              <w:jc w:val="right"/>
            </w:pPr>
            <w:r>
              <w:rPr>
                <w:b/>
                <w:color w:val="1C3A36"/>
                <w:sz w:val="17"/>
              </w:rPr>
              <w:t>6,688.5</w:t>
            </w:r>
          </w:p>
        </w:tc>
        <w:tc>
          <w:tcPr>
            <w:tcW w:type="dxa" w:w="2160"/>
            <w:shd w:val="clear" w:color="auto" w:fill="F6F1E6"/>
          </w:tcPr>
          <w:p>
            <w:pPr>
              <w:spacing w:after="20"/>
              <w:jc w:val="right"/>
            </w:pPr>
            <w:r>
              <w:rPr>
                <w:b/>
                <w:color w:val="1C3A36"/>
                <w:sz w:val="17"/>
              </w:rPr>
              <w:t>7,605.7</w:t>
            </w:r>
          </w:p>
        </w:tc>
      </w:tr>
      <w:tr>
        <w:tc>
          <w:tcPr>
            <w:tcW w:type="dxa" w:w="3744"/>
          </w:tcPr>
          <w:p>
            <w:pPr>
              <w:spacing w:after="20"/>
            </w:pPr>
            <w:r>
              <w:rPr>
                <w:b/>
                <w:color w:val="1C3A36"/>
                <w:sz w:val="17"/>
              </w:rPr>
              <w:t>Foreign-exchange gains (losses)</w:t>
            </w:r>
          </w:p>
        </w:tc>
        <w:tc>
          <w:tcPr>
            <w:tcW w:type="dxa" w:w="2160"/>
          </w:tcPr>
          <w:p>
            <w:pPr>
              <w:spacing w:after="20"/>
              <w:jc w:val="right"/>
            </w:pPr>
            <w:r>
              <w:rPr>
                <w:color w:val="1C3A36"/>
                <w:sz w:val="17"/>
              </w:rPr>
              <w:t>-1,499.2</w:t>
            </w:r>
          </w:p>
        </w:tc>
        <w:tc>
          <w:tcPr>
            <w:tcW w:type="dxa" w:w="2160"/>
          </w:tcPr>
          <w:p>
            <w:pPr>
              <w:spacing w:after="20"/>
              <w:jc w:val="right"/>
            </w:pPr>
            <w:r>
              <w:rPr>
                <w:color w:val="1C3A36"/>
                <w:sz w:val="17"/>
              </w:rPr>
              <w:t>-291.6</w:t>
            </w:r>
          </w:p>
        </w:tc>
        <w:tc>
          <w:tcPr>
            <w:tcW w:type="dxa" w:w="2160"/>
          </w:tcPr>
          <w:p>
            <w:pPr>
              <w:spacing w:after="20"/>
              <w:jc w:val="right"/>
            </w:pPr>
            <w:r>
              <w:rPr>
                <w:color w:val="1C3A36"/>
                <w:sz w:val="17"/>
              </w:rPr>
              <w:t>-37.1</w:t>
            </w:r>
          </w:p>
        </w:tc>
      </w:tr>
      <w:tr>
        <w:tc>
          <w:tcPr>
            <w:tcW w:type="dxa" w:w="3744"/>
          </w:tcPr>
          <w:p>
            <w:pPr>
              <w:spacing w:after="20"/>
            </w:pPr>
            <w:r>
              <w:rPr>
                <w:b/>
                <w:color w:val="1C3A36"/>
                <w:sz w:val="17"/>
              </w:rPr>
              <w:t>Net finance cost</w:t>
            </w:r>
          </w:p>
        </w:tc>
        <w:tc>
          <w:tcPr>
            <w:tcW w:type="dxa" w:w="2160"/>
          </w:tcPr>
          <w:p>
            <w:pPr>
              <w:spacing w:after="20"/>
              <w:jc w:val="right"/>
            </w:pPr>
            <w:r>
              <w:rPr>
                <w:color w:val="1C3A36"/>
                <w:sz w:val="17"/>
              </w:rPr>
              <w:t>-965.8</w:t>
            </w:r>
          </w:p>
        </w:tc>
        <w:tc>
          <w:tcPr>
            <w:tcW w:type="dxa" w:w="2160"/>
          </w:tcPr>
          <w:p>
            <w:pPr>
              <w:spacing w:after="20"/>
              <w:jc w:val="right"/>
            </w:pPr>
            <w:r>
              <w:rPr>
                <w:color w:val="1C3A36"/>
                <w:sz w:val="17"/>
              </w:rPr>
              <w:t>-2,397.8</w:t>
            </w:r>
          </w:p>
        </w:tc>
        <w:tc>
          <w:tcPr>
            <w:tcW w:type="dxa" w:w="2160"/>
          </w:tcPr>
          <w:p>
            <w:pPr>
              <w:spacing w:after="20"/>
              <w:jc w:val="right"/>
            </w:pPr>
            <w:r>
              <w:rPr>
                <w:color w:val="1C3A36"/>
                <w:sz w:val="17"/>
              </w:rPr>
              <w:t>-3,702.1</w:t>
            </w:r>
          </w:p>
        </w:tc>
      </w:tr>
      <w:tr>
        <w:tc>
          <w:tcPr>
            <w:tcW w:type="dxa" w:w="3744"/>
            <w:shd w:val="clear" w:color="auto" w:fill="F6F1E6"/>
          </w:tcPr>
          <w:p>
            <w:pPr>
              <w:spacing w:after="20"/>
            </w:pPr>
            <w:r>
              <w:rPr>
                <w:b/>
                <w:color w:val="1C3A36"/>
                <w:sz w:val="17"/>
              </w:rPr>
              <w:t>Profit before tax</w:t>
            </w:r>
          </w:p>
        </w:tc>
        <w:tc>
          <w:tcPr>
            <w:tcW w:type="dxa" w:w="2160"/>
            <w:shd w:val="clear" w:color="auto" w:fill="F6F1E6"/>
          </w:tcPr>
          <w:p>
            <w:pPr>
              <w:spacing w:after="20"/>
              <w:jc w:val="right"/>
            </w:pPr>
            <w:r>
              <w:rPr>
                <w:b/>
                <w:color w:val="1C3A36"/>
                <w:sz w:val="17"/>
              </w:rPr>
              <w:t>2,304.7</w:t>
            </w:r>
          </w:p>
        </w:tc>
        <w:tc>
          <w:tcPr>
            <w:tcW w:type="dxa" w:w="2160"/>
            <w:shd w:val="clear" w:color="auto" w:fill="F6F1E6"/>
          </w:tcPr>
          <w:p>
            <w:pPr>
              <w:spacing w:after="20"/>
              <w:jc w:val="right"/>
            </w:pPr>
            <w:r>
              <w:rPr>
                <w:b/>
                <w:color w:val="1C3A36"/>
                <w:sz w:val="17"/>
              </w:rPr>
              <w:t>3,999.1</w:t>
            </w:r>
          </w:p>
        </w:tc>
        <w:tc>
          <w:tcPr>
            <w:tcW w:type="dxa" w:w="2160"/>
            <w:shd w:val="clear" w:color="auto" w:fill="F6F1E6"/>
          </w:tcPr>
          <w:p>
            <w:pPr>
              <w:spacing w:after="20"/>
              <w:jc w:val="right"/>
            </w:pPr>
            <w:r>
              <w:rPr>
                <w:b/>
                <w:color w:val="1C3A36"/>
                <w:sz w:val="17"/>
              </w:rPr>
              <w:t>3,866.5</w:t>
            </w:r>
          </w:p>
        </w:tc>
      </w:tr>
      <w:tr>
        <w:tc>
          <w:tcPr>
            <w:tcW w:type="dxa" w:w="3744"/>
          </w:tcPr>
          <w:p>
            <w:pPr>
              <w:spacing w:after="20"/>
            </w:pPr>
            <w:r>
              <w:rPr>
                <w:b/>
                <w:color w:val="1C3A36"/>
                <w:sz w:val="17"/>
              </w:rPr>
              <w:t>Income tax</w:t>
            </w:r>
          </w:p>
        </w:tc>
        <w:tc>
          <w:tcPr>
            <w:tcW w:type="dxa" w:w="2160"/>
          </w:tcPr>
          <w:p>
            <w:pPr>
              <w:spacing w:after="20"/>
              <w:jc w:val="right"/>
            </w:pPr>
            <w:r>
              <w:rPr>
                <w:color w:val="1C3A36"/>
                <w:sz w:val="17"/>
              </w:rPr>
              <w:t>-493.2</w:t>
            </w:r>
          </w:p>
        </w:tc>
        <w:tc>
          <w:tcPr>
            <w:tcW w:type="dxa" w:w="2160"/>
          </w:tcPr>
          <w:p>
            <w:pPr>
              <w:spacing w:after="20"/>
              <w:jc w:val="right"/>
            </w:pPr>
            <w:r>
              <w:rPr>
                <w:color w:val="1C3A36"/>
                <w:sz w:val="17"/>
              </w:rPr>
              <w:t>-939.2</w:t>
            </w:r>
          </w:p>
        </w:tc>
        <w:tc>
          <w:tcPr>
            <w:tcW w:type="dxa" w:w="2160"/>
          </w:tcPr>
          <w:p>
            <w:pPr>
              <w:spacing w:after="20"/>
              <w:jc w:val="right"/>
            </w:pPr>
            <w:r>
              <w:rPr>
                <w:color w:val="1C3A36"/>
                <w:sz w:val="17"/>
              </w:rPr>
              <w:t>-1,086.1</w:t>
            </w:r>
          </w:p>
        </w:tc>
      </w:tr>
      <w:tr>
        <w:tc>
          <w:tcPr>
            <w:tcW w:type="dxa" w:w="3744"/>
            <w:shd w:val="clear" w:color="auto" w:fill="F6F1E6"/>
          </w:tcPr>
          <w:p>
            <w:pPr>
              <w:spacing w:after="20"/>
            </w:pPr>
            <w:r>
              <w:rPr>
                <w:b/>
                <w:color w:val="1C3A36"/>
                <w:sz w:val="17"/>
              </w:rPr>
              <w:t>Profit before minority interest</w:t>
            </w:r>
          </w:p>
        </w:tc>
        <w:tc>
          <w:tcPr>
            <w:tcW w:type="dxa" w:w="2160"/>
            <w:shd w:val="clear" w:color="auto" w:fill="F6F1E6"/>
          </w:tcPr>
          <w:p>
            <w:pPr>
              <w:spacing w:after="20"/>
              <w:jc w:val="right"/>
            </w:pPr>
            <w:r>
              <w:rPr>
                <w:b/>
                <w:color w:val="1C3A36"/>
                <w:sz w:val="17"/>
              </w:rPr>
              <w:t>1,811.4</w:t>
            </w:r>
          </w:p>
        </w:tc>
        <w:tc>
          <w:tcPr>
            <w:tcW w:type="dxa" w:w="2160"/>
            <w:shd w:val="clear" w:color="auto" w:fill="F6F1E6"/>
          </w:tcPr>
          <w:p>
            <w:pPr>
              <w:spacing w:after="20"/>
              <w:jc w:val="right"/>
            </w:pPr>
            <w:r>
              <w:rPr>
                <w:b/>
                <w:color w:val="1C3A36"/>
                <w:sz w:val="17"/>
              </w:rPr>
              <w:t>3,059.9</w:t>
            </w:r>
          </w:p>
        </w:tc>
        <w:tc>
          <w:tcPr>
            <w:tcW w:type="dxa" w:w="2160"/>
            <w:shd w:val="clear" w:color="auto" w:fill="F6F1E6"/>
          </w:tcPr>
          <w:p>
            <w:pPr>
              <w:spacing w:after="20"/>
              <w:jc w:val="right"/>
            </w:pPr>
            <w:r>
              <w:rPr>
                <w:b/>
                <w:color w:val="1C3A36"/>
                <w:sz w:val="17"/>
              </w:rPr>
              <w:t>2,780.5</w:t>
            </w:r>
          </w:p>
        </w:tc>
      </w:tr>
      <w:tr>
        <w:tc>
          <w:tcPr>
            <w:tcW w:type="dxa" w:w="3744"/>
          </w:tcPr>
          <w:p>
            <w:pPr>
              <w:spacing w:after="20"/>
            </w:pPr>
            <w:r>
              <w:rPr>
                <w:b/>
                <w:color w:val="1C3A36"/>
                <w:sz w:val="17"/>
              </w:rPr>
              <w:t>Minority interest</w:t>
            </w:r>
          </w:p>
        </w:tc>
        <w:tc>
          <w:tcPr>
            <w:tcW w:type="dxa" w:w="2160"/>
          </w:tcPr>
          <w:p>
            <w:pPr>
              <w:spacing w:after="20"/>
              <w:jc w:val="right"/>
            </w:pPr>
            <w:r>
              <w:rPr>
                <w:color w:val="1C3A36"/>
                <w:sz w:val="17"/>
              </w:rPr>
              <w:t>79.3</w:t>
            </w:r>
          </w:p>
        </w:tc>
        <w:tc>
          <w:tcPr>
            <w:tcW w:type="dxa" w:w="2160"/>
          </w:tcPr>
          <w:p>
            <w:pPr>
              <w:spacing w:after="20"/>
              <w:jc w:val="right"/>
            </w:pPr>
            <w:r>
              <w:rPr>
                <w:color w:val="1C3A36"/>
                <w:sz w:val="17"/>
              </w:rPr>
              <w:t>-131.8</w:t>
            </w:r>
          </w:p>
        </w:tc>
        <w:tc>
          <w:tcPr>
            <w:tcW w:type="dxa" w:w="2160"/>
          </w:tcPr>
          <w:p>
            <w:pPr>
              <w:spacing w:after="20"/>
              <w:jc w:val="right"/>
            </w:pPr>
            <w:r>
              <w:rPr>
                <w:color w:val="1C3A36"/>
                <w:sz w:val="17"/>
              </w:rPr>
              <w:t>99.6</w:t>
            </w:r>
          </w:p>
        </w:tc>
      </w:tr>
      <w:tr>
        <w:tc>
          <w:tcPr>
            <w:tcW w:type="dxa" w:w="3744"/>
            <w:shd w:val="clear" w:color="auto" w:fill="F6F1E6"/>
          </w:tcPr>
          <w:p>
            <w:pPr>
              <w:spacing w:after="20"/>
            </w:pPr>
            <w:r>
              <w:rPr>
                <w:b/>
                <w:color w:val="1C3A36"/>
                <w:sz w:val="17"/>
              </w:rPr>
              <w:t>Profit attributable to the parent</w:t>
            </w:r>
          </w:p>
        </w:tc>
        <w:tc>
          <w:tcPr>
            <w:tcW w:type="dxa" w:w="2160"/>
            <w:shd w:val="clear" w:color="auto" w:fill="F6F1E6"/>
          </w:tcPr>
          <w:p>
            <w:pPr>
              <w:spacing w:after="20"/>
              <w:jc w:val="right"/>
            </w:pPr>
            <w:r>
              <w:rPr>
                <w:b/>
                <w:color w:val="1C3A36"/>
                <w:sz w:val="17"/>
              </w:rPr>
              <w:t>1,890.8</w:t>
            </w:r>
          </w:p>
        </w:tc>
        <w:tc>
          <w:tcPr>
            <w:tcW w:type="dxa" w:w="2160"/>
            <w:shd w:val="clear" w:color="auto" w:fill="F6F1E6"/>
          </w:tcPr>
          <w:p>
            <w:pPr>
              <w:spacing w:after="20"/>
              <w:jc w:val="right"/>
            </w:pPr>
            <w:r>
              <w:rPr>
                <w:b/>
                <w:color w:val="1C3A36"/>
                <w:sz w:val="17"/>
              </w:rPr>
              <w:t>2,928.1</w:t>
            </w:r>
          </w:p>
        </w:tc>
        <w:tc>
          <w:tcPr>
            <w:tcW w:type="dxa" w:w="2160"/>
            <w:shd w:val="clear" w:color="auto" w:fill="F6F1E6"/>
          </w:tcPr>
          <w:p>
            <w:pPr>
              <w:spacing w:after="20"/>
              <w:jc w:val="right"/>
            </w:pPr>
            <w:r>
              <w:rPr>
                <w:b/>
                <w:color w:val="1C3A36"/>
                <w:sz w:val="17"/>
              </w:rPr>
              <w:t>2,880.0</w:t>
            </w:r>
          </w:p>
        </w:tc>
      </w:tr>
      <w:tr>
        <w:tc>
          <w:tcPr>
            <w:tcW w:type="dxa" w:w="3744"/>
          </w:tcPr>
          <w:p>
            <w:pPr>
              <w:spacing w:after="20"/>
            </w:pPr>
            <w:r>
              <w:rPr>
                <w:b/>
                <w:color w:val="1C3A36"/>
                <w:sz w:val="17"/>
              </w:rPr>
              <w:t>Gross margin</w:t>
            </w:r>
          </w:p>
        </w:tc>
        <w:tc>
          <w:tcPr>
            <w:tcW w:type="dxa" w:w="2160"/>
          </w:tcPr>
          <w:p>
            <w:pPr>
              <w:spacing w:after="20"/>
              <w:jc w:val="right"/>
            </w:pPr>
            <w:r>
              <w:rPr>
                <w:color w:val="1C3A36"/>
                <w:sz w:val="17"/>
              </w:rPr>
              <w:t>24.31%</w:t>
            </w:r>
          </w:p>
        </w:tc>
        <w:tc>
          <w:tcPr>
            <w:tcW w:type="dxa" w:w="2160"/>
          </w:tcPr>
          <w:p>
            <w:pPr>
              <w:spacing w:after="20"/>
              <w:jc w:val="right"/>
            </w:pPr>
            <w:r>
              <w:rPr>
                <w:color w:val="1C3A36"/>
                <w:sz w:val="17"/>
              </w:rPr>
              <w:t>19.48%</w:t>
            </w:r>
          </w:p>
        </w:tc>
        <w:tc>
          <w:tcPr>
            <w:tcW w:type="dxa" w:w="2160"/>
          </w:tcPr>
          <w:p>
            <w:pPr>
              <w:spacing w:after="20"/>
              <w:jc w:val="right"/>
            </w:pPr>
            <w:r>
              <w:rPr>
                <w:color w:val="1C3A36"/>
                <w:sz w:val="17"/>
              </w:rPr>
              <w:t>15.49%</w:t>
            </w:r>
          </w:p>
        </w:tc>
      </w:tr>
      <w:tr>
        <w:tc>
          <w:tcPr>
            <w:tcW w:type="dxa" w:w="3744"/>
          </w:tcPr>
          <w:p>
            <w:pPr>
              <w:spacing w:after="20"/>
            </w:pPr>
            <w:r>
              <w:rPr>
                <w:b/>
                <w:color w:val="1C3A36"/>
                <w:sz w:val="17"/>
              </w:rPr>
              <w:t>Net margin</w:t>
            </w:r>
          </w:p>
        </w:tc>
        <w:tc>
          <w:tcPr>
            <w:tcW w:type="dxa" w:w="2160"/>
          </w:tcPr>
          <w:p>
            <w:pPr>
              <w:spacing w:after="20"/>
              <w:jc w:val="right"/>
            </w:pPr>
            <w:r>
              <w:rPr>
                <w:color w:val="1C3A36"/>
                <w:sz w:val="17"/>
              </w:rPr>
              <w:t>6.68%</w:t>
            </w:r>
          </w:p>
        </w:tc>
        <w:tc>
          <w:tcPr>
            <w:tcW w:type="dxa" w:w="2160"/>
          </w:tcPr>
          <w:p>
            <w:pPr>
              <w:spacing w:after="20"/>
              <w:jc w:val="right"/>
            </w:pPr>
            <w:r>
              <w:rPr>
                <w:color w:val="1C3A36"/>
                <w:sz w:val="17"/>
              </w:rPr>
              <w:t>5.43%</w:t>
            </w:r>
          </w:p>
        </w:tc>
        <w:tc>
          <w:tcPr>
            <w:tcW w:type="dxa" w:w="2160"/>
          </w:tcPr>
          <w:p>
            <w:pPr>
              <w:spacing w:after="20"/>
              <w:jc w:val="right"/>
            </w:pPr>
            <w:r>
              <w:rPr>
                <w:color w:val="1C3A36"/>
                <w:sz w:val="17"/>
              </w:rPr>
              <w:t>3.59%</w:t>
            </w:r>
          </w:p>
        </w:tc>
      </w:tr>
      <w:tr>
        <w:tc>
          <w:tcPr>
            <w:tcW w:type="dxa" w:w="3744"/>
          </w:tcPr>
          <w:p>
            <w:pPr>
              <w:spacing w:after="20"/>
            </w:pPr>
            <w:r>
              <w:rPr>
                <w:b/>
                <w:color w:val="1C3A36"/>
                <w:sz w:val="17"/>
              </w:rPr>
              <w:t>Earnings per share (EGP)</w:t>
            </w:r>
          </w:p>
        </w:tc>
        <w:tc>
          <w:tcPr>
            <w:tcW w:type="dxa" w:w="2160"/>
          </w:tcPr>
          <w:p>
            <w:pPr>
              <w:spacing w:after="20"/>
              <w:jc w:val="right"/>
            </w:pPr>
            <w:r>
              <w:rPr>
                <w:color w:val="1C3A36"/>
                <w:sz w:val="17"/>
              </w:rPr>
              <w:t>1.74</w:t>
            </w:r>
          </w:p>
        </w:tc>
        <w:tc>
          <w:tcPr>
            <w:tcW w:type="dxa" w:w="2160"/>
          </w:tcPr>
          <w:p>
            <w:pPr>
              <w:spacing w:after="20"/>
              <w:jc w:val="right"/>
            </w:pPr>
            <w:r>
              <w:rPr>
                <w:color w:val="1C3A36"/>
                <w:sz w:val="17"/>
              </w:rPr>
              <w:t>2.70</w:t>
            </w:r>
          </w:p>
        </w:tc>
        <w:tc>
          <w:tcPr>
            <w:tcW w:type="dxa" w:w="2160"/>
          </w:tcPr>
          <w:p>
            <w:pPr>
              <w:spacing w:after="20"/>
              <w:jc w:val="right"/>
            </w:pPr>
            <w:r>
              <w:rPr>
                <w:color w:val="1C3A36"/>
                <w:sz w:val="17"/>
              </w:rPr>
              <w:t>2.65</w:t>
            </w:r>
          </w:p>
        </w:tc>
      </w:tr>
    </w:tbl>
    <w:p>
      <w:pPr>
        <w:spacing w:after="40"/>
      </w:pPr>
    </w:p>
    <w:p>
      <w:pPr>
        <w:spacing w:after="200" w:before="0"/>
      </w:pPr>
      <w:r>
        <w:rPr>
          <w:b w:val="0"/>
          <w:i/>
          <w:color w:val="6E7B77"/>
          <w:sz w:val="17"/>
        </w:rPr>
        <w:t>Table A1 — the consolidated income statement as the company reported it, one column per year, every figure read from the study’s committed record. Deductions are printed as the negative figures the statement carries, so a reader adding the column reaches the subtotal beneath it. Sources: FY2023 — GB_Corp_ER_4Q23_-_ER_-_FINAL.pdf, 2024-03-01; FY2024 — GB_Corp_ER_4Q24-_E_-_Final.pdf, 2025-02-01; FY2025 — GB_Corp_ER_4Q25-_E_-_Final.pdf, 2026-02-26.</w:t>
      </w:r>
    </w:p>
    <w:p>
      <w:pPr>
        <w:spacing w:after="80" w:before="200"/>
      </w:pPr>
      <w:r>
        <w:rPr>
          <w:b/>
          <w:i w:val="0"/>
          <w:color w:val="1C3A36"/>
          <w:sz w:val="24"/>
        </w:rPr>
        <w:t>A.3  Income statement —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96"/>
            <w:shd w:val="clear" w:color="auto" w:fill="EAF0EE"/>
          </w:tcPr>
          <w:p>
            <w:pPr>
              <w:spacing w:after="20"/>
            </w:pPr>
            <w:r>
              <w:rPr>
                <w:b/>
                <w:color w:val="1C3A36"/>
                <w:sz w:val="16"/>
              </w:rPr>
              <w:t>Line</w:t>
            </w:r>
          </w:p>
        </w:tc>
        <w:tc>
          <w:tcPr>
            <w:tcW w:type="dxa" w:w="1296"/>
            <w:shd w:val="clear" w:color="auto" w:fill="EAF0EE"/>
          </w:tcPr>
          <w:p>
            <w:pPr>
              <w:spacing w:after="20"/>
            </w:pPr>
            <w:r>
              <w:rPr>
                <w:b/>
                <w:color w:val="1C3A36"/>
                <w:sz w:val="16"/>
              </w:rPr>
              <w:t>FY2026</w:t>
            </w:r>
          </w:p>
        </w:tc>
        <w:tc>
          <w:tcPr>
            <w:tcW w:type="dxa" w:w="1296"/>
            <w:shd w:val="clear" w:color="auto" w:fill="EAF0EE"/>
          </w:tcPr>
          <w:p>
            <w:pPr>
              <w:spacing w:after="20"/>
            </w:pPr>
            <w:r>
              <w:rPr>
                <w:b/>
                <w:color w:val="1C3A36"/>
                <w:sz w:val="16"/>
              </w:rPr>
              <w:t>FY2027</w:t>
            </w:r>
          </w:p>
        </w:tc>
        <w:tc>
          <w:tcPr>
            <w:tcW w:type="dxa" w:w="1296"/>
            <w:shd w:val="clear" w:color="auto" w:fill="EAF0EE"/>
          </w:tcPr>
          <w:p>
            <w:pPr>
              <w:spacing w:after="20"/>
            </w:pPr>
            <w:r>
              <w:rPr>
                <w:b/>
                <w:color w:val="1C3A36"/>
                <w:sz w:val="16"/>
              </w:rPr>
              <w:t>FY2028</w:t>
            </w:r>
          </w:p>
        </w:tc>
        <w:tc>
          <w:tcPr>
            <w:tcW w:type="dxa" w:w="1296"/>
            <w:shd w:val="clear" w:color="auto" w:fill="EAF0EE"/>
          </w:tcPr>
          <w:p>
            <w:pPr>
              <w:spacing w:after="20"/>
            </w:pPr>
            <w:r>
              <w:rPr>
                <w:b/>
                <w:color w:val="1C3A36"/>
                <w:sz w:val="16"/>
              </w:rPr>
              <w:t>FY2029</w:t>
            </w:r>
          </w:p>
        </w:tc>
        <w:tc>
          <w:tcPr>
            <w:tcW w:type="dxa" w:w="1296"/>
            <w:shd w:val="clear" w:color="auto" w:fill="EAF0EE"/>
          </w:tcPr>
          <w:p>
            <w:pPr>
              <w:spacing w:after="20"/>
            </w:pPr>
            <w:r>
              <w:rPr>
                <w:b/>
                <w:color w:val="1C3A36"/>
                <w:sz w:val="16"/>
              </w:rPr>
              <w:t>FY2030</w:t>
            </w:r>
          </w:p>
        </w:tc>
      </w:tr>
      <w:tr>
        <w:tc>
          <w:tcPr>
            <w:tcW w:type="dxa" w:w="3096"/>
          </w:tcPr>
          <w:p>
            <w:pPr>
              <w:spacing w:after="20"/>
            </w:pPr>
            <w:r>
              <w:rPr>
                <w:b/>
                <w:color w:val="1C3A36"/>
                <w:sz w:val="16"/>
              </w:rPr>
              <w:t>GB Auto revenue</w:t>
            </w:r>
          </w:p>
        </w:tc>
        <w:tc>
          <w:tcPr>
            <w:tcW w:type="dxa" w:w="1296"/>
          </w:tcPr>
          <w:p>
            <w:pPr>
              <w:spacing w:after="20"/>
              <w:jc w:val="right"/>
            </w:pPr>
            <w:r>
              <w:rPr>
                <w:color w:val="1C3A36"/>
                <w:sz w:val="16"/>
              </w:rPr>
              <w:t>78,550</w:t>
            </w:r>
          </w:p>
        </w:tc>
        <w:tc>
          <w:tcPr>
            <w:tcW w:type="dxa" w:w="1296"/>
          </w:tcPr>
          <w:p>
            <w:pPr>
              <w:spacing w:after="20"/>
              <w:jc w:val="right"/>
            </w:pPr>
            <w:r>
              <w:rPr>
                <w:color w:val="1C3A36"/>
                <w:sz w:val="16"/>
              </w:rPr>
              <w:t>95,736</w:t>
            </w:r>
          </w:p>
        </w:tc>
        <w:tc>
          <w:tcPr>
            <w:tcW w:type="dxa" w:w="1296"/>
          </w:tcPr>
          <w:p>
            <w:pPr>
              <w:spacing w:after="20"/>
              <w:jc w:val="right"/>
            </w:pPr>
            <w:r>
              <w:rPr>
                <w:color w:val="1C3A36"/>
                <w:sz w:val="16"/>
              </w:rPr>
              <w:t>112,459</w:t>
            </w:r>
          </w:p>
        </w:tc>
        <w:tc>
          <w:tcPr>
            <w:tcW w:type="dxa" w:w="1296"/>
          </w:tcPr>
          <w:p>
            <w:pPr>
              <w:spacing w:after="20"/>
              <w:jc w:val="right"/>
            </w:pPr>
            <w:r>
              <w:rPr>
                <w:color w:val="1C3A36"/>
                <w:sz w:val="16"/>
              </w:rPr>
              <w:t>128,714</w:t>
            </w:r>
          </w:p>
        </w:tc>
        <w:tc>
          <w:tcPr>
            <w:tcW w:type="dxa" w:w="1296"/>
          </w:tcPr>
          <w:p>
            <w:pPr>
              <w:spacing w:after="20"/>
              <w:jc w:val="right"/>
            </w:pPr>
            <w:r>
              <w:rPr>
                <w:color w:val="1C3A36"/>
                <w:sz w:val="16"/>
              </w:rPr>
              <w:t>144,761</w:t>
            </w:r>
          </w:p>
        </w:tc>
      </w:tr>
      <w:tr>
        <w:tc>
          <w:tcPr>
            <w:tcW w:type="dxa" w:w="3096"/>
          </w:tcPr>
          <w:p>
            <w:pPr>
              <w:spacing w:after="20"/>
            </w:pPr>
            <w:r>
              <w:rPr>
                <w:b/>
                <w:color w:val="1C3A36"/>
                <w:sz w:val="16"/>
              </w:rPr>
              <w:t>GB Capital revenue</w:t>
            </w:r>
          </w:p>
        </w:tc>
        <w:tc>
          <w:tcPr>
            <w:tcW w:type="dxa" w:w="1296"/>
          </w:tcPr>
          <w:p>
            <w:pPr>
              <w:spacing w:after="20"/>
              <w:jc w:val="right"/>
            </w:pPr>
            <w:r>
              <w:rPr>
                <w:color w:val="1C3A36"/>
                <w:sz w:val="16"/>
              </w:rPr>
              <w:t>21,377</w:t>
            </w:r>
          </w:p>
        </w:tc>
        <w:tc>
          <w:tcPr>
            <w:tcW w:type="dxa" w:w="1296"/>
          </w:tcPr>
          <w:p>
            <w:pPr>
              <w:spacing w:after="20"/>
              <w:jc w:val="right"/>
            </w:pPr>
            <w:r>
              <w:rPr>
                <w:color w:val="1C3A36"/>
                <w:sz w:val="16"/>
              </w:rPr>
              <w:t>27,791</w:t>
            </w:r>
          </w:p>
        </w:tc>
        <w:tc>
          <w:tcPr>
            <w:tcW w:type="dxa" w:w="1296"/>
          </w:tcPr>
          <w:p>
            <w:pPr>
              <w:spacing w:after="20"/>
              <w:jc w:val="right"/>
            </w:pPr>
            <w:r>
              <w:rPr>
                <w:color w:val="1C3A36"/>
                <w:sz w:val="16"/>
              </w:rPr>
              <w:t>34,738</w:t>
            </w:r>
          </w:p>
        </w:tc>
        <w:tc>
          <w:tcPr>
            <w:tcW w:type="dxa" w:w="1296"/>
          </w:tcPr>
          <w:p>
            <w:pPr>
              <w:spacing w:after="20"/>
              <w:jc w:val="right"/>
            </w:pPr>
            <w:r>
              <w:rPr>
                <w:color w:val="1C3A36"/>
                <w:sz w:val="16"/>
              </w:rPr>
              <w:t>41,686</w:t>
            </w:r>
          </w:p>
        </w:tc>
        <w:tc>
          <w:tcPr>
            <w:tcW w:type="dxa" w:w="1296"/>
          </w:tcPr>
          <w:p>
            <w:pPr>
              <w:spacing w:after="20"/>
              <w:jc w:val="right"/>
            </w:pPr>
            <w:r>
              <w:rPr>
                <w:color w:val="1C3A36"/>
                <w:sz w:val="16"/>
              </w:rPr>
              <w:t>49,189</w:t>
            </w:r>
          </w:p>
        </w:tc>
      </w:tr>
      <w:tr>
        <w:tc>
          <w:tcPr>
            <w:tcW w:type="dxa" w:w="3096"/>
          </w:tcPr>
          <w:p>
            <w:pPr>
              <w:spacing w:after="20"/>
            </w:pPr>
            <w:r>
              <w:rPr>
                <w:b/>
                <w:color w:val="1C3A36"/>
                <w:sz w:val="16"/>
              </w:rPr>
              <w:t>Intercompany eliminations</w:t>
            </w:r>
          </w:p>
        </w:tc>
        <w:tc>
          <w:tcPr>
            <w:tcW w:type="dxa" w:w="1296"/>
          </w:tcPr>
          <w:p>
            <w:pPr>
              <w:spacing w:after="20"/>
              <w:jc w:val="right"/>
            </w:pPr>
            <w:r>
              <w:rPr>
                <w:color w:val="1C3A36"/>
                <w:sz w:val="16"/>
              </w:rPr>
              <w:t>-1,099</w:t>
            </w:r>
          </w:p>
        </w:tc>
        <w:tc>
          <w:tcPr>
            <w:tcW w:type="dxa" w:w="1296"/>
          </w:tcPr>
          <w:p>
            <w:pPr>
              <w:spacing w:after="20"/>
              <w:jc w:val="right"/>
            </w:pPr>
            <w:r>
              <w:rPr>
                <w:color w:val="1C3A36"/>
                <w:sz w:val="16"/>
              </w:rPr>
              <w:t>-1,359</w:t>
            </w:r>
          </w:p>
        </w:tc>
        <w:tc>
          <w:tcPr>
            <w:tcW w:type="dxa" w:w="1296"/>
          </w:tcPr>
          <w:p>
            <w:pPr>
              <w:spacing w:after="20"/>
              <w:jc w:val="right"/>
            </w:pPr>
            <w:r>
              <w:rPr>
                <w:color w:val="1C3A36"/>
                <w:sz w:val="16"/>
              </w:rPr>
              <w:t>-1,619</w:t>
            </w:r>
          </w:p>
        </w:tc>
        <w:tc>
          <w:tcPr>
            <w:tcW w:type="dxa" w:w="1296"/>
          </w:tcPr>
          <w:p>
            <w:pPr>
              <w:spacing w:after="20"/>
              <w:jc w:val="right"/>
            </w:pPr>
            <w:r>
              <w:rPr>
                <w:color w:val="1C3A36"/>
                <w:sz w:val="16"/>
              </w:rPr>
              <w:t>-1,874</w:t>
            </w:r>
          </w:p>
        </w:tc>
        <w:tc>
          <w:tcPr>
            <w:tcW w:type="dxa" w:w="1296"/>
          </w:tcPr>
          <w:p>
            <w:pPr>
              <w:spacing w:after="20"/>
              <w:jc w:val="right"/>
            </w:pPr>
            <w:r>
              <w:rPr>
                <w:color w:val="1C3A36"/>
                <w:sz w:val="16"/>
              </w:rPr>
              <w:t>-2,133</w:t>
            </w:r>
          </w:p>
        </w:tc>
      </w:tr>
      <w:tr>
        <w:tc>
          <w:tcPr>
            <w:tcW w:type="dxa" w:w="3096"/>
            <w:shd w:val="clear" w:color="auto" w:fill="F6F1E6"/>
          </w:tcPr>
          <w:p>
            <w:pPr>
              <w:spacing w:after="20"/>
            </w:pPr>
            <w:r>
              <w:rPr>
                <w:b/>
                <w:color w:val="1C3A36"/>
                <w:sz w:val="16"/>
              </w:rPr>
              <w:t>Total revenue</w:t>
            </w:r>
          </w:p>
        </w:tc>
        <w:tc>
          <w:tcPr>
            <w:tcW w:type="dxa" w:w="1296"/>
            <w:shd w:val="clear" w:color="auto" w:fill="F6F1E6"/>
          </w:tcPr>
          <w:p>
            <w:pPr>
              <w:spacing w:after="20"/>
              <w:jc w:val="right"/>
            </w:pPr>
            <w:r>
              <w:rPr>
                <w:b/>
                <w:color w:val="1C3A36"/>
                <w:sz w:val="16"/>
              </w:rPr>
              <w:t>98,828</w:t>
            </w:r>
          </w:p>
        </w:tc>
        <w:tc>
          <w:tcPr>
            <w:tcW w:type="dxa" w:w="1296"/>
            <w:shd w:val="clear" w:color="auto" w:fill="F6F1E6"/>
          </w:tcPr>
          <w:p>
            <w:pPr>
              <w:spacing w:after="20"/>
              <w:jc w:val="right"/>
            </w:pPr>
            <w:r>
              <w:rPr>
                <w:b/>
                <w:color w:val="1C3A36"/>
                <w:sz w:val="16"/>
              </w:rPr>
              <w:t>122,168</w:t>
            </w:r>
          </w:p>
        </w:tc>
        <w:tc>
          <w:tcPr>
            <w:tcW w:type="dxa" w:w="1296"/>
            <w:shd w:val="clear" w:color="auto" w:fill="F6F1E6"/>
          </w:tcPr>
          <w:p>
            <w:pPr>
              <w:spacing w:after="20"/>
              <w:jc w:val="right"/>
            </w:pPr>
            <w:r>
              <w:rPr>
                <w:b/>
                <w:color w:val="1C3A36"/>
                <w:sz w:val="16"/>
              </w:rPr>
              <w:t>145,578</w:t>
            </w:r>
          </w:p>
        </w:tc>
        <w:tc>
          <w:tcPr>
            <w:tcW w:type="dxa" w:w="1296"/>
            <w:shd w:val="clear" w:color="auto" w:fill="F6F1E6"/>
          </w:tcPr>
          <w:p>
            <w:pPr>
              <w:spacing w:after="20"/>
              <w:jc w:val="right"/>
            </w:pPr>
            <w:r>
              <w:rPr>
                <w:b/>
                <w:color w:val="1C3A36"/>
                <w:sz w:val="16"/>
              </w:rPr>
              <w:t>168,525</w:t>
            </w:r>
          </w:p>
        </w:tc>
        <w:tc>
          <w:tcPr>
            <w:tcW w:type="dxa" w:w="1296"/>
            <w:shd w:val="clear" w:color="auto" w:fill="F6F1E6"/>
          </w:tcPr>
          <w:p>
            <w:pPr>
              <w:spacing w:after="20"/>
              <w:jc w:val="right"/>
            </w:pPr>
            <w:r>
              <w:rPr>
                <w:b/>
                <w:color w:val="1C3A36"/>
                <w:sz w:val="16"/>
              </w:rPr>
              <w:t>191,817</w:t>
            </w:r>
          </w:p>
        </w:tc>
      </w:tr>
      <w:tr>
        <w:tc>
          <w:tcPr>
            <w:tcW w:type="dxa" w:w="3096"/>
          </w:tcPr>
          <w:p>
            <w:pPr>
              <w:spacing w:after="20"/>
            </w:pPr>
            <w:r>
              <w:rPr>
                <w:b/>
                <w:color w:val="1C3A36"/>
                <w:sz w:val="16"/>
              </w:rPr>
              <w:t>Gross profit</w:t>
            </w:r>
          </w:p>
        </w:tc>
        <w:tc>
          <w:tcPr>
            <w:tcW w:type="dxa" w:w="1296"/>
          </w:tcPr>
          <w:p>
            <w:pPr>
              <w:spacing w:after="20"/>
              <w:jc w:val="right"/>
            </w:pPr>
            <w:r>
              <w:rPr>
                <w:color w:val="1C3A36"/>
                <w:sz w:val="16"/>
              </w:rPr>
              <w:t>14,639</w:t>
            </w:r>
          </w:p>
        </w:tc>
        <w:tc>
          <w:tcPr>
            <w:tcW w:type="dxa" w:w="1296"/>
          </w:tcPr>
          <w:p>
            <w:pPr>
              <w:spacing w:after="20"/>
              <w:jc w:val="right"/>
            </w:pPr>
            <w:r>
              <w:rPr>
                <w:color w:val="1C3A36"/>
                <w:sz w:val="16"/>
              </w:rPr>
              <w:t>18,603</w:t>
            </w:r>
          </w:p>
        </w:tc>
        <w:tc>
          <w:tcPr>
            <w:tcW w:type="dxa" w:w="1296"/>
          </w:tcPr>
          <w:p>
            <w:pPr>
              <w:spacing w:after="20"/>
              <w:jc w:val="right"/>
            </w:pPr>
            <w:r>
              <w:rPr>
                <w:color w:val="1C3A36"/>
                <w:sz w:val="16"/>
              </w:rPr>
              <w:t>22,653</w:t>
            </w:r>
          </w:p>
        </w:tc>
        <w:tc>
          <w:tcPr>
            <w:tcW w:type="dxa" w:w="1296"/>
          </w:tcPr>
          <w:p>
            <w:pPr>
              <w:spacing w:after="20"/>
              <w:jc w:val="right"/>
            </w:pPr>
            <w:r>
              <w:rPr>
                <w:color w:val="1C3A36"/>
                <w:sz w:val="16"/>
              </w:rPr>
              <w:t>26,376</w:t>
            </w:r>
          </w:p>
        </w:tc>
        <w:tc>
          <w:tcPr>
            <w:tcW w:type="dxa" w:w="1296"/>
          </w:tcPr>
          <w:p>
            <w:pPr>
              <w:spacing w:after="20"/>
              <w:jc w:val="right"/>
            </w:pPr>
            <w:r>
              <w:rPr>
                <w:color w:val="1C3A36"/>
                <w:sz w:val="16"/>
              </w:rPr>
              <w:t>30,205</w:t>
            </w:r>
          </w:p>
        </w:tc>
      </w:tr>
      <w:tr>
        <w:tc>
          <w:tcPr>
            <w:tcW w:type="dxa" w:w="3096"/>
          </w:tcPr>
          <w:p>
            <w:pPr>
              <w:spacing w:after="20"/>
            </w:pPr>
            <w:r>
              <w:rPr>
                <w:b/>
                <w:color w:val="1C3A36"/>
                <w:sz w:val="16"/>
              </w:rPr>
              <w:t>Selling and administration</w:t>
            </w:r>
          </w:p>
        </w:tc>
        <w:tc>
          <w:tcPr>
            <w:tcW w:type="dxa" w:w="1296"/>
          </w:tcPr>
          <w:p>
            <w:pPr>
              <w:spacing w:after="20"/>
              <w:jc w:val="right"/>
            </w:pPr>
            <w:r>
              <w:rPr>
                <w:color w:val="1C3A36"/>
                <w:sz w:val="16"/>
              </w:rPr>
              <w:t>-7,906</w:t>
            </w:r>
          </w:p>
        </w:tc>
        <w:tc>
          <w:tcPr>
            <w:tcW w:type="dxa" w:w="1296"/>
          </w:tcPr>
          <w:p>
            <w:pPr>
              <w:spacing w:after="20"/>
              <w:jc w:val="right"/>
            </w:pPr>
            <w:r>
              <w:rPr>
                <w:color w:val="1C3A36"/>
                <w:sz w:val="16"/>
              </w:rPr>
              <w:t>-9,651</w:t>
            </w:r>
          </w:p>
        </w:tc>
        <w:tc>
          <w:tcPr>
            <w:tcW w:type="dxa" w:w="1296"/>
          </w:tcPr>
          <w:p>
            <w:pPr>
              <w:spacing w:after="20"/>
              <w:jc w:val="right"/>
            </w:pPr>
            <w:r>
              <w:rPr>
                <w:color w:val="1C3A36"/>
                <w:sz w:val="16"/>
              </w:rPr>
              <w:t>-11,355</w:t>
            </w:r>
          </w:p>
        </w:tc>
        <w:tc>
          <w:tcPr>
            <w:tcW w:type="dxa" w:w="1296"/>
          </w:tcPr>
          <w:p>
            <w:pPr>
              <w:spacing w:after="20"/>
              <w:jc w:val="right"/>
            </w:pPr>
            <w:r>
              <w:rPr>
                <w:color w:val="1C3A36"/>
                <w:sz w:val="16"/>
              </w:rPr>
              <w:t>-13,061</w:t>
            </w:r>
          </w:p>
        </w:tc>
        <w:tc>
          <w:tcPr>
            <w:tcW w:type="dxa" w:w="1296"/>
          </w:tcPr>
          <w:p>
            <w:pPr>
              <w:spacing w:after="20"/>
              <w:jc w:val="right"/>
            </w:pPr>
            <w:r>
              <w:rPr>
                <w:color w:val="1C3A36"/>
                <w:sz w:val="16"/>
              </w:rPr>
              <w:t>-14,770</w:t>
            </w:r>
          </w:p>
        </w:tc>
      </w:tr>
      <w:tr>
        <w:tc>
          <w:tcPr>
            <w:tcW w:type="dxa" w:w="3096"/>
          </w:tcPr>
          <w:p>
            <w:pPr>
              <w:spacing w:after="20"/>
            </w:pPr>
            <w:r>
              <w:rPr>
                <w:b/>
                <w:color w:val="1C3A36"/>
                <w:sz w:val="16"/>
              </w:rPr>
              <w:t>Other income</w:t>
            </w:r>
          </w:p>
        </w:tc>
        <w:tc>
          <w:tcPr>
            <w:tcW w:type="dxa" w:w="1296"/>
          </w:tcPr>
          <w:p>
            <w:pPr>
              <w:spacing w:after="20"/>
              <w:jc w:val="right"/>
            </w:pPr>
            <w:r>
              <w:rPr>
                <w:color w:val="1C3A36"/>
                <w:sz w:val="16"/>
              </w:rPr>
              <w:t>1,087</w:t>
            </w:r>
          </w:p>
        </w:tc>
        <w:tc>
          <w:tcPr>
            <w:tcW w:type="dxa" w:w="1296"/>
          </w:tcPr>
          <w:p>
            <w:pPr>
              <w:spacing w:after="20"/>
              <w:jc w:val="right"/>
            </w:pPr>
            <w:r>
              <w:rPr>
                <w:color w:val="1C3A36"/>
                <w:sz w:val="16"/>
              </w:rPr>
              <w:t>1,344</w:t>
            </w:r>
          </w:p>
        </w:tc>
        <w:tc>
          <w:tcPr>
            <w:tcW w:type="dxa" w:w="1296"/>
          </w:tcPr>
          <w:p>
            <w:pPr>
              <w:spacing w:after="20"/>
              <w:jc w:val="right"/>
            </w:pPr>
            <w:r>
              <w:rPr>
                <w:color w:val="1C3A36"/>
                <w:sz w:val="16"/>
              </w:rPr>
              <w:t>1,601</w:t>
            </w:r>
          </w:p>
        </w:tc>
        <w:tc>
          <w:tcPr>
            <w:tcW w:type="dxa" w:w="1296"/>
          </w:tcPr>
          <w:p>
            <w:pPr>
              <w:spacing w:after="20"/>
              <w:jc w:val="right"/>
            </w:pPr>
            <w:r>
              <w:rPr>
                <w:color w:val="1C3A36"/>
                <w:sz w:val="16"/>
              </w:rPr>
              <w:t>1,854</w:t>
            </w:r>
          </w:p>
        </w:tc>
        <w:tc>
          <w:tcPr>
            <w:tcW w:type="dxa" w:w="1296"/>
          </w:tcPr>
          <w:p>
            <w:pPr>
              <w:spacing w:after="20"/>
              <w:jc w:val="right"/>
            </w:pPr>
            <w:r>
              <w:rPr>
                <w:color w:val="1C3A36"/>
                <w:sz w:val="16"/>
              </w:rPr>
              <w:t>2,110</w:t>
            </w:r>
          </w:p>
        </w:tc>
      </w:tr>
      <w:tr>
        <w:tc>
          <w:tcPr>
            <w:tcW w:type="dxa" w:w="3096"/>
          </w:tcPr>
          <w:p>
            <w:pPr>
              <w:spacing w:after="20"/>
            </w:pPr>
            <w:r>
              <w:rPr>
                <w:b/>
                <w:color w:val="1C3A36"/>
                <w:sz w:val="16"/>
              </w:rPr>
              <w:t>Provisions</w:t>
            </w:r>
          </w:p>
        </w:tc>
        <w:tc>
          <w:tcPr>
            <w:tcW w:type="dxa" w:w="1296"/>
          </w:tcPr>
          <w:p>
            <w:pPr>
              <w:spacing w:after="20"/>
              <w:jc w:val="right"/>
            </w:pPr>
            <w:r>
              <w:rPr>
                <w:color w:val="1C3A36"/>
                <w:sz w:val="16"/>
              </w:rPr>
              <w:t>-296</w:t>
            </w:r>
          </w:p>
        </w:tc>
        <w:tc>
          <w:tcPr>
            <w:tcW w:type="dxa" w:w="1296"/>
          </w:tcPr>
          <w:p>
            <w:pPr>
              <w:spacing w:after="20"/>
              <w:jc w:val="right"/>
            </w:pPr>
            <w:r>
              <w:rPr>
                <w:color w:val="1C3A36"/>
                <w:sz w:val="16"/>
              </w:rPr>
              <w:t>-367</w:t>
            </w:r>
          </w:p>
        </w:tc>
        <w:tc>
          <w:tcPr>
            <w:tcW w:type="dxa" w:w="1296"/>
          </w:tcPr>
          <w:p>
            <w:pPr>
              <w:spacing w:after="20"/>
              <w:jc w:val="right"/>
            </w:pPr>
            <w:r>
              <w:rPr>
                <w:color w:val="1C3A36"/>
                <w:sz w:val="16"/>
              </w:rPr>
              <w:t>-437</w:t>
            </w:r>
          </w:p>
        </w:tc>
        <w:tc>
          <w:tcPr>
            <w:tcW w:type="dxa" w:w="1296"/>
          </w:tcPr>
          <w:p>
            <w:pPr>
              <w:spacing w:after="20"/>
              <w:jc w:val="right"/>
            </w:pPr>
            <w:r>
              <w:rPr>
                <w:color w:val="1C3A36"/>
                <w:sz w:val="16"/>
              </w:rPr>
              <w:t>-506</w:t>
            </w:r>
          </w:p>
        </w:tc>
        <w:tc>
          <w:tcPr>
            <w:tcW w:type="dxa" w:w="1296"/>
          </w:tcPr>
          <w:p>
            <w:pPr>
              <w:spacing w:after="20"/>
              <w:jc w:val="right"/>
            </w:pPr>
            <w:r>
              <w:rPr>
                <w:color w:val="1C3A36"/>
                <w:sz w:val="16"/>
              </w:rPr>
              <w:t>-575</w:t>
            </w:r>
          </w:p>
        </w:tc>
      </w:tr>
      <w:tr>
        <w:tc>
          <w:tcPr>
            <w:tcW w:type="dxa" w:w="3096"/>
            <w:shd w:val="clear" w:color="auto" w:fill="F6F1E6"/>
          </w:tcPr>
          <w:p>
            <w:pPr>
              <w:spacing w:after="20"/>
            </w:pPr>
            <w:r>
              <w:rPr>
                <w:b/>
                <w:color w:val="1C3A36"/>
                <w:sz w:val="16"/>
              </w:rPr>
              <w:t>Operating profit</w:t>
            </w:r>
          </w:p>
        </w:tc>
        <w:tc>
          <w:tcPr>
            <w:tcW w:type="dxa" w:w="1296"/>
            <w:shd w:val="clear" w:color="auto" w:fill="F6F1E6"/>
          </w:tcPr>
          <w:p>
            <w:pPr>
              <w:spacing w:after="20"/>
              <w:jc w:val="right"/>
            </w:pPr>
            <w:r>
              <w:rPr>
                <w:b/>
                <w:color w:val="1C3A36"/>
                <w:sz w:val="16"/>
              </w:rPr>
              <w:t>7,523</w:t>
            </w:r>
          </w:p>
        </w:tc>
        <w:tc>
          <w:tcPr>
            <w:tcW w:type="dxa" w:w="1296"/>
            <w:shd w:val="clear" w:color="auto" w:fill="F6F1E6"/>
          </w:tcPr>
          <w:p>
            <w:pPr>
              <w:spacing w:after="20"/>
              <w:jc w:val="right"/>
            </w:pPr>
            <w:r>
              <w:rPr>
                <w:b/>
                <w:color w:val="1C3A36"/>
                <w:sz w:val="16"/>
              </w:rPr>
              <w:t>9,929</w:t>
            </w:r>
          </w:p>
        </w:tc>
        <w:tc>
          <w:tcPr>
            <w:tcW w:type="dxa" w:w="1296"/>
            <w:shd w:val="clear" w:color="auto" w:fill="F6F1E6"/>
          </w:tcPr>
          <w:p>
            <w:pPr>
              <w:spacing w:after="20"/>
              <w:jc w:val="right"/>
            </w:pPr>
            <w:r>
              <w:rPr>
                <w:b/>
                <w:color w:val="1C3A36"/>
                <w:sz w:val="16"/>
              </w:rPr>
              <w:t>12,462</w:t>
            </w:r>
          </w:p>
        </w:tc>
        <w:tc>
          <w:tcPr>
            <w:tcW w:type="dxa" w:w="1296"/>
            <w:shd w:val="clear" w:color="auto" w:fill="F6F1E6"/>
          </w:tcPr>
          <w:p>
            <w:pPr>
              <w:spacing w:after="20"/>
              <w:jc w:val="right"/>
            </w:pPr>
            <w:r>
              <w:rPr>
                <w:b/>
                <w:color w:val="1C3A36"/>
                <w:sz w:val="16"/>
              </w:rPr>
              <w:t>14,663</w:t>
            </w:r>
          </w:p>
        </w:tc>
        <w:tc>
          <w:tcPr>
            <w:tcW w:type="dxa" w:w="1296"/>
            <w:shd w:val="clear" w:color="auto" w:fill="F6F1E6"/>
          </w:tcPr>
          <w:p>
            <w:pPr>
              <w:spacing w:after="20"/>
              <w:jc w:val="right"/>
            </w:pPr>
            <w:r>
              <w:rPr>
                <w:b/>
                <w:color w:val="1C3A36"/>
                <w:sz w:val="16"/>
              </w:rPr>
              <w:t>16,969</w:t>
            </w:r>
          </w:p>
        </w:tc>
      </w:tr>
      <w:tr>
        <w:tc>
          <w:tcPr>
            <w:tcW w:type="dxa" w:w="3096"/>
          </w:tcPr>
          <w:p>
            <w:pPr>
              <w:spacing w:after="20"/>
            </w:pPr>
            <w:r>
              <w:rPr>
                <w:b/>
                <w:color w:val="1C3A36"/>
                <w:sz w:val="16"/>
              </w:rPr>
              <w:t>Share of associates</w:t>
            </w:r>
          </w:p>
        </w:tc>
        <w:tc>
          <w:tcPr>
            <w:tcW w:type="dxa" w:w="1296"/>
          </w:tcPr>
          <w:p>
            <w:pPr>
              <w:spacing w:after="20"/>
              <w:jc w:val="right"/>
            </w:pPr>
            <w:r>
              <w:rPr>
                <w:color w:val="1C3A36"/>
                <w:sz w:val="16"/>
              </w:rPr>
              <w:t>1,250</w:t>
            </w:r>
          </w:p>
        </w:tc>
        <w:tc>
          <w:tcPr>
            <w:tcW w:type="dxa" w:w="1296"/>
          </w:tcPr>
          <w:p>
            <w:pPr>
              <w:spacing w:after="20"/>
              <w:jc w:val="right"/>
            </w:pPr>
            <w:r>
              <w:rPr>
                <w:color w:val="1C3A36"/>
                <w:sz w:val="16"/>
              </w:rPr>
              <w:t>1,430</w:t>
            </w:r>
          </w:p>
        </w:tc>
        <w:tc>
          <w:tcPr>
            <w:tcW w:type="dxa" w:w="1296"/>
          </w:tcPr>
          <w:p>
            <w:pPr>
              <w:spacing w:after="20"/>
              <w:jc w:val="right"/>
            </w:pPr>
            <w:r>
              <w:rPr>
                <w:color w:val="1C3A36"/>
                <w:sz w:val="16"/>
              </w:rPr>
              <w:t>1,630</w:t>
            </w:r>
          </w:p>
        </w:tc>
        <w:tc>
          <w:tcPr>
            <w:tcW w:type="dxa" w:w="1296"/>
          </w:tcPr>
          <w:p>
            <w:pPr>
              <w:spacing w:after="20"/>
              <w:jc w:val="right"/>
            </w:pPr>
            <w:r>
              <w:rPr>
                <w:color w:val="1C3A36"/>
                <w:sz w:val="16"/>
              </w:rPr>
              <w:t>1,830</w:t>
            </w:r>
          </w:p>
        </w:tc>
        <w:tc>
          <w:tcPr>
            <w:tcW w:type="dxa" w:w="1296"/>
          </w:tcPr>
          <w:p>
            <w:pPr>
              <w:spacing w:after="20"/>
              <w:jc w:val="right"/>
            </w:pPr>
            <w:r>
              <w:rPr>
                <w:color w:val="1C3A36"/>
                <w:sz w:val="16"/>
              </w:rPr>
              <w:t>2,030</w:t>
            </w:r>
          </w:p>
        </w:tc>
      </w:tr>
      <w:tr>
        <w:tc>
          <w:tcPr>
            <w:tcW w:type="dxa" w:w="3096"/>
            <w:shd w:val="clear" w:color="auto" w:fill="F6F1E6"/>
          </w:tcPr>
          <w:p>
            <w:pPr>
              <w:spacing w:after="20"/>
            </w:pPr>
            <w:r>
              <w:rPr>
                <w:b/>
                <w:color w:val="1C3A36"/>
                <w:sz w:val="16"/>
              </w:rPr>
              <w:t>Operating profit including associates</w:t>
            </w:r>
          </w:p>
        </w:tc>
        <w:tc>
          <w:tcPr>
            <w:tcW w:type="dxa" w:w="1296"/>
            <w:shd w:val="clear" w:color="auto" w:fill="F6F1E6"/>
          </w:tcPr>
          <w:p>
            <w:pPr>
              <w:spacing w:after="20"/>
              <w:jc w:val="right"/>
            </w:pPr>
            <w:r>
              <w:rPr>
                <w:b/>
                <w:color w:val="1C3A36"/>
                <w:sz w:val="16"/>
              </w:rPr>
              <w:t>8,773</w:t>
            </w:r>
          </w:p>
        </w:tc>
        <w:tc>
          <w:tcPr>
            <w:tcW w:type="dxa" w:w="1296"/>
            <w:shd w:val="clear" w:color="auto" w:fill="F6F1E6"/>
          </w:tcPr>
          <w:p>
            <w:pPr>
              <w:spacing w:after="20"/>
              <w:jc w:val="right"/>
            </w:pPr>
            <w:r>
              <w:rPr>
                <w:b/>
                <w:color w:val="1C3A36"/>
                <w:sz w:val="16"/>
              </w:rPr>
              <w:t>11,359</w:t>
            </w:r>
          </w:p>
        </w:tc>
        <w:tc>
          <w:tcPr>
            <w:tcW w:type="dxa" w:w="1296"/>
            <w:shd w:val="clear" w:color="auto" w:fill="F6F1E6"/>
          </w:tcPr>
          <w:p>
            <w:pPr>
              <w:spacing w:after="20"/>
              <w:jc w:val="right"/>
            </w:pPr>
            <w:r>
              <w:rPr>
                <w:b/>
                <w:color w:val="1C3A36"/>
                <w:sz w:val="16"/>
              </w:rPr>
              <w:t>14,092</w:t>
            </w:r>
          </w:p>
        </w:tc>
        <w:tc>
          <w:tcPr>
            <w:tcW w:type="dxa" w:w="1296"/>
            <w:shd w:val="clear" w:color="auto" w:fill="F6F1E6"/>
          </w:tcPr>
          <w:p>
            <w:pPr>
              <w:spacing w:after="20"/>
              <w:jc w:val="right"/>
            </w:pPr>
            <w:r>
              <w:rPr>
                <w:b/>
                <w:color w:val="1C3A36"/>
                <w:sz w:val="16"/>
              </w:rPr>
              <w:t>16,493</w:t>
            </w:r>
          </w:p>
        </w:tc>
        <w:tc>
          <w:tcPr>
            <w:tcW w:type="dxa" w:w="1296"/>
            <w:shd w:val="clear" w:color="auto" w:fill="F6F1E6"/>
          </w:tcPr>
          <w:p>
            <w:pPr>
              <w:spacing w:after="20"/>
              <w:jc w:val="right"/>
            </w:pPr>
            <w:r>
              <w:rPr>
                <w:b/>
                <w:color w:val="1C3A36"/>
                <w:sz w:val="16"/>
              </w:rPr>
              <w:t>18,999</w:t>
            </w:r>
          </w:p>
        </w:tc>
      </w:tr>
      <w:tr>
        <w:tc>
          <w:tcPr>
            <w:tcW w:type="dxa" w:w="3096"/>
          </w:tcPr>
          <w:p>
            <w:pPr>
              <w:spacing w:after="20"/>
            </w:pPr>
            <w:r>
              <w:rPr>
                <w:b/>
                <w:color w:val="1C3A36"/>
                <w:sz w:val="16"/>
              </w:rPr>
              <w:t>Net finance cost</w:t>
            </w:r>
          </w:p>
        </w:tc>
        <w:tc>
          <w:tcPr>
            <w:tcW w:type="dxa" w:w="1296"/>
          </w:tcPr>
          <w:p>
            <w:pPr>
              <w:spacing w:after="20"/>
              <w:jc w:val="right"/>
            </w:pPr>
            <w:r>
              <w:rPr>
                <w:color w:val="1C3A36"/>
                <w:sz w:val="16"/>
              </w:rPr>
              <w:t>-4,100</w:t>
            </w:r>
          </w:p>
        </w:tc>
        <w:tc>
          <w:tcPr>
            <w:tcW w:type="dxa" w:w="1296"/>
          </w:tcPr>
          <w:p>
            <w:pPr>
              <w:spacing w:after="20"/>
              <w:jc w:val="right"/>
            </w:pPr>
            <w:r>
              <w:rPr>
                <w:color w:val="1C3A36"/>
                <w:sz w:val="16"/>
              </w:rPr>
              <w:t>-3,800</w:t>
            </w:r>
          </w:p>
        </w:tc>
        <w:tc>
          <w:tcPr>
            <w:tcW w:type="dxa" w:w="1296"/>
          </w:tcPr>
          <w:p>
            <w:pPr>
              <w:spacing w:after="20"/>
              <w:jc w:val="right"/>
            </w:pPr>
            <w:r>
              <w:rPr>
                <w:color w:val="1C3A36"/>
                <w:sz w:val="16"/>
              </w:rPr>
              <w:t>-3,500</w:t>
            </w:r>
          </w:p>
        </w:tc>
        <w:tc>
          <w:tcPr>
            <w:tcW w:type="dxa" w:w="1296"/>
          </w:tcPr>
          <w:p>
            <w:pPr>
              <w:spacing w:after="20"/>
              <w:jc w:val="right"/>
            </w:pPr>
            <w:r>
              <w:rPr>
                <w:color w:val="1C3A36"/>
                <w:sz w:val="16"/>
              </w:rPr>
              <w:t>-3,300</w:t>
            </w:r>
          </w:p>
        </w:tc>
        <w:tc>
          <w:tcPr>
            <w:tcW w:type="dxa" w:w="1296"/>
          </w:tcPr>
          <w:p>
            <w:pPr>
              <w:spacing w:after="20"/>
              <w:jc w:val="right"/>
            </w:pPr>
            <w:r>
              <w:rPr>
                <w:color w:val="1C3A36"/>
                <w:sz w:val="16"/>
              </w:rPr>
              <w:t>-3,100</w:t>
            </w:r>
          </w:p>
        </w:tc>
      </w:tr>
      <w:tr>
        <w:tc>
          <w:tcPr>
            <w:tcW w:type="dxa" w:w="3096"/>
            <w:shd w:val="clear" w:color="auto" w:fill="F6F1E6"/>
          </w:tcPr>
          <w:p>
            <w:pPr>
              <w:spacing w:after="20"/>
            </w:pPr>
            <w:r>
              <w:rPr>
                <w:b/>
                <w:color w:val="1C3A36"/>
                <w:sz w:val="16"/>
              </w:rPr>
              <w:t>Profit before tax</w:t>
            </w:r>
          </w:p>
        </w:tc>
        <w:tc>
          <w:tcPr>
            <w:tcW w:type="dxa" w:w="1296"/>
            <w:shd w:val="clear" w:color="auto" w:fill="F6F1E6"/>
          </w:tcPr>
          <w:p>
            <w:pPr>
              <w:spacing w:after="20"/>
              <w:jc w:val="right"/>
            </w:pPr>
            <w:r>
              <w:rPr>
                <w:b/>
                <w:color w:val="1C3A36"/>
                <w:sz w:val="16"/>
              </w:rPr>
              <w:t>4,673</w:t>
            </w:r>
          </w:p>
        </w:tc>
        <w:tc>
          <w:tcPr>
            <w:tcW w:type="dxa" w:w="1296"/>
            <w:shd w:val="clear" w:color="auto" w:fill="F6F1E6"/>
          </w:tcPr>
          <w:p>
            <w:pPr>
              <w:spacing w:after="20"/>
              <w:jc w:val="right"/>
            </w:pPr>
            <w:r>
              <w:rPr>
                <w:b/>
                <w:color w:val="1C3A36"/>
                <w:sz w:val="16"/>
              </w:rPr>
              <w:t>7,559</w:t>
            </w:r>
          </w:p>
        </w:tc>
        <w:tc>
          <w:tcPr>
            <w:tcW w:type="dxa" w:w="1296"/>
            <w:shd w:val="clear" w:color="auto" w:fill="F6F1E6"/>
          </w:tcPr>
          <w:p>
            <w:pPr>
              <w:spacing w:after="20"/>
              <w:jc w:val="right"/>
            </w:pPr>
            <w:r>
              <w:rPr>
                <w:b/>
                <w:color w:val="1C3A36"/>
                <w:sz w:val="16"/>
              </w:rPr>
              <w:t>10,592</w:t>
            </w:r>
          </w:p>
        </w:tc>
        <w:tc>
          <w:tcPr>
            <w:tcW w:type="dxa" w:w="1296"/>
            <w:shd w:val="clear" w:color="auto" w:fill="F6F1E6"/>
          </w:tcPr>
          <w:p>
            <w:pPr>
              <w:spacing w:after="20"/>
              <w:jc w:val="right"/>
            </w:pPr>
            <w:r>
              <w:rPr>
                <w:b/>
                <w:color w:val="1C3A36"/>
                <w:sz w:val="16"/>
              </w:rPr>
              <w:t>13,193</w:t>
            </w:r>
          </w:p>
        </w:tc>
        <w:tc>
          <w:tcPr>
            <w:tcW w:type="dxa" w:w="1296"/>
            <w:shd w:val="clear" w:color="auto" w:fill="F6F1E6"/>
          </w:tcPr>
          <w:p>
            <w:pPr>
              <w:spacing w:after="20"/>
              <w:jc w:val="right"/>
            </w:pPr>
            <w:r>
              <w:rPr>
                <w:b/>
                <w:color w:val="1C3A36"/>
                <w:sz w:val="16"/>
              </w:rPr>
              <w:t>15,899</w:t>
            </w:r>
          </w:p>
        </w:tc>
      </w:tr>
      <w:tr>
        <w:tc>
          <w:tcPr>
            <w:tcW w:type="dxa" w:w="3096"/>
          </w:tcPr>
          <w:p>
            <w:pPr>
              <w:spacing w:after="20"/>
            </w:pPr>
            <w:r>
              <w:rPr>
                <w:b/>
                <w:color w:val="1C3A36"/>
                <w:sz w:val="16"/>
              </w:rPr>
              <w:t>Income tax</w:t>
            </w:r>
          </w:p>
        </w:tc>
        <w:tc>
          <w:tcPr>
            <w:tcW w:type="dxa" w:w="1296"/>
          </w:tcPr>
          <w:p>
            <w:pPr>
              <w:spacing w:after="20"/>
              <w:jc w:val="right"/>
            </w:pPr>
            <w:r>
              <w:rPr>
                <w:color w:val="1C3A36"/>
                <w:sz w:val="16"/>
              </w:rPr>
              <w:t>-1,309</w:t>
            </w:r>
          </w:p>
        </w:tc>
        <w:tc>
          <w:tcPr>
            <w:tcW w:type="dxa" w:w="1296"/>
          </w:tcPr>
          <w:p>
            <w:pPr>
              <w:spacing w:after="20"/>
              <w:jc w:val="right"/>
            </w:pPr>
            <w:r>
              <w:rPr>
                <w:color w:val="1C3A36"/>
                <w:sz w:val="16"/>
              </w:rPr>
              <w:t>-2,117</w:t>
            </w:r>
          </w:p>
        </w:tc>
        <w:tc>
          <w:tcPr>
            <w:tcW w:type="dxa" w:w="1296"/>
          </w:tcPr>
          <w:p>
            <w:pPr>
              <w:spacing w:after="20"/>
              <w:jc w:val="right"/>
            </w:pPr>
            <w:r>
              <w:rPr>
                <w:color w:val="1C3A36"/>
                <w:sz w:val="16"/>
              </w:rPr>
              <w:t>-2,966</w:t>
            </w:r>
          </w:p>
        </w:tc>
        <w:tc>
          <w:tcPr>
            <w:tcW w:type="dxa" w:w="1296"/>
          </w:tcPr>
          <w:p>
            <w:pPr>
              <w:spacing w:after="20"/>
              <w:jc w:val="right"/>
            </w:pPr>
            <w:r>
              <w:rPr>
                <w:color w:val="1C3A36"/>
                <w:sz w:val="16"/>
              </w:rPr>
              <w:t>-3,694</w:t>
            </w:r>
          </w:p>
        </w:tc>
        <w:tc>
          <w:tcPr>
            <w:tcW w:type="dxa" w:w="1296"/>
          </w:tcPr>
          <w:p>
            <w:pPr>
              <w:spacing w:after="20"/>
              <w:jc w:val="right"/>
            </w:pPr>
            <w:r>
              <w:rPr>
                <w:color w:val="1C3A36"/>
                <w:sz w:val="16"/>
              </w:rPr>
              <w:t>-4,452</w:t>
            </w:r>
          </w:p>
        </w:tc>
      </w:tr>
      <w:tr>
        <w:tc>
          <w:tcPr>
            <w:tcW w:type="dxa" w:w="3096"/>
            <w:shd w:val="clear" w:color="auto" w:fill="F6F1E6"/>
          </w:tcPr>
          <w:p>
            <w:pPr>
              <w:spacing w:after="20"/>
            </w:pPr>
            <w:r>
              <w:rPr>
                <w:b/>
                <w:color w:val="1C3A36"/>
                <w:sz w:val="16"/>
              </w:rPr>
              <w:t>Profit before minority interest</w:t>
            </w:r>
          </w:p>
        </w:tc>
        <w:tc>
          <w:tcPr>
            <w:tcW w:type="dxa" w:w="1296"/>
            <w:shd w:val="clear" w:color="auto" w:fill="F6F1E6"/>
          </w:tcPr>
          <w:p>
            <w:pPr>
              <w:spacing w:after="20"/>
              <w:jc w:val="right"/>
            </w:pPr>
            <w:r>
              <w:rPr>
                <w:b/>
                <w:color w:val="1C3A36"/>
                <w:sz w:val="16"/>
              </w:rPr>
              <w:t>3,365</w:t>
            </w:r>
          </w:p>
        </w:tc>
        <w:tc>
          <w:tcPr>
            <w:tcW w:type="dxa" w:w="1296"/>
            <w:shd w:val="clear" w:color="auto" w:fill="F6F1E6"/>
          </w:tcPr>
          <w:p>
            <w:pPr>
              <w:spacing w:after="20"/>
              <w:jc w:val="right"/>
            </w:pPr>
            <w:r>
              <w:rPr>
                <w:b/>
                <w:color w:val="1C3A36"/>
                <w:sz w:val="16"/>
              </w:rPr>
              <w:t>5,443</w:t>
            </w:r>
          </w:p>
        </w:tc>
        <w:tc>
          <w:tcPr>
            <w:tcW w:type="dxa" w:w="1296"/>
            <w:shd w:val="clear" w:color="auto" w:fill="F6F1E6"/>
          </w:tcPr>
          <w:p>
            <w:pPr>
              <w:spacing w:after="20"/>
              <w:jc w:val="right"/>
            </w:pPr>
            <w:r>
              <w:rPr>
                <w:b/>
                <w:color w:val="1C3A36"/>
                <w:sz w:val="16"/>
              </w:rPr>
              <w:t>7,626</w:t>
            </w:r>
          </w:p>
        </w:tc>
        <w:tc>
          <w:tcPr>
            <w:tcW w:type="dxa" w:w="1296"/>
            <w:shd w:val="clear" w:color="auto" w:fill="F6F1E6"/>
          </w:tcPr>
          <w:p>
            <w:pPr>
              <w:spacing w:after="20"/>
              <w:jc w:val="right"/>
            </w:pPr>
            <w:r>
              <w:rPr>
                <w:b/>
                <w:color w:val="1C3A36"/>
                <w:sz w:val="16"/>
              </w:rPr>
              <w:t>9,499</w:t>
            </w:r>
          </w:p>
        </w:tc>
        <w:tc>
          <w:tcPr>
            <w:tcW w:type="dxa" w:w="1296"/>
            <w:shd w:val="clear" w:color="auto" w:fill="F6F1E6"/>
          </w:tcPr>
          <w:p>
            <w:pPr>
              <w:spacing w:after="20"/>
              <w:jc w:val="right"/>
            </w:pPr>
            <w:r>
              <w:rPr>
                <w:b/>
                <w:color w:val="1C3A36"/>
                <w:sz w:val="16"/>
              </w:rPr>
              <w:t>11,448</w:t>
            </w:r>
          </w:p>
        </w:tc>
      </w:tr>
      <w:tr>
        <w:tc>
          <w:tcPr>
            <w:tcW w:type="dxa" w:w="3096"/>
          </w:tcPr>
          <w:p>
            <w:pPr>
              <w:spacing w:after="20"/>
            </w:pPr>
            <w:r>
              <w:rPr>
                <w:b/>
                <w:color w:val="1C3A36"/>
                <w:sz w:val="16"/>
              </w:rPr>
              <w:t>Minority interest</w:t>
            </w:r>
          </w:p>
        </w:tc>
        <w:tc>
          <w:tcPr>
            <w:tcW w:type="dxa" w:w="1296"/>
          </w:tcPr>
          <w:p>
            <w:pPr>
              <w:spacing w:after="20"/>
              <w:jc w:val="right"/>
            </w:pPr>
            <w:r>
              <w:rPr>
                <w:color w:val="1C3A36"/>
                <w:sz w:val="16"/>
              </w:rPr>
              <w:t>-67</w:t>
            </w:r>
          </w:p>
        </w:tc>
        <w:tc>
          <w:tcPr>
            <w:tcW w:type="dxa" w:w="1296"/>
          </w:tcPr>
          <w:p>
            <w:pPr>
              <w:spacing w:after="20"/>
              <w:jc w:val="right"/>
            </w:pPr>
            <w:r>
              <w:rPr>
                <w:color w:val="1C3A36"/>
                <w:sz w:val="16"/>
              </w:rPr>
              <w:t>-109</w:t>
            </w:r>
          </w:p>
        </w:tc>
        <w:tc>
          <w:tcPr>
            <w:tcW w:type="dxa" w:w="1296"/>
          </w:tcPr>
          <w:p>
            <w:pPr>
              <w:spacing w:after="20"/>
              <w:jc w:val="right"/>
            </w:pPr>
            <w:r>
              <w:rPr>
                <w:color w:val="1C3A36"/>
                <w:sz w:val="16"/>
              </w:rPr>
              <w:t>-153</w:t>
            </w:r>
          </w:p>
        </w:tc>
        <w:tc>
          <w:tcPr>
            <w:tcW w:type="dxa" w:w="1296"/>
          </w:tcPr>
          <w:p>
            <w:pPr>
              <w:spacing w:after="20"/>
              <w:jc w:val="right"/>
            </w:pPr>
            <w:r>
              <w:rPr>
                <w:color w:val="1C3A36"/>
                <w:sz w:val="16"/>
              </w:rPr>
              <w:t>-190</w:t>
            </w:r>
          </w:p>
        </w:tc>
        <w:tc>
          <w:tcPr>
            <w:tcW w:type="dxa" w:w="1296"/>
          </w:tcPr>
          <w:p>
            <w:pPr>
              <w:spacing w:after="20"/>
              <w:jc w:val="right"/>
            </w:pPr>
            <w:r>
              <w:rPr>
                <w:color w:val="1C3A36"/>
                <w:sz w:val="16"/>
              </w:rPr>
              <w:t>-229</w:t>
            </w:r>
          </w:p>
        </w:tc>
      </w:tr>
      <w:tr>
        <w:tc>
          <w:tcPr>
            <w:tcW w:type="dxa" w:w="3096"/>
            <w:shd w:val="clear" w:color="auto" w:fill="F6F1E6"/>
          </w:tcPr>
          <w:p>
            <w:pPr>
              <w:spacing w:after="20"/>
            </w:pPr>
            <w:r>
              <w:rPr>
                <w:b/>
                <w:color w:val="1C3A36"/>
                <w:sz w:val="16"/>
              </w:rPr>
              <w:t>Profit attributable to the parent</w:t>
            </w:r>
          </w:p>
        </w:tc>
        <w:tc>
          <w:tcPr>
            <w:tcW w:type="dxa" w:w="1296"/>
            <w:shd w:val="clear" w:color="auto" w:fill="F6F1E6"/>
          </w:tcPr>
          <w:p>
            <w:pPr>
              <w:spacing w:after="20"/>
              <w:jc w:val="right"/>
            </w:pPr>
            <w:r>
              <w:rPr>
                <w:b/>
                <w:color w:val="1C3A36"/>
                <w:sz w:val="16"/>
              </w:rPr>
              <w:t>3,298</w:t>
            </w:r>
          </w:p>
        </w:tc>
        <w:tc>
          <w:tcPr>
            <w:tcW w:type="dxa" w:w="1296"/>
            <w:shd w:val="clear" w:color="auto" w:fill="F6F1E6"/>
          </w:tcPr>
          <w:p>
            <w:pPr>
              <w:spacing w:after="20"/>
              <w:jc w:val="right"/>
            </w:pPr>
            <w:r>
              <w:rPr>
                <w:b/>
                <w:color w:val="1C3A36"/>
                <w:sz w:val="16"/>
              </w:rPr>
              <w:t>5,334</w:t>
            </w:r>
          </w:p>
        </w:tc>
        <w:tc>
          <w:tcPr>
            <w:tcW w:type="dxa" w:w="1296"/>
            <w:shd w:val="clear" w:color="auto" w:fill="F6F1E6"/>
          </w:tcPr>
          <w:p>
            <w:pPr>
              <w:spacing w:after="20"/>
              <w:jc w:val="right"/>
            </w:pPr>
            <w:r>
              <w:rPr>
                <w:b/>
                <w:color w:val="1C3A36"/>
                <w:sz w:val="16"/>
              </w:rPr>
              <w:t>7,474</w:t>
            </w:r>
          </w:p>
        </w:tc>
        <w:tc>
          <w:tcPr>
            <w:tcW w:type="dxa" w:w="1296"/>
            <w:shd w:val="clear" w:color="auto" w:fill="F6F1E6"/>
          </w:tcPr>
          <w:p>
            <w:pPr>
              <w:spacing w:after="20"/>
              <w:jc w:val="right"/>
            </w:pPr>
            <w:r>
              <w:rPr>
                <w:b/>
                <w:color w:val="1C3A36"/>
                <w:sz w:val="16"/>
              </w:rPr>
              <w:t>9,309</w:t>
            </w:r>
          </w:p>
        </w:tc>
        <w:tc>
          <w:tcPr>
            <w:tcW w:type="dxa" w:w="1296"/>
            <w:shd w:val="clear" w:color="auto" w:fill="F6F1E6"/>
          </w:tcPr>
          <w:p>
            <w:pPr>
              <w:spacing w:after="20"/>
              <w:jc w:val="right"/>
            </w:pPr>
            <w:r>
              <w:rPr>
                <w:b/>
                <w:color w:val="1C3A36"/>
                <w:sz w:val="16"/>
              </w:rPr>
              <w:t>11,219</w:t>
            </w:r>
          </w:p>
        </w:tc>
      </w:tr>
      <w:tr>
        <w:tc>
          <w:tcPr>
            <w:tcW w:type="dxa" w:w="3096"/>
          </w:tcPr>
          <w:p>
            <w:pPr>
              <w:spacing w:after="20"/>
            </w:pPr>
            <w:r>
              <w:rPr>
                <w:b/>
                <w:color w:val="1C3A36"/>
                <w:sz w:val="16"/>
              </w:rPr>
              <w:t>Gross margin</w:t>
            </w:r>
          </w:p>
        </w:tc>
        <w:tc>
          <w:tcPr>
            <w:tcW w:type="dxa" w:w="1296"/>
          </w:tcPr>
          <w:p>
            <w:pPr>
              <w:spacing w:after="20"/>
              <w:jc w:val="right"/>
            </w:pPr>
            <w:r>
              <w:rPr>
                <w:color w:val="1C3A36"/>
                <w:sz w:val="16"/>
              </w:rPr>
              <w:t>14.81%</w:t>
            </w:r>
          </w:p>
        </w:tc>
        <w:tc>
          <w:tcPr>
            <w:tcW w:type="dxa" w:w="1296"/>
          </w:tcPr>
          <w:p>
            <w:pPr>
              <w:spacing w:after="20"/>
              <w:jc w:val="right"/>
            </w:pPr>
            <w:r>
              <w:rPr>
                <w:color w:val="1C3A36"/>
                <w:sz w:val="16"/>
              </w:rPr>
              <w:t>15.23%</w:t>
            </w:r>
          </w:p>
        </w:tc>
        <w:tc>
          <w:tcPr>
            <w:tcW w:type="dxa" w:w="1296"/>
          </w:tcPr>
          <w:p>
            <w:pPr>
              <w:spacing w:after="20"/>
              <w:jc w:val="right"/>
            </w:pPr>
            <w:r>
              <w:rPr>
                <w:color w:val="1C3A36"/>
                <w:sz w:val="16"/>
              </w:rPr>
              <w:t>15.56%</w:t>
            </w:r>
          </w:p>
        </w:tc>
        <w:tc>
          <w:tcPr>
            <w:tcW w:type="dxa" w:w="1296"/>
          </w:tcPr>
          <w:p>
            <w:pPr>
              <w:spacing w:after="20"/>
              <w:jc w:val="right"/>
            </w:pPr>
            <w:r>
              <w:rPr>
                <w:color w:val="1C3A36"/>
                <w:sz w:val="16"/>
              </w:rPr>
              <w:t>15.65%</w:t>
            </w:r>
          </w:p>
        </w:tc>
        <w:tc>
          <w:tcPr>
            <w:tcW w:type="dxa" w:w="1296"/>
          </w:tcPr>
          <w:p>
            <w:pPr>
              <w:spacing w:after="20"/>
              <w:jc w:val="right"/>
            </w:pPr>
            <w:r>
              <w:rPr>
                <w:color w:val="1C3A36"/>
                <w:sz w:val="16"/>
              </w:rPr>
              <w:t>15.75%</w:t>
            </w:r>
          </w:p>
        </w:tc>
      </w:tr>
      <w:tr>
        <w:tc>
          <w:tcPr>
            <w:tcW w:type="dxa" w:w="3096"/>
          </w:tcPr>
          <w:p>
            <w:pPr>
              <w:spacing w:after="20"/>
            </w:pPr>
            <w:r>
              <w:rPr>
                <w:b/>
                <w:color w:val="1C3A36"/>
                <w:sz w:val="16"/>
              </w:rPr>
              <w:t>Earnings per share (EGP)</w:t>
            </w:r>
          </w:p>
        </w:tc>
        <w:tc>
          <w:tcPr>
            <w:tcW w:type="dxa" w:w="1296"/>
          </w:tcPr>
          <w:p>
            <w:pPr>
              <w:spacing w:after="20"/>
              <w:jc w:val="right"/>
            </w:pPr>
            <w:r>
              <w:rPr>
                <w:color w:val="1C3A36"/>
                <w:sz w:val="16"/>
              </w:rPr>
              <w:t>3.04</w:t>
            </w:r>
          </w:p>
        </w:tc>
        <w:tc>
          <w:tcPr>
            <w:tcW w:type="dxa" w:w="1296"/>
          </w:tcPr>
          <w:p>
            <w:pPr>
              <w:spacing w:after="20"/>
              <w:jc w:val="right"/>
            </w:pPr>
            <w:r>
              <w:rPr>
                <w:color w:val="1C3A36"/>
                <w:sz w:val="16"/>
              </w:rPr>
              <w:t>4.91</w:t>
            </w:r>
          </w:p>
        </w:tc>
        <w:tc>
          <w:tcPr>
            <w:tcW w:type="dxa" w:w="1296"/>
          </w:tcPr>
          <w:p>
            <w:pPr>
              <w:spacing w:after="20"/>
              <w:jc w:val="right"/>
            </w:pPr>
            <w:r>
              <w:rPr>
                <w:color w:val="1C3A36"/>
                <w:sz w:val="16"/>
              </w:rPr>
              <w:t>6.89</w:t>
            </w:r>
          </w:p>
        </w:tc>
        <w:tc>
          <w:tcPr>
            <w:tcW w:type="dxa" w:w="1296"/>
          </w:tcPr>
          <w:p>
            <w:pPr>
              <w:spacing w:after="20"/>
              <w:jc w:val="right"/>
            </w:pPr>
            <w:r>
              <w:rPr>
                <w:color w:val="1C3A36"/>
                <w:sz w:val="16"/>
              </w:rPr>
              <w:t>8.58</w:t>
            </w:r>
          </w:p>
        </w:tc>
        <w:tc>
          <w:tcPr>
            <w:tcW w:type="dxa" w:w="1296"/>
          </w:tcPr>
          <w:p>
            <w:pPr>
              <w:spacing w:after="20"/>
              <w:jc w:val="right"/>
            </w:pPr>
            <w:r>
              <w:rPr>
                <w:color w:val="1C3A36"/>
                <w:sz w:val="16"/>
              </w:rPr>
              <w:t>10.33</w:t>
            </w:r>
          </w:p>
        </w:tc>
      </w:tr>
    </w:tbl>
    <w:p>
      <w:pPr>
        <w:spacing w:after="40"/>
      </w:pPr>
    </w:p>
    <w:p>
      <w:pPr>
        <w:spacing w:after="200" w:before="0"/>
      </w:pPr>
      <w:r>
        <w:rPr>
          <w:b w:val="0"/>
          <w:i/>
          <w:color w:val="6E7B77"/>
          <w:sz w:val="17"/>
        </w:rPr>
        <w:t>Table A2 — the consolidated forecast, computed from the committed group drivers. It is one arithmetic, printed here and recomputed by the companion workbook, rather than a transcription of an Excel run. THE THIRD, FOURTH AND FIFTH COLUMNS ARE POINTS INSIDE THE RANGES OF TABLE A0 and should be read with that table open.</w:t>
      </w:r>
    </w:p>
    <w:p>
      <w:pPr>
        <w:spacing w:after="80" w:before="200"/>
      </w:pPr>
      <w:r>
        <w:rPr>
          <w:b/>
          <w:i w:val="0"/>
          <w:color w:val="1C3A36"/>
          <w:sz w:val="24"/>
        </w:rPr>
        <w:t>A.4  The Auto leg — free cash flow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456"/>
            <w:shd w:val="clear" w:color="auto" w:fill="EAF0EE"/>
          </w:tcPr>
          <w:p>
            <w:pPr>
              <w:spacing w:after="20"/>
            </w:pPr>
            <w:r>
              <w:rPr>
                <w:b/>
                <w:color w:val="1C3A36"/>
                <w:sz w:val="17"/>
              </w:rPr>
              <w:t>Line</w:t>
            </w:r>
          </w:p>
        </w:tc>
        <w:tc>
          <w:tcPr>
            <w:tcW w:type="dxa" w:w="1238"/>
            <w:shd w:val="clear" w:color="auto" w:fill="EAF0EE"/>
          </w:tcPr>
          <w:p>
            <w:pPr>
              <w:spacing w:after="20"/>
            </w:pPr>
            <w:r>
              <w:rPr>
                <w:b/>
                <w:color w:val="1C3A36"/>
                <w:sz w:val="17"/>
              </w:rPr>
              <w:t>FY26E</w:t>
            </w:r>
          </w:p>
        </w:tc>
        <w:tc>
          <w:tcPr>
            <w:tcW w:type="dxa" w:w="1238"/>
            <w:shd w:val="clear" w:color="auto" w:fill="EAF0EE"/>
          </w:tcPr>
          <w:p>
            <w:pPr>
              <w:spacing w:after="20"/>
            </w:pPr>
            <w:r>
              <w:rPr>
                <w:b/>
                <w:color w:val="1C3A36"/>
                <w:sz w:val="17"/>
              </w:rPr>
              <w:t>FY27E</w:t>
            </w:r>
          </w:p>
        </w:tc>
        <w:tc>
          <w:tcPr>
            <w:tcW w:type="dxa" w:w="1238"/>
            <w:shd w:val="clear" w:color="auto" w:fill="EAF0EE"/>
          </w:tcPr>
          <w:p>
            <w:pPr>
              <w:spacing w:after="20"/>
            </w:pPr>
            <w:r>
              <w:rPr>
                <w:b/>
                <w:color w:val="1C3A36"/>
                <w:sz w:val="17"/>
              </w:rPr>
              <w:t>FY28E</w:t>
            </w:r>
          </w:p>
        </w:tc>
        <w:tc>
          <w:tcPr>
            <w:tcW w:type="dxa" w:w="1238"/>
            <w:shd w:val="clear" w:color="auto" w:fill="EAF0EE"/>
          </w:tcPr>
          <w:p>
            <w:pPr>
              <w:spacing w:after="20"/>
            </w:pPr>
            <w:r>
              <w:rPr>
                <w:b/>
                <w:color w:val="1C3A36"/>
                <w:sz w:val="17"/>
              </w:rPr>
              <w:t>FY29E</w:t>
            </w:r>
          </w:p>
        </w:tc>
        <w:tc>
          <w:tcPr>
            <w:tcW w:type="dxa" w:w="1238"/>
            <w:shd w:val="clear" w:color="auto" w:fill="EAF0EE"/>
          </w:tcPr>
          <w:p>
            <w:pPr>
              <w:spacing w:after="20"/>
            </w:pPr>
            <w:r>
              <w:rPr>
                <w:b/>
                <w:color w:val="1C3A36"/>
                <w:sz w:val="17"/>
              </w:rPr>
              <w:t>FY30E</w:t>
            </w:r>
          </w:p>
        </w:tc>
      </w:tr>
      <w:tr>
        <w:tc>
          <w:tcPr>
            <w:tcW w:type="dxa" w:w="3456"/>
          </w:tcPr>
          <w:p>
            <w:pPr>
              <w:spacing w:after="20"/>
            </w:pPr>
            <w:r>
              <w:rPr>
                <w:b/>
                <w:color w:val="1C3A36"/>
                <w:sz w:val="17"/>
              </w:rPr>
              <w:t>Auto revenue</w:t>
            </w:r>
          </w:p>
        </w:tc>
        <w:tc>
          <w:tcPr>
            <w:tcW w:type="dxa" w:w="1238"/>
          </w:tcPr>
          <w:p>
            <w:pPr>
              <w:spacing w:after="20"/>
              <w:jc w:val="right"/>
            </w:pPr>
            <w:r>
              <w:rPr>
                <w:color w:val="1C3A36"/>
                <w:sz w:val="17"/>
              </w:rPr>
              <w:t>78,550</w:t>
            </w:r>
          </w:p>
        </w:tc>
        <w:tc>
          <w:tcPr>
            <w:tcW w:type="dxa" w:w="1238"/>
          </w:tcPr>
          <w:p>
            <w:pPr>
              <w:spacing w:after="20"/>
              <w:jc w:val="right"/>
            </w:pPr>
            <w:r>
              <w:rPr>
                <w:color w:val="1C3A36"/>
                <w:sz w:val="17"/>
              </w:rPr>
              <w:t>95,736</w:t>
            </w:r>
          </w:p>
        </w:tc>
        <w:tc>
          <w:tcPr>
            <w:tcW w:type="dxa" w:w="1238"/>
          </w:tcPr>
          <w:p>
            <w:pPr>
              <w:spacing w:after="20"/>
              <w:jc w:val="right"/>
            </w:pPr>
            <w:r>
              <w:rPr>
                <w:color w:val="1C3A36"/>
                <w:sz w:val="17"/>
              </w:rPr>
              <w:t>112,459</w:t>
            </w:r>
          </w:p>
        </w:tc>
        <w:tc>
          <w:tcPr>
            <w:tcW w:type="dxa" w:w="1238"/>
          </w:tcPr>
          <w:p>
            <w:pPr>
              <w:spacing w:after="20"/>
              <w:jc w:val="right"/>
            </w:pPr>
            <w:r>
              <w:rPr>
                <w:color w:val="1C3A36"/>
                <w:sz w:val="17"/>
              </w:rPr>
              <w:t>128,714</w:t>
            </w:r>
          </w:p>
        </w:tc>
        <w:tc>
          <w:tcPr>
            <w:tcW w:type="dxa" w:w="1238"/>
          </w:tcPr>
          <w:p>
            <w:pPr>
              <w:spacing w:after="20"/>
              <w:jc w:val="right"/>
            </w:pPr>
            <w:r>
              <w:rPr>
                <w:color w:val="1C3A36"/>
                <w:sz w:val="17"/>
              </w:rPr>
              <w:t>144,761</w:t>
            </w:r>
          </w:p>
        </w:tc>
      </w:tr>
      <w:tr>
        <w:tc>
          <w:tcPr>
            <w:tcW w:type="dxa" w:w="3456"/>
          </w:tcPr>
          <w:p>
            <w:pPr>
              <w:spacing w:after="20"/>
            </w:pPr>
            <w:r>
              <w:rPr>
                <w:b/>
                <w:color w:val="1C3A36"/>
                <w:sz w:val="17"/>
              </w:rPr>
              <w:t>Operating profit</w:t>
            </w:r>
          </w:p>
        </w:tc>
        <w:tc>
          <w:tcPr>
            <w:tcW w:type="dxa" w:w="1238"/>
          </w:tcPr>
          <w:p>
            <w:pPr>
              <w:spacing w:after="20"/>
              <w:jc w:val="right"/>
            </w:pPr>
            <w:r>
              <w:rPr>
                <w:color w:val="1C3A36"/>
                <w:sz w:val="17"/>
              </w:rPr>
              <w:t>5,813</w:t>
            </w:r>
          </w:p>
        </w:tc>
        <w:tc>
          <w:tcPr>
            <w:tcW w:type="dxa" w:w="1238"/>
          </w:tcPr>
          <w:p>
            <w:pPr>
              <w:spacing w:after="20"/>
              <w:jc w:val="right"/>
            </w:pPr>
            <w:r>
              <w:rPr>
                <w:color w:val="1C3A36"/>
                <w:sz w:val="17"/>
              </w:rPr>
              <w:t>7,563</w:t>
            </w:r>
          </w:p>
        </w:tc>
        <w:tc>
          <w:tcPr>
            <w:tcW w:type="dxa" w:w="1238"/>
          </w:tcPr>
          <w:p>
            <w:pPr>
              <w:spacing w:after="20"/>
              <w:jc w:val="right"/>
            </w:pPr>
            <w:r>
              <w:rPr>
                <w:color w:val="1C3A36"/>
                <w:sz w:val="17"/>
              </w:rPr>
              <w:t>9,334</w:t>
            </w:r>
          </w:p>
        </w:tc>
        <w:tc>
          <w:tcPr>
            <w:tcW w:type="dxa" w:w="1238"/>
          </w:tcPr>
          <w:p>
            <w:pPr>
              <w:spacing w:after="20"/>
              <w:jc w:val="right"/>
            </w:pPr>
            <w:r>
              <w:rPr>
                <w:color w:val="1C3A36"/>
                <w:sz w:val="17"/>
              </w:rPr>
              <w:t>10,812</w:t>
            </w:r>
          </w:p>
        </w:tc>
        <w:tc>
          <w:tcPr>
            <w:tcW w:type="dxa" w:w="1238"/>
          </w:tcPr>
          <w:p>
            <w:pPr>
              <w:spacing w:after="20"/>
              <w:jc w:val="right"/>
            </w:pPr>
            <w:r>
              <w:rPr>
                <w:color w:val="1C3A36"/>
                <w:sz w:val="17"/>
              </w:rPr>
              <w:t>12,160</w:t>
            </w:r>
          </w:p>
        </w:tc>
      </w:tr>
      <w:tr>
        <w:tc>
          <w:tcPr>
            <w:tcW w:type="dxa" w:w="3456"/>
          </w:tcPr>
          <w:p>
            <w:pPr>
              <w:spacing w:after="20"/>
            </w:pPr>
            <w:r>
              <w:rPr>
                <w:b/>
                <w:color w:val="1C3A36"/>
                <w:sz w:val="17"/>
              </w:rPr>
              <w:t>Operating profit after tax</w:t>
            </w:r>
          </w:p>
        </w:tc>
        <w:tc>
          <w:tcPr>
            <w:tcW w:type="dxa" w:w="1238"/>
          </w:tcPr>
          <w:p>
            <w:pPr>
              <w:spacing w:after="20"/>
              <w:jc w:val="right"/>
            </w:pPr>
            <w:r>
              <w:rPr>
                <w:color w:val="1C3A36"/>
                <w:sz w:val="17"/>
              </w:rPr>
              <w:t>4,185</w:t>
            </w:r>
          </w:p>
        </w:tc>
        <w:tc>
          <w:tcPr>
            <w:tcW w:type="dxa" w:w="1238"/>
          </w:tcPr>
          <w:p>
            <w:pPr>
              <w:spacing w:after="20"/>
              <w:jc w:val="right"/>
            </w:pPr>
            <w:r>
              <w:rPr>
                <w:color w:val="1C3A36"/>
                <w:sz w:val="17"/>
              </w:rPr>
              <w:t>5,445</w:t>
            </w:r>
          </w:p>
        </w:tc>
        <w:tc>
          <w:tcPr>
            <w:tcW w:type="dxa" w:w="1238"/>
          </w:tcPr>
          <w:p>
            <w:pPr>
              <w:spacing w:after="20"/>
              <w:jc w:val="right"/>
            </w:pPr>
            <w:r>
              <w:rPr>
                <w:color w:val="1C3A36"/>
                <w:sz w:val="17"/>
              </w:rPr>
              <w:t>6,721</w:t>
            </w:r>
          </w:p>
        </w:tc>
        <w:tc>
          <w:tcPr>
            <w:tcW w:type="dxa" w:w="1238"/>
          </w:tcPr>
          <w:p>
            <w:pPr>
              <w:spacing w:after="20"/>
              <w:jc w:val="right"/>
            </w:pPr>
            <w:r>
              <w:rPr>
                <w:color w:val="1C3A36"/>
                <w:sz w:val="17"/>
              </w:rPr>
              <w:t>7,785</w:t>
            </w:r>
          </w:p>
        </w:tc>
        <w:tc>
          <w:tcPr>
            <w:tcW w:type="dxa" w:w="1238"/>
          </w:tcPr>
          <w:p>
            <w:pPr>
              <w:spacing w:after="20"/>
              <w:jc w:val="right"/>
            </w:pPr>
            <w:r>
              <w:rPr>
                <w:color w:val="1C3A36"/>
                <w:sz w:val="17"/>
              </w:rPr>
              <w:t>8,755</w:t>
            </w:r>
          </w:p>
        </w:tc>
      </w:tr>
      <w:tr>
        <w:tc>
          <w:tcPr>
            <w:tcW w:type="dxa" w:w="3456"/>
          </w:tcPr>
          <w:p>
            <w:pPr>
              <w:spacing w:after="20"/>
            </w:pPr>
            <w:r>
              <w:rPr>
                <w:b/>
                <w:color w:val="1C3A36"/>
                <w:sz w:val="17"/>
              </w:rPr>
              <w:t>Plus depreciation and amortisation</w:t>
            </w:r>
          </w:p>
        </w:tc>
        <w:tc>
          <w:tcPr>
            <w:tcW w:type="dxa" w:w="1238"/>
          </w:tcPr>
          <w:p>
            <w:pPr>
              <w:spacing w:after="20"/>
              <w:jc w:val="right"/>
            </w:pPr>
            <w:r>
              <w:rPr>
                <w:color w:val="1C3A36"/>
                <w:sz w:val="17"/>
              </w:rPr>
              <w:t>864</w:t>
            </w:r>
          </w:p>
        </w:tc>
        <w:tc>
          <w:tcPr>
            <w:tcW w:type="dxa" w:w="1238"/>
          </w:tcPr>
          <w:p>
            <w:pPr>
              <w:spacing w:after="20"/>
              <w:jc w:val="right"/>
            </w:pPr>
            <w:r>
              <w:rPr>
                <w:color w:val="1C3A36"/>
                <w:sz w:val="17"/>
              </w:rPr>
              <w:t>1,053</w:t>
            </w:r>
          </w:p>
        </w:tc>
        <w:tc>
          <w:tcPr>
            <w:tcW w:type="dxa" w:w="1238"/>
          </w:tcPr>
          <w:p>
            <w:pPr>
              <w:spacing w:after="20"/>
              <w:jc w:val="right"/>
            </w:pPr>
            <w:r>
              <w:rPr>
                <w:color w:val="1C3A36"/>
                <w:sz w:val="17"/>
              </w:rPr>
              <w:t>1,237</w:t>
            </w:r>
          </w:p>
        </w:tc>
        <w:tc>
          <w:tcPr>
            <w:tcW w:type="dxa" w:w="1238"/>
          </w:tcPr>
          <w:p>
            <w:pPr>
              <w:spacing w:after="20"/>
              <w:jc w:val="right"/>
            </w:pPr>
            <w:r>
              <w:rPr>
                <w:color w:val="1C3A36"/>
                <w:sz w:val="17"/>
              </w:rPr>
              <w:t>1,416</w:t>
            </w:r>
          </w:p>
        </w:tc>
        <w:tc>
          <w:tcPr>
            <w:tcW w:type="dxa" w:w="1238"/>
          </w:tcPr>
          <w:p>
            <w:pPr>
              <w:spacing w:after="20"/>
              <w:jc w:val="right"/>
            </w:pPr>
            <w:r>
              <w:rPr>
                <w:color w:val="1C3A36"/>
                <w:sz w:val="17"/>
              </w:rPr>
              <w:t>1,592</w:t>
            </w:r>
          </w:p>
        </w:tc>
      </w:tr>
      <w:tr>
        <w:tc>
          <w:tcPr>
            <w:tcW w:type="dxa" w:w="3456"/>
          </w:tcPr>
          <w:p>
            <w:pPr>
              <w:spacing w:after="20"/>
            </w:pPr>
            <w:r>
              <w:rPr>
                <w:b/>
                <w:color w:val="1C3A36"/>
                <w:sz w:val="17"/>
              </w:rPr>
              <w:t>Less capital expenditure</w:t>
            </w:r>
          </w:p>
        </w:tc>
        <w:tc>
          <w:tcPr>
            <w:tcW w:type="dxa" w:w="1238"/>
          </w:tcPr>
          <w:p>
            <w:pPr>
              <w:spacing w:after="20"/>
              <w:jc w:val="right"/>
            </w:pPr>
            <w:r>
              <w:rPr>
                <w:color w:val="1C3A36"/>
                <w:sz w:val="17"/>
              </w:rPr>
              <w:t>(3,000)</w:t>
            </w:r>
          </w:p>
        </w:tc>
        <w:tc>
          <w:tcPr>
            <w:tcW w:type="dxa" w:w="1238"/>
          </w:tcPr>
          <w:p>
            <w:pPr>
              <w:spacing w:after="20"/>
              <w:jc w:val="right"/>
            </w:pPr>
            <w:r>
              <w:rPr>
                <w:color w:val="1C3A36"/>
                <w:sz w:val="17"/>
              </w:rPr>
              <w:t>(2,400)</w:t>
            </w:r>
          </w:p>
        </w:tc>
        <w:tc>
          <w:tcPr>
            <w:tcW w:type="dxa" w:w="1238"/>
          </w:tcPr>
          <w:p>
            <w:pPr>
              <w:spacing w:after="20"/>
              <w:jc w:val="right"/>
            </w:pPr>
            <w:r>
              <w:rPr>
                <w:color w:val="1C3A36"/>
                <w:sz w:val="17"/>
              </w:rPr>
              <w:t>(2,500)</w:t>
            </w:r>
          </w:p>
        </w:tc>
        <w:tc>
          <w:tcPr>
            <w:tcW w:type="dxa" w:w="1238"/>
          </w:tcPr>
          <w:p>
            <w:pPr>
              <w:spacing w:after="20"/>
              <w:jc w:val="right"/>
            </w:pPr>
            <w:r>
              <w:rPr>
                <w:color w:val="1C3A36"/>
                <w:sz w:val="17"/>
              </w:rPr>
              <w:t>(2,600)</w:t>
            </w:r>
          </w:p>
        </w:tc>
        <w:tc>
          <w:tcPr>
            <w:tcW w:type="dxa" w:w="1238"/>
          </w:tcPr>
          <w:p>
            <w:pPr>
              <w:spacing w:after="20"/>
              <w:jc w:val="right"/>
            </w:pPr>
            <w:r>
              <w:rPr>
                <w:color w:val="1C3A36"/>
                <w:sz w:val="17"/>
              </w:rPr>
              <w:t>(2,800)</w:t>
            </w:r>
          </w:p>
        </w:tc>
      </w:tr>
      <w:tr>
        <w:tc>
          <w:tcPr>
            <w:tcW w:type="dxa" w:w="3456"/>
          </w:tcPr>
          <w:p>
            <w:pPr>
              <w:spacing w:after="20"/>
            </w:pPr>
            <w:r>
              <w:rPr>
                <w:b/>
                <w:color w:val="1C3A36"/>
                <w:sz w:val="17"/>
              </w:rPr>
              <w:t>Less increase in working capital</w:t>
            </w:r>
          </w:p>
        </w:tc>
        <w:tc>
          <w:tcPr>
            <w:tcW w:type="dxa" w:w="1238"/>
          </w:tcPr>
          <w:p>
            <w:pPr>
              <w:spacing w:after="20"/>
              <w:jc w:val="right"/>
            </w:pPr>
            <w:r>
              <w:rPr>
                <w:color w:val="1C3A36"/>
                <w:sz w:val="17"/>
              </w:rPr>
              <w:t>(1,899)</w:t>
            </w:r>
          </w:p>
        </w:tc>
        <w:tc>
          <w:tcPr>
            <w:tcW w:type="dxa" w:w="1238"/>
          </w:tcPr>
          <w:p>
            <w:pPr>
              <w:spacing w:after="20"/>
              <w:jc w:val="right"/>
            </w:pPr>
            <w:r>
              <w:rPr>
                <w:color w:val="1C3A36"/>
                <w:sz w:val="17"/>
              </w:rPr>
              <w:t>(3,118)</w:t>
            </w:r>
          </w:p>
        </w:tc>
        <w:tc>
          <w:tcPr>
            <w:tcW w:type="dxa" w:w="1238"/>
          </w:tcPr>
          <w:p>
            <w:pPr>
              <w:spacing w:after="20"/>
              <w:jc w:val="right"/>
            </w:pPr>
            <w:r>
              <w:rPr>
                <w:color w:val="1C3A36"/>
                <w:sz w:val="17"/>
              </w:rPr>
              <w:t>(2,494)</w:t>
            </w:r>
          </w:p>
        </w:tc>
        <w:tc>
          <w:tcPr>
            <w:tcW w:type="dxa" w:w="1238"/>
          </w:tcPr>
          <w:p>
            <w:pPr>
              <w:spacing w:after="20"/>
              <w:jc w:val="right"/>
            </w:pPr>
            <w:r>
              <w:rPr>
                <w:color w:val="1C3A36"/>
                <w:sz w:val="17"/>
              </w:rPr>
              <w:t>(2,533)</w:t>
            </w:r>
          </w:p>
        </w:tc>
        <w:tc>
          <w:tcPr>
            <w:tcW w:type="dxa" w:w="1238"/>
          </w:tcPr>
          <w:p>
            <w:pPr>
              <w:spacing w:after="20"/>
              <w:jc w:val="right"/>
            </w:pPr>
            <w:r>
              <w:rPr>
                <w:color w:val="1C3A36"/>
                <w:sz w:val="17"/>
              </w:rPr>
              <w:t>(2,163)</w:t>
            </w:r>
          </w:p>
        </w:tc>
      </w:tr>
      <w:tr>
        <w:tc>
          <w:tcPr>
            <w:tcW w:type="dxa" w:w="3456"/>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151</w:t>
            </w:r>
          </w:p>
        </w:tc>
        <w:tc>
          <w:tcPr>
            <w:tcW w:type="dxa" w:w="1238"/>
            <w:shd w:val="clear" w:color="auto" w:fill="F6F1E6"/>
          </w:tcPr>
          <w:p>
            <w:pPr>
              <w:spacing w:after="20"/>
              <w:jc w:val="right"/>
            </w:pPr>
            <w:r>
              <w:rPr>
                <w:b/>
                <w:color w:val="1C3A36"/>
                <w:sz w:val="17"/>
              </w:rPr>
              <w:t>980</w:t>
            </w:r>
          </w:p>
        </w:tc>
        <w:tc>
          <w:tcPr>
            <w:tcW w:type="dxa" w:w="1238"/>
            <w:shd w:val="clear" w:color="auto" w:fill="F6F1E6"/>
          </w:tcPr>
          <w:p>
            <w:pPr>
              <w:spacing w:after="20"/>
              <w:jc w:val="right"/>
            </w:pPr>
            <w:r>
              <w:rPr>
                <w:b/>
                <w:color w:val="1C3A36"/>
                <w:sz w:val="17"/>
              </w:rPr>
              <w:t>2,964</w:t>
            </w:r>
          </w:p>
        </w:tc>
        <w:tc>
          <w:tcPr>
            <w:tcW w:type="dxa" w:w="1238"/>
            <w:shd w:val="clear" w:color="auto" w:fill="F6F1E6"/>
          </w:tcPr>
          <w:p>
            <w:pPr>
              <w:spacing w:after="20"/>
              <w:jc w:val="right"/>
            </w:pPr>
            <w:r>
              <w:rPr>
                <w:b/>
                <w:color w:val="1C3A36"/>
                <w:sz w:val="17"/>
              </w:rPr>
              <w:t>4,068</w:t>
            </w:r>
          </w:p>
        </w:tc>
        <w:tc>
          <w:tcPr>
            <w:tcW w:type="dxa" w:w="1238"/>
            <w:shd w:val="clear" w:color="auto" w:fill="F6F1E6"/>
          </w:tcPr>
          <w:p>
            <w:pPr>
              <w:spacing w:after="20"/>
              <w:jc w:val="right"/>
            </w:pPr>
            <w:r>
              <w:rPr>
                <w:b/>
                <w:color w:val="1C3A36"/>
                <w:sz w:val="17"/>
              </w:rPr>
              <w:t>5,384</w:t>
            </w:r>
          </w:p>
        </w:tc>
      </w:tr>
    </w:tbl>
    <w:p>
      <w:pPr>
        <w:spacing w:after="40"/>
      </w:pPr>
    </w:p>
    <w:p>
      <w:pPr>
        <w:spacing w:after="200" w:before="0"/>
      </w:pPr>
      <w:r>
        <w:rPr>
          <w:b w:val="0"/>
          <w:i/>
          <w:color w:val="6E7B77"/>
          <w:sz w:val="17"/>
        </w:rPr>
        <w:t>Table A3 — the Auto leg’s cash flow, line for line as §1.2 discounts it. Deductions are printed as magnitudes in brackets and the labels state the operation, so the column can be followed to the result.</w:t>
      </w:r>
    </w:p>
    <w:p>
      <w:pPr>
        <w:spacing w:after="80" w:before="200"/>
      </w:pPr>
      <w:r>
        <w:rPr>
          <w:b/>
          <w:i w:val="0"/>
          <w:color w:val="1C3A36"/>
          <w:sz w:val="24"/>
        </w:rPr>
        <w:t>A.5  The balance-sheet anchors the bridge stands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24"/>
            <w:shd w:val="clear" w:color="auto" w:fill="EAF0EE"/>
          </w:tcPr>
          <w:p>
            <w:pPr>
              <w:spacing w:after="20"/>
            </w:pPr>
            <w:r>
              <w:rPr>
                <w:b/>
                <w:color w:val="1C3A36"/>
                <w:sz w:val="17"/>
              </w:rPr>
              <w:t>Item</w:t>
            </w:r>
          </w:p>
        </w:tc>
        <w:tc>
          <w:tcPr>
            <w:tcW w:type="dxa" w:w="1512"/>
            <w:shd w:val="clear" w:color="auto" w:fill="EAF0EE"/>
          </w:tcPr>
          <w:p>
            <w:pPr>
              <w:spacing w:after="20"/>
            </w:pPr>
            <w:r>
              <w:rPr>
                <w:b/>
                <w:color w:val="1C3A36"/>
                <w:sz w:val="17"/>
              </w:rPr>
              <w:t>Value (EGP mn)</w:t>
            </w:r>
          </w:p>
        </w:tc>
        <w:tc>
          <w:tcPr>
            <w:tcW w:type="dxa" w:w="1656"/>
            <w:shd w:val="clear" w:color="auto" w:fill="EAF0EE"/>
          </w:tcPr>
          <w:p>
            <w:pPr>
              <w:spacing w:after="20"/>
            </w:pPr>
            <w:r>
              <w:rPr>
                <w:b/>
                <w:color w:val="1C3A36"/>
                <w:sz w:val="17"/>
              </w:rPr>
              <w:t>Balance sheet as at</w:t>
            </w:r>
          </w:p>
        </w:tc>
        <w:tc>
          <w:tcPr>
            <w:tcW w:type="dxa" w:w="4032"/>
            <w:shd w:val="clear" w:color="auto" w:fill="EAF0EE"/>
          </w:tcPr>
          <w:p>
            <w:pPr>
              <w:spacing w:after="20"/>
            </w:pPr>
            <w:r>
              <w:rPr>
                <w:b/>
                <w:color w:val="1C3A36"/>
                <w:sz w:val="17"/>
              </w:rPr>
              <w:t>Where it was read, and the date that document carries</w:t>
            </w:r>
          </w:p>
        </w:tc>
      </w:tr>
      <w:tr>
        <w:tc>
          <w:tcPr>
            <w:tcW w:type="dxa" w:w="3024"/>
          </w:tcPr>
          <w:p>
            <w:pPr>
              <w:spacing w:after="20"/>
            </w:pPr>
            <w:r>
              <w:rPr>
                <w:b/>
                <w:color w:val="1C3A36"/>
                <w:sz w:val="17"/>
              </w:rPr>
              <w:t>Cash and equivalents</w:t>
            </w:r>
          </w:p>
        </w:tc>
        <w:tc>
          <w:tcPr>
            <w:tcW w:type="dxa" w:w="1512"/>
          </w:tcPr>
          <w:p>
            <w:pPr>
              <w:spacing w:after="20"/>
              <w:jc w:val="right"/>
            </w:pPr>
            <w:r>
              <w:rPr>
                <w:color w:val="1C3A36"/>
                <w:sz w:val="17"/>
              </w:rPr>
              <w:t>10,951.5</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Borrowings, group</w:t>
            </w:r>
          </w:p>
        </w:tc>
        <w:tc>
          <w:tcPr>
            <w:tcW w:type="dxa" w:w="1512"/>
          </w:tcPr>
          <w:p>
            <w:pPr>
              <w:spacing w:after="20"/>
              <w:jc w:val="right"/>
            </w:pPr>
            <w:r>
              <w:rPr>
                <w:color w:val="1C3A36"/>
                <w:sz w:val="17"/>
              </w:rPr>
              <w:t>42,476.0</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Borrowings, GB Auto segment</w:t>
            </w:r>
          </w:p>
        </w:tc>
        <w:tc>
          <w:tcPr>
            <w:tcW w:type="dxa" w:w="1512"/>
          </w:tcPr>
          <w:p>
            <w:pPr>
              <w:spacing w:after="20"/>
              <w:jc w:val="right"/>
            </w:pPr>
            <w:r>
              <w:rPr>
                <w:color w:val="1C3A36"/>
                <w:sz w:val="17"/>
              </w:rPr>
              <w:t>22,733.1</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Group total equity — a disclosed line, not a sum of the rows above</w:t>
            </w:r>
          </w:p>
        </w:tc>
        <w:tc>
          <w:tcPr>
            <w:tcW w:type="dxa" w:w="1512"/>
          </w:tcPr>
          <w:p>
            <w:pPr>
              <w:spacing w:after="20"/>
              <w:jc w:val="right"/>
            </w:pPr>
            <w:r>
              <w:rPr>
                <w:color w:val="1C3A36"/>
                <w:sz w:val="17"/>
              </w:rPr>
              <w:t>35,127.9</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Auto net debt used in the bridge</w:t>
            </w:r>
          </w:p>
        </w:tc>
        <w:tc>
          <w:tcPr>
            <w:tcW w:type="dxa" w:w="1512"/>
          </w:tcPr>
          <w:p>
            <w:pPr>
              <w:spacing w:after="20"/>
              <w:jc w:val="right"/>
            </w:pPr>
            <w:r>
              <w:rPr>
                <w:color w:val="1C3A36"/>
                <w:sz w:val="17"/>
              </w:rPr>
              <w:t>14,623.7</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the segmented balance sheet, GB Auto column, on the company’s own net-debt definition</w:t>
            </w:r>
          </w:p>
        </w:tc>
      </w:tr>
      <w:tr>
        <w:tc>
          <w:tcPr>
            <w:tcW w:type="dxa" w:w="3024"/>
          </w:tcPr>
          <w:p>
            <w:pPr>
              <w:spacing w:after="20"/>
            </w:pPr>
            <w:r>
              <w:rPr>
                <w:b/>
                <w:color w:val="1C3A36"/>
                <w:sz w:val="17"/>
              </w:rPr>
              <w:t>Auto non-controlling interests deducted</w:t>
            </w:r>
          </w:p>
        </w:tc>
        <w:tc>
          <w:tcPr>
            <w:tcW w:type="dxa" w:w="1512"/>
          </w:tcPr>
          <w:p>
            <w:pPr>
              <w:spacing w:after="20"/>
              <w:jc w:val="right"/>
            </w:pPr>
            <w:r>
              <w:rPr>
                <w:color w:val="1C3A36"/>
                <w:sz w:val="17"/>
              </w:rPr>
              <w:t>590.7</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that leg’s own minority interest</w:t>
            </w:r>
          </w:p>
        </w:tc>
      </w:tr>
    </w:tbl>
    <w:p>
      <w:pPr>
        <w:spacing w:after="40"/>
      </w:pPr>
    </w:p>
    <w:p>
      <w:pPr>
        <w:spacing w:after="200" w:before="0"/>
      </w:pPr>
      <w:r>
        <w:rPr>
          <w:b w:val="0"/>
          <w:i/>
          <w:color w:val="6E7B77"/>
          <w:sz w:val="17"/>
        </w:rPr>
        <w:t>Table A4 — the bridge stands on the latest disclosed balance sheet, the reviewed statements to 30 June 2026, and not on the prior year end. The deduction is the AUTO leg’s own net debt and the AUTO leg’s own minority, because the lender’s borrowings are its raw material rather than its leverage.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Peers and the sector frame</w:t>
      </w:r>
    </w:p>
    <w:p>
      <w:pPr>
        <w:spacing w:after="120" w:before="0"/>
      </w:pPr>
      <w:r>
        <w:rPr>
          <w:b w:val="0"/>
          <w:i w:val="0"/>
          <w:color w:val="1C3A36"/>
          <w:sz w:val="21"/>
        </w:rPr>
        <w:t>GB Corp has no clean single comparable — an auto assembler-distributor, a non-bank lender and a fintech associate in one wrapper, and that is why the class primary is a sum of the parts rather than a multiple. The peer set is therefore split by leg, and it is used for cross-checks only: no peer is a source for GB Corp’s own reported figures, and no peer multiple is applied to the group as a whole.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7"/>
              </w:rPr>
              <w:t>Leg</w:t>
            </w:r>
          </w:p>
        </w:tc>
        <w:tc>
          <w:tcPr>
            <w:tcW w:type="dxa" w:w="3024"/>
            <w:shd w:val="clear" w:color="auto" w:fill="EAF0EE"/>
          </w:tcPr>
          <w:p>
            <w:pPr>
              <w:spacing w:after="20"/>
            </w:pPr>
            <w:r>
              <w:rPr>
                <w:b/>
                <w:color w:val="1C3A36"/>
                <w:sz w:val="17"/>
              </w:rPr>
              <w:t>Closest peers</w:t>
            </w:r>
          </w:p>
        </w:tc>
        <w:tc>
          <w:tcPr>
            <w:tcW w:type="dxa" w:w="2448"/>
            <w:shd w:val="clear" w:color="auto" w:fill="EAF0EE"/>
          </w:tcPr>
          <w:p>
            <w:pPr>
              <w:spacing w:after="20"/>
            </w:pPr>
            <w:r>
              <w:rPr>
                <w:b/>
                <w:color w:val="1C3A36"/>
                <w:sz w:val="17"/>
              </w:rPr>
              <w:t>How they are typically valued</w:t>
            </w:r>
          </w:p>
        </w:tc>
        <w:tc>
          <w:tcPr>
            <w:tcW w:type="dxa" w:w="2592"/>
            <w:shd w:val="clear" w:color="auto" w:fill="EAF0EE"/>
          </w:tcPr>
          <w:p>
            <w:pPr>
              <w:spacing w:after="20"/>
            </w:pPr>
            <w:r>
              <w:rPr>
                <w:b/>
                <w:color w:val="1C3A36"/>
                <w:sz w:val="17"/>
              </w:rPr>
              <w:t>Caution</w:t>
            </w:r>
          </w:p>
        </w:tc>
      </w:tr>
      <w:tr>
        <w:tc>
          <w:tcPr>
            <w:tcW w:type="dxa" w:w="2160"/>
          </w:tcPr>
          <w:p>
            <w:pPr>
              <w:spacing w:after="20"/>
            </w:pPr>
            <w:r>
              <w:rPr>
                <w:b/>
                <w:color w:val="1C3A36"/>
                <w:sz w:val="17"/>
              </w:rPr>
              <w:t>Auto assembly and distribution</w:t>
            </w:r>
          </w:p>
        </w:tc>
        <w:tc>
          <w:tcPr>
            <w:tcW w:type="dxa" w:w="3024"/>
          </w:tcPr>
          <w:p>
            <w:pPr>
              <w:spacing w:after="20"/>
              <w:jc w:val="right"/>
            </w:pPr>
            <w:r>
              <w:rPr>
                <w:color w:val="1C3A36"/>
                <w:sz w:val="17"/>
              </w:rPr>
              <w:t>Gulf and regional auto distributors; listed consumer-durables names on this exchange</w:t>
            </w:r>
          </w:p>
        </w:tc>
        <w:tc>
          <w:tcPr>
            <w:tcW w:type="dxa" w:w="2448"/>
          </w:tcPr>
          <w:p>
            <w:pPr>
              <w:spacing w:after="20"/>
              <w:jc w:val="right"/>
            </w:pPr>
            <w:r>
              <w:rPr>
                <w:color w:val="1C3A36"/>
                <w:sz w:val="17"/>
              </w:rPr>
              <w:t>Enterprise value against operating profit; earnings multiples</w:t>
            </w:r>
          </w:p>
        </w:tc>
        <w:tc>
          <w:tcPr>
            <w:tcW w:type="dxa" w:w="2592"/>
          </w:tcPr>
          <w:p>
            <w:pPr>
              <w:spacing w:after="20"/>
              <w:jc w:val="right"/>
            </w:pPr>
            <w:r>
              <w:rPr>
                <w:color w:val="1C3A36"/>
                <w:sz w:val="17"/>
              </w:rPr>
              <w:t>None of them assembles under the same localisation regime or carries a captive lender</w:t>
            </w:r>
          </w:p>
        </w:tc>
      </w:tr>
      <w:tr>
        <w:tc>
          <w:tcPr>
            <w:tcW w:type="dxa" w:w="2160"/>
          </w:tcPr>
          <w:p>
            <w:pPr>
              <w:spacing w:after="20"/>
            </w:pPr>
            <w:r>
              <w:rPr>
                <w:b/>
                <w:color w:val="1C3A36"/>
                <w:sz w:val="17"/>
              </w:rPr>
              <w:t>Non-bank consumer and corporate finance</w:t>
            </w:r>
          </w:p>
        </w:tc>
        <w:tc>
          <w:tcPr>
            <w:tcW w:type="dxa" w:w="3024"/>
          </w:tcPr>
          <w:p>
            <w:pPr>
              <w:spacing w:after="20"/>
              <w:jc w:val="right"/>
            </w:pPr>
            <w:r>
              <w:rPr>
                <w:color w:val="1C3A36"/>
                <w:sz w:val="17"/>
              </w:rPr>
              <w:t>Listed Egyptian finance companies with a comparable book</w:t>
            </w:r>
          </w:p>
        </w:tc>
        <w:tc>
          <w:tcPr>
            <w:tcW w:type="dxa" w:w="2448"/>
          </w:tcPr>
          <w:p>
            <w:pPr>
              <w:spacing w:after="20"/>
              <w:jc w:val="right"/>
            </w:pPr>
            <w:r>
              <w:rPr>
                <w:color w:val="1C3A36"/>
                <w:sz w:val="17"/>
              </w:rPr>
              <w:t>Price to book against the return on that book</w:t>
            </w:r>
          </w:p>
        </w:tc>
        <w:tc>
          <w:tcPr>
            <w:tcW w:type="dxa" w:w="2592"/>
          </w:tcPr>
          <w:p>
            <w:pPr>
              <w:spacing w:after="20"/>
              <w:jc w:val="right"/>
            </w:pPr>
            <w:r>
              <w:rPr>
                <w:color w:val="1C3A36"/>
                <w:sz w:val="17"/>
              </w:rPr>
              <w:t>Funding mix and provisioning policy differ enough that the multiple travels badly</w:t>
            </w:r>
          </w:p>
        </w:tc>
      </w:tr>
      <w:tr>
        <w:tc>
          <w:tcPr>
            <w:tcW w:type="dxa" w:w="2160"/>
          </w:tcPr>
          <w:p>
            <w:pPr>
              <w:spacing w:after="20"/>
            </w:pPr>
            <w:r>
              <w:rPr>
                <w:b/>
                <w:color w:val="1C3A36"/>
                <w:sz w:val="17"/>
              </w:rPr>
              <w:t>Fintech associate</w:t>
            </w:r>
          </w:p>
        </w:tc>
        <w:tc>
          <w:tcPr>
            <w:tcW w:type="dxa" w:w="3024"/>
          </w:tcPr>
          <w:p>
            <w:pPr>
              <w:spacing w:after="20"/>
              <w:jc w:val="right"/>
            </w:pPr>
            <w:r>
              <w:rPr>
                <w:color w:val="1C3A36"/>
                <w:sz w:val="17"/>
              </w:rPr>
              <w:t>Listed payments and financial-technology names on this exchange</w:t>
            </w:r>
          </w:p>
        </w:tc>
        <w:tc>
          <w:tcPr>
            <w:tcW w:type="dxa" w:w="2448"/>
          </w:tcPr>
          <w:p>
            <w:pPr>
              <w:spacing w:after="20"/>
              <w:jc w:val="right"/>
            </w:pPr>
            <w:r>
              <w:rPr>
                <w:color w:val="1C3A36"/>
                <w:sz w:val="17"/>
              </w:rPr>
              <w:t>Private marks; the last round is the only observable price</w:t>
            </w:r>
          </w:p>
        </w:tc>
        <w:tc>
          <w:tcPr>
            <w:tcW w:type="dxa" w:w="2592"/>
          </w:tcPr>
          <w:p>
            <w:pPr>
              <w:spacing w:after="20"/>
              <w:jc w:val="right"/>
            </w:pPr>
            <w:r>
              <w:rPr>
                <w:color w:val="1C3A36"/>
                <w:sz w:val="17"/>
              </w:rPr>
              <w:t>A listed comparator has a price and this holding has none — which is the whole subject of this study</w:t>
            </w:r>
          </w:p>
        </w:tc>
      </w:tr>
    </w:tbl>
    <w:p>
      <w:pPr>
        <w:spacing w:after="40"/>
      </w:pPr>
    </w:p>
    <w:p>
      <w:pPr>
        <w:spacing w:after="120" w:before="0"/>
      </w:pPr>
      <w:r>
        <w:rPr>
          <w:b w:val="0"/>
          <w:i w:val="0"/>
          <w:color w:val="1C3A36"/>
          <w:sz w:val="19"/>
        </w:rPr>
        <w:t>The absence of a single clean comparable is itself a finding rather than a gap in the research, and it is why the relative multiple in §1.3 is taken from GB CORP’S OWN trailing rating at its own three year-end closes rather than from a peer set at all. Sector structure: the Egyptian passenger-car market is in a policy-assisted recovery, with the easing cycle restoring affordability, localisation incentives reshaping the assembled-versus-imported mix, and new entrants resetting price points. Consumer and corporate finance is growing faster than banking credit off a low base, with securitisation deepening as a funding market.</w:t>
      </w:r>
    </w:p>
    <w:p>
      <w:pPr>
        <w:spacing w:after="80" w:before="200"/>
      </w:pPr>
      <w:r>
        <w:rPr>
          <w:b/>
          <w:i w:val="0"/>
          <w:color w:val="1C3A36"/>
          <w:sz w:val="24"/>
        </w:rPr>
        <w:t>B.2  Risk register</w:t>
      </w:r>
    </w:p>
    <w:p>
      <w:pPr>
        <w:spacing w:after="120" w:before="0"/>
      </w:pPr>
      <w:r>
        <w:rPr>
          <w:b w:val="0"/>
          <w:i w:val="0"/>
          <w:color w:val="1C3A36"/>
          <w:sz w:val="19"/>
        </w:rPr>
        <w:t>Every risk below is either PRICED — the study can put a number on what it is worth and does — or NAMED AND NOT PRICED, because the disclosure to price it does not exist. Nothing is left as an adjective. Where a risk is one of the study’s own contested judgements, the figure is what moving that judgement to its other framing does to the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520"/>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744"/>
            <w:shd w:val="clear" w:color="auto" w:fill="EAF0EE"/>
          </w:tcPr>
          <w:p>
            <w:pPr>
              <w:spacing w:after="20"/>
            </w:pPr>
            <w:r>
              <w:rPr>
                <w:b/>
                <w:color w:val="1C3A36"/>
                <w:sz w:val="16"/>
              </w:rPr>
              <w:t>What it is worth</w:t>
            </w:r>
          </w:p>
        </w:tc>
      </w:tr>
      <w:tr>
        <w:tc>
          <w:tcPr>
            <w:tcW w:type="dxa" w:w="2520"/>
          </w:tcPr>
          <w:p>
            <w:pPr>
              <w:spacing w:after="20"/>
            </w:pPr>
            <w:r>
              <w:rPr>
                <w:b/>
                <w:color w:val="1C3A36"/>
                <w:sz w:val="16"/>
              </w:rPr>
              <w:t>The basis on which the associate is marked</w:t>
            </w:r>
          </w:p>
        </w:tc>
        <w:tc>
          <w:tcPr>
            <w:tcW w:type="dxa" w:w="3960"/>
          </w:tcPr>
          <w:p>
            <w:pPr>
              <w:spacing w:after="20"/>
              <w:jc w:val="right"/>
            </w:pPr>
            <w:r>
              <w:rPr>
                <w:color w:val="1C3A36"/>
                <w:sz w:val="16"/>
              </w:rPr>
              <w:t>GB Corp carries its MNT-Halan interest one way in its own reviewed balance sheet and announced a funding round that marks it another. Both are its own disclosures; the filings do not choose</w:t>
            </w:r>
          </w:p>
        </w:tc>
        <w:tc>
          <w:tcPr>
            <w:tcW w:type="dxa" w:w="3744"/>
          </w:tcPr>
          <w:p>
            <w:pPr>
              <w:spacing w:after="20"/>
              <w:jc w:val="right"/>
            </w:pPr>
            <w:r>
              <w:rPr>
                <w:color w:val="1C3A36"/>
                <w:sz w:val="16"/>
              </w:rPr>
              <w:t>THE ANSWER ITSELF: EGP 11.00 a share between the two published branches, 21.0% of the higher one</w:t>
            </w:r>
          </w:p>
        </w:tc>
      </w:tr>
      <w:tr>
        <w:tc>
          <w:tcPr>
            <w:tcW w:type="dxa" w:w="2520"/>
          </w:tcPr>
          <w:p>
            <w:pPr>
              <w:spacing w:after="20"/>
            </w:pPr>
            <w:r>
              <w:rPr>
                <w:b/>
                <w:color w:val="1C3A36"/>
                <w:sz w:val="16"/>
              </w:rPr>
              <w:t>The associate’s own accounts cannot be verified</w:t>
            </w:r>
          </w:p>
        </w:tc>
        <w:tc>
          <w:tcPr>
            <w:tcW w:type="dxa" w:w="3960"/>
          </w:tcPr>
          <w:p>
            <w:pPr>
              <w:spacing w:after="20"/>
              <w:jc w:val="right"/>
            </w:pPr>
            <w:r>
              <w:rPr>
                <w:color w:val="1C3A36"/>
                <w:sz w:val="16"/>
              </w:rPr>
              <w:t>The reviewers of the 30 June 2026 statements were not provided with that company’s financial statements and could not verify the group’s share of its profits; the same qualification stood on the prior audited year</w:t>
            </w:r>
          </w:p>
        </w:tc>
        <w:tc>
          <w:tcPr>
            <w:tcW w:type="dxa" w:w="3744"/>
          </w:tcPr>
          <w:p>
            <w:pPr>
              <w:spacing w:after="20"/>
              <w:jc w:val="right"/>
            </w:pPr>
            <w:r>
              <w:rPr>
                <w:color w:val="1C3A36"/>
                <w:sz w:val="16"/>
              </w:rPr>
              <w:t>NAMED AND NOT PRICED. A qualification says a figure could not be verified, not what it should have been — but it is why the lower branch is not a safe harbour</w:t>
            </w:r>
          </w:p>
        </w:tc>
      </w:tr>
      <w:tr>
        <w:tc>
          <w:tcPr>
            <w:tcW w:type="dxa" w:w="2520"/>
          </w:tcPr>
          <w:p>
            <w:pPr>
              <w:spacing w:after="20"/>
            </w:pPr>
            <w:r>
              <w:rPr>
                <w:b/>
                <w:color w:val="1C3A36"/>
                <w:sz w:val="16"/>
              </w:rPr>
              <w:t>Working-capital intensity does not release</w:t>
            </w:r>
          </w:p>
        </w:tc>
        <w:tc>
          <w:tcPr>
            <w:tcW w:type="dxa" w:w="3960"/>
          </w:tcPr>
          <w:p>
            <w:pPr>
              <w:spacing w:after="20"/>
              <w:jc w:val="right"/>
            </w:pPr>
            <w:r>
              <w:rPr>
                <w:color w:val="1C3A36"/>
                <w:sz w:val="16"/>
              </w:rPr>
              <w:t>The auto leg’s free cash flow is a thin residual, so the glide in receivables, inventory and payables moves it directly</w:t>
            </w:r>
          </w:p>
        </w:tc>
        <w:tc>
          <w:tcPr>
            <w:tcW w:type="dxa" w:w="3744"/>
          </w:tcPr>
          <w:p>
            <w:pPr>
              <w:spacing w:after="20"/>
              <w:jc w:val="right"/>
            </w:pPr>
            <w:r>
              <w:rPr>
                <w:color w:val="1C3A36"/>
                <w:sz w:val="16"/>
              </w:rPr>
              <w:t>PRICED: 64.5% of the lower branch. Holding the first forecast year flat across the window gives EGP 25.13 against EGP 41.35</w:t>
            </w:r>
          </w:p>
        </w:tc>
      </w:tr>
      <w:tr>
        <w:tc>
          <w:tcPr>
            <w:tcW w:type="dxa" w:w="2520"/>
          </w:tcPr>
          <w:p>
            <w:pPr>
              <w:spacing w:after="20"/>
            </w:pPr>
            <w:r>
              <w:rPr>
                <w:b/>
                <w:color w:val="1C3A36"/>
                <w:sz w:val="16"/>
              </w:rPr>
              <w:t>The cost of capital is higher than this study builds</w:t>
            </w:r>
          </w:p>
        </w:tc>
        <w:tc>
          <w:tcPr>
            <w:tcW w:type="dxa" w:w="3960"/>
          </w:tcPr>
          <w:p>
            <w:pPr>
              <w:spacing w:after="20"/>
              <w:jc w:val="right"/>
            </w:pPr>
            <w:r>
              <w:rPr>
                <w:color w:val="1C3A36"/>
                <w:sz w:val="16"/>
              </w:rPr>
              <w:t>The premium basis and the beta are both estimates, and the whole ladder moves with either</w:t>
            </w:r>
          </w:p>
        </w:tc>
        <w:tc>
          <w:tcPr>
            <w:tcW w:type="dxa" w:w="3744"/>
          </w:tcPr>
          <w:p>
            <w:pPr>
              <w:spacing w:after="20"/>
              <w:jc w:val="right"/>
            </w:pPr>
            <w:r>
              <w:rPr>
                <w:color w:val="1C3A36"/>
                <w:sz w:val="16"/>
              </w:rPr>
              <w:t>PRICED: 6.8% on the premium basis and 6.5% on the beta, each measured on the lower branch. §1.9 prices the whole grid</w:t>
            </w:r>
          </w:p>
        </w:tc>
      </w:tr>
      <w:tr>
        <w:tc>
          <w:tcPr>
            <w:tcW w:type="dxa" w:w="2520"/>
          </w:tcPr>
          <w:p>
            <w:pPr>
              <w:spacing w:after="20"/>
            </w:pPr>
            <w:r>
              <w:rPr>
                <w:b/>
                <w:color w:val="1C3A36"/>
                <w:sz w:val="16"/>
              </w:rPr>
              <w:t>The lender’s return is a credit cycle</w:t>
            </w:r>
          </w:p>
        </w:tc>
        <w:tc>
          <w:tcPr>
            <w:tcW w:type="dxa" w:w="3960"/>
          </w:tcPr>
          <w:p>
            <w:pPr>
              <w:spacing w:after="20"/>
              <w:jc w:val="right"/>
            </w:pPr>
            <w:r>
              <w:rPr>
                <w:color w:val="1C3A36"/>
                <w:sz w:val="16"/>
              </w:rPr>
              <w:t>GB Capital is marked by the return it earns above the cost of that equity, and both move with the cycle</w:t>
            </w:r>
          </w:p>
        </w:tc>
        <w:tc>
          <w:tcPr>
            <w:tcW w:type="dxa" w:w="3744"/>
          </w:tcPr>
          <w:p>
            <w:pPr>
              <w:spacing w:after="20"/>
              <w:jc w:val="right"/>
            </w:pPr>
            <w:r>
              <w:rPr>
                <w:color w:val="1C3A36"/>
                <w:sz w:val="16"/>
              </w:rPr>
              <w:t>PRICED: 5.2% between the reviewed half and the full prior year — EGP 4,117 mn against EGP 1,656 mn on that leg</w:t>
            </w:r>
          </w:p>
        </w:tc>
      </w:tr>
      <w:tr>
        <w:tc>
          <w:tcPr>
            <w:tcW w:type="dxa" w:w="2520"/>
          </w:tcPr>
          <w:p>
            <w:pPr>
              <w:spacing w:after="20"/>
            </w:pPr>
            <w:r>
              <w:rPr>
                <w:b/>
                <w:color w:val="1C3A36"/>
                <w:sz w:val="16"/>
              </w:rPr>
              <w:t>The Auto margin does not hold where the reviewed half left it</w:t>
            </w:r>
          </w:p>
        </w:tc>
        <w:tc>
          <w:tcPr>
            <w:tcW w:type="dxa" w:w="3960"/>
          </w:tcPr>
          <w:p>
            <w:pPr>
              <w:spacing w:after="20"/>
              <w:jc w:val="right"/>
            </w:pPr>
            <w:r>
              <w:rPr>
                <w:color w:val="1C3A36"/>
                <w:sz w:val="16"/>
              </w:rPr>
              <w:t>New entrants resetting price points, or the currency moving through imported assembly content</w:t>
            </w:r>
          </w:p>
        </w:tc>
        <w:tc>
          <w:tcPr>
            <w:tcW w:type="dxa" w:w="3744"/>
          </w:tcPr>
          <w:p>
            <w:pPr>
              <w:spacing w:after="20"/>
              <w:jc w:val="right"/>
            </w:pPr>
            <w:r>
              <w:rPr>
                <w:color w:val="1C3A36"/>
                <w:sz w:val="16"/>
              </w:rPr>
              <w:t>PRICED: 3.2% between the forecast path and the latest reviewed half held flat across the window</w:t>
            </w:r>
          </w:p>
        </w:tc>
      </w:tr>
      <w:tr>
        <w:tc>
          <w:tcPr>
            <w:tcW w:type="dxa" w:w="2520"/>
          </w:tcPr>
          <w:p>
            <w:pPr>
              <w:spacing w:after="20"/>
            </w:pPr>
            <w:r>
              <w:rPr>
                <w:b/>
                <w:color w:val="1C3A36"/>
                <w:sz w:val="16"/>
              </w:rPr>
              <w:t>Terminal-value dependency, on an asset life that could not be sourced</w:t>
            </w:r>
          </w:p>
        </w:tc>
        <w:tc>
          <w:tcPr>
            <w:tcW w:type="dxa" w:w="3960"/>
          </w:tcPr>
          <w:p>
            <w:pPr>
              <w:spacing w:after="20"/>
              <w:jc w:val="right"/>
            </w:pPr>
            <w:r>
              <w:rPr>
                <w:color w:val="1C3A36"/>
                <w:sz w:val="16"/>
              </w:rPr>
              <w:t>84% of the auto leg’s enterprise value is terminal value, and the accounting-policy note discloses depreciation rate RANGES per class rather than a life</w:t>
            </w:r>
          </w:p>
        </w:tc>
        <w:tc>
          <w:tcPr>
            <w:tcW w:type="dxa" w:w="3744"/>
          </w:tcPr>
          <w:p>
            <w:pPr>
              <w:spacing w:after="20"/>
              <w:jc w:val="right"/>
            </w:pPr>
            <w:r>
              <w:rPr>
                <w:color w:val="1C3A36"/>
                <w:sz w:val="16"/>
              </w:rPr>
              <w:t>NAMED AND NOT PRICED. A life this desk chose would not be a disclosed life, so none was chosen; B.3 records the search</w:t>
            </w:r>
          </w:p>
        </w:tc>
      </w:tr>
      <w:tr>
        <w:tc>
          <w:tcPr>
            <w:tcW w:type="dxa" w:w="2520"/>
          </w:tcPr>
          <w:p>
            <w:pPr>
              <w:spacing w:after="20"/>
            </w:pPr>
            <w:r>
              <w:rPr>
                <w:b/>
                <w:color w:val="1C3A36"/>
                <w:sz w:val="16"/>
              </w:rPr>
              <w:t>Regional exposure to Iraq and Jordan</w:t>
            </w:r>
          </w:p>
        </w:tc>
        <w:tc>
          <w:tcPr>
            <w:tcW w:type="dxa" w:w="3960"/>
          </w:tcPr>
          <w:p>
            <w:pPr>
              <w:spacing w:after="20"/>
              <w:jc w:val="right"/>
            </w:pPr>
            <w:r>
              <w:rPr>
                <w:color w:val="1C3A36"/>
                <w:sz w:val="16"/>
              </w:rPr>
              <w:t>Conflict has already cut volumes in markets that are part of passenger-car revenue</w:t>
            </w:r>
          </w:p>
        </w:tc>
        <w:tc>
          <w:tcPr>
            <w:tcW w:type="dxa" w:w="3744"/>
          </w:tcPr>
          <w:p>
            <w:pPr>
              <w:spacing w:after="20"/>
              <w:jc w:val="right"/>
            </w:pPr>
            <w:r>
              <w:rPr>
                <w:color w:val="1C3A36"/>
                <w:sz w:val="16"/>
              </w:rPr>
              <w:t>NAMED AND NOT PRICED. No sourced split of that revenue for the reviewed half exists in the documents this study holds</w:t>
            </w:r>
          </w:p>
        </w:tc>
      </w:tr>
      <w:tr>
        <w:tc>
          <w:tcPr>
            <w:tcW w:type="dxa" w:w="2520"/>
          </w:tcPr>
          <w:p>
            <w:pPr>
              <w:spacing w:after="20"/>
            </w:pPr>
            <w:r>
              <w:rPr>
                <w:b/>
                <w:color w:val="1C3A36"/>
                <w:sz w:val="16"/>
              </w:rPr>
              <w:t>The pound, on the round-price branch only</w:t>
            </w:r>
          </w:p>
        </w:tc>
        <w:tc>
          <w:tcPr>
            <w:tcW w:type="dxa" w:w="3960"/>
          </w:tcPr>
          <w:p>
            <w:pPr>
              <w:spacing w:after="20"/>
              <w:jc w:val="right"/>
            </w:pPr>
            <w:r>
              <w:rPr>
                <w:color w:val="1C3A36"/>
                <w:sz w:val="16"/>
              </w:rPr>
              <w:t>The round is struck in dollars and translated; a step devaluation moves assembly costs, rates and the pound value of that mark at once</w:t>
            </w:r>
          </w:p>
        </w:tc>
        <w:tc>
          <w:tcPr>
            <w:tcW w:type="dxa" w:w="3744"/>
          </w:tcPr>
          <w:p>
            <w:pPr>
              <w:spacing w:after="20"/>
              <w:jc w:val="right"/>
            </w:pPr>
            <w:r>
              <w:rPr>
                <w:color w:val="1C3A36"/>
                <w:sz w:val="16"/>
              </w:rPr>
              <w:t>NAMED AND NOT PRICED as a separate line. It moves the ROUND branch only — the carrying branch is a pound figure off a pound balance sheet and does not move with it at all</w:t>
            </w:r>
          </w:p>
        </w:tc>
      </w:tr>
    </w:tbl>
    <w:p>
      <w:pPr>
        <w:spacing w:after="40"/>
      </w:pPr>
    </w:p>
    <w:p>
      <w:pPr>
        <w:spacing w:after="200" w:before="0"/>
      </w:pPr>
      <w:r>
        <w:rPr>
          <w:b w:val="0"/>
          <w:i/>
          <w:color w:val="6E7B77"/>
          <w:sz w:val="17"/>
        </w:rPr>
        <w:t>Table B1 — the risk register. Every priced figure is the study’s own contested-judgement record read straight, measured on the branch that gives the larger relative number so the register errs strict.</w:t>
      </w: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Figures GB CORP REPORTS ABOUT ITSELF come only from documents GB Corp published — its own audited and reviewed statements, its own earnings releases and its own investor material — and never from a data vendor, a broker or a press report. Where the company’s own document could not be obtained, the study says so below rather than substituting a weaker source. The standalone source register that accompanies this study carries every input with its value, its source, that source’s own date and the layer it belongs to.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6"/>
              </w:rPr>
              <w:t>Source</w:t>
            </w:r>
          </w:p>
        </w:tc>
        <w:tc>
          <w:tcPr>
            <w:tcW w:type="dxa" w:w="1656"/>
            <w:shd w:val="clear" w:color="auto" w:fill="EAF0EE"/>
          </w:tcPr>
          <w:p>
            <w:pPr>
              <w:spacing w:after="20"/>
            </w:pPr>
            <w:r>
              <w:rPr>
                <w:b/>
                <w:color w:val="1C3A36"/>
                <w:sz w:val="16"/>
              </w:rPr>
              <w:t>Layer</w:t>
            </w:r>
          </w:p>
        </w:tc>
        <w:tc>
          <w:tcPr>
            <w:tcW w:type="dxa" w:w="1944"/>
            <w:shd w:val="clear" w:color="auto" w:fill="EAF0EE"/>
          </w:tcPr>
          <w:p>
            <w:pPr>
              <w:spacing w:after="20"/>
            </w:pPr>
            <w:r>
              <w:rPr>
                <w:b/>
                <w:color w:val="1C3A36"/>
                <w:sz w:val="16"/>
              </w:rPr>
              <w:t>Date the source carries</w:t>
            </w:r>
          </w:p>
        </w:tc>
        <w:tc>
          <w:tcPr>
            <w:tcW w:type="dxa" w:w="2880"/>
            <w:shd w:val="clear" w:color="auto" w:fill="EAF0EE"/>
          </w:tcPr>
          <w:p>
            <w:pPr>
              <w:spacing w:after="20"/>
            </w:pPr>
            <w:r>
              <w:rPr>
                <w:b/>
                <w:color w:val="1C3A36"/>
                <w:sz w:val="16"/>
              </w:rPr>
              <w:t>What it provided</w:t>
            </w:r>
          </w:p>
        </w:tc>
      </w:tr>
      <w:tr>
        <w:tc>
          <w:tcPr>
            <w:tcW w:type="dxa" w:w="3744"/>
          </w:tcPr>
          <w:p>
            <w:pPr>
              <w:spacing w:after="20"/>
            </w:pPr>
            <w:r>
              <w:rPr>
                <w:color w:val="1C3A36"/>
                <w:sz w:val="16"/>
              </w:rPr>
              <w:t>GB_Corp_ER_4Q23_-_ER_-_FINAL.pdf</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1 March 2024</w:t>
            </w:r>
          </w:p>
        </w:tc>
        <w:tc>
          <w:tcPr>
            <w:tcW w:type="dxa" w:w="2880"/>
          </w:tcPr>
          <w:p>
            <w:pPr>
              <w:spacing w:after="20"/>
              <w:jc w:val="right"/>
            </w:pPr>
            <w:r>
              <w:rPr>
                <w:color w:val="1C3A36"/>
                <w:sz w:val="16"/>
              </w:rPr>
              <w:t>the consolidated income statement as originally reported for FY2023</w:t>
            </w:r>
          </w:p>
        </w:tc>
      </w:tr>
      <w:tr>
        <w:tc>
          <w:tcPr>
            <w:tcW w:type="dxa" w:w="3744"/>
          </w:tcPr>
          <w:p>
            <w:pPr>
              <w:spacing w:after="20"/>
            </w:pPr>
            <w:r>
              <w:rPr>
                <w:color w:val="1C3A36"/>
                <w:sz w:val="16"/>
              </w:rPr>
              <w:t>GB_Corp_ER_4Q24-_E_-_Final.pdf</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1 February 2025</w:t>
            </w:r>
          </w:p>
        </w:tc>
        <w:tc>
          <w:tcPr>
            <w:tcW w:type="dxa" w:w="2880"/>
          </w:tcPr>
          <w:p>
            <w:pPr>
              <w:spacing w:after="20"/>
              <w:jc w:val="right"/>
            </w:pPr>
            <w:r>
              <w:rPr>
                <w:color w:val="1C3A36"/>
                <w:sz w:val="16"/>
              </w:rPr>
              <w:t>the consolidated income statement as originally reported for FY2024</w:t>
            </w:r>
          </w:p>
        </w:tc>
      </w:tr>
      <w:tr>
        <w:tc>
          <w:tcPr>
            <w:tcW w:type="dxa" w:w="3744"/>
          </w:tcPr>
          <w:p>
            <w:pPr>
              <w:spacing w:after="20"/>
            </w:pPr>
            <w:r>
              <w:rPr>
                <w:color w:val="1C3A36"/>
                <w:sz w:val="16"/>
              </w:rPr>
              <w:t>GB_Corp_ER_4Q25-_E_-_Final.pdf</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26 February 2026</w:t>
            </w:r>
          </w:p>
        </w:tc>
        <w:tc>
          <w:tcPr>
            <w:tcW w:type="dxa" w:w="2880"/>
          </w:tcPr>
          <w:p>
            <w:pPr>
              <w:spacing w:after="20"/>
              <w:jc w:val="right"/>
            </w:pPr>
            <w:r>
              <w:rPr>
                <w:color w:val="1C3A36"/>
                <w:sz w:val="16"/>
              </w:rPr>
              <w:t>the consolidated income statement as originally reported for FY2025</w:t>
            </w:r>
          </w:p>
        </w:tc>
      </w:tr>
      <w:tr>
        <w:tc>
          <w:tcPr>
            <w:tcW w:type="dxa" w:w="3744"/>
          </w:tcPr>
          <w:p>
            <w:pPr>
              <w:spacing w:after="20"/>
            </w:pPr>
            <w:r>
              <w:rPr>
                <w:color w:val="1C3A36"/>
                <w:sz w:val="16"/>
              </w:rPr>
              <w:t>GB Corp’s own reviewed statements, earnings releases and investor material</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1 February 2025 to 26 February 2026</w:t>
            </w:r>
          </w:p>
        </w:tc>
        <w:tc>
          <w:tcPr>
            <w:tcW w:type="dxa" w:w="2880"/>
          </w:tcPr>
          <w:p>
            <w:pPr>
              <w:spacing w:after="20"/>
              <w:jc w:val="right"/>
            </w:pPr>
            <w:r>
              <w:rPr>
                <w:color w:val="1C3A36"/>
                <w:sz w:val="16"/>
              </w:rPr>
              <w:t>the 8 dated inputs the model consumes, each carried in the source register with its own four fields</w:t>
            </w:r>
          </w:p>
        </w:tc>
      </w:tr>
      <w:tr>
        <w:tc>
          <w:tcPr>
            <w:tcW w:type="dxa" w:w="3744"/>
          </w:tcPr>
          <w:p>
            <w:pPr>
              <w:spacing w:after="20"/>
            </w:pPr>
            <w:r>
              <w:rPr>
                <w:color w:val="1C3A36"/>
                <w:sz w:val="16"/>
              </w:rPr>
              <w:t>GB Corp’s own reviewed statements, earnings releases and investor material</w:t>
            </w:r>
          </w:p>
        </w:tc>
        <w:tc>
          <w:tcPr>
            <w:tcW w:type="dxa" w:w="1656"/>
          </w:tcPr>
          <w:p>
            <w:pPr>
              <w:spacing w:after="20"/>
              <w:jc w:val="right"/>
            </w:pPr>
            <w:r>
              <w:rPr>
                <w:color w:val="1C3A36"/>
                <w:sz w:val="16"/>
              </w:rPr>
              <w:t>Company (investor relations)</w:t>
            </w:r>
          </w:p>
        </w:tc>
        <w:tc>
          <w:tcPr>
            <w:tcW w:type="dxa" w:w="1944"/>
          </w:tcPr>
          <w:p>
            <w:pPr>
              <w:spacing w:after="20"/>
              <w:jc w:val="right"/>
            </w:pPr>
            <w:r>
              <w:rPr>
                <w:color w:val="1C3A36"/>
                <w:sz w:val="16"/>
              </w:rPr>
              <w:t>1 March 2024 to 13 August 2026</w:t>
            </w:r>
          </w:p>
        </w:tc>
        <w:tc>
          <w:tcPr>
            <w:tcW w:type="dxa" w:w="2880"/>
          </w:tcPr>
          <w:p>
            <w:pPr>
              <w:spacing w:after="20"/>
              <w:jc w:val="right"/>
            </w:pPr>
            <w:r>
              <w:rPr>
                <w:color w:val="1C3A36"/>
                <w:sz w:val="16"/>
              </w:rPr>
              <w:t>the 11 dated inputs the model consumes, each carried in the source register with its own four fields</w:t>
            </w:r>
          </w:p>
        </w:tc>
      </w:tr>
    </w:tbl>
    <w:p>
      <w:pPr>
        <w:spacing w:after="40"/>
      </w:pPr>
    </w:p>
    <w:p>
      <w:pPr>
        <w:spacing w:after="120" w:before="120"/>
      </w:pPr>
      <w:r>
        <w:rPr>
          <w:b w:val="0"/>
          <w:i w:val="0"/>
          <w:color w:val="1C3A36"/>
          <w:sz w:val="19"/>
        </w:rPr>
        <w:t>Negative results. Each of these is a search that was actually run and did not find what it was looking for; each shaped the model as much as the evidence did.</w:t>
      </w:r>
    </w:p>
    <w:p>
      <w:pPr>
        <w:pStyle w:val="ListBullet"/>
        <w:spacing w:after="60"/>
      </w:pPr>
      <w:r>
        <w:rPr>
          <w:b/>
          <w:color w:val="1C3A36"/>
          <w:sz w:val="21"/>
        </w:rPr>
        <w:t xml:space="preserve">No disclosed useful life for the operating asset base. </w:t>
      </w:r>
      <w:r>
        <w:rPr>
          <w:color w:val="1C3A36"/>
          <w:sz w:val="21"/>
        </w:rPr>
        <w:t>A terminal is meant to rest on a life the company discloses. GB Corp’s accounting-policy note gives depreciation rate RANGES by asset class and no single figure; recovering an implied life from the property, plant and equipment note returns a span that depends on an undisclosed land split and produces per-class rates that contradict the disclosed bands. Finding a range is not finding a life, and a derived life that contradicts the policy it implements is not one either. No life was chosen and the refusal is printed in §1.2.</w:t>
      </w:r>
    </w:p>
    <w:p>
      <w:pPr>
        <w:pStyle w:val="ListBullet"/>
        <w:spacing w:after="60"/>
      </w:pPr>
      <w:r>
        <w:rPr>
          <w:b/>
          <w:color w:val="1C3A36"/>
          <w:sz w:val="21"/>
        </w:rPr>
        <w:t xml:space="preserve">No audited financial statements for the associate that dominates this valuation. </w:t>
      </w:r>
      <w:r>
        <w:rPr>
          <w:color w:val="1C3A36"/>
          <w:sz w:val="21"/>
        </w:rPr>
        <w:t>They were not available to this study and they were not available to GB Corp’s own reviewers either, who say so in a qualified conclusion. That absence is the reason this study publishes two answers rather than one.</w:t>
      </w:r>
    </w:p>
    <w:p>
      <w:pPr>
        <w:pStyle w:val="ListBullet"/>
        <w:spacing w:after="60"/>
      </w:pPr>
      <w:r>
        <w:rPr>
          <w:b/>
          <w:color w:val="1C3A36"/>
          <w:sz w:val="21"/>
        </w:rPr>
        <w:t xml:space="preserve">No sourced split of passenger-car revenue between the domestic and regional markets for the reviewed half. </w:t>
      </w:r>
      <w:r>
        <w:rPr>
          <w:color w:val="1C3A36"/>
          <w:sz w:val="21"/>
        </w:rPr>
        <w:t>The regional exposure is named as a risk and a reader is entitled to its size. It is not disclosed in the documents this study holds for that period, so the exposure is NAMED and NOT PRICED and no split was estimated.</w:t>
      </w:r>
    </w:p>
    <w:p>
      <w:pPr>
        <w:pStyle w:val="ListBullet"/>
        <w:spacing w:after="60"/>
      </w:pPr>
      <w:r>
        <w:rPr>
          <w:b/>
          <w:color w:val="1C3A36"/>
          <w:sz w:val="21"/>
        </w:rPr>
        <w:t xml:space="preserve">No usable beta from the first regression attempted on this name. </w:t>
      </w:r>
      <w:r>
        <w:rPr>
          <w:color w:val="1C3A36"/>
          <w:sz w:val="21"/>
        </w:rPr>
        <w:t>The first attempt used five annual observations and returned a negative slope with essentially no explanatory power. It was refused rather than used. A conforming weekly regression against the exchange’s published index has since been produced and is what this edition adopts; the superseded figure is recorded beside it in the source register rather than deleted.</w:t>
      </w:r>
    </w:p>
    <w:p>
      <w:pPr>
        <w:pStyle w:val="ListBullet"/>
        <w:spacing w:after="60"/>
      </w:pPr>
      <w:r>
        <w:rPr>
          <w:b/>
          <w:color w:val="1C3A36"/>
          <w:sz w:val="21"/>
        </w:rPr>
        <w:t xml:space="preserve">No terms for the second closing of the June-2026 round. </w:t>
      </w:r>
      <w:r>
        <w:rPr>
          <w:color w:val="1C3A36"/>
          <w:sz w:val="21"/>
        </w:rPr>
        <w:t>Public reporting describes that close as an initial tranche of an ongoing round. Size and terms are undisclosed, so neither a higher nor a lower mark has a number behind it and none was invented.</w:t>
      </w:r>
    </w:p>
    <w:p>
      <w:pPr>
        <w:pStyle w:val="ListBullet"/>
        <w:spacing w:after="60"/>
      </w:pPr>
      <w:r>
        <w:rPr>
          <w:b/>
          <w:color w:val="1C3A36"/>
          <w:sz w:val="21"/>
        </w:rPr>
        <w:t xml:space="preserve">No audited statements for the two earliest years of the intended history window. </w:t>
      </w:r>
      <w:r>
        <w:rPr>
          <w:color w:val="1C3A36"/>
          <w:sz w:val="21"/>
        </w:rPr>
        <w:t>The company’s own filings index does not reach those years, and the annual reports for them lay the statements out in a form the text layer cannot attach to labels. The affected balance-sheet items are recorded as MISSING with that reason rather than estimated, and the window was shortened instead.</w:t>
      </w:r>
    </w:p>
    <w:p>
      <w:pPr>
        <w:spacing w:after="120" w:before="280"/>
      </w:pPr>
      <w:r>
        <w:rPr>
          <w:b/>
          <w:i w:val="0"/>
          <w:color w:val="1C3A36"/>
          <w:sz w:val="30"/>
        </w:rPr>
        <w:t>Appendix C  The expert valuation panel</w:t>
      </w:r>
    </w:p>
    <w:p>
      <w:pPr>
        <w:spacing w:after="120" w:before="0"/>
      </w:pPr>
      <w:r>
        <w:rPr>
          <w:b w:val="0"/>
          <w:i w:val="0"/>
          <w:color w:val="1C3A36"/>
          <w:sz w:val="21"/>
        </w:rPr>
        <w:t>Every study closes with a panel of standing expert personas, so that each accumulates a track record across studies and an update is a re-run rather than a re-training. For GB Corp we cast the industrial trio, adapted to what this group actually is: Expert 1 (the accountant — net asset value and the marks), Expert 2 (residual income — what the group’s own reported return justifies against its own book), Expert 3 (cash returns — return on capital against its cost). Each runs a different method, derives its value from shown workings, states a named sensitivity, and states in advance what would falsify it.</w:t>
      </w:r>
    </w:p>
    <w:p>
      <w:pPr>
        <w:spacing w:after="120" w:before="0"/>
      </w:pPr>
      <w:r>
        <w:rPr>
          <w:b w:val="0"/>
          <w:i w:val="0"/>
          <w:color w:val="1C3A36"/>
          <w:sz w:val="19"/>
        </w:rPr>
        <w:t>One change since the last edition is worth naming, because it is a method being retired rather than a persona being renamed. Expert 2 used to capitalise mid-cycle earnings. That lens is gone from this study for the reason §1.4 gives — GB Corp’s reported earnings swing with what its associates are marked at rather than with an operating cycle — so an expert still running it would be working on a lens the study no longer holds. He now runs residual income on the whole group, which needs no mid-cycle figure anybody has to choose.</w:t>
      </w:r>
    </w:p>
    <w:p>
      <w:pPr>
        <w:spacing w:after="80" w:before="200"/>
      </w:pPr>
      <w:r>
        <w:rPr>
          <w:b/>
          <w:i w:val="0"/>
          <w:color w:val="1C3A36"/>
          <w:sz w:val="24"/>
        </w:rPr>
        <w:t>C.1  Expert 1 — the split-legs net asset value and the marks</w:t>
      </w:r>
    </w:p>
    <w:p>
      <w:pPr>
        <w:spacing w:after="120" w:before="0"/>
      </w:pPr>
      <w:r>
        <w:rPr>
          <w:b w:val="0"/>
          <w:i w:val="0"/>
          <w:color w:val="1C3A36"/>
          <w:sz w:val="19"/>
        </w:rPr>
        <w:t>Worldview. A group is worth the sum of its parts at realisable value, less a discount for the wrapper. Mark each leg to what it would fetch on its own; then argue only about the discount.</w:t>
      </w:r>
    </w:p>
    <w:p>
      <w:pPr>
        <w:spacing w:after="120" w:before="0"/>
      </w:pPr>
      <w:r>
        <w:rPr>
          <w:b w:val="0"/>
          <w:i w:val="0"/>
          <w:color w:val="1C3A36"/>
          <w:sz w:val="19"/>
        </w:rPr>
        <w:t>When it works and when it fails. Best where the legs are separable and independently markable; it fails hardest when the discount applied to a private mark is itself contestable, which is exactly his position here. He also differs from the study on the lender: he marks it at its book rather than at what its return justifies, which is a real disagreement and is why his number is not the study’s round-price branch.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1’s marks</w:t>
            </w:r>
          </w:p>
        </w:tc>
        <w:tc>
          <w:tcPr>
            <w:tcW w:type="dxa" w:w="2448"/>
            <w:shd w:val="clear" w:color="auto" w:fill="EAF0EE"/>
          </w:tcPr>
          <w:p>
            <w:pPr>
              <w:spacing w:after="20"/>
            </w:pPr>
            <w:r>
              <w:rPr>
                <w:b/>
                <w:color w:val="1C3A36"/>
                <w:sz w:val="18"/>
              </w:rPr>
              <w:t>EGP mn</w:t>
            </w:r>
          </w:p>
        </w:tc>
      </w:tr>
      <w:tr>
        <w:tc>
          <w:tcPr>
            <w:tcW w:type="dxa" w:w="6336"/>
          </w:tcPr>
          <w:p>
            <w:pPr>
              <w:spacing w:after="20"/>
            </w:pPr>
            <w:r>
              <w:rPr>
                <w:b/>
                <w:color w:val="1C3A36"/>
                <w:sz w:val="18"/>
              </w:rPr>
              <w:t>Auto leg (he accepts the §1.2 cash-flow value)</w:t>
            </w:r>
          </w:p>
        </w:tc>
        <w:tc>
          <w:tcPr>
            <w:tcW w:type="dxa" w:w="2448"/>
          </w:tcPr>
          <w:p>
            <w:pPr>
              <w:spacing w:after="20"/>
              <w:jc w:val="right"/>
            </w:pPr>
            <w:r>
              <w:rPr>
                <w:color w:val="1C3A36"/>
                <w:sz w:val="18"/>
              </w:rPr>
              <w:t>26,998</w:t>
            </w:r>
          </w:p>
        </w:tc>
      </w:tr>
      <w:tr>
        <w:tc>
          <w:tcPr>
            <w:tcW w:type="dxa" w:w="6336"/>
          </w:tcPr>
          <w:p>
            <w:pPr>
              <w:spacing w:after="20"/>
            </w:pPr>
            <w:r>
              <w:rPr>
                <w:b/>
                <w:color w:val="1C3A36"/>
                <w:sz w:val="18"/>
              </w:rPr>
              <w:t>Plus GB Capital at its operating book</w:t>
            </w:r>
          </w:p>
        </w:tc>
        <w:tc>
          <w:tcPr>
            <w:tcW w:type="dxa" w:w="2448"/>
          </w:tcPr>
          <w:p>
            <w:pPr>
              <w:spacing w:after="20"/>
              <w:jc w:val="right"/>
            </w:pPr>
            <w:r>
              <w:rPr>
                <w:color w:val="1C3A36"/>
                <w:sz w:val="18"/>
              </w:rPr>
              <w:t>6,267</w:t>
            </w:r>
          </w:p>
        </w:tc>
      </w:tr>
      <w:tr>
        <w:tc>
          <w:tcPr>
            <w:tcW w:type="dxa" w:w="6336"/>
          </w:tcPr>
          <w:p>
            <w:pPr>
              <w:spacing w:after="20"/>
            </w:pPr>
            <w:r>
              <w:rPr>
                <w:b/>
                <w:color w:val="1C3A36"/>
                <w:sz w:val="18"/>
              </w:rPr>
              <w:t>Plus associates: MNT-Halan at the round price, plus the residual holdings</w:t>
            </w:r>
          </w:p>
        </w:tc>
        <w:tc>
          <w:tcPr>
            <w:tcW w:type="dxa" w:w="2448"/>
          </w:tcPr>
          <w:p>
            <w:pPr>
              <w:spacing w:after="20"/>
              <w:jc w:val="right"/>
            </w:pPr>
            <w:r>
              <w:rPr>
                <w:color w:val="1C3A36"/>
                <w:sz w:val="18"/>
              </w:rPr>
              <w:t>28,168</w:t>
            </w:r>
          </w:p>
        </w:tc>
      </w:tr>
      <w:tr>
        <w:tc>
          <w:tcPr>
            <w:tcW w:type="dxa" w:w="6336"/>
          </w:tcPr>
          <w:p>
            <w:pPr>
              <w:spacing w:after="20"/>
            </w:pPr>
            <w:r>
              <w:rPr>
                <w:b/>
                <w:color w:val="1C3A36"/>
                <w:sz w:val="18"/>
              </w:rPr>
              <w:t>Sum before the discount</w:t>
            </w:r>
          </w:p>
        </w:tc>
        <w:tc>
          <w:tcPr>
            <w:tcW w:type="dxa" w:w="2448"/>
          </w:tcPr>
          <w:p>
            <w:pPr>
              <w:spacing w:after="20"/>
              <w:jc w:val="right"/>
            </w:pPr>
            <w:r>
              <w:rPr>
                <w:color w:val="1C3A36"/>
                <w:sz w:val="18"/>
              </w:rPr>
              <w:t>61,432</w:t>
            </w:r>
          </w:p>
        </w:tc>
      </w:tr>
      <w:tr>
        <w:tc>
          <w:tcPr>
            <w:tcW w:type="dxa" w:w="6336"/>
          </w:tcPr>
          <w:p>
            <w:pPr>
              <w:spacing w:after="20"/>
            </w:pPr>
            <w:r>
              <w:rPr>
                <w:b/>
                <w:color w:val="1C3A36"/>
                <w:sz w:val="18"/>
              </w:rPr>
              <w:t>Less wrapper discount at 8% — an operator, not a passive holding company</w:t>
            </w:r>
          </w:p>
        </w:tc>
        <w:tc>
          <w:tcPr>
            <w:tcW w:type="dxa" w:w="2448"/>
          </w:tcPr>
          <w:p>
            <w:pPr>
              <w:spacing w:after="20"/>
              <w:jc w:val="right"/>
            </w:pPr>
            <w:r>
              <w:rPr>
                <w:color w:val="1C3A36"/>
                <w:sz w:val="18"/>
              </w:rPr>
              <w:t>(4,915)</w:t>
            </w:r>
          </w:p>
        </w:tc>
      </w:tr>
      <w:tr>
        <w:tc>
          <w:tcPr>
            <w:tcW w:type="dxa" w:w="6336"/>
          </w:tcPr>
          <w:p>
            <w:pPr>
              <w:spacing w:after="20"/>
            </w:pPr>
            <w:r>
              <w:rPr>
                <w:b/>
                <w:color w:val="1C3A36"/>
                <w:sz w:val="18"/>
              </w:rPr>
              <w:t>Equity value</w:t>
            </w:r>
          </w:p>
        </w:tc>
        <w:tc>
          <w:tcPr>
            <w:tcW w:type="dxa" w:w="2448"/>
          </w:tcPr>
          <w:p>
            <w:pPr>
              <w:spacing w:after="20"/>
              <w:jc w:val="right"/>
            </w:pPr>
            <w:r>
              <w:rPr>
                <w:color w:val="1C3A36"/>
                <w:sz w:val="18"/>
              </w:rPr>
              <w:t>56,518</w:t>
            </w:r>
          </w:p>
        </w:tc>
      </w:tr>
      <w:tr>
        <w:tc>
          <w:tcPr>
            <w:tcW w:type="dxa" w:w="6336"/>
          </w:tcPr>
          <w:p>
            <w:pPr>
              <w:spacing w:after="20"/>
            </w:pPr>
            <w:r>
              <w:rPr>
                <w:b/>
                <w:color w:val="1C3A36"/>
                <w:sz w:val="18"/>
              </w:rPr>
              <w:t>Per share (EGP)</w:t>
            </w:r>
          </w:p>
        </w:tc>
        <w:tc>
          <w:tcPr>
            <w:tcW w:type="dxa" w:w="2448"/>
          </w:tcPr>
          <w:p>
            <w:pPr>
              <w:spacing w:after="20"/>
              <w:jc w:val="right"/>
            </w:pPr>
            <w:r>
              <w:rPr>
                <w:color w:val="1C3A36"/>
                <w:sz w:val="18"/>
              </w:rPr>
              <w:t>52.07</w:t>
            </w:r>
          </w:p>
        </w:tc>
      </w:tr>
    </w:tbl>
    <w:p>
      <w:pPr>
        <w:spacing w:after="40"/>
      </w:pPr>
    </w:p>
    <w:p>
      <w:pPr>
        <w:spacing w:after="120" w:before="0"/>
      </w:pPr>
      <w:r>
        <w:rPr>
          <w:b w:val="0"/>
          <w:i w:val="0"/>
          <w:color w:val="1C3A36"/>
          <w:sz w:val="19"/>
        </w:rPr>
        <w:t>Sensitivity — the swing is the mark, not the ownership. Marking MNT-Halan at three quarters of the round’s valuation takes his number to EGP 46.20 per share; at half, to EGP 40.34. He concedes the point openly: the stake is not the argument, the argument is what a 41.61% minority holding in an unlisted company is worth to a public-market buyer who cannot sell it.</w:t>
      </w:r>
    </w:p>
    <w:p>
      <w:pPr>
        <w:spacing w:after="120" w:before="0"/>
      </w:pPr>
      <w:r>
        <w:rPr>
          <w:b/>
          <w:i w:val="0"/>
          <w:color w:val="1C3A36"/>
          <w:sz w:val="21"/>
        </w:rPr>
        <w:t xml:space="preserve">Verdict, falsification, and what the price implies. </w:t>
      </w:r>
      <w:r>
        <w:rPr>
          <w:b w:val="0"/>
          <w:i w:val="0"/>
          <w:color w:val="1C3A36"/>
          <w:sz w:val="21"/>
        </w:rPr>
        <w:t>Fair value EGP 52.07, on a range of EGP 27.10 to 87.19 — the widest in the room, and driven by the discount debate rather than by an unconfirmed stake. HE IS FALSIFIED BY a real secondary transaction in the associate’s shares at a materially different price, or by a second closing repricing the round. The traded price leaves EGP 2,805 mn for all the associates together, which in his own view is evidence the market does not accept that the round’s marked value transfers cleanly to a minority holder.</w:t>
      </w:r>
    </w:p>
    <w:p>
      <w:pPr>
        <w:spacing w:after="80" w:before="200"/>
      </w:pPr>
      <w:r>
        <w:rPr>
          <w:b/>
          <w:i w:val="0"/>
          <w:color w:val="1C3A36"/>
          <w:sz w:val="24"/>
        </w:rPr>
        <w:t>C.2  Expert 2 — residual income on the whole group</w:t>
      </w:r>
    </w:p>
    <w:p>
      <w:pPr>
        <w:spacing w:after="120" w:before="0"/>
      </w:pPr>
      <w:r>
        <w:rPr>
          <w:b w:val="0"/>
          <w:i w:val="0"/>
          <w:color w:val="1C3A36"/>
          <w:sz w:val="19"/>
        </w:rPr>
        <w:t>Worldview. A company is worth its book value plus the present value of whatever it earns ABOVE the cost of that equity. If it earns exactly its cost of capital it is worth book; if it earns less, it is worth less than book, and no growth rate rescues it. He needs no mid-cycle earnings figure and no multiple anybody has to choose — only a book value, a return and a cost of equity, all three of which the accounts and the cost-of-capital schedule already carry.</w:t>
      </w:r>
    </w:p>
    <w:p>
      <w:pPr>
        <w:spacing w:after="120" w:before="0"/>
      </w:pPr>
      <w:r>
        <w:rPr>
          <w:b w:val="0"/>
          <w:i w:val="0"/>
          <w:color w:val="1C3A36"/>
          <w:sz w:val="19"/>
        </w:rPr>
        <w:t>When it works and when it fails. Best where the accounts are clean and the return is durable. It fails where reported equity or reported profit is contaminated, and HE STATES THAT BOTH OF HIS OWN INPUTS ARE, in known directions: the earnings carry the group’s share of associate results, and the equity carries a revaluation booked on deconsolidating an associate. He runs the method anyway and says so, because the direction of the contamination is the argument. His is the harshest read in the study.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2’s residual-income read</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Group shareholders’ equity before minority interests, 30 June 2026 (EGP mn)</w:t>
            </w:r>
          </w:p>
        </w:tc>
        <w:tc>
          <w:tcPr>
            <w:tcW w:type="dxa" w:w="2448"/>
          </w:tcPr>
          <w:p>
            <w:pPr>
              <w:spacing w:after="20"/>
              <w:jc w:val="right"/>
            </w:pPr>
            <w:r>
              <w:rPr>
                <w:color w:val="1C3A36"/>
                <w:sz w:val="18"/>
              </w:rPr>
              <w:t>33,454.3</w:t>
            </w:r>
          </w:p>
        </w:tc>
      </w:tr>
      <w:tr>
        <w:tc>
          <w:tcPr>
            <w:tcW w:type="dxa" w:w="6336"/>
          </w:tcPr>
          <w:p>
            <w:pPr>
              <w:spacing w:after="20"/>
            </w:pPr>
            <w:r>
              <w:rPr>
                <w:b/>
                <w:color w:val="1C3A36"/>
                <w:sz w:val="18"/>
              </w:rPr>
              <w:t>Divided by shares in issue (mn)</w:t>
            </w:r>
          </w:p>
        </w:tc>
        <w:tc>
          <w:tcPr>
            <w:tcW w:type="dxa" w:w="2448"/>
          </w:tcPr>
          <w:p>
            <w:pPr>
              <w:spacing w:after="20"/>
              <w:jc w:val="right"/>
            </w:pPr>
            <w:r>
              <w:rPr>
                <w:color w:val="1C3A36"/>
                <w:sz w:val="18"/>
              </w:rPr>
              <w:t>1,085.5</w:t>
            </w:r>
          </w:p>
        </w:tc>
      </w:tr>
      <w:tr>
        <w:tc>
          <w:tcPr>
            <w:tcW w:type="dxa" w:w="6336"/>
          </w:tcPr>
          <w:p>
            <w:pPr>
              <w:spacing w:after="20"/>
            </w:pPr>
            <w:r>
              <w:rPr>
                <w:b/>
                <w:color w:val="1C3A36"/>
                <w:sz w:val="18"/>
              </w:rPr>
              <w:t>Book value per share (EGP)</w:t>
            </w:r>
          </w:p>
        </w:tc>
        <w:tc>
          <w:tcPr>
            <w:tcW w:type="dxa" w:w="2448"/>
          </w:tcPr>
          <w:p>
            <w:pPr>
              <w:spacing w:after="20"/>
              <w:jc w:val="right"/>
            </w:pPr>
            <w:r>
              <w:rPr>
                <w:color w:val="1C3A36"/>
                <w:sz w:val="18"/>
              </w:rPr>
              <w:t>30.82</w:t>
            </w:r>
          </w:p>
        </w:tc>
      </w:tr>
      <w:tr>
        <w:tc>
          <w:tcPr>
            <w:tcW w:type="dxa" w:w="6336"/>
          </w:tcPr>
          <w:p>
            <w:pPr>
              <w:spacing w:after="20"/>
            </w:pPr>
            <w:r>
              <w:rPr>
                <w:b/>
                <w:color w:val="1C3A36"/>
                <w:sz w:val="18"/>
              </w:rPr>
              <w:t>Return on that equity — FY2025 reported profit attributable over reported equity</w:t>
            </w:r>
          </w:p>
        </w:tc>
        <w:tc>
          <w:tcPr>
            <w:tcW w:type="dxa" w:w="2448"/>
          </w:tcPr>
          <w:p>
            <w:pPr>
              <w:spacing w:after="20"/>
              <w:jc w:val="right"/>
            </w:pPr>
            <w:r>
              <w:rPr>
                <w:color w:val="1C3A36"/>
                <w:sz w:val="18"/>
              </w:rPr>
              <w:t>10.00%</w:t>
            </w:r>
          </w:p>
        </w:tc>
      </w:tr>
      <w:tr>
        <w:tc>
          <w:tcPr>
            <w:tcW w:type="dxa" w:w="6336"/>
          </w:tcPr>
          <w:p>
            <w:pPr>
              <w:spacing w:after="20"/>
            </w:pPr>
            <w:r>
              <w:rPr>
                <w:b/>
                <w:color w:val="1C3A36"/>
                <w:sz w:val="18"/>
              </w:rPr>
              <w:t>Cost of that equity — the terminal rate from the §1.8 schedule</w:t>
            </w:r>
          </w:p>
        </w:tc>
        <w:tc>
          <w:tcPr>
            <w:tcW w:type="dxa" w:w="2448"/>
          </w:tcPr>
          <w:p>
            <w:pPr>
              <w:spacing w:after="20"/>
              <w:jc w:val="right"/>
            </w:pPr>
            <w:r>
              <w:rPr>
                <w:color w:val="1C3A36"/>
                <w:sz w:val="18"/>
              </w:rPr>
              <w:t>18.73%</w:t>
            </w:r>
          </w:p>
        </w:tc>
      </w:tr>
      <w:tr>
        <w:tc>
          <w:tcPr>
            <w:tcW w:type="dxa" w:w="6336"/>
          </w:tcPr>
          <w:p>
            <w:pPr>
              <w:spacing w:after="20"/>
            </w:pPr>
            <w:r>
              <w:rPr>
                <w:b/>
                <w:color w:val="1C3A36"/>
                <w:sz w:val="18"/>
              </w:rPr>
              <w:t>Long-run growth applied to both</w:t>
            </w:r>
          </w:p>
        </w:tc>
        <w:tc>
          <w:tcPr>
            <w:tcW w:type="dxa" w:w="2448"/>
          </w:tcPr>
          <w:p>
            <w:pPr>
              <w:spacing w:after="20"/>
              <w:jc w:val="right"/>
            </w:pPr>
            <w:r>
              <w:rPr>
                <w:color w:val="1C3A36"/>
                <w:sz w:val="18"/>
              </w:rPr>
              <w:t>7.00%</w:t>
            </w:r>
          </w:p>
        </w:tc>
      </w:tr>
      <w:tr>
        <w:tc>
          <w:tcPr>
            <w:tcW w:type="dxa" w:w="6336"/>
          </w:tcPr>
          <w:p>
            <w:pPr>
              <w:spacing w:after="20"/>
            </w:pPr>
            <w:r>
              <w:rPr>
                <w:b/>
                <w:color w:val="1C3A36"/>
                <w:sz w:val="18"/>
              </w:rPr>
              <w:t>Times the justified multiple of book — (return less growth) over (cost of equity less growth)</w:t>
            </w:r>
          </w:p>
        </w:tc>
        <w:tc>
          <w:tcPr>
            <w:tcW w:type="dxa" w:w="2448"/>
          </w:tcPr>
          <w:p>
            <w:pPr>
              <w:spacing w:after="20"/>
              <w:jc w:val="right"/>
            </w:pPr>
            <w:r>
              <w:rPr>
                <w:color w:val="1C3A36"/>
                <w:sz w:val="18"/>
              </w:rPr>
              <w:t>0.2560×</w:t>
            </w:r>
          </w:p>
        </w:tc>
      </w:tr>
      <w:tr>
        <w:tc>
          <w:tcPr>
            <w:tcW w:type="dxa" w:w="6336"/>
          </w:tcPr>
          <w:p>
            <w:pPr>
              <w:spacing w:after="20"/>
            </w:pPr>
            <w:r>
              <w:rPr>
                <w:b/>
                <w:color w:val="1C3A36"/>
                <w:sz w:val="18"/>
              </w:rPr>
              <w:t>Fair value per share (EGP)</w:t>
            </w:r>
          </w:p>
        </w:tc>
        <w:tc>
          <w:tcPr>
            <w:tcW w:type="dxa" w:w="2448"/>
          </w:tcPr>
          <w:p>
            <w:pPr>
              <w:spacing w:after="20"/>
              <w:jc w:val="right"/>
            </w:pPr>
            <w:r>
              <w:rPr>
                <w:color w:val="1C3A36"/>
                <w:sz w:val="18"/>
              </w:rPr>
              <w:t>7.89</w:t>
            </w:r>
          </w:p>
        </w:tc>
      </w:tr>
    </w:tbl>
    <w:p>
      <w:pPr>
        <w:spacing w:after="40"/>
      </w:pPr>
    </w:p>
    <w:p>
      <w:pPr>
        <w:spacing w:after="120" w:before="0"/>
      </w:pPr>
      <w:r>
        <w:rPr>
          <w:b w:val="0"/>
          <w:i w:val="0"/>
          <w:color w:val="1C3A36"/>
          <w:sz w:val="19"/>
        </w:rPr>
        <w:t>His arithmetic in one sentence: the group earns 10.00% on its own reported equity against a cost of 18.73%, a shortfall of 8.73 points against its cost of capital, so the accounts on their own justify 0.2560× book and no more — EGP 7.89 a share against a book value of EGP 30.82 and a traded price of EGP 28.98.</w:t>
      </w:r>
    </w:p>
    <w:p>
      <w:pPr>
        <w:spacing w:after="120" w:before="0"/>
      </w:pPr>
      <w:r>
        <w:rPr>
          <w:b w:val="0"/>
          <w:i w:val="0"/>
          <w:color w:val="1C3A36"/>
          <w:sz w:val="19"/>
        </w:rPr>
        <w:t>Sensitivity — the swing is the return, and he names it as the only lever worth arguing about. A return one percentage point lower takes him to EGP 5.26; two points higher, to EGP 13.14. That is the whole range: at this cost of equity the justified multiple is roughly ten times as sensitive to the return as it is to anything else on the page, which is why he refuses to argue about multiples.</w:t>
      </w:r>
    </w:p>
    <w:p>
      <w:pPr>
        <w:spacing w:after="120" w:before="0"/>
      </w:pPr>
      <w:r>
        <w:rPr>
          <w:b w:val="0"/>
          <w:i w:val="0"/>
          <w:color w:val="1C3A36"/>
          <w:sz w:val="19"/>
        </w:rPr>
        <w:t>His own two admissions, stated before anyone puts them to him. FIRST, HIS EARNINGS ARE CONTAMINATED UPWARD: the group’s share of associates’ results was EGP 974.8 mn in FY2025, 34% of profit attributable — so the return he measures is FLATTERED by the very associate the other two experts are arguing about, and the operating return is lower than the one in his table. SECOND, HIS EQUITY IS CONTAMINATED UPWARD TOO: it includes the revaluation booked when an associate was deconsolidated, which the company itself strips out of its own return measure. The two pull the ratio in opposite directions and he does not claim to net them. What survives both admissions is his one claim, and it does not depend on the size of either: on its own accounts, read as they stand, GB Corp does not earn its cost of equity — so the entire investment case rests on the associate being worth more than those accounts say.</w:t>
      </w:r>
    </w:p>
    <w:p>
      <w:pPr>
        <w:spacing w:after="120" w:before="0"/>
      </w:pPr>
      <w:r>
        <w:rPr>
          <w:b/>
          <w:i w:val="0"/>
          <w:color w:val="1C3A36"/>
          <w:sz w:val="21"/>
        </w:rPr>
        <w:t xml:space="preserve">Verdict, falsification, and what the price implies. </w:t>
      </w:r>
      <w:r>
        <w:rPr>
          <w:b w:val="0"/>
          <w:i w:val="0"/>
          <w:color w:val="1C3A36"/>
          <w:sz w:val="21"/>
        </w:rPr>
        <w:t>Fair value EGP 7.89, on a range of EGP 5.26 to 13.14 — far the most conservative in the room and -73% against the traded price, which is the one number in this study that reads the shares as expensive. HE IS FALSIFIED BY the group’s return on its own reported equity rising to its cost of equity and staying there for two consecutive reported years — which on his own arithmetic would take his value straight to book — or by the associate being realised at anything like either of the marks in §1.1, since a realisation converts the contaminated line into cash and settles the argument. What the price implies against him is that the market pays a premium to his number: he is the read a buyer of these shares is betting against.</w:t>
      </w:r>
    </w:p>
    <w:p>
      <w:pPr>
        <w:spacing w:after="80" w:before="200"/>
      </w:pPr>
      <w:r>
        <w:rPr>
          <w:b/>
          <w:i w:val="0"/>
          <w:color w:val="1C3A36"/>
          <w:sz w:val="24"/>
        </w:rPr>
        <w:t>C.3  Expert 3 — cash returns: return on capital against its cost</w:t>
      </w:r>
    </w:p>
    <w:p>
      <w:pPr>
        <w:spacing w:after="120" w:before="0"/>
      </w:pPr>
      <w:r>
        <w:rPr>
          <w:b w:val="0"/>
          <w:i w:val="0"/>
          <w:color w:val="1C3A36"/>
          <w:sz w:val="19"/>
        </w:rPr>
        <w:t>Worldview. A business creates value only when each pound of capital earns above its cost, in cash. He looks past the income statement to the economic-profit spread, and past reported returns to returns excluding one-offs.</w:t>
      </w:r>
    </w:p>
    <w:p>
      <w:pPr>
        <w:spacing w:after="120" w:before="0"/>
      </w:pPr>
      <w:r>
        <w:rPr>
          <w:b w:val="0"/>
          <w:i w:val="0"/>
          <w:color w:val="1C3A36"/>
          <w:sz w:val="19"/>
        </w:rPr>
        <w:t>When it works and when it fails. Best for capital-intensive compounders where the reinvestment spread is the story; it fails where the capital base is temporarily inflated by a one-off build, which is his own caveat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Auto capital employed, FY2025 (EGP mn)</w:t>
            </w:r>
          </w:p>
        </w:tc>
        <w:tc>
          <w:tcPr>
            <w:tcW w:type="dxa" w:w="2448"/>
          </w:tcPr>
          <w:p>
            <w:pPr>
              <w:spacing w:after="20"/>
              <w:jc w:val="right"/>
            </w:pPr>
            <w:r>
              <w:rPr>
                <w:color w:val="1C3A36"/>
                <w:sz w:val="18"/>
              </w:rPr>
              <w:t>28,513</w:t>
            </w:r>
          </w:p>
        </w:tc>
      </w:tr>
      <w:tr>
        <w:tc>
          <w:tcPr>
            <w:tcW w:type="dxa" w:w="6336"/>
          </w:tcPr>
          <w:p>
            <w:pPr>
              <w:spacing w:after="20"/>
            </w:pPr>
            <w:r>
              <w:rPr>
                <w:b/>
                <w:color w:val="1C3A36"/>
                <w:sz w:val="18"/>
              </w:rPr>
              <w:t>Auto return on capital employed — FY2023 / FY2024 / FY2025</w:t>
            </w:r>
          </w:p>
        </w:tc>
        <w:tc>
          <w:tcPr>
            <w:tcW w:type="dxa" w:w="2448"/>
          </w:tcPr>
          <w:p>
            <w:pPr>
              <w:spacing w:after="20"/>
              <w:jc w:val="right"/>
            </w:pPr>
            <w:r>
              <w:rPr>
                <w:color w:val="1C3A36"/>
                <w:sz w:val="18"/>
              </w:rPr>
              <w:t>35.9% / 31.5% / 21.3%</w:t>
            </w:r>
          </w:p>
        </w:tc>
      </w:tr>
      <w:tr>
        <w:tc>
          <w:tcPr>
            <w:tcW w:type="dxa" w:w="6336"/>
          </w:tcPr>
          <w:p>
            <w:pPr>
              <w:spacing w:after="20"/>
            </w:pPr>
            <w:r>
              <w:rPr>
                <w:b/>
                <w:color w:val="1C3A36"/>
                <w:sz w:val="18"/>
              </w:rPr>
              <w:t>His hurdle — the first forecast year’s cost of capital</w:t>
            </w:r>
          </w:p>
        </w:tc>
        <w:tc>
          <w:tcPr>
            <w:tcW w:type="dxa" w:w="2448"/>
          </w:tcPr>
          <w:p>
            <w:pPr>
              <w:spacing w:after="20"/>
              <w:jc w:val="right"/>
            </w:pPr>
            <w:r>
              <w:rPr>
                <w:color w:val="1C3A36"/>
                <w:sz w:val="18"/>
              </w:rPr>
              <w:t>22.88%</w:t>
            </w:r>
          </w:p>
        </w:tc>
      </w:tr>
      <w:tr>
        <w:tc>
          <w:tcPr>
            <w:tcW w:type="dxa" w:w="6336"/>
          </w:tcPr>
          <w:p>
            <w:pPr>
              <w:spacing w:after="20"/>
            </w:pPr>
            <w:r>
              <w:rPr>
                <w:b/>
                <w:color w:val="1C3A36"/>
                <w:sz w:val="18"/>
              </w:rPr>
              <w:t>Spread near nil, so the operating leg is marked at 0.90× capital employed (EGP mn)</w:t>
            </w:r>
          </w:p>
        </w:tc>
        <w:tc>
          <w:tcPr>
            <w:tcW w:type="dxa" w:w="2448"/>
          </w:tcPr>
          <w:p>
            <w:pPr>
              <w:spacing w:after="20"/>
              <w:jc w:val="right"/>
            </w:pPr>
            <w:r>
              <w:rPr>
                <w:color w:val="1C3A36"/>
                <w:sz w:val="18"/>
              </w:rPr>
              <w:t>25,662</w:t>
            </w:r>
          </w:p>
        </w:tc>
      </w:tr>
      <w:tr>
        <w:tc>
          <w:tcPr>
            <w:tcW w:type="dxa" w:w="6336"/>
          </w:tcPr>
          <w:p>
            <w:pPr>
              <w:spacing w:after="20"/>
            </w:pPr>
            <w:r>
              <w:rPr>
                <w:b/>
                <w:color w:val="1C3A36"/>
                <w:sz w:val="18"/>
              </w:rPr>
              <w:t>Less Auto net debt and minority interests (EGP mn)</w:t>
            </w:r>
          </w:p>
        </w:tc>
        <w:tc>
          <w:tcPr>
            <w:tcW w:type="dxa" w:w="2448"/>
          </w:tcPr>
          <w:p>
            <w:pPr>
              <w:spacing w:after="20"/>
              <w:jc w:val="right"/>
            </w:pPr>
            <w:r>
              <w:rPr>
                <w:color w:val="1C3A36"/>
                <w:sz w:val="18"/>
              </w:rPr>
              <w:t>(15,214)</w:t>
            </w:r>
          </w:p>
        </w:tc>
      </w:tr>
      <w:tr>
        <w:tc>
          <w:tcPr>
            <w:tcW w:type="dxa" w:w="6336"/>
          </w:tcPr>
          <w:p>
            <w:pPr>
              <w:spacing w:after="20"/>
            </w:pPr>
            <w:r>
              <w:rPr>
                <w:b/>
                <w:color w:val="1C3A36"/>
                <w:sz w:val="18"/>
              </w:rPr>
              <w:t>Operating-leg equity (EGP mn)</w:t>
            </w:r>
          </w:p>
        </w:tc>
        <w:tc>
          <w:tcPr>
            <w:tcW w:type="dxa" w:w="2448"/>
          </w:tcPr>
          <w:p>
            <w:pPr>
              <w:spacing w:after="20"/>
              <w:jc w:val="right"/>
            </w:pPr>
            <w:r>
              <w:rPr>
                <w:color w:val="1C3A36"/>
                <w:sz w:val="18"/>
              </w:rPr>
              <w:t>10,447</w:t>
            </w:r>
          </w:p>
        </w:tc>
      </w:tr>
      <w:tr>
        <w:tc>
          <w:tcPr>
            <w:tcW w:type="dxa" w:w="6336"/>
          </w:tcPr>
          <w:p>
            <w:pPr>
              <w:spacing w:after="20"/>
            </w:pPr>
            <w:r>
              <w:rPr>
                <w:b/>
                <w:color w:val="1C3A36"/>
                <w:sz w:val="18"/>
              </w:rPr>
              <w:t>Plus the lender at 0.90× its operating book (EGP mn)</w:t>
            </w:r>
          </w:p>
        </w:tc>
        <w:tc>
          <w:tcPr>
            <w:tcW w:type="dxa" w:w="2448"/>
          </w:tcPr>
          <w:p>
            <w:pPr>
              <w:spacing w:after="20"/>
              <w:jc w:val="right"/>
            </w:pPr>
            <w:r>
              <w:rPr>
                <w:color w:val="1C3A36"/>
                <w:sz w:val="18"/>
              </w:rPr>
              <w:t>5,641</w:t>
            </w:r>
          </w:p>
        </w:tc>
      </w:tr>
      <w:tr>
        <w:tc>
          <w:tcPr>
            <w:tcW w:type="dxa" w:w="6336"/>
          </w:tcPr>
          <w:p>
            <w:pPr>
              <w:spacing w:after="20"/>
            </w:pPr>
            <w:r>
              <w:rPr>
                <w:b/>
                <w:color w:val="1C3A36"/>
                <w:sz w:val="18"/>
              </w:rPr>
              <w:t>Plus the associates at 0.85× the round-price mark (EGP mn)</w:t>
            </w:r>
          </w:p>
        </w:tc>
        <w:tc>
          <w:tcPr>
            <w:tcW w:type="dxa" w:w="2448"/>
          </w:tcPr>
          <w:p>
            <w:pPr>
              <w:spacing w:after="20"/>
              <w:jc w:val="right"/>
            </w:pPr>
            <w:r>
              <w:rPr>
                <w:color w:val="1C3A36"/>
                <w:sz w:val="18"/>
              </w:rPr>
              <w:t>23,942</w:t>
            </w:r>
          </w:p>
        </w:tc>
      </w:tr>
      <w:tr>
        <w:tc>
          <w:tcPr>
            <w:tcW w:type="dxa" w:w="6336"/>
          </w:tcPr>
          <w:p>
            <w:pPr>
              <w:spacing w:after="20"/>
            </w:pPr>
            <w:r>
              <w:rPr>
                <w:b/>
                <w:color w:val="1C3A36"/>
                <w:sz w:val="18"/>
              </w:rPr>
              <w:t>Equity value (EGP mn)</w:t>
            </w:r>
          </w:p>
        </w:tc>
        <w:tc>
          <w:tcPr>
            <w:tcW w:type="dxa" w:w="2448"/>
          </w:tcPr>
          <w:p>
            <w:pPr>
              <w:spacing w:after="20"/>
              <w:jc w:val="right"/>
            </w:pPr>
            <w:r>
              <w:rPr>
                <w:color w:val="1C3A36"/>
                <w:sz w:val="18"/>
              </w:rPr>
              <w:t>40,030</w:t>
            </w:r>
          </w:p>
        </w:tc>
      </w:tr>
      <w:tr>
        <w:tc>
          <w:tcPr>
            <w:tcW w:type="dxa" w:w="6336"/>
          </w:tcPr>
          <w:p>
            <w:pPr>
              <w:spacing w:after="20"/>
            </w:pPr>
            <w:r>
              <w:rPr>
                <w:b/>
                <w:color w:val="1C3A36"/>
                <w:sz w:val="18"/>
              </w:rPr>
              <w:t>Per share (EGP)</w:t>
            </w:r>
          </w:p>
        </w:tc>
        <w:tc>
          <w:tcPr>
            <w:tcW w:type="dxa" w:w="2448"/>
          </w:tcPr>
          <w:p>
            <w:pPr>
              <w:spacing w:after="20"/>
              <w:jc w:val="right"/>
            </w:pPr>
            <w:r>
              <w:rPr>
                <w:color w:val="1C3A36"/>
                <w:sz w:val="18"/>
              </w:rPr>
              <w:t>36.88</w:t>
            </w:r>
          </w:p>
        </w:tc>
      </w:tr>
    </w:tbl>
    <w:p>
      <w:pPr>
        <w:spacing w:after="40"/>
      </w:pPr>
    </w:p>
    <w:p>
      <w:pPr>
        <w:spacing w:after="120" w:before="0"/>
      </w:pPr>
      <w:r>
        <w:rPr>
          <w:b w:val="0"/>
          <w:i w:val="0"/>
          <w:color w:val="1C3A36"/>
          <w:sz w:val="19"/>
        </w:rPr>
        <w:t>Sensitivity — two levers, and he ranks them himself. Moving his haircut on the associate mark from 0.85× to 0.60× costs EGP 6.49 per share; marking the operating leg at 1.00× capital employed instead of 0.90×, which is what a recovery in the return on capital would buy, adds EGP 2.63. The mark is the bigger lever by more than two to one, and that is his point.</w:t>
      </w:r>
    </w:p>
    <w:p>
      <w:pPr>
        <w:spacing w:after="120" w:before="0"/>
      </w:pPr>
      <w:r>
        <w:rPr>
          <w:b/>
          <w:i w:val="0"/>
          <w:color w:val="1C3A36"/>
          <w:sz w:val="21"/>
        </w:rPr>
        <w:t xml:space="preserve">Verdict, falsification, and what the price implies. </w:t>
      </w:r>
      <w:r>
        <w:rPr>
          <w:b w:val="0"/>
          <w:i w:val="0"/>
          <w:color w:val="1C3A36"/>
          <w:sz w:val="21"/>
        </w:rPr>
        <w:t>Fair value EGP 36.88, on a range of EGP 30.39 to 39.50 — even his conservative method lands +27% against the price once the stated stake is applied at a haircut to the round’s valuation. HE IS FALSIFIED BY a durable recovery in the return on capital well above the FY2025 figure, which would make his multiple of capital employed too low, or by a real secondary sale of the associate’s shares meaningfully below his own haircut.</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one challenge to each of the others, and the answer is recorded as CONCEDED or REJECTED rather than left as an exchange of views.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744"/>
            <w:shd w:val="clear" w:color="auto" w:fill="EAF0EE"/>
          </w:tcPr>
          <w:p>
            <w:pPr>
              <w:spacing w:after="20"/>
            </w:pPr>
            <w:r>
              <w:rPr>
                <w:b/>
                <w:color w:val="1C3A36"/>
                <w:sz w:val="17"/>
              </w:rPr>
              <w:t>Challenge</w:t>
            </w:r>
          </w:p>
        </w:tc>
        <w:tc>
          <w:tcPr>
            <w:tcW w:type="dxa" w:w="1656"/>
            <w:shd w:val="clear" w:color="auto" w:fill="EAF0EE"/>
          </w:tcPr>
          <w:p>
            <w:pPr>
              <w:spacing w:after="20"/>
            </w:pPr>
            <w:r>
              <w:rPr>
                <w:b/>
                <w:color w:val="1C3A36"/>
                <w:sz w:val="17"/>
              </w:rPr>
              <w:t>From → to</w:t>
            </w:r>
          </w:p>
        </w:tc>
        <w:tc>
          <w:tcPr>
            <w:tcW w:type="dxa" w:w="4824"/>
            <w:shd w:val="clear" w:color="auto" w:fill="EAF0EE"/>
          </w:tcPr>
          <w:p>
            <w:pPr>
              <w:spacing w:after="20"/>
            </w:pPr>
            <w:r>
              <w:rPr>
                <w:b/>
                <w:color w:val="1C3A36"/>
                <w:sz w:val="17"/>
              </w:rPr>
              <w:t>The answer</w:t>
            </w:r>
          </w:p>
        </w:tc>
      </w:tr>
      <w:tr>
        <w:tc>
          <w:tcPr>
            <w:tcW w:type="dxa" w:w="3744"/>
          </w:tcPr>
          <w:p>
            <w:pPr>
              <w:spacing w:after="20"/>
            </w:pPr>
            <w:r>
              <w:rPr>
                <w:color w:val="1C3A36"/>
                <w:sz w:val="17"/>
              </w:rPr>
              <w:t>“Capitalising a return you admit is flattered by the associate double-counts an asset I have already marked at full value.”</w:t>
            </w:r>
          </w:p>
        </w:tc>
        <w:tc>
          <w:tcPr>
            <w:tcW w:type="dxa" w:w="1656"/>
          </w:tcPr>
          <w:p>
            <w:pPr>
              <w:spacing w:after="20"/>
              <w:jc w:val="right"/>
            </w:pPr>
            <w:r>
              <w:rPr>
                <w:color w:val="1C3A36"/>
                <w:sz w:val="17"/>
              </w:rPr>
              <w:t>Expert 1 → Expert 2</w:t>
            </w:r>
          </w:p>
        </w:tc>
        <w:tc>
          <w:tcPr>
            <w:tcW w:type="dxa" w:w="4824"/>
          </w:tcPr>
          <w:p>
            <w:pPr>
              <w:spacing w:after="20"/>
              <w:jc w:val="right"/>
            </w:pPr>
            <w:r>
              <w:rPr>
                <w:color w:val="1C3A36"/>
                <w:sz w:val="17"/>
              </w:rPr>
              <w:t>CONCEDED IN PART. Expert 2 accepts the return is flattered and that his read is therefore too HIGH rather than too low. He rejects the conclusion: correcting for it widens his discount to book, it does not close it.</w:t>
            </w:r>
          </w:p>
        </w:tc>
      </w:tr>
      <w:tr>
        <w:tc>
          <w:tcPr>
            <w:tcW w:type="dxa" w:w="3744"/>
          </w:tcPr>
          <w:p>
            <w:pPr>
              <w:spacing w:after="20"/>
            </w:pPr>
            <w:r>
              <w:rPr>
                <w:color w:val="1C3A36"/>
                <w:sz w:val="17"/>
              </w:rPr>
              <w:t>“A single-digit wrapper discount does not begin to capture the illiquidity of a minority stake in a company that has never had a public exit.”</w:t>
            </w:r>
          </w:p>
        </w:tc>
        <w:tc>
          <w:tcPr>
            <w:tcW w:type="dxa" w:w="1656"/>
          </w:tcPr>
          <w:p>
            <w:pPr>
              <w:spacing w:after="20"/>
              <w:jc w:val="right"/>
            </w:pPr>
            <w:r>
              <w:rPr>
                <w:color w:val="1C3A36"/>
                <w:sz w:val="17"/>
              </w:rPr>
              <w:t>Expert 3 → Expert 1</w:t>
            </w:r>
          </w:p>
        </w:tc>
        <w:tc>
          <w:tcPr>
            <w:tcW w:type="dxa" w:w="4824"/>
          </w:tcPr>
          <w:p>
            <w:pPr>
              <w:spacing w:after="20"/>
              <w:jc w:val="right"/>
            </w:pPr>
            <w:r>
              <w:rPr>
                <w:color w:val="1C3A36"/>
                <w:sz w:val="17"/>
              </w:rPr>
              <w:t>REJECTED, with a reason. Expert 1 argues the wrapper discount and the mark haircut are two different things and that he prices the second separately — his own sensitivity takes the mark to half the round. What he will not do is apply both at once and call it prudence.</w:t>
            </w:r>
          </w:p>
        </w:tc>
      </w:tr>
      <w:tr>
        <w:tc>
          <w:tcPr>
            <w:tcW w:type="dxa" w:w="3744"/>
          </w:tcPr>
          <w:p>
            <w:pPr>
              <w:spacing w:after="20"/>
            </w:pPr>
            <w:r>
              <w:rPr>
                <w:color w:val="1C3A36"/>
                <w:sz w:val="17"/>
              </w:rPr>
              <w:t>“Marking the lender at book ignores that its own disclosed return does not justify book.”</w:t>
            </w:r>
          </w:p>
        </w:tc>
        <w:tc>
          <w:tcPr>
            <w:tcW w:type="dxa" w:w="1656"/>
          </w:tcPr>
          <w:p>
            <w:pPr>
              <w:spacing w:after="20"/>
              <w:jc w:val="right"/>
            </w:pPr>
            <w:r>
              <w:rPr>
                <w:color w:val="1C3A36"/>
                <w:sz w:val="17"/>
              </w:rPr>
              <w:t>Expert 2 → Expert 1</w:t>
            </w:r>
          </w:p>
        </w:tc>
        <w:tc>
          <w:tcPr>
            <w:tcW w:type="dxa" w:w="4824"/>
          </w:tcPr>
          <w:p>
            <w:pPr>
              <w:spacing w:after="20"/>
              <w:jc w:val="right"/>
            </w:pPr>
            <w:r>
              <w:rPr>
                <w:color w:val="1C3A36"/>
                <w:sz w:val="17"/>
              </w:rPr>
              <w:t>CONCEDED. Expert 1 accepts that the study’s residual-income mark on GB Capital is the better construction and that his own number is EGP 3.91 a share higher for that reason alone. He keeps his mark on the ground that a realisable-value method marks assets at what they would fetch, not at what a return identity supports.</w:t>
            </w:r>
          </w:p>
        </w:tc>
      </w:tr>
      <w:tr>
        <w:tc>
          <w:tcPr>
            <w:tcW w:type="dxa" w:w="3744"/>
          </w:tcPr>
          <w:p>
            <w:pPr>
              <w:spacing w:after="20"/>
            </w:pPr>
            <w:r>
              <w:rPr>
                <w:color w:val="1C3A36"/>
                <w:sz w:val="17"/>
              </w:rPr>
              <w:t>“Mid-cycle or residual income, you are still valuing a company whose largest asset produces no cash flow you can model — so your precision is misplaced.”</w:t>
            </w:r>
          </w:p>
        </w:tc>
        <w:tc>
          <w:tcPr>
            <w:tcW w:type="dxa" w:w="1656"/>
          </w:tcPr>
          <w:p>
            <w:pPr>
              <w:spacing w:after="20"/>
              <w:jc w:val="right"/>
            </w:pPr>
            <w:r>
              <w:rPr>
                <w:color w:val="1C3A36"/>
                <w:sz w:val="17"/>
              </w:rPr>
              <w:t>Expert 1 → Expert 2</w:t>
            </w:r>
          </w:p>
        </w:tc>
        <w:tc>
          <w:tcPr>
            <w:tcW w:type="dxa" w:w="4824"/>
          </w:tcPr>
          <w:p>
            <w:pPr>
              <w:spacing w:after="20"/>
              <w:jc w:val="right"/>
            </w:pPr>
            <w:r>
              <w:rPr>
                <w:color w:val="1C3A36"/>
                <w:sz w:val="17"/>
              </w:rPr>
              <w:t>REJECTED. Expert 2’s answer is that this is his point rather than an objection to it: he prices only what the accounts support and lets the gap to the traded price be the associate, which makes the disagreement measurable.</w:t>
            </w:r>
          </w:p>
        </w:tc>
      </w:tr>
      <w:tr>
        <w:tc>
          <w:tcPr>
            <w:tcW w:type="dxa" w:w="3744"/>
          </w:tcPr>
          <w:p>
            <w:pPr>
              <w:spacing w:after="20"/>
            </w:pPr>
            <w:r>
              <w:rPr>
                <w:color w:val="1C3A36"/>
                <w:sz w:val="17"/>
              </w:rPr>
              <w:t>“A return on capital employed struck on a capital base inflated by a one-off inventory and receivable build understates the business.”</w:t>
            </w:r>
          </w:p>
        </w:tc>
        <w:tc>
          <w:tcPr>
            <w:tcW w:type="dxa" w:w="1656"/>
          </w:tcPr>
          <w:p>
            <w:pPr>
              <w:spacing w:after="20"/>
              <w:jc w:val="right"/>
            </w:pPr>
            <w:r>
              <w:rPr>
                <w:color w:val="1C3A36"/>
                <w:sz w:val="17"/>
              </w:rPr>
              <w:t>Expert 2 → Expert 3</w:t>
            </w:r>
          </w:p>
        </w:tc>
        <w:tc>
          <w:tcPr>
            <w:tcW w:type="dxa" w:w="4824"/>
          </w:tcPr>
          <w:p>
            <w:pPr>
              <w:spacing w:after="20"/>
              <w:jc w:val="right"/>
            </w:pPr>
            <w:r>
              <w:rPr>
                <w:color w:val="1C3A36"/>
                <w:sz w:val="17"/>
              </w:rPr>
              <w:t>CONCEDED, and it is already his stated caveat. His bull lever is exactly that recovery and he prices it at EGP 2.63 a share — which he notes is less than half his mark lever, so conceding it does not change his ranking of the two.</w:t>
            </w:r>
          </w:p>
        </w:tc>
      </w:tr>
      <w:tr>
        <w:tc>
          <w:tcPr>
            <w:tcW w:type="dxa" w:w="3744"/>
          </w:tcPr>
          <w:p>
            <w:pPr>
              <w:spacing w:after="20"/>
            </w:pPr>
            <w:r>
              <w:rPr>
                <w:color w:val="1C3A36"/>
                <w:sz w:val="17"/>
              </w:rPr>
              <w:t>“You accept the cash-flow value for the auto leg and then mark the same leg at a multiple of capital employed. Pick one.”</w:t>
            </w:r>
          </w:p>
        </w:tc>
        <w:tc>
          <w:tcPr>
            <w:tcW w:type="dxa" w:w="1656"/>
          </w:tcPr>
          <w:p>
            <w:pPr>
              <w:spacing w:after="20"/>
              <w:jc w:val="right"/>
            </w:pPr>
            <w:r>
              <w:rPr>
                <w:color w:val="1C3A36"/>
                <w:sz w:val="17"/>
              </w:rPr>
              <w:t>Expert 1 → Expert 3</w:t>
            </w:r>
          </w:p>
        </w:tc>
        <w:tc>
          <w:tcPr>
            <w:tcW w:type="dxa" w:w="4824"/>
          </w:tcPr>
          <w:p>
            <w:pPr>
              <w:spacing w:after="20"/>
              <w:jc w:val="right"/>
            </w:pPr>
            <w:r>
              <w:rPr>
                <w:color w:val="1C3A36"/>
                <w:sz w:val="17"/>
              </w:rPr>
              <w:t>REJECTED. Expert 3 says the two are different questions — what the leg is worth on its forecast cash flows and what its capital has historically earned — and that publishing both is the point of a panel. He notes his mark is the lower of the two by EGP 16.6 bn.</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19"/>
        </w:rPr>
        <w:t>The stake question that dominated an earlier draft of this study is settled — the company stated its holding in writing. What the three disagree on is what that holding is worth, and this edition has added a second disagreement they had not had before: what the lender is worth.</w:t>
      </w:r>
    </w:p>
    <w:p>
      <w:pPr>
        <w:spacing w:after="120" w:before="0"/>
      </w:pPr>
      <w:r>
        <w:rPr>
          <w:b w:val="0"/>
          <w:i w:val="0"/>
          <w:color w:val="1C3A36"/>
          <w:sz w:val="19"/>
        </w:rPr>
        <w:t>Expert 1: “The company told us what it owns. Fine — now the argument is honest: it is about the discount, not the number. I apply a single-digit wrapper discount to a clean sum of realisable marks. If you think that is too thin for an illiquid minority stake, argue the discount, not the disclosure.”</w:t>
      </w:r>
    </w:p>
    <w:p>
      <w:pPr>
        <w:spacing w:after="120" w:before="0"/>
      </w:pPr>
      <w:r>
        <w:rPr>
          <w:b w:val="0"/>
          <w:i w:val="0"/>
          <w:color w:val="1C3A36"/>
          <w:sz w:val="19"/>
        </w:rPr>
        <w:t>Expert 3: “Your own arithmetic says a stated 41.61% stake is worth 88% of the entire market capitalisation at the round price. That was true when the number was uncertain and it is just as true now that it is not. The company being straight about its ownership does not make the market’s scepticism about the mark go away — if anything it sharpens the question, and I take a haircut to it for exactly that reason.”</w:t>
      </w:r>
    </w:p>
    <w:p>
      <w:pPr>
        <w:spacing w:after="120" w:before="0"/>
      </w:pPr>
      <w:r>
        <w:rPr>
          <w:b w:val="0"/>
          <w:i w:val="0"/>
          <w:color w:val="1C3A36"/>
          <w:sz w:val="19"/>
        </w:rPr>
        <w:t>Expert 2: “You are both arguing about an asset. I am arguing about a business. On its own reported accounts this group earns 10.00% against a cost of equity of 18.73% — it destroys value on the capital it already has, which is why my number is EGP 7.89 against a book value of EGP 30.82. And my return is FLATTERED by the very associate you two are pricing. Take that out and it is worse. If the associate is worth what either of you says, the shares are cheap; if it is worth what the accounts can demonstrate, they are not cheap at all. That is the whole case, and neither of you has narrowed it.”</w:t>
      </w:r>
    </w:p>
    <w:p>
      <w:pPr>
        <w:spacing w:after="120" w:before="0"/>
      </w:pPr>
      <w:r>
        <w:rPr>
          <w:b w:val="0"/>
          <w:i w:val="0"/>
          <w:color w:val="1C3A36"/>
          <w:sz w:val="19"/>
        </w:rPr>
        <w:t>Where they end up. All three accept the ownership percentage, the volumes, the working-capital path and the cost of capital, and none of them adopts the study’s own residual-income mark on the lender: Expert 1 concedes it is the better construction and keeps his book mark anyway, and Expert 3 marks the same book at a haircut. That second disagreement is worth a few pounds a share. What remains, and what the study publishes as two branches rather than resolving, is a basis question about one line that no amount of modelling can settle from outside — and, as Expert 2 keeps pointing out, one that the reviewers of GB Corp’s own statements could not settle from inside either.</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the price. The spread is almost entirely the associate mark and the lender basis.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1224"/>
            <w:shd w:val="clear" w:color="auto" w:fill="EAF0EE"/>
          </w:tcPr>
          <w:p>
            <w:pPr>
              <w:spacing w:after="20"/>
            </w:pPr>
            <w:r>
              <w:rPr>
                <w:b/>
                <w:color w:val="1C3A36"/>
                <w:sz w:val="17"/>
              </w:rPr>
              <w:t>Expert</w:t>
            </w:r>
          </w:p>
        </w:tc>
        <w:tc>
          <w:tcPr>
            <w:tcW w:type="dxa" w:w="2736"/>
            <w:shd w:val="clear" w:color="auto" w:fill="EAF0EE"/>
          </w:tcPr>
          <w:p>
            <w:pPr>
              <w:spacing w:after="20"/>
            </w:pPr>
            <w:r>
              <w:rPr>
                <w:b/>
                <w:color w:val="1C3A36"/>
                <w:sz w:val="17"/>
              </w:rPr>
              <w:t>Method</w:t>
            </w:r>
          </w:p>
        </w:tc>
        <w:tc>
          <w:tcPr>
            <w:tcW w:type="dxa" w:w="2376"/>
            <w:shd w:val="clear" w:color="auto" w:fill="EAF0EE"/>
          </w:tcPr>
          <w:p>
            <w:pPr>
              <w:spacing w:after="20"/>
            </w:pPr>
            <w:r>
              <w:rPr>
                <w:b/>
                <w:color w:val="1C3A36"/>
                <w:sz w:val="17"/>
              </w:rPr>
              <w:t>The single swing assumption</w:t>
            </w:r>
          </w:p>
        </w:tc>
        <w:tc>
          <w:tcPr>
            <w:tcW w:type="dxa" w:w="2304"/>
            <w:shd w:val="clear" w:color="auto" w:fill="EAF0EE"/>
          </w:tcPr>
          <w:p>
            <w:pPr>
              <w:spacing w:after="20"/>
            </w:pPr>
            <w:r>
              <w:rPr>
                <w:b/>
                <w:color w:val="1C3A36"/>
                <w:sz w:val="17"/>
              </w:rPr>
              <w:t>What it does to the associate</w:t>
            </w:r>
          </w:p>
        </w:tc>
        <w:tc>
          <w:tcPr>
            <w:tcW w:type="dxa" w:w="1584"/>
            <w:shd w:val="clear" w:color="auto" w:fill="EAF0EE"/>
          </w:tcPr>
          <w:p>
            <w:pPr>
              <w:spacing w:after="20"/>
            </w:pPr>
            <w:r>
              <w:rPr>
                <w:b/>
                <w:color w:val="1C3A36"/>
                <w:sz w:val="17"/>
              </w:rPr>
              <w:t>Base fair value</w:t>
            </w:r>
          </w:p>
        </w:tc>
      </w:tr>
      <w:tr>
        <w:tc>
          <w:tcPr>
            <w:tcW w:type="dxa" w:w="1224"/>
          </w:tcPr>
          <w:p>
            <w:pPr>
              <w:spacing w:after="20"/>
            </w:pPr>
            <w:r>
              <w:rPr>
                <w:b/>
                <w:color w:val="1C3A36"/>
                <w:sz w:val="17"/>
              </w:rPr>
              <w:t>Expert 1</w:t>
            </w:r>
          </w:p>
        </w:tc>
        <w:tc>
          <w:tcPr>
            <w:tcW w:type="dxa" w:w="2736"/>
          </w:tcPr>
          <w:p>
            <w:pPr>
              <w:spacing w:after="20"/>
              <w:jc w:val="right"/>
            </w:pPr>
            <w:r>
              <w:rPr>
                <w:color w:val="1C3A36"/>
                <w:sz w:val="17"/>
              </w:rPr>
              <w:t>Split-legs net asset value</w:t>
            </w:r>
          </w:p>
        </w:tc>
        <w:tc>
          <w:tcPr>
            <w:tcW w:type="dxa" w:w="2376"/>
          </w:tcPr>
          <w:p>
            <w:pPr>
              <w:spacing w:after="20"/>
              <w:jc w:val="right"/>
            </w:pPr>
            <w:r>
              <w:rPr>
                <w:color w:val="1C3A36"/>
                <w:sz w:val="17"/>
              </w:rPr>
              <w:t>The wrapper discount, at 8%</w:t>
            </w:r>
          </w:p>
        </w:tc>
        <w:tc>
          <w:tcPr>
            <w:tcW w:type="dxa" w:w="2304"/>
          </w:tcPr>
          <w:p>
            <w:pPr>
              <w:spacing w:after="20"/>
              <w:jc w:val="right"/>
            </w:pPr>
            <w:r>
              <w:rPr>
                <w:color w:val="1C3A36"/>
                <w:sz w:val="17"/>
              </w:rPr>
              <w:t>Takes the round price at face value</w:t>
            </w:r>
          </w:p>
        </w:tc>
        <w:tc>
          <w:tcPr>
            <w:tcW w:type="dxa" w:w="1584"/>
          </w:tcPr>
          <w:p>
            <w:pPr>
              <w:spacing w:after="20"/>
              <w:jc w:val="right"/>
            </w:pPr>
            <w:r>
              <w:rPr>
                <w:color w:val="1C3A36"/>
                <w:sz w:val="17"/>
              </w:rPr>
              <w:t>EGP 52.07</w:t>
            </w:r>
          </w:p>
        </w:tc>
      </w:tr>
      <w:tr>
        <w:tc>
          <w:tcPr>
            <w:tcW w:type="dxa" w:w="1224"/>
          </w:tcPr>
          <w:p>
            <w:pPr>
              <w:spacing w:after="20"/>
            </w:pPr>
            <w:r>
              <w:rPr>
                <w:b/>
                <w:color w:val="1C3A36"/>
                <w:sz w:val="17"/>
              </w:rPr>
              <w:t>Expert 2</w:t>
            </w:r>
          </w:p>
        </w:tc>
        <w:tc>
          <w:tcPr>
            <w:tcW w:type="dxa" w:w="2736"/>
          </w:tcPr>
          <w:p>
            <w:pPr>
              <w:spacing w:after="20"/>
              <w:jc w:val="right"/>
            </w:pPr>
            <w:r>
              <w:rPr>
                <w:color w:val="1C3A36"/>
                <w:sz w:val="17"/>
              </w:rPr>
              <w:t>Residual income on the whole group</w:t>
            </w:r>
          </w:p>
        </w:tc>
        <w:tc>
          <w:tcPr>
            <w:tcW w:type="dxa" w:w="2376"/>
          </w:tcPr>
          <w:p>
            <w:pPr>
              <w:spacing w:after="20"/>
              <w:jc w:val="right"/>
            </w:pPr>
            <w:r>
              <w:rPr>
                <w:color w:val="1C3A36"/>
                <w:sz w:val="17"/>
              </w:rPr>
              <w:t>The return on reported equity</w:t>
            </w:r>
          </w:p>
        </w:tc>
        <w:tc>
          <w:tcPr>
            <w:tcW w:type="dxa" w:w="2304"/>
          </w:tcPr>
          <w:p>
            <w:pPr>
              <w:spacing w:after="20"/>
              <w:jc w:val="right"/>
            </w:pPr>
            <w:r>
              <w:rPr>
                <w:color w:val="1C3A36"/>
                <w:sz w:val="17"/>
              </w:rPr>
              <w:t>Prices it at nothing — it is the gap</w:t>
            </w:r>
          </w:p>
        </w:tc>
        <w:tc>
          <w:tcPr>
            <w:tcW w:type="dxa" w:w="1584"/>
          </w:tcPr>
          <w:p>
            <w:pPr>
              <w:spacing w:after="20"/>
              <w:jc w:val="right"/>
            </w:pPr>
            <w:r>
              <w:rPr>
                <w:color w:val="1C3A36"/>
                <w:sz w:val="17"/>
              </w:rPr>
              <w:t>EGP 7.89</w:t>
            </w:r>
          </w:p>
        </w:tc>
      </w:tr>
      <w:tr>
        <w:tc>
          <w:tcPr>
            <w:tcW w:type="dxa" w:w="1224"/>
          </w:tcPr>
          <w:p>
            <w:pPr>
              <w:spacing w:after="20"/>
            </w:pPr>
            <w:r>
              <w:rPr>
                <w:b/>
                <w:color w:val="1C3A36"/>
                <w:sz w:val="17"/>
              </w:rPr>
              <w:t>Expert 3</w:t>
            </w:r>
          </w:p>
        </w:tc>
        <w:tc>
          <w:tcPr>
            <w:tcW w:type="dxa" w:w="2736"/>
          </w:tcPr>
          <w:p>
            <w:pPr>
              <w:spacing w:after="20"/>
              <w:jc w:val="right"/>
            </w:pPr>
            <w:r>
              <w:rPr>
                <w:color w:val="1C3A36"/>
                <w:sz w:val="17"/>
              </w:rPr>
              <w:t>Cash returns against the cost of capital</w:t>
            </w:r>
          </w:p>
        </w:tc>
        <w:tc>
          <w:tcPr>
            <w:tcW w:type="dxa" w:w="2376"/>
          </w:tcPr>
          <w:p>
            <w:pPr>
              <w:spacing w:after="20"/>
              <w:jc w:val="right"/>
            </w:pPr>
            <w:r>
              <w:rPr>
                <w:color w:val="1C3A36"/>
                <w:sz w:val="17"/>
              </w:rPr>
              <w:t>A 0.85× haircut on the mark</w:t>
            </w:r>
          </w:p>
        </w:tc>
        <w:tc>
          <w:tcPr>
            <w:tcW w:type="dxa" w:w="2304"/>
          </w:tcPr>
          <w:p>
            <w:pPr>
              <w:spacing w:after="20"/>
              <w:jc w:val="right"/>
            </w:pPr>
            <w:r>
              <w:rPr>
                <w:color w:val="1C3A36"/>
                <w:sz w:val="17"/>
              </w:rPr>
              <w:t>Takes the round price and cuts it</w:t>
            </w:r>
          </w:p>
        </w:tc>
        <w:tc>
          <w:tcPr>
            <w:tcW w:type="dxa" w:w="1584"/>
          </w:tcPr>
          <w:p>
            <w:pPr>
              <w:spacing w:after="20"/>
              <w:jc w:val="right"/>
            </w:pPr>
            <w:r>
              <w:rPr>
                <w:color w:val="1C3A36"/>
                <w:sz w:val="17"/>
              </w:rPr>
              <w:t>EGP 36.88</w:t>
            </w:r>
          </w:p>
        </w:tc>
      </w:tr>
    </w:tbl>
    <w:p>
      <w:pPr>
        <w:spacing w:after="40"/>
      </w:pPr>
    </w:p>
    <w:p>
      <w:pPr>
        <w:spacing w:after="120" w:before="0"/>
      </w:pPr>
      <w:r>
        <w:rPr>
          <w:b w:val="0"/>
          <w:i w:val="0"/>
          <w:color w:val="1C3A36"/>
          <w:sz w:val="21"/>
        </w:rPr>
        <w:t>The spread — EGP 7.89 to 52.07 at base — is wide for what is otherwise a set of broadly agreeing methods, and it is one disagreement with a second one riding on it. It is not the volumes, not the cash-conversion path, not the cost of capital and not the ownership percentage, which all three accept. It is how much of the associate mark to believe, and after that how the lender should be carried. Expert 2 sidesteps the first by pricing the associate at nothing and letting the gap to the market be the answer; Experts 1 and 3 both use the stated stake at the round price and disagree on the haircut. Unlike a business uncertainty that resolves with quarterly prints, this one may never fully resolve without a transaction, because private-mark discounts are a matter of judgment rather than a fact that appears on a schedule. Until a real secondary transaction supplies an independent data point, Expert 2’s number is the one estimate in the room that does not depend on the argument at all — which is exactly why it is also the lowest.</w:t>
      </w:r>
    </w:p>
    <w:p>
      <w:pPr>
        <w:spacing w:after="200" w:before="0"/>
      </w:pPr>
      <w:r>
        <w:rPr>
          <w:b w:val="0"/>
          <w:i/>
          <w:color w:val="6E7B77"/>
          <w:sz w:val="17"/>
        </w:rPr>
        <w:t>Each expert’s fair value is logged against this study’s date (7 September 2026) and the price it was struck at (EGP 28.98, 3 September 2026) as an internal per-expert track record.</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Where a question cannot be settled from the evidence, as one cannot here, we publish the disagreement rather than an average of it.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 holds no brokerage or investment-advisory authorisation, and is not acting as your adviser or fiduciary. Nothing here is personalised to your circumstances.</w:t>
      </w:r>
    </w:p>
    <w:p>
      <w:pPr>
        <w:spacing w:after="100" w:before="0"/>
      </w:pPr>
      <w:r>
        <w:rPr>
          <w:b/>
          <w:i/>
          <w:color w:val="1C3A36"/>
          <w:sz w:val="19"/>
        </w:rPr>
        <w:t xml:space="preserve">Two answers, not one. </w:t>
      </w:r>
      <w:r>
        <w:rPr>
          <w:b w:val="0"/>
          <w:i w:val="0"/>
          <w:color w:val="1C3A36"/>
          <w:sz w:val="19"/>
        </w:rPr>
        <w:t>This study publishes two fair-value figures because GB Corp publishes two different values for its largest single asset and the filings do not decide between them. They are not a range, not a confidence interval and not an invitation to take the midpoint: they are two answers to one question under two of the company’s own disclosures.</w:t>
      </w:r>
    </w:p>
    <w:p>
      <w:pPr>
        <w:spacing w:after="100" w:before="0"/>
      </w:pPr>
      <w:r>
        <w:rPr>
          <w:b/>
          <w:i/>
          <w:color w:val="1C3A36"/>
          <w:sz w:val="19"/>
        </w:rPr>
        <w:t xml:space="preserve">A qualified review conclusion, disclosed. </w:t>
      </w:r>
      <w:r>
        <w:rPr>
          <w:b w:val="0"/>
          <w:i w:val="0"/>
          <w:color w:val="1C3A36"/>
          <w:sz w:val="19"/>
        </w:rPr>
        <w:t>The limited review of GB Corp’s consolidated statements to 30 June 2026 reaches a qualified conclusion at the associate line this study is built around: the reviewers state they were not provided with that associate’s own financial statements and could not verify the group’s share of its profits for the period. The same qualification stood on the 31 December 2025 audited statements. This is disclosed because it bears directly on both of the figures above.</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and accuracy. </w:t>
      </w:r>
      <w:r>
        <w:rPr>
          <w:b w:val="0"/>
          <w:i w:val="0"/>
          <w:color w:val="1C3A36"/>
          <w:sz w:val="19"/>
        </w:rPr>
        <w:t>Reported financial and operating figures are drawn from the company’s public disclosure and other public sources believed reliable but not independently verified; they may contain errors or be superseded. Forward-looking inputs — the basis chosen for the associate mark, the mark on the lending arm, projections, multiples, the cash-flow model and the simulation’s factor probabilities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simulation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and figures. </w:t>
      </w:r>
      <w:r>
        <w:rPr>
          <w:b w:val="0"/>
          <w:i w:val="0"/>
          <w:color w:val="1C3A36"/>
          <w:sz w:val="19"/>
        </w:rPr>
        <w:t>Figures are in Egyptian pounds, millions unless stated; bn denotes billion. The exchange rate used for the round-price mark is EGP 47.5 to the US dollar, and it is a flagged estimate. Rounding may cause totals to differ slightly. The price is EGP 28.98 as at 3 September 2026; the price cone and the technical read are computed on the exchange library’s own last session, EGP 29.51 on 23 August 2026. Market data change continuously.</w:t>
      </w:r>
    </w:p>
    <w:p>
      <w:pPr>
        <w:spacing w:after="120" w:before="200"/>
        <w:jc w:val="center"/>
      </w:pPr>
      <w:r>
        <w:rPr>
          <w:b w:val="0"/>
          <w:i w:val="0"/>
          <w:color w:val="6E7B77"/>
          <w:sz w:val="17"/>
        </w:rPr>
        <w:t>TESTAHIL · Independent Valuation Study · Educational Analysis · GB Corp S.A.E. (EGX: GBCO) · edition 07-09-2026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