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CellMar>
          <w:top w:w="90" w:type="dxa"/>
          <w:left w:w="160" w:type="dxa"/>
          <w:bottom w:w="90" w:type="dxa"/>
          <w:right w:w="160" w:type="dxa"/>
        </w:tblCellMar>
      </w:tblPr>
      <w:tblGrid>
        <w:gridCol w:w="10080"/>
      </w:tblGrid>
      <w:tr>
        <w:tc>
          <w:tcPr>
            <w:tcW w:type="dxa" w:w="10080"/>
            <w:shd w:val="clear" w:color="auto" w:fill="1C3A36"/>
          </w:tcPr>
          <w:p>
            <w:r>
              <w:rPr>
                <w:b/>
                <w:color w:val="FFFFFF"/>
                <w:sz w:val="22"/>
              </w:rPr>
              <w:t>Testahil · Independent Valuation Study — Educational Analysis</w:t>
            </w:r>
            <w:r>
              <w:rPr>
                <w:color w:val="9FB0AC"/>
                <w:sz w:val="19"/>
              </w:rPr>
              <w:t xml:space="preserve">   Not investment advice</w:t>
            </w:r>
          </w:p>
        </w:tc>
      </w:tr>
    </w:tbl>
    <w:p>
      <w:pPr>
        <w:spacing w:after="0"/>
      </w:pPr>
    </w:p>
    <w:p>
      <w:pPr>
        <w:spacing w:after="40" w:before="0"/>
      </w:pPr>
      <w:r>
        <w:rPr>
          <w:b/>
          <w:i w:val="0"/>
          <w:color w:val="1C3A36"/>
          <w:sz w:val="40"/>
        </w:rPr>
        <w:t>Modon Holding PSC — bibliography and input register</w:t>
      </w:r>
    </w:p>
    <w:p>
      <w:pPr>
        <w:spacing w:after="200" w:before="0"/>
      </w:pPr>
      <w:r>
        <w:rPr>
          <w:b w:val="0"/>
          <w:i w:val="0"/>
          <w:color w:val="6E7B77"/>
          <w:sz w:val="21"/>
        </w:rPr>
        <w:t>Companion to the 9 August 2026 valuation study · ADX: MODON</w:t>
      </w:r>
    </w:p>
    <w:p>
      <w:pPr>
        <w:spacing w:after="120" w:before="280"/>
      </w:pPr>
      <w:r>
        <w:rPr>
          <w:b/>
          <w:i w:val="0"/>
          <w:color w:val="1C3A36"/>
          <w:sz w:val="30"/>
        </w:rPr>
        <w:t>1 · Primary documents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4176"/>
        <w:gridCol w:w="1512"/>
        <w:gridCol w:w="2304"/>
        <w:gridCol w:w="2016"/>
      </w:tblGrid>
      <w:tr>
        <w:tc>
          <w:tcPr>
            <w:tcW w:type="dxa" w:w="417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Document</w:t>
            </w:r>
          </w:p>
        </w:tc>
        <w:tc>
          <w:tcPr>
            <w:tcW w:type="dxa" w:w="151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Period</w:t>
            </w:r>
          </w:p>
        </w:tc>
        <w:tc>
          <w:tcPr>
            <w:tcW w:type="dxa" w:w="230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Retrieved from</w:t>
            </w:r>
          </w:p>
        </w:tc>
        <w:tc>
          <w:tcPr>
            <w:tcW w:type="dxa" w:w="20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Used for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Modon Holding PSC (signed 18 Feb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+ FY2024 comparatives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 (fy-2025-adx.pdf)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all FY2025/FY2024 statement lines, notes 1–36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Modon Holding PSC (scanned original)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FY2024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cross-check only (no text layer; figures from the FY2025 comparatives)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Audited consolidated financial statements, Q Holding PSC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FY2023 + FY2022 comparatives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FY2023/FY2022 statement lines (predecessor perimeter)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Interim condensed consolidated financial statements (reviewed)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study-year actuals; 31-Dec-2025 comparative cross-checks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Annual Report 2025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investor relations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segment KPIs, masterplan disclosures, sales/units, backlog composition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FY2025 results announcement (18 Feb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media centre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backlog AED 46.0bn, adjusted EBITDA, net-cash definition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ADX disclosure portal copies of the above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various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apigateway.adx.ae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availability confirmed; not needed as the company site served everything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UAE MoF/CBUAE dirham treasury auction results (July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Jul-2026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wam.ae (state news agency reporting the official auction)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AED sovereign yield 4.48% (Jan-2031 tranche)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country risk dataset (ctryprem), January 2026 update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pages.stern.nyu.edu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UAE Aa2 row: default spread 0.42%, ERP 4.87%; Egypt row for the stress case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ADREC Abu Dhabi Real Estate Market Report 2025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adrec.gov.ae / mediaoffice.abudhabi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market size, growth, off-plan share, foreign-buyer share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Aldar Q4-FY25 results release · Emaar FY2025 release · Emaar Development FY2025 release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aldar.com / emaar.com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peer fundamentals (cross-check only)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Turner &amp; Townsend UAE Market Intelligence 2025; MEED/Currie &amp; Brown 2026 outlooks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2025-26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public summaries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construction-cost escalator (~3-4.5%/yr)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CBUAE EIBOR fixings (31 Mar 2026 set)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Mar-2026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secondary mirrors (CBUAE page returned HTTP 403 at this session's network; logged)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6M EIBOR 3.71%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H1-2026 results announcement (29 Jul 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modon.com media centre (verified via official-release syndication)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backlog 65.4bn/95% dev; H1 sales 26bn; net debt 912; unrestricted cash 8.6bn; adj. EBITDA 3.0bn; 3,613 keys/16 hotels — the revision-2 restrike anchors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Damodaran emerging-markets industry betas (betaemerg.xls, saved 07-Jan-2026)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Jan-2026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pages.stern.nyu.edu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industry-beta cross-check (RE Development unlevered 0.45; rejected as primary, receipt in the study)</w:t>
            </w:r>
          </w:p>
        </w:tc>
      </w:tr>
      <w:tr>
        <w:tc>
          <w:tcPr>
            <w:tcW w:type="dxa" w:w="417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Uploaded ADX daily price history for MODON (1,577 sessions, Dec-2017 – Aug-2026)</w:t>
            </w:r>
          </w:p>
        </w:tc>
        <w:tc>
          <w:tcPr>
            <w:tcW w:type="dxa" w:w="151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to 7 Aug 2026</w:t>
            </w:r>
          </w:p>
        </w:tc>
        <w:tc>
          <w:tcPr>
            <w:tcW w:type="dxa" w:w="230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user-supplied export</w:t>
            </w:r>
          </w:p>
        </w:tc>
        <w:tc>
          <w:tcPr>
            <w:tcW w:type="dxa" w:w="201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price anchor, volatility model, technical read, beta regression (with the 18-name house panel as the proxy composite)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2 · Negative results — searched, not found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2736"/>
        <w:gridCol w:w="3384"/>
        <w:gridCol w:w="3888"/>
      </w:tblGrid>
      <w:tr>
        <w:tc>
          <w:tcPr>
            <w:tcW w:type="dxa" w:w="273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What was sought</w:t>
            </w:r>
          </w:p>
        </w:tc>
        <w:tc>
          <w:tcPr>
            <w:tcW w:type="dxa" w:w="338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Where</w:t>
            </w:r>
          </w:p>
        </w:tc>
        <w:tc>
          <w:tcPr>
            <w:tcW w:type="dxa" w:w="388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Outcome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FTSE ADX General Index daily history (beta regressor)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stooq (^adx); Yahoo Finance FADGI.FGI / FADX15.FGI / ^ADI; investing.com page + API; TradingEconomics chart API; WSJ/MarketWatch charting API; adx.ae + apigateway.adx.ae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 downloadable series from any of seven sources. At revision 2 beta comes from a weekly regression of MODON against an equal-weight composite of the 18 house-library UAE names (3y beta 1.025, R² 0.37, n 155, gate PASS) — adopted 1.03, flagged as a proxy-index regression; the Damodaran industry route (0.45 unlevered) rejected as primary with receipt.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UAE sovereign CDS spread (for a CDS-basis equity premium)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Damodaran ctryprem, January 2026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Published as NA for the UAE — no CDS-basis cost of capital can be built; the rating basis stands alone.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Quantified remaining-performance-obligation (backlog) table inside the audited statements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financial statements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 disclosed at that level in the notes; the AED 46.0bn backlog and its 93% development share come from the results announcement and annual report.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Per-project volumes and prices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annual report, results releases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Disclosed only as totals (units and value by geography); the revenue build therefore stops at segment level with unit-level anchors, and says so.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A dividend policy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results release, annual report, statements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None paid to owners in FY2024–25, none proposed — the zero in the model is sourced.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Real-estate/events technology substitution risk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sector press 2025-26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Nothing material found.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Sanctions or supply-chain exposure relevant to the model</w:t>
            </w:r>
          </w:p>
        </w:tc>
        <w:tc>
          <w:tcPr>
            <w:tcW w:type="dxa" w:w="3384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sector press 2025-26</w:t>
            </w:r>
          </w:p>
        </w:tc>
        <w:tc>
          <w:tcPr>
            <w:tcW w:type="dxa" w:w="388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Nothing material found.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3 · Judgements — and what would overturn each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2880"/>
        <w:gridCol w:w="3528"/>
        <w:gridCol w:w="3600"/>
      </w:tblGrid>
      <w:tr>
        <w:tc>
          <w:tcPr>
            <w:tcW w:type="dxa" w:w="28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Judgement</w:t>
            </w:r>
          </w:p>
        </w:tc>
        <w:tc>
          <w:tcPr>
            <w:tcW w:type="dxa" w:w="352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Basis</w:t>
            </w:r>
          </w:p>
        </w:tc>
        <w:tc>
          <w:tcPr>
            <w:tcW w:type="dxa" w:w="36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What would overturn it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Base sales path: post-H1 new sales AED 12bn (H2-26), then 30bn fading to 21bn/yr — every year below the 52bn annualised H1 pace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H1-2026 ACTUAL sales of 26bn; ADREC structural demand; Modon share of Abu Dhabi residential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two consecutive halves of new sales below AED 8bn, or an Abu Dhabi residential downturn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Development margin glide 41% → 38%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FY2025 43.7% and H1-2026 41.3% actuals; construction escalator vs price escalation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arms-length land sales clearing below 20% gross margin; tender inflation &gt;6%/yr sustained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Working capital: component build absorbs through FY2028, releases only late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receivable days 440 at both audited anchors; advances cover 1.86x and declining; land-bank draw vs new-WIP add — calibrated at 31-Dec-25 and 30-Jun-26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FY2026 statements showing receivable days rising above ~470, or advances cover falling faster than assumed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Tax at 15.5% (DMTT floor + foreign uplift)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note 11 (DMTT charged from 2025); H1-2026 effective 15.4%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 DMTT carve-out, or foreign profits growing beyond ~1/4 of the mix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Beta 1.03 (own-stock regression vs the equal-weight 18-name panel proxy)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3y weekly beta 1.025 (R² 0.37, n 155, usability gate PASS); 2y 1.055; 5y 1.071; industry route rejected as primary (receipt in the study)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the official index becoming downloadable and its regression disagreeing materially with the proxy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Terminal ROIC 8.5% — between the FY2025 clean 6.1% and the model's own forward path (~15%)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at-cost land bank converting to recognised profit; deliberate mean-reversion below the path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land monetisation stalling: at the clean achieved return the terminal value falls ~16% and the DCF ~11% (computed, not estimated)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No conflict premium in the cost of equity (mid-2026 regional practice was +1pt)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July-2026 AED sovereign auction at ~4bp over US Treasuries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regional escalation reflected in the sovereign curve — re-add the point (strip shown)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Lens weights 40/20/20/20</w:t>
            </w:r>
          </w:p>
        </w:tc>
        <w:tc>
          <w:tcPr>
            <w:tcW w:type="dxa" w:w="352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contracted backlog justifies a DCF anchor; tight float keeps market lenses honest</w:t>
            </w:r>
          </w:p>
        </w:tc>
        <w:tc>
          <w:tcPr>
            <w:tcW w:type="dxa" w:w="3600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 float event or dividend policy would raise the market lenses' weight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3b · Corrections adopted at revision 2 (external audits + re-audit)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944"/>
        <w:gridCol w:w="2520"/>
        <w:gridCol w:w="2808"/>
        <w:gridCol w:w="2880"/>
      </w:tblGrid>
      <w:tr>
        <w:tc>
          <w:tcPr>
            <w:tcW w:type="dxa" w:w="1944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Item</w:t>
            </w:r>
          </w:p>
        </w:tc>
        <w:tc>
          <w:tcPr>
            <w:tcW w:type="dxa" w:w="252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First edition</w:t>
            </w:r>
          </w:p>
        </w:tc>
        <w:tc>
          <w:tcPr>
            <w:tcW w:type="dxa" w:w="280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Revision 2</w:t>
            </w:r>
          </w:p>
        </w:tc>
        <w:tc>
          <w:tcPr>
            <w:tcW w:type="dxa" w:w="28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5"/>
              </w:rPr>
              <w:t>Why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Development backlog driver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42,600 (31-Dec-25)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62,130 (30-Jun-26, 65.4bn × 95%)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H1-2026 release superseded the anchor 11 days before publication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FY2026 new development sales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26,000 assumed for the full year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AED 26bn H1 ACTUAL + 12bn H2 assumption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assumption was already achieved in six months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Bridge cash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gross 12,642 incl. ~4.0bn escrow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available 8,600 (disclosed)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escrow funds completion of the backlog being valued — double-count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Bridge date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31-Dec-2025 rolled 219 days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30-Jun-2026 rolled 38 days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balance sheet moved against the roll across that window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Terminal debt weight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assumed 15%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derived from the model's own FY2030E (~8%)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internal coherence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Working capital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assumed release schedule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component build (days/cover/land-bank), absorbing through FY2028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H1 actuals show absorption while growth runs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D&amp;A driver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4.2% of revenue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3.4% on the average asset base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asset-base charge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Beta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1.0 assumed (tier-3)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1.03 regressed vs panel proxy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evidence obtained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Peer table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mixed bases/vintages; multiples irreconcilable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one attributable basis, every multiple = printed numerator/denominator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Aldar backlog was the 9M-2025 vintage; Emaar Dev backlog was the parent's figure; Emaar NP was disclosed, not n/d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Relative lens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silent average of two legs 43% apart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P/E leg only; EV/EBITDA a labelled unanchored cross-check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method disagreement was hidden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NCI in the bridge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book 847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capitalised max(book, 2% of equity value)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consolidated premium implies NCI premium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Expert 3 multiple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6.5x called the "centre"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6.2x = the stated mean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the statistic now matches its label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Expert 1 land mark-up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35% called "half of 67%"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33.7% = exactly half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wording-number mismatch (self-found)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Sensitivity grid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centre cell ≠ base case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rebuilt; centre = base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convention mismatch between grid and base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>
              <w:rPr>
                <w:color w:val="1C3A36"/>
                <w:sz w:val="15"/>
              </w:rPr>
              <w:t>Prose corrections</w:t>
            </w:r>
          </w:p>
        </w:tc>
        <w:tc>
          <w:tcPr>
            <w:tcW w:type="dxa" w:w="252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"worth about AED 1/sh" (WC); "roughly halves" (terminal); "just below the resistance"; MACD at 2dp; conversion-direction caption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each restated with the computed number</w:t>
            </w:r>
          </w:p>
        </w:tc>
        <w:tc>
          <w:tcPr>
            <w:tcW w:type="dxa" w:w="2880"/>
          </w:tcPr>
          <w:p>
            <w:pPr>
              <w:spacing w:after="20"/>
              <w:jc w:val="right"/>
            </w:pPr>
            <w:r>
              <w:rPr>
                <w:color w:val="1C3A36"/>
                <w:sz w:val="15"/>
              </w:rPr>
              <w:t>audit findings, all verified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4 · Aggregator-discrepancy notes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72"/>
        <w:gridCol w:w="3096"/>
        <w:gridCol w:w="2808"/>
        <w:gridCol w:w="2232"/>
      </w:tblGrid>
      <w:tr>
        <w:tc>
          <w:tcPr>
            <w:tcW w:type="dxa" w:w="187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Item</w:t>
            </w:r>
          </w:p>
        </w:tc>
        <w:tc>
          <w:tcPr>
            <w:tcW w:type="dxa" w:w="309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Primary figure</w:t>
            </w:r>
          </w:p>
        </w:tc>
        <w:tc>
          <w:tcPr>
            <w:tcW w:type="dxa" w:w="2808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Aggregator figure</w:t>
            </w:r>
          </w:p>
        </w:tc>
        <w:tc>
          <w:tcPr>
            <w:tcW w:type="dxa" w:w="2232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6"/>
              </w:rPr>
              <w:t>Resolution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MODON trailing P/E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computed 11.78x (46,262/3,926, group profit basis)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stockanalysis.com shows 11.33x (attributable basis)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both stated; the study quotes its own computed basis and labels it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FY2024 net profit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AED 9,389mn as reported (incl. AED 9,192mn bargain gain)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some feeds show ~AED 197mn ("adjusted")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both framings carried throughout (dual-framed)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Shares outstanding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16,347,080 thousand (note 23)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16.35bn (rounded)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note 23 figure used everywhere</w:t>
            </w:r>
          </w:p>
        </w:tc>
      </w:tr>
      <w:tr>
        <w:tc>
          <w:tcPr>
            <w:tcW w:type="dxa" w:w="1872"/>
          </w:tcPr>
          <w:p>
            <w:pPr>
              <w:spacing w:after="20"/>
            </w:pPr>
            <w:r>
              <w:rPr>
                <w:color w:val="1C3A36"/>
                <w:sz w:val="16"/>
              </w:rPr>
              <w:t>EIBOR</w:t>
            </w:r>
          </w:p>
        </w:tc>
        <w:tc>
          <w:tcPr>
            <w:tcW w:type="dxa" w:w="3096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CBUAE official page unreachable (403) this session</w:t>
            </w:r>
          </w:p>
        </w:tc>
        <w:tc>
          <w:tcPr>
            <w:tcW w:type="dxa" w:w="2808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mirrors quote 3M 3.66% / 6M 3.71% (31-Mar-2026 set)</w:t>
            </w:r>
          </w:p>
        </w:tc>
        <w:tc>
          <w:tcPr>
            <w:tcW w:type="dxa" w:w="2232"/>
          </w:tcPr>
          <w:p>
            <w:pPr>
              <w:spacing w:after="20"/>
              <w:jc w:val="right"/>
            </w:pPr>
            <w:r>
              <w:rPr>
                <w:color w:val="1C3A36"/>
                <w:sz w:val="16"/>
              </w:rPr>
              <w:t>mirror figures used, dated, and flagged as secondary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5 · The full input register</w:t>
      </w:r>
    </w:p>
    <w:p>
      <w:pPr>
        <w:spacing w:after="120" w:before="0"/>
      </w:pPr>
      <w:r>
        <w:rPr>
          <w:b w:val="0"/>
          <w:i w:val="0"/>
          <w:color w:val="1C3A36"/>
          <w:sz w:val="19"/>
        </w:rPr>
        <w:t>Every input the model consumes — 205 entries — with value, source and date, grouped by research layer. Values are AED million unless the label says otherwise.</w:t>
      </w:r>
    </w:p>
    <w:p>
      <w:pPr>
        <w:spacing w:after="80" w:before="200"/>
      </w:pPr>
      <w:r>
        <w:rPr>
          <w:b/>
          <w:i w:val="0"/>
          <w:color w:val="1C3A36"/>
          <w:sz w:val="24"/>
        </w:rPr>
        <w:t>Market layer — 1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spot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2.83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Uploaded ADX daily price history, last close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Company layer — 145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shares_mn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16,347.08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capital note 23: 16,347,080 thousand shares of AED 1 each,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994.293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 (revenue from contracts 473.338 + rental 409.058 + dividends 111.897),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6,511.182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13,828.869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Consolidated statement of profit or loss,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2,316.507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5,025.259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fin_inc_fy25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262.923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 note 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fin_cost_fy25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390.389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costs note 10,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fin_inc_fy24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126.776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fin_cost_fy24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283.443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costs,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263.592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profit from associates and joint ventures note 17,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115.114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profit from associates and JVs,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4,421.195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 0.182,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9,488.267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ebt_fy23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653.455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 incl. discontinued 4.051,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495.49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 note 11 (incl. DMTT 350.356),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98.815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79.504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3,925.705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9,389.452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573.951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year after tax,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4,020.102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 of the Parent,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9,423.191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npa_fy23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461.269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 of the Parent,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bargain_fy24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9,192.243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Bargain purchase gain on acquisition of subsidiaries, note 4.2,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610.483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on PP&amp;E 468.264 + amortisation 76.645 + right-of-use depreciation 65.574, cash flow statement adjustments,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265.122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Same three lines,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27.719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and amortisation lines, cash flow statement,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1,547.476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General and administrative expenses note 7,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sm_fy25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266.211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Selling and marketing expenses,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invinc_fy25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338.26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and other income note 8,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fv_ip_fy25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343.426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Fair value gain on revaluation of investment properties note 16,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fv_fvtpl_fy25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221.952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Change in fair value of investments at FVTPL note 18,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disp_assoc_fy25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169.677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Gain on disposal of an associate note 17(ii),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fin_net_fy23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8.518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Finance income (costs), net, note 10,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-0.697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loss from associates and JVs,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impair_fy24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1,024.726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Impairment of PP&amp;E 539.922 + development WIP 406.663 + goodwill 78.141,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ppe_fy25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8,812.397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Property, plant and equipment,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9,461.777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intang_fy25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952.423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Intangible assets and goodwill,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rou_fy25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530.349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Right-of-use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assoc_bv_fy25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3,723.897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finass_fy25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394.305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financial assets, non-current 339.620 + current 54.685,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27,297.588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 (land plots 26,610.771 + properties 635.198 + spares 51.619),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6,111.794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work-in-progress,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recv_fy25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8,703.594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duefr_fy25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7,931.529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parties, NC + C (incl. Department of Finance 5,998.151),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12,641.987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 (incl. escrow 3,311.941 + restricted 735.174),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dta_fy25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469.345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Deferred tax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87,030.985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53,902.504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 of the Parent,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847.48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5,136.373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NC 2,943.416 + C 2,192.957, note 29,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rploan_fy25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1,652.713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note 30,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623.766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21,407.874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dueto_fy25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1,693.721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to related parties, NC + C,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taxpay_fy25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468.089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payable,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dtl_fy25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1,131.012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Deferred tax liabilities,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eosb_fy25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167.453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Employees' end of service benefits,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liab_fy25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32,281.001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liabilities,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ppe_fy24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7,593.191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PP&amp;E,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9,336.725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29,586.274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2,461.672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WIP,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3,529.025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duefr_fy24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9,314.779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7,009.67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75,925.281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49,676.408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1,186.183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3,711.397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FY2024, note 29,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rploan_fy24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1,652.713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511.977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8,248.542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dueto_fy24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9,781.37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to related parties,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assoc_bv_fy24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2,242.891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FY2024,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assets_fy23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21,311.081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assets,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eqp_fy23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13,769.094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1,149.566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loans_fy23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1,976.135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borrowings, NC + C,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2,259.902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ip_fy23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7,536.858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properties,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inv_fy23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2,246.917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Inventory properties,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netcash_company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1,800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AED 1.8bn on the company definition (available cash incl. qualifying escrow less total debt incl. the related-party loan), Modon FY2025 results announcement, modon.com media centre, 18-Feb-2026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ocf_fy25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3,860.373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generated from operating activities,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ocf_fy24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3,231.447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from operating activities,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capex_fy25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1,260.566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Purchases of PP&amp;E 1,072.497 + intangibles 25.513 + investment properties 162.556, cash flow statement,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capex_fy24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1,247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Same three lines, FY2024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h1_26_rev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9,188.304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h1_26_gp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3,201.275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profit,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h1_26_pbt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2,601.227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before tax, continuing,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h1_26_pat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2,202.138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for the period,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h1_26_npa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2,162.966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Profit attributable to owners,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h1_26_tax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401.202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Income tax expense,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h1_26_ga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685.124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General and administrative expenses,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h1_26_ocf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-3,921.027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cash used in operating activities (receivables and related-party balances built up AED 5.4bn),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h1_26_loans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8,541.685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Loans and borrowings NC 3,821.289 + C 4,720.396,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h1_26_rploan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Loan from a related party, current,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h1_26_cash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12,303.24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Cash and bank balances,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h1_26_eqp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56,396.629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Equity attributable to owners,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seg_red_rev25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7,403.313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seg_aim_rev25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654.658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seg_hosp_rev25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791.771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seg_ect_rev25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5,008.749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seg_oth_rev25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-29.622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segment (corporate, eliminations),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seg_red_gp25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3,232.891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seg_aim_gp25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421.083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seg_hosp_gp25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210.893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seg_ect_gp25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1,325.029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gross profit,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seg_oth_gp25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-164.637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segment gross loss,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seg_pbt25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2,547.573; aim: 685.082; hosp: -69.15; ect: 1,061.602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profit before tax,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seg_assets25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55,738.581; aim: 11,095.849; hosp: 4,601.757; ect: 14,118.268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assets, note 33,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seg_rev24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red: 2,869.294; aim: 578.358; hosp: 569.87; ect: 2,493.66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revenues FY2024, note 33 comparatives,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h1_seg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rev: red: 5,675.275; aim: 360.966; hosp: 388.398; ect: 2,775.402; gp: red: 2,342.842; aim: 258.38; hosp: 105.504; ect: 552.062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Segment table, note 28,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36,300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Total real estate sales AED 36.3bn across 6,358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6,358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Units sold across launches,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sales25_uae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29,800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UAE sales (incl. JV) AED 29.8bn across 4,243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units25_uae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4,243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UAE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sales25_intl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International sales (Egypt+Spain+JV) AED 6.6bn across 2,115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units25_intl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2,115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International units,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46,000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 backlog AED 46.0bn, 93% development sales, Modon FY2025 results announcement, modon.com media centre, 18-Feb-2026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dev_backlog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42,600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backlog (UAE + Egypt) AED 42.6bn, Modon Annual Report 2025,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h1_backlog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65,400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Group revenue backlog AED 65.4bn, doubling y/y, +42% vs FY2025;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h1_dev_share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projects across the UAE and Egypt = 95% of the total backlog;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H1-2026 real estate sales AED 26bn (2.6x H1-2025), incl. AED 23bn Abu Dhabi; Hudayriyat Golf Estates AED 13bn within days;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h1_netdebt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912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Net debt AED 912mn (0.02x equity) at 30-Jun-2026, company definition;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h1_avail_cash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8,600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AED 8.6bn of unrestricted cash plus AED 1.5bn undrawn committed facilities;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h1_adj_ebitda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2,995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H1-2026 Group Adjusted EBITDA AED 3.0bn, margin 32.6% (32.6% x 9,188 = 2,995);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h1_keys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3,613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portfolio 3,613 keys across 16 owned, operated and JV hotels (narrower perimeter than the FY2025 report's 7,137 keys across 27 hotels incl. managed);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h1_recurring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3,500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Recurring revenues +22% y/y to AED 3.5bn = 38% of Group revenues; Modon H1-2026 results announcement, modon.com media centre, 29-Jul-2026 (verified via Zawya/WAM syndication of the official release)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2026-07-29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h1_lease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644.799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Lease liabilities NC + C,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h1_assoc_bv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2,826.454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associates and JVs,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h1_finass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392.972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Investments in financial assets, NC + C,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h1_nci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922.342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Non-controlling interests,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h1_recv_total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22,155.68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receivables (NC+C) + amounts due from related parties (NC+C),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h1_inv_dwip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34,087.289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Inventories + development work-in-progress,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h1_pay_total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22,289.32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and other payables (NC+C, incl. customer advances/contract liabilities) + amounts due to related parties,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asset_base_30jun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19,736.134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Depreciable base at 30-Jun-2026: PP&amp;E 8,702.928 + investment properties 9,496.084 + right-of-use 529.636 + intangibles 1,007.486,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lease_int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Annual interest on lease liabilities (H1-2026 actual ~18 per half), now an explicit input rather than an embedded numeral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fgn_share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0.1708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Revenue OUTSIDE the UAE, FY2025 audited geographic split, note 5 (11,466.934 within / 2,361.935 outside) — recognised REVENUE, not contracted sales; one external audit asserted this split is unpublished; it is note 5 of the audited statements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recurring_base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6,455.178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Recurring/operating legs base = FY2025 AIM + Hospitality + ECT segment revenue (6,455.178), grown 15% to mid-cycle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land_bv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26,610.771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Land plots at cost, note 19, Audited consolidated financial statements FY2025, Modon Holding PSC, signed 18-Feb-2026,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dwip_bv_h1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6,487.697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Development WIP at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rp_book_h1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10,755.509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Amounts due from related parties NC + C, 30-Jun-2026, Interim condensed consolidated financial statements, 30-Jun-2026 (reviewed, unaudited),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2026-08-07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Company/House layer — 2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gp_fy23_house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599.559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House proxy: revenue less contract costs 394.734 (P&amp;L by nature carries no gross-profit line), Audited consolidated financial statements FY2023, Q Holding PSC, modon.com investor relations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2024-02-15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kd_margin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0.0165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Blended forward margin over 6M EIBOR from the note-29 tranche table (+0.60% newest large AED tranche to +2.5% construction; SONIA +0.95-2.05% GBP)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2026-02-18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Country layer — 7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0.0448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AED sovereign anchor: Jan-2031 dirham T-Bond, 4.48% YTM, July-2026 auction, ~4bp over UST (UAE MoF via WAM) — the longest liquid AED government tranche; the tenor choice (4.4y vs a perpetual stream) is stated as a limitation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2026-07-30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sov_spread_rating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0.0042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adjusted default spread, UAE (Aa2), rating basis, January-2026 ctryprem (the July-2026 refresh carries the same UAE parameters per independent verification; vintage stated)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erp_rating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0.0487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total ERP, UAE row, rating basis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erp_cds_na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NA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 UAE sovereign CDS row is published — the CDS-basis WACC cannot be built; rating basis stands alone, stated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eibor6m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EIBOR 6M 3.71% (31-Mar-2026 published set; the CBUAE page again refused this session — fixing retained WITH ITS DATE; a 25bp EIBOR move is ~3bp of WACC)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2026-03-31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cash_yield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Yield on cash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2026-06-17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egy_crp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0.0971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CRP, Egypt (Caa1), Jan-2026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2026-01-05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Industry layer — 2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beta_industry_check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unlevered_weighted: 0.501; relevered_fy25: 0.563; relevered_h1: 0.588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Damodaran January-2026 EM industry betas (betaemerg.xls, saved 07-Jan-2026): RE Development unlevered 0.452 (cash-corrected, 786 firms, D/E 1.97), RE Operations 0.590, Hotel/Gaming 0.580; gross-profit-weighted and relevered at Modon's structure. Cross-check only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2026-01-07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peers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ALDAR: name: Aldar Properties (ADX); spot: 7.78; shares_mn: 7,862.6; mcap: 61,171; np_attr: 7,548; eps: 0.96; EMAAR: name: Emaar Properties (DFM); spot: 11.5; shares_mn: 8,838; mcap: 101,650; np_attr: 17,599; eps: None; EMAARDEV: name: Emaar Development (DFM); spot: 13.38; shares_mn: 4,000; mcap: 53,520; np_attr: 11,316; eps: None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Peer table REBUILT at revision 2 on one attributable-earnings basis from the peers' own audited filings/releases (figures per the external audits' primary-source checks, adopted after verification); market caps from prices at 07-Aug-2026. Cross-check only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b/>
          <w:i w:val="0"/>
          <w:color w:val="1C3A36"/>
          <w:sz w:val="24"/>
        </w:rPr>
        <w:t>House layer — 48 inputs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40" w:type="dxa"/>
          <w:left w:w="90" w:type="dxa"/>
          <w:bottom w:w="40" w:type="dxa"/>
          <w:right w:w="90" w:type="dxa"/>
        </w:tblCellMar>
        <w:tblBorders>
          <w:top w:val="single" w:sz="4" w:space="0" w:color="C9D4D1"/>
          <w:left w:val="single" w:sz="4" w:space="0" w:color="C9D4D1"/>
          <w:bottom w:val="single" w:sz="4" w:space="0" w:color="C9D4D1"/>
          <w:right w:val="single" w:sz="4" w:space="0" w:color="C9D4D1"/>
          <w:insideH w:val="single" w:sz="4" w:space="0" w:color="C9D4D1"/>
          <w:insideV w:val="single" w:sz="4" w:space="0" w:color="C9D4D1"/>
        </w:tblBorders>
        <w:tblLayout w:type="fixed"/>
      </w:tblPr>
      <w:tblGrid>
        <w:gridCol w:w="1800"/>
        <w:gridCol w:w="1656"/>
        <w:gridCol w:w="5616"/>
        <w:gridCol w:w="1080"/>
      </w:tblGrid>
      <w:tr>
        <w:tc>
          <w:tcPr>
            <w:tcW w:type="dxa" w:w="180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Input</w:t>
            </w:r>
          </w:p>
        </w:tc>
        <w:tc>
          <w:tcPr>
            <w:tcW w:type="dxa" w:w="165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Value</w:t>
            </w:r>
          </w:p>
        </w:tc>
        <w:tc>
          <w:tcPr>
            <w:tcW w:type="dxa" w:w="5616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Source</w:t>
            </w:r>
          </w:p>
        </w:tc>
        <w:tc>
          <w:tcPr>
            <w:tcW w:type="dxa" w:w="1080"/>
            <w:shd w:val="clear" w:color="auto" w:fill="EAF0EE"/>
          </w:tcPr>
          <w:p>
            <w:pPr>
              <w:spacing w:after="20"/>
            </w:pPr>
            <w:r>
              <w:rPr>
                <w:b/>
                <w:color w:val="1C3A36"/>
                <w:sz w:val="14"/>
              </w:rPr>
              <w:t>Date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conv_path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0.105 · 0.25 · 0.28 · 0.3 · 0.32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Backlog conversion on opening development backlog (H2-2026 is a half-year rate). Anchor: H1-2026 realised development revenue ex-land 4,237 = 9.9% of the 42,600 opening — a ~20-23% annualised pace on a growing base, stepping up as the record construction book mobilises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12,000 · 30,000 · 26,000 · 23,000 · 21,000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New development sales, BASE path, POST-H1 (the AED 26bn H1-2026 actual is already inside the opening backlog): H2-2026 12bn (no assumed repeat of the 13bn Golf Estates launch), then fading 30-&gt;21bn/yr — still below the 52bn annualised H1 run-rate throughout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land_rev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700 · 1,400 · 1,300 · 1,200 · 1,100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Point-in-time land and plot sales: H1-2026 actual was 1,438; tapering path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0.41 · 0.4 · 0.39 · 0.385 · 0.38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RED gross margin: FY2025 43.7%, H1-2026 actual 41.3%; glides to 38% as related-party land mix fades and the ~4% tender-price escalator runs ahead of ~2% realised-price escalation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0.09 · 0.085 · 0.08 · 0.08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revenue growth off the FY2026E base; H2-2026E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H2-2026E revenue: H1 actual 361 with contracted occupancy 96% and GLA additions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aim_margin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0.68 · 0.66 · 0.65 · 0.64 · 0.64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AIM gross margin: FY2025 64.3%, H1-2026 actual 71.6%; held near the blend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0.07 · 0.07 · 0.06 · 0.06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growth off FY2026E; H2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452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H2-2026E: H1 actual 388 plus the winter-season weighting (H2-2025 was 52% of the year)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hosp_margin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0.29 · 0.28 · 0.29 · 0.3 · 0.3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Hospitality gross margin: H1-2026 actual 27.2%, recovering to 30%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ect_growth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None · 0.045 · 0.043 · 0.041 · 0.039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growth off FY2026E; H2 set directly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ect_h2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H2-2026E: H1 actual 2,775 plus the H2-weighted events season (ADNEC calendar; Arena full-period)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ect_margin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0.29 · 0.27 · 0.275 · 0.28 · 0.28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ECT gross margin: H1-2026 actual 19.9% (temporary-infrastructure mix), recovering toward the FY2025 26.5% as the events season carries H2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oth_rev_f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-30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/ eliminations, full-year rate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oth_gp_f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-120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Others gross loss, full-year rate (H1-2026 actual -57.5)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ga_pct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0.083 · 0.088 · 0.087 · 0.086 · 0.085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G&amp;A / revenue. Anchors stated: FY2025 11.19%; H1-2026 headline 7.46% flattered by a -77.9 ECL reversal — ex-reversal 8.30%. The path glides 8.3% -&gt; 8.5-8.8%, i.e. BELOW FY2025 on realised operating leverage but ABOVE the flattered H1 print. The first edition's conservatism claim is withdrawn: this is a generous assumption relative to FY2025 and is now labelled as such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sm_pct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0.017 · 0.018 · 0.017 · 0.017 · 0.016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S&amp;M / revenue: FY2025 1.93%, H1-2026 1.64%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invinc_f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80 · 165 · 170 · 175 · 180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Investment and other income, recurring component (H1-2026 actual 71 incl. one-offs)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assoc_f_path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95 · 210 · 227 · 245 · 264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Associate/JV income: H1-2026 actual 88.3 post the Q2 JV disposal; ~8%/yr thereafter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dna_rate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0.034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Depreciation &amp; amortisation as a rate on the AVERAGE depreciable asset base (PP&amp;E + investment properties + right-of-use + intangibles): FY2025 charge 610.5 on an average base of ~17,940 = 3.4%. Respecified off the asset base at revision 2 — the first edition drove D&amp;A off revenue, a mis-specified driver both external audits flagged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capex_f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700 · 1,500 · 1,550 · 1,600 · 1,650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Capital expenditure (H2 stub then annual): H1-2026 actual 312.5 (PP&amp;E 206.9 + intangibles 63.5 + IP 42.0); rising with Olympia and venue pipeline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tax_f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0.155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Effective tax: DMTT 15% floor + foreign uplift; H1-2026 actual 15.4%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nci_pct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NCI share of profit: H1-2026 actual 1.8%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dso_path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440 · 430 · 410 · 390 · 370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Receivable days (trade + contract + related-party receivables over revenue): FY2025 439 days, 30-Jun-2026 440 days — held flat through 2026 then declining as Department-of-Finance balances collect. THE collection caveat in one driver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inv_addition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New-project WIP added per dirham of new development sales (mobilisation, infrastructure)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inv_consumption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Share of RED direct costs drawn from the existing land bank / WIP (land content of cost of sales)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pay_cover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1.86 · 1.7 · 1.55 · 1.45 · 1.4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Trade payables + customer advances + related-party payables as a multiple of annual direct costs: FY2025 2.62x (advance-heavy), 30-Jun-2026 1.86x; declining as handovers recognise advances. This is the presale-funding mechanism: customers, not the balance sheet, fund construction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1.03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OWN-STOCK regression against an equal-weight proxy of the 18 ADX/DFM names in the house library (the official FTSE ADX General index remains unobtainable — 7 sources logged): 3-year weekly beta 1.025 (SE 0.109, R2 0.367, n 155, gate PASS); 5-year 1.071 (R2 0.142, spans the pre-2022 thin-trading regime); 2-year 1.055 (R2 0.460). Adopted 1.03, FLAGGED: proxy index, not the official benchmark. The Damodaran EM industry route (business-weighted unlevered 0.50 -&gt; relevered 0.56-0.59) is REJECTED as a primary: the 786-firm Real-Estate-Development row is dominated by highly-levered Chinese developers (D/E 1.97) unrepresentative of a UAE state platform; it is retained as a lower-bound cross-check. Sensitised 0.8-1.2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beta_reg_detail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w3y: 1.025 · 0.109 · 0.367 · 155; w5y: 1.071 · 0.164 · 0.142 · 259; w2y: 1.055 · 0.114 · 0.46 · 103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Regression detail (beta, SE, R2, n) per window: MODON weekly log-returns vs the equal-weight 18-name panel proxy, computed from the house price library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g_term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growth 2.5%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roic_term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ROIC 8.5% — deliberately BELOW the model's own forecast path (which reaches ~15% by FY2030E as invested capital shrinks while NOPAT grows): a mean-reversion margin of safety on the block that carries ~70% of EV, and above the FY2025 clean achieved 6.1% because the at-cost land bank converts. Both anchors stated; the step-down is a choice, priced in sensitivity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debt_path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10,300 · 10,500 · 9,700 · 8,800 · 7,900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Gross debt path incl. related-party loan from the 30-Jun-2026 actual 9,542: construction peak then amortising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wd_term_derived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0.0802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Terminal debt weight DERIVED from the model's own FY2030E balance sheet: gross debt / (gross debt + book equity). Assumed-15% retired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anchor_days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38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Days from the 30-Jun-2026 valuation date (reviewed balance sheet) to the 7-Aug-2026 price anchor — the first edition's 219-day accretion from 31-Dec-2025 is retired with the restrike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new_sales_runoff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8,000 · 15,000 · 11,000 · 9,000 · 8,000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RUN-OFF path, post-H1: launches halve from the realised pace and fade — now a stress reading, not a live alternative: the H1-2026 disclosure (26bn in six months) falsified the first edition's run-off premise as a central scenario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red_margin_runoff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 · 0.385 · 0.37 · 0.36 · 0.35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Run-off margins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new_sales_bull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15,000 · 34,000 · 34,000 · 34,000 · 34,000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GROWTH-HOLD path: sales hold near the realised H1-2026 annualised pace less the launch effect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red_margin_bull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0.42 · 0.42 · 0.41 · 0.41 · 0.4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Growth-hold margins (published in full at revision 2 — the first edition left this vector undisclosed)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pe_just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7.5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Justified P/E on FY2026E attributable profit: peer attributable trailing set 4.7x / 5.8x / 8.1x (EmaarDev / Emaar / Aldar). 7.5x = parity-minus with the sector leader: the growth and recurring-income premium and the 15%-float/related-party discount are treated as offsetting, stated as a judgement. (The first edition's 8.0x was described as a premium to Aldar off a broken peer table)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ev_ebitda_just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EV/EBITDA 7.0x — HOUSE JUDGEMENT WITHOUT A PEER ANCHOR (no peer EV/EBITDA is computable from reachable disclosures: peer net debt not held). Shown as a cross-check only; EXCLUDED from the lens average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norm_sales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20,000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development sales raised 18bn -&gt; 20bn: the realised H1-2026 26bn lifts the cycle evidence; still far below the 38bn FY2026E in-year pace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norm_margin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0.115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net margin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norm_pe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8.5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Through-cycle P/E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roe_sust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0.075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Sustainable ROE 7.5%. Receipts, one cleaning only: mechanical FY2025 clean ROE (ex the 735.1 of fair-value/disposal gains, tax-effected) = 6.6%; the model's own forward attributable ROE path runs 7.8% -&gt; 9.8%. 7.5% sits between the two, below the forward path — a forward-sustainable judgement, not a historical cleaning (the first edition conflated the two)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lens_weights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dcf: 0.4; relative: 0.2; normalized: 0.2; book: 0.2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Weights unchanged: DCF primary on backlog visibility; three market lenses carry 60% jointly — that structure, not an additional holdco discount, is how float/governance friction is priced (a 30% haircut on top would double-count it; the reading is still shown in section 4)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e1_land_uplift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0.337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1 land mark-up = exactly HALF the realised 67.4% related-party land-sale gross margin (1 - 818.033/2,512.837), as the arms-length haircut — the first edition said "half" but used 35%; aligned at revision 2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e2_rp_haircut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0.25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2 haircut on the related-party receivable book (30-Jun-2026: 10,756 gross due-from)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  <w:tr>
        <w:tc>
          <w:tcPr>
            <w:tcW w:type="dxa" w:w="1800"/>
          </w:tcPr>
          <w:p>
            <w:pPr>
              <w:spacing w:after="20"/>
            </w:pPr>
            <w:r>
              <w:rPr>
                <w:color w:val="1C3A36"/>
                <w:sz w:val="14"/>
              </w:rPr>
              <w:t>e3_pe</w:t>
            </w:r>
          </w:p>
        </w:tc>
        <w:tc>
          <w:tcPr>
            <w:tcW w:type="dxa" w:w="165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6.2</w:t>
            </w:r>
          </w:p>
        </w:tc>
        <w:tc>
          <w:tcPr>
            <w:tcW w:type="dxa" w:w="5616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Expert 3 multiple = the arithmetic MEAN of the rebuilt attributable peer set (4.73 + 5.78 + 8.10)/3 = 6.20x — the first edition claimed "centre of the set" but used 6.5x; the statistic is now the one named</w:t>
            </w:r>
          </w:p>
        </w:tc>
        <w:tc>
          <w:tcPr>
            <w:tcW w:type="dxa" w:w="1080"/>
          </w:tcPr>
          <w:p>
            <w:pPr>
              <w:spacing w:after="20"/>
              <w:jc w:val="right"/>
            </w:pPr>
            <w:r>
              <w:rPr>
                <w:color w:val="1C3A36"/>
                <w:sz w:val="14"/>
              </w:rPr>
              <w:t>2026-08-09</w:t>
            </w:r>
          </w:p>
        </w:tc>
      </w:tr>
    </w:tbl>
    <w:p>
      <w:pPr>
        <w:spacing w:after="40"/>
      </w:pPr>
    </w:p>
    <w:p>
      <w:pPr>
        <w:spacing w:after="120" w:before="280"/>
      </w:pPr>
      <w:r>
        <w:rPr>
          <w:b/>
          <w:i w:val="0"/>
          <w:color w:val="1C3A36"/>
          <w:sz w:val="30"/>
        </w:rPr>
        <w:t>Disclosure</w:t>
      </w:r>
    </w:p>
    <w:p>
      <w:pPr>
        <w:spacing w:after="120" w:before="0"/>
      </w:pPr>
      <w:r>
        <w:rPr>
          <w:b w:val="0"/>
          <w:i w:val="0"/>
          <w:color w:val="1C3A36"/>
          <w:sz w:val="18"/>
        </w:rPr>
        <w:t>Companion to the Modon Holding valuation study of 9 August 2026. Educational analysis; not investment advice. © Testahil 2026.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4" w:lineRule="auto"/>
    </w:pPr>
    <w:rPr>
      <w:rFonts w:ascii="Calibri" w:hAnsi="Calibri"/>
      <w:color w:val="1C3A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