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120" w:before="0"/>
      </w:pPr>
      <w:r>
        <w:rPr>
          <w:b/>
          <w:i w:val="0"/>
          <w:color w:val="1C3A36"/>
          <w:sz w:val="28"/>
        </w:rPr>
        <w:t>Bibliography and input register</w:t>
      </w:r>
    </w:p>
    <w:p>
      <w:pPr>
        <w:spacing w:after="120" w:before="0"/>
      </w:pPr>
      <w:r>
        <w:rPr>
          <w:b w:val="0"/>
          <w:i/>
          <w:color w:val="6E7B77"/>
          <w:sz w:val="22"/>
        </w:rPr>
        <w:t>Abu Dhabi Islamic Bank – Egypt S.A.E. (EGX: ADIB) — valuation study of 9 September 2026</w:t>
      </w:r>
    </w:p>
    <w:p>
      <w:pPr>
        <w:spacing w:after="120" w:before="0"/>
      </w:pPr>
      <w:r>
        <w:rPr>
          <w:b w:val="0"/>
          <w:i w:val="0"/>
          <w:color w:val="1C3A36"/>
          <w:sz w:val="21"/>
        </w:rPr>
        <w:t>This document stands alone. Every figure in the study can be traced from here to the document it came from, the date that document carries, and how good a source it is. Where a figure could not be sourced, this document says so rather than leaving the gap to be inferred.</w:t>
      </w:r>
    </w:p>
    <w:p>
      <w:pPr>
        <w:spacing w:after="120" w:before="280"/>
      </w:pPr>
      <w:r>
        <w:rPr>
          <w:b/>
          <w:i w:val="0"/>
          <w:color w:val="1C3A36"/>
          <w:sz w:val="30"/>
        </w:rPr>
        <w:t>1  Primary documents</w:t>
      </w:r>
    </w:p>
    <w:p>
      <w:pPr>
        <w:spacing w:after="120" w:before="0"/>
      </w:pPr>
      <w:r>
        <w:rPr>
          <w:b w:val="0"/>
          <w:i w:val="0"/>
          <w:color w:val="1C3A36"/>
          <w:sz w:val="21"/>
        </w:rPr>
        <w:t>Sixteen consolidated fiscal years plus two interim periods, all from the bank's own investor-relations archive at adib.eg. EVERY ONE OF THESE WAS PARSED AND CHECKED TO ADD UP; a statement that does not foot against its own arithmetic did not enter this study.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224"/>
        <w:gridCol w:w="4464"/>
        <w:gridCol w:w="1440"/>
        <w:gridCol w:w="720"/>
        <w:gridCol w:w="2232"/>
      </w:tblGrid>
      <w:tr>
        <w:tc>
          <w:tcPr>
            <w:tcW w:type="dxa" w:w="1224"/>
            <w:shd w:val="clear" w:color="auto" w:fill="EAF0EE"/>
          </w:tcPr>
          <w:p>
            <w:pPr>
              <w:spacing w:after="20"/>
            </w:pPr>
            <w:r>
              <w:rPr>
                <w:b/>
                <w:color w:val="1C3A36"/>
                <w:sz w:val="14"/>
              </w:rPr>
              <w:t>Period</w:t>
            </w:r>
          </w:p>
        </w:tc>
        <w:tc>
          <w:tcPr>
            <w:tcW w:type="dxa" w:w="4464"/>
            <w:shd w:val="clear" w:color="auto" w:fill="EAF0EE"/>
          </w:tcPr>
          <w:p>
            <w:pPr>
              <w:spacing w:after="20"/>
            </w:pPr>
            <w:r>
              <w:rPr>
                <w:b/>
                <w:color w:val="1C3A36"/>
                <w:sz w:val="14"/>
              </w:rPr>
              <w:t>Document</w:t>
            </w:r>
          </w:p>
        </w:tc>
        <w:tc>
          <w:tcPr>
            <w:tcW w:type="dxa" w:w="1440"/>
            <w:shd w:val="clear" w:color="auto" w:fill="EAF0EE"/>
          </w:tcPr>
          <w:p>
            <w:pPr>
              <w:spacing w:after="20"/>
            </w:pPr>
            <w:r>
              <w:rPr>
                <w:b/>
                <w:color w:val="1C3A36"/>
                <w:sz w:val="14"/>
              </w:rPr>
              <w:t>Document date</w:t>
            </w:r>
          </w:p>
        </w:tc>
        <w:tc>
          <w:tcPr>
            <w:tcW w:type="dxa" w:w="720"/>
            <w:shd w:val="clear" w:color="auto" w:fill="EAF0EE"/>
          </w:tcPr>
          <w:p>
            <w:pPr>
              <w:spacing w:after="20"/>
            </w:pPr>
            <w:r>
              <w:rPr>
                <w:b/>
                <w:color w:val="1C3A36"/>
                <w:sz w:val="14"/>
              </w:rPr>
              <w:t>Tier</w:t>
            </w:r>
          </w:p>
        </w:tc>
        <w:tc>
          <w:tcPr>
            <w:tcW w:type="dxa" w:w="2232"/>
            <w:shd w:val="clear" w:color="auto" w:fill="EAF0EE"/>
          </w:tcPr>
          <w:p>
            <w:pPr>
              <w:spacing w:after="20"/>
            </w:pPr>
            <w:r>
              <w:rPr>
                <w:b/>
                <w:color w:val="1C3A36"/>
                <w:sz w:val="14"/>
              </w:rPr>
              <w:t>How it was read</w:t>
            </w:r>
          </w:p>
        </w:tc>
      </w:tr>
      <w:tr>
        <w:tc>
          <w:tcPr>
            <w:tcW w:type="dxa" w:w="1224"/>
          </w:tcPr>
          <w:p>
            <w:pPr>
              <w:spacing w:after="20"/>
            </w:pPr>
            <w:r>
              <w:rPr>
                <w:color w:val="1C3A36"/>
                <w:sz w:val="14"/>
              </w:rPr>
              <w:t>FY2010</w:t>
            </w:r>
          </w:p>
        </w:tc>
        <w:tc>
          <w:tcPr>
            <w:tcW w:type="dxa" w:w="4464"/>
          </w:tcPr>
          <w:p>
            <w:pPr>
              <w:spacing w:after="20"/>
              <w:jc w:val="right"/>
            </w:pPr>
            <w:r>
              <w:rPr>
                <w:color w:val="1C3A36"/>
                <w:sz w:val="14"/>
              </w:rPr>
              <w:t>Consolidated financial statements and the audit report thereon, year ended 31 Dec 2010 (National Bank For Deve</w:t>
            </w:r>
          </w:p>
        </w:tc>
        <w:tc>
          <w:tcPr>
            <w:tcW w:type="dxa" w:w="1440"/>
          </w:tcPr>
          <w:p>
            <w:pPr>
              <w:spacing w:after="20"/>
              <w:jc w:val="right"/>
            </w:pPr>
            <w:r>
              <w:rPr>
                <w:color w:val="1C3A36"/>
                <w:sz w:val="14"/>
              </w:rPr>
              <w:t>2011</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FY2011</w:t>
            </w:r>
          </w:p>
        </w:tc>
        <w:tc>
          <w:tcPr>
            <w:tcW w:type="dxa" w:w="4464"/>
          </w:tcPr>
          <w:p>
            <w:pPr>
              <w:spacing w:after="20"/>
              <w:jc w:val="right"/>
            </w:pPr>
            <w:r>
              <w:rPr>
                <w:color w:val="1C3A36"/>
                <w:sz w:val="14"/>
              </w:rPr>
              <w:t>Consolidated financial statements, year ended 31 Dec 2011</w:t>
            </w:r>
          </w:p>
        </w:tc>
        <w:tc>
          <w:tcPr>
            <w:tcW w:type="dxa" w:w="1440"/>
          </w:tcPr>
          <w:p>
            <w:pPr>
              <w:spacing w:after="20"/>
              <w:jc w:val="right"/>
            </w:pPr>
            <w:r>
              <w:rPr>
                <w:color w:val="1C3A36"/>
                <w:sz w:val="14"/>
              </w:rPr>
              <w:t>2012</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FY2012</w:t>
            </w:r>
          </w:p>
        </w:tc>
        <w:tc>
          <w:tcPr>
            <w:tcW w:type="dxa" w:w="4464"/>
          </w:tcPr>
          <w:p>
            <w:pPr>
              <w:spacing w:after="20"/>
              <w:jc w:val="right"/>
            </w:pPr>
            <w:r>
              <w:rPr>
                <w:color w:val="1C3A36"/>
                <w:sz w:val="14"/>
              </w:rPr>
              <w:t>Consolidated financial statements, year ended 31 Dec 2012</w:t>
            </w:r>
          </w:p>
        </w:tc>
        <w:tc>
          <w:tcPr>
            <w:tcW w:type="dxa" w:w="1440"/>
          </w:tcPr>
          <w:p>
            <w:pPr>
              <w:spacing w:after="20"/>
              <w:jc w:val="right"/>
            </w:pPr>
            <w:r>
              <w:rPr>
                <w:color w:val="1C3A36"/>
                <w:sz w:val="14"/>
              </w:rPr>
              <w:t>2013-03</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FY2013</w:t>
            </w:r>
          </w:p>
        </w:tc>
        <w:tc>
          <w:tcPr>
            <w:tcW w:type="dxa" w:w="4464"/>
          </w:tcPr>
          <w:p>
            <w:pPr>
              <w:spacing w:after="20"/>
              <w:jc w:val="right"/>
            </w:pPr>
            <w:r>
              <w:rPr>
                <w:color w:val="1C3A36"/>
                <w:sz w:val="14"/>
              </w:rPr>
              <w:t>Consolidated financial statements, year ended 31 Dec 2013</w:t>
            </w:r>
          </w:p>
        </w:tc>
        <w:tc>
          <w:tcPr>
            <w:tcW w:type="dxa" w:w="1440"/>
          </w:tcPr>
          <w:p>
            <w:pPr>
              <w:spacing w:after="20"/>
              <w:jc w:val="right"/>
            </w:pPr>
            <w:r>
              <w:rPr>
                <w:color w:val="1C3A36"/>
                <w:sz w:val="14"/>
              </w:rPr>
              <w:t>2014</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FY2014</w:t>
            </w:r>
          </w:p>
        </w:tc>
        <w:tc>
          <w:tcPr>
            <w:tcW w:type="dxa" w:w="4464"/>
          </w:tcPr>
          <w:p>
            <w:pPr>
              <w:spacing w:after="20"/>
              <w:jc w:val="right"/>
            </w:pPr>
            <w:r>
              <w:rPr>
                <w:color w:val="1C3A36"/>
                <w:sz w:val="14"/>
              </w:rPr>
              <w:t>Consolidated financial statements, year ended 31 Dec 2014 (Restated)</w:t>
            </w:r>
          </w:p>
        </w:tc>
        <w:tc>
          <w:tcPr>
            <w:tcW w:type="dxa" w:w="1440"/>
          </w:tcPr>
          <w:p>
            <w:pPr>
              <w:spacing w:after="20"/>
              <w:jc w:val="right"/>
            </w:pPr>
            <w:r>
              <w:rPr>
                <w:color w:val="1C3A36"/>
                <w:sz w:val="14"/>
              </w:rPr>
              <w:t>2015</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FY2015</w:t>
            </w:r>
          </w:p>
        </w:tc>
        <w:tc>
          <w:tcPr>
            <w:tcW w:type="dxa" w:w="4464"/>
          </w:tcPr>
          <w:p>
            <w:pPr>
              <w:spacing w:after="20"/>
              <w:jc w:val="right"/>
            </w:pPr>
            <w:r>
              <w:rPr>
                <w:color w:val="1C3A36"/>
                <w:sz w:val="14"/>
              </w:rPr>
              <w:t>Consolidated financial statements, year ended 31 Dec 2015</w:t>
            </w:r>
          </w:p>
        </w:tc>
        <w:tc>
          <w:tcPr>
            <w:tcW w:type="dxa" w:w="1440"/>
          </w:tcPr>
          <w:p>
            <w:pPr>
              <w:spacing w:after="20"/>
              <w:jc w:val="right"/>
            </w:pPr>
            <w:r>
              <w:rPr>
                <w:color w:val="1C3A36"/>
                <w:sz w:val="14"/>
              </w:rPr>
              <w:t>2016-02-18</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FY2016</w:t>
            </w:r>
          </w:p>
        </w:tc>
        <w:tc>
          <w:tcPr>
            <w:tcW w:type="dxa" w:w="4464"/>
          </w:tcPr>
          <w:p>
            <w:pPr>
              <w:spacing w:after="20"/>
              <w:jc w:val="right"/>
            </w:pPr>
            <w:r>
              <w:rPr>
                <w:color w:val="1C3A36"/>
                <w:sz w:val="14"/>
              </w:rPr>
              <w:t>Consolidated financial statements, year ended 31 Dec 2016</w:t>
            </w:r>
          </w:p>
        </w:tc>
        <w:tc>
          <w:tcPr>
            <w:tcW w:type="dxa" w:w="1440"/>
          </w:tcPr>
          <w:p>
            <w:pPr>
              <w:spacing w:after="20"/>
              <w:jc w:val="right"/>
            </w:pPr>
            <w:r>
              <w:rPr>
                <w:color w:val="1C3A36"/>
                <w:sz w:val="14"/>
              </w:rPr>
              <w:t>2017-02-16</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FY2017</w:t>
            </w:r>
          </w:p>
        </w:tc>
        <w:tc>
          <w:tcPr>
            <w:tcW w:type="dxa" w:w="4464"/>
          </w:tcPr>
          <w:p>
            <w:pPr>
              <w:spacing w:after="20"/>
              <w:jc w:val="right"/>
            </w:pPr>
            <w:r>
              <w:rPr>
                <w:color w:val="1C3A36"/>
                <w:sz w:val="14"/>
              </w:rPr>
              <w:t>Consolidated financial statements, year ended 31 Dec 2017</w:t>
            </w:r>
          </w:p>
        </w:tc>
        <w:tc>
          <w:tcPr>
            <w:tcW w:type="dxa" w:w="1440"/>
          </w:tcPr>
          <w:p>
            <w:pPr>
              <w:spacing w:after="20"/>
              <w:jc w:val="right"/>
            </w:pPr>
            <w:r>
              <w:rPr>
                <w:color w:val="1C3A36"/>
                <w:sz w:val="14"/>
              </w:rPr>
              <w:t>2018</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FY2018</w:t>
            </w:r>
          </w:p>
        </w:tc>
        <w:tc>
          <w:tcPr>
            <w:tcW w:type="dxa" w:w="4464"/>
          </w:tcPr>
          <w:p>
            <w:pPr>
              <w:spacing w:after="20"/>
              <w:jc w:val="right"/>
            </w:pPr>
            <w:r>
              <w:rPr>
                <w:color w:val="1C3A36"/>
                <w:sz w:val="14"/>
              </w:rPr>
              <w:t>Consolidated financial statements, year ended 31 Dec 2018</w:t>
            </w:r>
          </w:p>
        </w:tc>
        <w:tc>
          <w:tcPr>
            <w:tcW w:type="dxa" w:w="1440"/>
          </w:tcPr>
          <w:p>
            <w:pPr>
              <w:spacing w:after="20"/>
              <w:jc w:val="right"/>
            </w:pPr>
            <w:r>
              <w:rPr>
                <w:color w:val="1C3A36"/>
                <w:sz w:val="14"/>
              </w:rPr>
              <w:t>2019</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w:t>
            </w:r>
          </w:p>
        </w:tc>
      </w:tr>
      <w:tr>
        <w:tc>
          <w:tcPr>
            <w:tcW w:type="dxa" w:w="1224"/>
          </w:tcPr>
          <w:p>
            <w:pPr>
              <w:spacing w:after="20"/>
            </w:pPr>
            <w:r>
              <w:rPr>
                <w:color w:val="1C3A36"/>
                <w:sz w:val="14"/>
              </w:rPr>
              <w:t>FY2019</w:t>
            </w:r>
          </w:p>
        </w:tc>
        <w:tc>
          <w:tcPr>
            <w:tcW w:type="dxa" w:w="4464"/>
          </w:tcPr>
          <w:p>
            <w:pPr>
              <w:spacing w:after="20"/>
              <w:jc w:val="right"/>
            </w:pPr>
            <w:r>
              <w:rPr>
                <w:color w:val="1C3A36"/>
                <w:sz w:val="14"/>
              </w:rPr>
              <w:t>Consolidated financial statements, year ended 31 Dec 2019</w:t>
            </w:r>
          </w:p>
        </w:tc>
        <w:tc>
          <w:tcPr>
            <w:tcW w:type="dxa" w:w="1440"/>
          </w:tcPr>
          <w:p>
            <w:pPr>
              <w:spacing w:after="20"/>
              <w:jc w:val="right"/>
            </w:pPr>
            <w:r>
              <w:rPr>
                <w:color w:val="1C3A36"/>
                <w:sz w:val="14"/>
              </w:rPr>
              <w:t>2020</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FY2020</w:t>
            </w:r>
          </w:p>
        </w:tc>
        <w:tc>
          <w:tcPr>
            <w:tcW w:type="dxa" w:w="4464"/>
          </w:tcPr>
          <w:p>
            <w:pPr>
              <w:spacing w:after="20"/>
              <w:jc w:val="right"/>
            </w:pPr>
            <w:r>
              <w:rPr>
                <w:color w:val="1C3A36"/>
                <w:sz w:val="14"/>
              </w:rPr>
              <w:t>Consolidated financial statements, year ended 31 Dec 2020</w:t>
            </w:r>
          </w:p>
        </w:tc>
        <w:tc>
          <w:tcPr>
            <w:tcW w:type="dxa" w:w="1440"/>
          </w:tcPr>
          <w:p>
            <w:pPr>
              <w:spacing w:after="20"/>
              <w:jc w:val="right"/>
            </w:pPr>
            <w:r>
              <w:rPr>
                <w:color w:val="1C3A36"/>
                <w:sz w:val="14"/>
              </w:rPr>
              <w:t>2021-02-18</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FY2021</w:t>
            </w:r>
          </w:p>
        </w:tc>
        <w:tc>
          <w:tcPr>
            <w:tcW w:type="dxa" w:w="4464"/>
          </w:tcPr>
          <w:p>
            <w:pPr>
              <w:spacing w:after="20"/>
              <w:jc w:val="right"/>
            </w:pPr>
            <w:r>
              <w:rPr>
                <w:color w:val="1C3A36"/>
                <w:sz w:val="14"/>
              </w:rPr>
              <w:t>FY2021 taken from the COMPARATIVE column of the FY2022 audited consolidated statements. The file published und</w:t>
            </w:r>
          </w:p>
        </w:tc>
        <w:tc>
          <w:tcPr>
            <w:tcW w:type="dxa" w:w="1440"/>
          </w:tcPr>
          <w:p>
            <w:pPr>
              <w:spacing w:after="20"/>
              <w:jc w:val="right"/>
            </w:pPr>
            <w:r>
              <w:rPr>
                <w:color w:val="1C3A36"/>
                <w:sz w:val="14"/>
              </w:rPr>
              <w:t>2023-02-09</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text+ocr</w:t>
            </w:r>
          </w:p>
        </w:tc>
      </w:tr>
      <w:tr>
        <w:tc>
          <w:tcPr>
            <w:tcW w:type="dxa" w:w="1224"/>
          </w:tcPr>
          <w:p>
            <w:pPr>
              <w:spacing w:after="20"/>
            </w:pPr>
            <w:r>
              <w:rPr>
                <w:color w:val="1C3A36"/>
                <w:sz w:val="14"/>
              </w:rPr>
              <w:t>FY2022</w:t>
            </w:r>
          </w:p>
        </w:tc>
        <w:tc>
          <w:tcPr>
            <w:tcW w:type="dxa" w:w="4464"/>
          </w:tcPr>
          <w:p>
            <w:pPr>
              <w:spacing w:after="20"/>
              <w:jc w:val="right"/>
            </w:pPr>
            <w:r>
              <w:rPr>
                <w:color w:val="1C3A36"/>
                <w:sz w:val="14"/>
              </w:rPr>
              <w:t>Consolidated financial statements, year ended 31 Dec 2022</w:t>
            </w:r>
          </w:p>
        </w:tc>
        <w:tc>
          <w:tcPr>
            <w:tcW w:type="dxa" w:w="1440"/>
          </w:tcPr>
          <w:p>
            <w:pPr>
              <w:spacing w:after="20"/>
              <w:jc w:val="right"/>
            </w:pPr>
            <w:r>
              <w:rPr>
                <w:color w:val="1C3A36"/>
                <w:sz w:val="14"/>
              </w:rPr>
              <w:t>2023-02-09</w:t>
            </w:r>
          </w:p>
        </w:tc>
        <w:tc>
          <w:tcPr>
            <w:tcW w:type="dxa" w:w="720"/>
          </w:tcPr>
          <w:p>
            <w:pPr>
              <w:spacing w:after="20"/>
              <w:jc w:val="right"/>
            </w:pPr>
            <w:r>
              <w:rPr>
                <w:color w:val="1C3A36"/>
                <w:sz w:val="14"/>
              </w:rPr>
              <w:t>A</w:t>
            </w:r>
          </w:p>
        </w:tc>
        <w:tc>
          <w:tcPr>
            <w:tcW w:type="dxa" w:w="2232"/>
          </w:tcPr>
          <w:p>
            <w:pPr>
              <w:spacing w:after="20"/>
              <w:jc w:val="right"/>
            </w:pPr>
            <w:r>
              <w:rPr>
                <w:color w:val="1C3A36"/>
                <w:sz w:val="14"/>
              </w:rPr>
              <w:t>text(BS)+ocr(IS)</w:t>
            </w:r>
          </w:p>
        </w:tc>
      </w:tr>
      <w:tr>
        <w:tc>
          <w:tcPr>
            <w:tcW w:type="dxa" w:w="1224"/>
          </w:tcPr>
          <w:p>
            <w:pPr>
              <w:spacing w:after="20"/>
            </w:pPr>
            <w:r>
              <w:rPr>
                <w:color w:val="1C3A36"/>
                <w:sz w:val="14"/>
              </w:rPr>
              <w:t>FY2023</w:t>
            </w:r>
          </w:p>
        </w:tc>
        <w:tc>
          <w:tcPr>
            <w:tcW w:type="dxa" w:w="4464"/>
          </w:tcPr>
          <w:p>
            <w:pPr>
              <w:spacing w:after="20"/>
              <w:jc w:val="right"/>
            </w:pPr>
            <w:r>
              <w:rPr>
                <w:color w:val="1C3A36"/>
                <w:sz w:val="14"/>
              </w:rPr>
              <w:t>Consolidated financial statements, year ended 31 Dec 2023</w:t>
            </w:r>
          </w:p>
        </w:tc>
        <w:tc>
          <w:tcPr>
            <w:tcW w:type="dxa" w:w="1440"/>
          </w:tcPr>
          <w:p>
            <w:pPr>
              <w:spacing w:after="20"/>
              <w:jc w:val="right"/>
            </w:pPr>
            <w:r>
              <w:rPr>
                <w:color w:val="1C3A36"/>
                <w:sz w:val="14"/>
              </w:rPr>
              <w:t>2024</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FY2024</w:t>
            </w:r>
          </w:p>
        </w:tc>
        <w:tc>
          <w:tcPr>
            <w:tcW w:type="dxa" w:w="4464"/>
          </w:tcPr>
          <w:p>
            <w:pPr>
              <w:spacing w:after="20"/>
              <w:jc w:val="right"/>
            </w:pPr>
            <w:r>
              <w:rPr>
                <w:color w:val="1C3A36"/>
                <w:sz w:val="14"/>
              </w:rPr>
              <w:t>Consolidated financial statements, year ended 31 Dec 2024</w:t>
            </w:r>
          </w:p>
        </w:tc>
        <w:tc>
          <w:tcPr>
            <w:tcW w:type="dxa" w:w="1440"/>
          </w:tcPr>
          <w:p>
            <w:pPr>
              <w:spacing w:after="20"/>
              <w:jc w:val="right"/>
            </w:pPr>
            <w:r>
              <w:rPr>
                <w:color w:val="1C3A36"/>
                <w:sz w:val="14"/>
              </w:rPr>
              <w:t>2025-02-06</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FY2025</w:t>
            </w:r>
          </w:p>
        </w:tc>
        <w:tc>
          <w:tcPr>
            <w:tcW w:type="dxa" w:w="4464"/>
          </w:tcPr>
          <w:p>
            <w:pPr>
              <w:spacing w:after="20"/>
              <w:jc w:val="right"/>
            </w:pPr>
            <w:r>
              <w:rPr>
                <w:color w:val="1C3A36"/>
                <w:sz w:val="14"/>
              </w:rPr>
              <w:t>Consolidated financial statements, year ended 31 Dec 2025</w:t>
            </w:r>
          </w:p>
        </w:tc>
        <w:tc>
          <w:tcPr>
            <w:tcW w:type="dxa" w:w="1440"/>
          </w:tcPr>
          <w:p>
            <w:pPr>
              <w:spacing w:after="20"/>
              <w:jc w:val="right"/>
            </w:pPr>
            <w:r>
              <w:rPr>
                <w:color w:val="1C3A36"/>
                <w:sz w:val="14"/>
              </w:rPr>
              <w:t>2026-02-05</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H1-2026</w:t>
            </w:r>
          </w:p>
        </w:tc>
        <w:tc>
          <w:tcPr>
            <w:tcW w:type="dxa" w:w="4464"/>
          </w:tcPr>
          <w:p>
            <w:pPr>
              <w:spacing w:after="20"/>
              <w:jc w:val="right"/>
            </w:pPr>
            <w:r>
              <w:rPr>
                <w:color w:val="1C3A36"/>
                <w:sz w:val="14"/>
              </w:rPr>
              <w:t>Condensed consolidated interim financial statements, six months ended 30 Jun 2026</w:t>
            </w:r>
          </w:p>
        </w:tc>
        <w:tc>
          <w:tcPr>
            <w:tcW w:type="dxa" w:w="1440"/>
          </w:tcPr>
          <w:p>
            <w:pPr>
              <w:spacing w:after="20"/>
              <w:jc w:val="right"/>
            </w:pPr>
            <w:r>
              <w:rPr>
                <w:color w:val="1C3A36"/>
                <w:sz w:val="14"/>
              </w:rPr>
              <w:t>2026</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r>
        <w:tc>
          <w:tcPr>
            <w:tcW w:type="dxa" w:w="1224"/>
          </w:tcPr>
          <w:p>
            <w:pPr>
              <w:spacing w:after="20"/>
            </w:pPr>
            <w:r>
              <w:rPr>
                <w:color w:val="1C3A36"/>
                <w:sz w:val="14"/>
              </w:rPr>
              <w:t>Q1-2026</w:t>
            </w:r>
          </w:p>
        </w:tc>
        <w:tc>
          <w:tcPr>
            <w:tcW w:type="dxa" w:w="4464"/>
          </w:tcPr>
          <w:p>
            <w:pPr>
              <w:spacing w:after="20"/>
              <w:jc w:val="right"/>
            </w:pPr>
            <w:r>
              <w:rPr>
                <w:color w:val="1C3A36"/>
                <w:sz w:val="14"/>
              </w:rPr>
              <w:t>Condensed consolidated interim financial statements, three months ended 31 Mar 2026</w:t>
            </w:r>
          </w:p>
        </w:tc>
        <w:tc>
          <w:tcPr>
            <w:tcW w:type="dxa" w:w="1440"/>
          </w:tcPr>
          <w:p>
            <w:pPr>
              <w:spacing w:after="20"/>
              <w:jc w:val="right"/>
            </w:pPr>
            <w:r>
              <w:rPr>
                <w:color w:val="1C3A36"/>
                <w:sz w:val="14"/>
              </w:rPr>
              <w:t>2026</w:t>
            </w:r>
          </w:p>
        </w:tc>
        <w:tc>
          <w:tcPr>
            <w:tcW w:type="dxa" w:w="720"/>
          </w:tcPr>
          <w:p>
            <w:pPr>
              <w:spacing w:after="20"/>
              <w:jc w:val="right"/>
            </w:pPr>
            <w:r>
              <w:rPr>
                <w:color w:val="1C3A36"/>
                <w:sz w:val="14"/>
              </w:rPr>
              <w:t>A</w:t>
            </w:r>
          </w:p>
        </w:tc>
        <w:tc>
          <w:tcPr>
            <w:tcW w:type="dxa" w:w="2232"/>
          </w:tcPr>
          <w:p>
            <w:pPr>
              <w:spacing w:after="20"/>
              <w:jc w:val="right"/>
            </w:pPr>
            <w:r>
              <w:rPr>
                <w:color w:val="1C3A36"/>
                <w:sz w:val="14"/>
              </w:rPr>
              <w:t>ocr</w:t>
            </w:r>
          </w:p>
        </w:tc>
      </w:tr>
    </w:tbl>
    <w:p>
      <w:pPr>
        <w:spacing w:after="40"/>
      </w:pPr>
    </w:p>
    <w:p>
      <w:pPr>
        <w:spacing w:after="200" w:before="0"/>
      </w:pPr>
      <w:r>
        <w:rPr>
          <w:b w:val="0"/>
          <w:i/>
          <w:color w:val="6E7B77"/>
          <w:sz w:val="17"/>
        </w:rPr>
        <w:t>Table 1 — the primary record. Tier A is the company's own audited or reviewed statements. There is no tier B or tier C figure anywhere in this study's company data.</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color w:val="1C3A36"/>
                <w:sz w:val="19"/>
              </w:rPr>
              <w:t>HOW A RASTER WAS READ, AND WHY IT CAN BE TRUSTED. Seven of these filings publish their statements as images with no text layer. Each was read TWICE and independently — once off the largest embedded image at its native resolution, once off a rendered page — and every disagreement between the two passes was settled by the statement's OWN arithmetic, or where that was not decisive, by the comparative column of the following year's filing. Every statement in this study foots exactly. Two figures could only be settled by the footing identity and both are labelled DERIVED with the formula: a gain on financial investments of EGP 7.155 million in FY2025 (0.04% of pre-tax profit) and non-controlling interests of EGP 38.576 million in the FY2025 equity block.</w:t>
            </w:r>
          </w:p>
        </w:tc>
      </w:tr>
    </w:tbl>
    <w:p>
      <w:pPr>
        <w:spacing w:after="40"/>
      </w:pPr>
    </w:p>
    <w:p>
      <w:pPr>
        <w:spacing w:after="120" w:before="280"/>
      </w:pPr>
      <w:r>
        <w:rPr>
          <w:b/>
          <w:i w:val="0"/>
          <w:color w:val="1C3A36"/>
          <w:sz w:val="30"/>
        </w:rPr>
        <w:t>2  The input register — every entry four-field</w:t>
      </w:r>
    </w:p>
    <w:p>
      <w:pPr>
        <w:spacing w:after="120" w:before="0"/>
      </w:pPr>
      <w:r>
        <w:rPr>
          <w:b w:val="0"/>
          <w:i w:val="0"/>
          <w:color w:val="1C3A36"/>
          <w:sz w:val="21"/>
        </w:rPr>
        <w:t>Value, source, date, tier. An input with no source does not enter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1440"/>
        <w:gridCol w:w="1080"/>
        <w:gridCol w:w="720"/>
        <w:gridCol w:w="5040"/>
      </w:tblGrid>
      <w:tr>
        <w:tc>
          <w:tcPr>
            <w:tcW w:type="dxa" w:w="1800"/>
            <w:shd w:val="clear" w:color="auto" w:fill="EAF0EE"/>
          </w:tcPr>
          <w:p>
            <w:pPr>
              <w:spacing w:after="20"/>
            </w:pPr>
            <w:r>
              <w:rPr>
                <w:b/>
                <w:color w:val="1C3A36"/>
                <w:sz w:val="13"/>
              </w:rPr>
              <w:t>Input</w:t>
            </w:r>
          </w:p>
        </w:tc>
        <w:tc>
          <w:tcPr>
            <w:tcW w:type="dxa" w:w="1440"/>
            <w:shd w:val="clear" w:color="auto" w:fill="EAF0EE"/>
          </w:tcPr>
          <w:p>
            <w:pPr>
              <w:spacing w:after="20"/>
            </w:pPr>
            <w:r>
              <w:rPr>
                <w:b/>
                <w:color w:val="1C3A36"/>
                <w:sz w:val="13"/>
              </w:rPr>
              <w:t>Value</w:t>
            </w:r>
          </w:p>
        </w:tc>
        <w:tc>
          <w:tcPr>
            <w:tcW w:type="dxa" w:w="1080"/>
            <w:shd w:val="clear" w:color="auto" w:fill="EAF0EE"/>
          </w:tcPr>
          <w:p>
            <w:pPr>
              <w:spacing w:after="20"/>
            </w:pPr>
            <w:r>
              <w:rPr>
                <w:b/>
                <w:color w:val="1C3A36"/>
                <w:sz w:val="13"/>
              </w:rPr>
              <w:t>Date</w:t>
            </w:r>
          </w:p>
        </w:tc>
        <w:tc>
          <w:tcPr>
            <w:tcW w:type="dxa" w:w="720"/>
            <w:shd w:val="clear" w:color="auto" w:fill="EAF0EE"/>
          </w:tcPr>
          <w:p>
            <w:pPr>
              <w:spacing w:after="20"/>
            </w:pPr>
            <w:r>
              <w:rPr>
                <w:b/>
                <w:color w:val="1C3A36"/>
                <w:sz w:val="13"/>
              </w:rPr>
              <w:t>Tier</w:t>
            </w:r>
          </w:p>
        </w:tc>
        <w:tc>
          <w:tcPr>
            <w:tcW w:type="dxa" w:w="5040"/>
            <w:shd w:val="clear" w:color="auto" w:fill="EAF0EE"/>
          </w:tcPr>
          <w:p>
            <w:pPr>
              <w:spacing w:after="20"/>
            </w:pPr>
            <w:r>
              <w:rPr>
                <w:b/>
                <w:color w:val="1C3A36"/>
                <w:sz w:val="13"/>
              </w:rPr>
              <w:t>Source</w:t>
            </w:r>
          </w:p>
        </w:tc>
      </w:tr>
      <w:tr>
        <w:tc>
          <w:tcPr>
            <w:tcW w:type="dxa" w:w="1800"/>
          </w:tcPr>
          <w:p>
            <w:pPr>
              <w:spacing w:after="20"/>
            </w:pPr>
            <w:r>
              <w:rPr>
                <w:color w:val="1C3A36"/>
                <w:sz w:val="13"/>
              </w:rPr>
              <w:t>admin growth</w:t>
            </w:r>
          </w:p>
        </w:tc>
        <w:tc>
          <w:tcPr>
            <w:tcW w:type="dxa" w:w="1440"/>
          </w:tcPr>
          <w:p>
            <w:pPr>
              <w:spacing w:after="20"/>
              <w:jc w:val="right"/>
            </w:pPr>
            <w:r>
              <w:rPr>
                <w:color w:val="1C3A36"/>
                <w:sz w:val="13"/>
              </w:rPr>
              <w:t>0.34 / 0.18 / 0.15 / 0.135 / 0.13</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Administrative expenses, year-on-year. FY2026 +34% on FY2025 takes EGP 3,431 million to EGP 4,598 million; the June half already spent EGP 2,239 million, so this asks for EGP 2,359 million in the second. Thereafter inflation plus about six points, because a bank adding branches and systems does not hold headcount flat. Cost-to-income is an OUTPUT of this and of the revenue lines; it is not typed anywhere.</w:t>
            </w:r>
          </w:p>
        </w:tc>
      </w:tr>
      <w:tr>
        <w:tc>
          <w:tcPr>
            <w:tcW w:type="dxa" w:w="1800"/>
          </w:tcPr>
          <w:p>
            <w:pPr>
              <w:spacing w:after="20"/>
            </w:pPr>
            <w:r>
              <w:rPr>
                <w:color w:val="1C3A36"/>
                <w:sz w:val="13"/>
              </w:rPr>
              <w:t>asset yield</w:t>
            </w:r>
          </w:p>
        </w:tc>
        <w:tc>
          <w:tcPr>
            <w:tcW w:type="dxa" w:w="1440"/>
          </w:tcPr>
          <w:p>
            <w:pPr>
              <w:spacing w:after="20"/>
              <w:jc w:val="right"/>
            </w:pPr>
            <w:r>
              <w:rPr>
                <w:color w:val="1C3A36"/>
                <w:sz w:val="13"/>
              </w:rPr>
              <w:t>0.15 / 0.134 / 0.121 / 0.113 / 0.1</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Income from Murabaha, Musharaka, Mudaraba and similar income over AVERAGE total assets. FY2025 actual 16.23%; the six months to June 2026 annualise to 15.30%. The path falls with the CBE's published policy glide (19.00 -&gt; 12.00) at an asset beta of about 0.75, which is what an Egyptian bank holding treasury bills and floating-rate corporate paper reprices at. IT IS AN INPUT; net interest margin is not.</w:t>
            </w:r>
          </w:p>
        </w:tc>
      </w:tr>
      <w:tr>
        <w:tc>
          <w:tcPr>
            <w:tcW w:type="dxa" w:w="1800"/>
          </w:tcPr>
          <w:p>
            <w:pPr>
              <w:spacing w:after="20"/>
            </w:pPr>
            <w:r>
              <w:rPr>
                <w:color w:val="1C3A36"/>
                <w:sz w:val="13"/>
              </w:rPr>
              <w:t>assets fy2024</w:t>
            </w:r>
          </w:p>
        </w:tc>
        <w:tc>
          <w:tcPr>
            <w:tcW w:type="dxa" w:w="1440"/>
          </w:tcPr>
          <w:p>
            <w:pPr>
              <w:spacing w:after="20"/>
              <w:jc w:val="right"/>
            </w:pPr>
            <w:r>
              <w:rPr>
                <w:color w:val="1C3A36"/>
                <w:sz w:val="13"/>
              </w:rPr>
              <w:t>260467</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audited consolidated financial statements for the year ended 31 December 2024, as the comparative column of the FY2025 filing.</w:t>
            </w:r>
          </w:p>
        </w:tc>
      </w:tr>
      <w:tr>
        <w:tc>
          <w:tcPr>
            <w:tcW w:type="dxa" w:w="1800"/>
          </w:tcPr>
          <w:p>
            <w:pPr>
              <w:spacing w:after="20"/>
            </w:pPr>
            <w:r>
              <w:rPr>
                <w:color w:val="1C3A36"/>
                <w:sz w:val="13"/>
              </w:rPr>
              <w:t>assets fy2025</w:t>
            </w:r>
          </w:p>
        </w:tc>
        <w:tc>
          <w:tcPr>
            <w:tcW w:type="dxa" w:w="1440"/>
          </w:tcPr>
          <w:p>
            <w:pPr>
              <w:spacing w:after="20"/>
              <w:jc w:val="right"/>
            </w:pPr>
            <w:r>
              <w:rPr>
                <w:color w:val="1C3A36"/>
                <w:sz w:val="13"/>
              </w:rPr>
              <w:t>346711</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assets h1 2026</w:t>
            </w:r>
          </w:p>
        </w:tc>
        <w:tc>
          <w:tcPr>
            <w:tcW w:type="dxa" w:w="1440"/>
          </w:tcPr>
          <w:p>
            <w:pPr>
              <w:spacing w:after="20"/>
              <w:jc w:val="right"/>
            </w:pPr>
            <w:r>
              <w:rPr>
                <w:color w:val="1C3A36"/>
                <w:sz w:val="13"/>
              </w:rPr>
              <w:t>414302</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condensed consolidated interim financial statements for the six months ended 30 June 2026, limited review, signed 30 July 2026.</w:t>
            </w:r>
          </w:p>
        </w:tc>
      </w:tr>
      <w:tr>
        <w:tc>
          <w:tcPr>
            <w:tcW w:type="dxa" w:w="1800"/>
          </w:tcPr>
          <w:p>
            <w:pPr>
              <w:spacing w:after="20"/>
            </w:pPr>
            <w:r>
              <w:rPr>
                <w:color w:val="1C3A36"/>
                <w:sz w:val="13"/>
              </w:rPr>
              <w:t>band construction</w:t>
            </w:r>
          </w:p>
        </w:tc>
        <w:tc>
          <w:tcPr>
            <w:tcW w:type="dxa" w:w="1440"/>
          </w:tcPr>
          <w:p>
            <w:pPr>
              <w:spacing w:after="20"/>
              <w:jc w:val="right"/>
            </w:pPr>
            <w:r>
              <w:rPr>
                <w:color w:val="1C3A36"/>
                <w:sz w:val="13"/>
              </w:rPr>
              <w:t>the range of the present-value rea</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Bear is the free-cash-flow-to-equity read, full the residual-income read, and the central the dividend-discount primary between them. THE ENVELOPE IS NARROW BECAUSE THE THREE LENSES AGREE, AND THAT IS A STATEMENT ABOUT LENS AGREEMENT RATHER THAN ABOUT FORECAST CONFIDENCE. The fundamental walk-forward beneath this study measured a three-year attributable-profit dispersion of x0.29 to x1.48 on eight cells; that distribution sets</w:t>
            </w:r>
          </w:p>
        </w:tc>
      </w:tr>
      <w:tr>
        <w:tc>
          <w:tcPr>
            <w:tcW w:type="dxa" w:w="1800"/>
          </w:tcPr>
          <w:p>
            <w:pPr>
              <w:spacing w:after="20"/>
            </w:pPr>
            <w:r>
              <w:rPr>
                <w:color w:val="1C3A36"/>
                <w:sz w:val="13"/>
              </w:rPr>
              <w:t>base year</w:t>
            </w:r>
          </w:p>
        </w:tc>
        <w:tc>
          <w:tcPr>
            <w:tcW w:type="dxa" w:w="1440"/>
          </w:tcPr>
          <w:p>
            <w:pPr>
              <w:spacing w:after="20"/>
              <w:jc w:val="right"/>
            </w:pPr>
            <w:r>
              <w:rPr>
                <w:color w:val="1C3A36"/>
                <w:sz w:val="13"/>
              </w:rPr>
              <w:t>FY2025</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audited consolidated financial statements for the year ended 31 December 2025, signed in Cairo on 5 February 2026. Attributable profit EGP 12,588.6 million, total assets EGP 346,711.2 million, attributable equity EGP 34,596.3 million. Every figure is read from the filing itself and the statement foots.</w:t>
            </w:r>
          </w:p>
        </w:tc>
      </w:tr>
      <w:tr>
        <w:tc>
          <w:tcPr>
            <w:tcW w:type="dxa" w:w="1800"/>
          </w:tcPr>
          <w:p>
            <w:pPr>
              <w:spacing w:after="20"/>
            </w:pPr>
            <w:r>
              <w:rPr>
                <w:color w:val="1C3A36"/>
                <w:sz w:val="13"/>
              </w:rPr>
              <w:t>beta</w:t>
            </w:r>
          </w:p>
        </w:tc>
        <w:tc>
          <w:tcPr>
            <w:tcW w:type="dxa" w:w="1440"/>
          </w:tcPr>
          <w:p>
            <w:pPr>
              <w:spacing w:after="20"/>
              <w:jc w:val="right"/>
            </w:pPr>
            <w:r>
              <w:rPr>
                <w:color w:val="1C3A36"/>
                <w:sz w:val="13"/>
              </w:rPr>
              <w:t>1.07469</w:t>
            </w:r>
          </w:p>
        </w:tc>
        <w:tc>
          <w:tcPr>
            <w:tcW w:type="dxa" w:w="1080"/>
          </w:tcPr>
          <w:p>
            <w:pPr>
              <w:spacing w:after="20"/>
              <w:jc w:val="right"/>
            </w:pPr>
            <w:r>
              <w:rPr>
                <w:color w:val="1C3A36"/>
                <w:sz w:val="13"/>
              </w:rPr>
              <w:t>2026-09-08</w:t>
            </w:r>
          </w:p>
        </w:tc>
        <w:tc>
          <w:tcPr>
            <w:tcW w:type="dxa" w:w="720"/>
          </w:tcPr>
          <w:p>
            <w:pPr>
              <w:spacing w:after="20"/>
              <w:jc w:val="right"/>
            </w:pPr>
            <w:r>
              <w:rPr>
                <w:color w:val="1C3A36"/>
                <w:sz w:val="13"/>
              </w:rPr>
              <w:t>Market</w:t>
            </w:r>
          </w:p>
        </w:tc>
        <w:tc>
          <w:tcPr>
            <w:tcW w:type="dxa" w:w="5040"/>
          </w:tcPr>
          <w:p>
            <w:pPr>
              <w:spacing w:after="20"/>
              <w:jc w:val="right"/>
            </w:pPr>
            <w:r>
              <w:rPr>
                <w:color w:val="1C3A36"/>
                <w:sz w:val="13"/>
              </w:rPr>
              <w:t>Own-stock first-tier weekly regression against EGX30 — THE PUBLISHED INDEX OF THE EXCHANGE THIS STOCK IS LISTED ON — resolved by beta_regression.own_stock_beta() rather than hand-rolled. Beta 1.0747, R-squared 0.248, n = 256 weekly observations over 4.94 years to 2026-08-20, standard error 0.1634, 90% confidence interval [0.806, 1.344], Dimson-corrected and matched to the exchange's own trading week (W-THU). The coefficient is</w:t>
            </w:r>
          </w:p>
        </w:tc>
      </w:tr>
      <w:tr>
        <w:tc>
          <w:tcPr>
            <w:tcW w:type="dxa" w:w="1800"/>
          </w:tcPr>
          <w:p>
            <w:pPr>
              <w:spacing w:after="20"/>
            </w:pPr>
            <w:r>
              <w:rPr>
                <w:color w:val="1C3A36"/>
                <w:sz w:val="13"/>
              </w:rPr>
              <w:t>capital increase 2026</w:t>
            </w:r>
          </w:p>
        </w:tc>
        <w:tc>
          <w:tcPr>
            <w:tcW w:type="dxa" w:w="1440"/>
          </w:tcPr>
          <w:p>
            <w:pPr>
              <w:spacing w:after="20"/>
              <w:jc w:val="right"/>
            </w:pPr>
            <w:r>
              <w:rPr>
                <w:color w:val="1C3A36"/>
                <w:sz w:val="13"/>
              </w:rPr>
              <w:t>3000</w:t>
            </w:r>
          </w:p>
        </w:tc>
        <w:tc>
          <w:tcPr>
            <w:tcW w:type="dxa" w:w="1080"/>
          </w:tcPr>
          <w:p>
            <w:pPr>
              <w:spacing w:after="20"/>
              <w:jc w:val="right"/>
            </w:pPr>
            <w:r>
              <w:rPr>
                <w:color w:val="1C3A36"/>
                <w:sz w:val="13"/>
              </w:rPr>
              <w:t>2026-06-30</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EGP 3,000 million cash capital increase completed in the first half of 2026, taking issued capital from EGP 12 billion to EGP 15 billion — 300 million new shares at the LE 10 par. IT WAS ISSUED AT PAR, far below book: attributable book value per share was EGP 28.83 at 31 December 2025 on 1,200 million shares and EGP 29.04 at 30 June 2026 on 1,500 million, so a half-year at a 38.6% return on equity bought existing holders 0</w:t>
            </w:r>
          </w:p>
        </w:tc>
      </w:tr>
      <w:tr>
        <w:tc>
          <w:tcPr>
            <w:tcW w:type="dxa" w:w="1800"/>
          </w:tcPr>
          <w:p>
            <w:pPr>
              <w:spacing w:after="20"/>
            </w:pPr>
            <w:r>
              <w:rPr>
                <w:color w:val="1C3A36"/>
                <w:sz w:val="13"/>
              </w:rPr>
              <w:t>cost funds fy2025</w:t>
            </w:r>
          </w:p>
        </w:tc>
        <w:tc>
          <w:tcPr>
            <w:tcW w:type="dxa" w:w="1440"/>
          </w:tcPr>
          <w:p>
            <w:pPr>
              <w:spacing w:after="20"/>
              <w:jc w:val="right"/>
            </w:pPr>
            <w:r>
              <w:rPr>
                <w:color w:val="1C3A36"/>
                <w:sz w:val="13"/>
              </w:rPr>
              <w:t>-29110.1</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cost of funds</w:t>
            </w:r>
          </w:p>
        </w:tc>
        <w:tc>
          <w:tcPr>
            <w:tcW w:type="dxa" w:w="1440"/>
          </w:tcPr>
          <w:p>
            <w:pPr>
              <w:spacing w:after="20"/>
              <w:jc w:val="right"/>
            </w:pPr>
            <w:r>
              <w:rPr>
                <w:color w:val="1C3A36"/>
                <w:sz w:val="13"/>
              </w:rPr>
              <w:t>0.106 / 0.092 / 0.081 / 0.074 / 0.</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Cost of deposits and similar costs over AVERAGE INTEREST-BEARING LIABILITIES — customers' deposits plus due to banks plus subordinated financing, and nothing else. FY2025 actual 11.22%. Total liabilities is NOT the denominator: at FY2025 it would add EGP 17.9 billion of other liabilities, current tax and provisions that pay nothing, and understate the funding rate by about a sixth of itself. The path falls at a deposit beta of</w:t>
            </w:r>
          </w:p>
        </w:tc>
      </w:tr>
      <w:tr>
        <w:tc>
          <w:tcPr>
            <w:tcW w:type="dxa" w:w="1800"/>
          </w:tcPr>
          <w:p>
            <w:pPr>
              <w:spacing w:after="20"/>
            </w:pPr>
            <w:r>
              <w:rPr>
                <w:color w:val="1C3A36"/>
                <w:sz w:val="13"/>
              </w:rPr>
              <w:t>cost of risk</w:t>
            </w:r>
          </w:p>
        </w:tc>
        <w:tc>
          <w:tcPr>
            <w:tcW w:type="dxa" w:w="1440"/>
          </w:tcPr>
          <w:p>
            <w:pPr>
              <w:spacing w:after="20"/>
              <w:jc w:val="right"/>
            </w:pPr>
            <w:r>
              <w:rPr>
                <w:color w:val="1C3A36"/>
                <w:sz w:val="13"/>
              </w:rPr>
              <w:t>0.01 / 0.013 / 0.013 / 0.013 / 0.0</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Expected credit losses over AVERAGE net financing to customers. The observed series is 1.64% (FY2022), 2.73% (FY2023), 2.73% (FY2024), 1.25% (FY2025) and effectively ZERO in the June 2026 half — EGP 2.176 million on a EGP 190 billion book. FY2026 is set at 1.00%, above the half-year run rate and below the four-year mean of 2.09%; the outer years at 1.30% sit between the two. ANNUALISING THE JUNE HALF WOULD HAVE ADDED ABOUT EGP</w:t>
            </w:r>
          </w:p>
        </w:tc>
      </w:tr>
      <w:tr>
        <w:tc>
          <w:tcPr>
            <w:tcW w:type="dxa" w:w="1800"/>
          </w:tcPr>
          <w:p>
            <w:pPr>
              <w:spacing w:after="20"/>
            </w:pPr>
            <w:r>
              <w:rPr>
                <w:color w:val="1C3A36"/>
                <w:sz w:val="13"/>
              </w:rPr>
              <w:t>crp cds dataset</w:t>
            </w:r>
          </w:p>
        </w:tc>
        <w:tc>
          <w:tcPr>
            <w:tcW w:type="dxa" w:w="1440"/>
          </w:tcPr>
          <w:p>
            <w:pPr>
              <w:spacing w:after="20"/>
              <w:jc w:val="right"/>
            </w:pPr>
            <w:r>
              <w:rPr>
                <w:color w:val="1C3A36"/>
                <w:sz w:val="13"/>
              </w:rPr>
              <w:t>0.053164</w:t>
            </w:r>
          </w:p>
        </w:tc>
        <w:tc>
          <w:tcPr>
            <w:tcW w:type="dxa" w:w="1080"/>
          </w:tcPr>
          <w:p>
            <w:pPr>
              <w:spacing w:after="20"/>
              <w:jc w:val="right"/>
            </w:pPr>
            <w:r>
              <w:rPr>
                <w:color w:val="1C3A36"/>
                <w:sz w:val="13"/>
              </w:rPr>
              <w:t>2026-07-02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COUNTRY risk premium on the sovereign-credit-default-swap basis, 5.3164%, from the mid-year (July 2026) vintage of the country default-spread and risk-premium dataset, Egypt row, own column. IT IS NOT ADDED TO THE COST OF EQUITY: the TOTAL premium this study uses already contains it, and the figure is carried so a reader checking the dataset's own country column finds the number this study would call by that name.</w:t>
            </w:r>
          </w:p>
        </w:tc>
      </w:tr>
      <w:tr>
        <w:tc>
          <w:tcPr>
            <w:tcW w:type="dxa" w:w="1800"/>
          </w:tcPr>
          <w:p>
            <w:pPr>
              <w:spacing w:after="20"/>
            </w:pPr>
            <w:r>
              <w:rPr>
                <w:color w:val="1C3A36"/>
                <w:sz w:val="13"/>
              </w:rPr>
              <w:t>ecl fy2025</w:t>
            </w:r>
          </w:p>
        </w:tc>
        <w:tc>
          <w:tcPr>
            <w:tcW w:type="dxa" w:w="1440"/>
          </w:tcPr>
          <w:p>
            <w:pPr>
              <w:spacing w:after="20"/>
              <w:jc w:val="right"/>
            </w:pPr>
            <w:r>
              <w:rPr>
                <w:color w:val="1C3A36"/>
                <w:sz w:val="13"/>
              </w:rPr>
              <w:t>-1514.06</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eps fy25</w:t>
            </w:r>
          </w:p>
        </w:tc>
        <w:tc>
          <w:tcPr>
            <w:tcW w:type="dxa" w:w="1440"/>
          </w:tcPr>
          <w:p>
            <w:pPr>
              <w:spacing w:after="20"/>
              <w:jc w:val="right"/>
            </w:pPr>
            <w:r>
              <w:rPr>
                <w:color w:val="1C3A36"/>
                <w:sz w:val="13"/>
              </w:rPr>
              <w:t>11.25</w:t>
            </w:r>
          </w:p>
        </w:tc>
        <w:tc>
          <w:tcPr>
            <w:tcW w:type="dxa" w:w="1080"/>
          </w:tcPr>
          <w:p>
            <w:pPr>
              <w:spacing w:after="20"/>
              <w:jc w:val="right"/>
            </w:pPr>
            <w:r>
              <w:rPr>
                <w:color w:val="1C3A36"/>
                <w:sz w:val="13"/>
              </w:rPr>
              <w:t>2025-12-31</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ADIB-Egypt audited consolidated financial statements for the year ended 31 December 2025, earnings-per-share note. The count it implies, 12,588,572 / 11.25 = 1,119mn, is the weighted average over a capital-increase year and is NOT the count this study divides by; the difference is named in the eps_reconciliation record rather than reconciled away.</w:t>
            </w:r>
          </w:p>
        </w:tc>
      </w:tr>
      <w:tr>
        <w:tc>
          <w:tcPr>
            <w:tcW w:type="dxa" w:w="1800"/>
          </w:tcPr>
          <w:p>
            <w:pPr>
              <w:spacing w:after="20"/>
            </w:pPr>
            <w:r>
              <w:rPr>
                <w:color w:val="1C3A36"/>
                <w:sz w:val="13"/>
              </w:rPr>
              <w:t>equity fy2024</w:t>
            </w:r>
          </w:p>
        </w:tc>
        <w:tc>
          <w:tcPr>
            <w:tcW w:type="dxa" w:w="1440"/>
          </w:tcPr>
          <w:p>
            <w:pPr>
              <w:spacing w:after="20"/>
              <w:jc w:val="right"/>
            </w:pPr>
            <w:r>
              <w:rPr>
                <w:color w:val="1C3A36"/>
                <w:sz w:val="13"/>
              </w:rPr>
              <w:t>22958.7</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audited consolidated financial statements for the year ended 31 December 2024, as the comparative column of the FY2025 filing.</w:t>
            </w:r>
          </w:p>
        </w:tc>
      </w:tr>
      <w:tr>
        <w:tc>
          <w:tcPr>
            <w:tcW w:type="dxa" w:w="1800"/>
          </w:tcPr>
          <w:p>
            <w:pPr>
              <w:spacing w:after="20"/>
            </w:pPr>
            <w:r>
              <w:rPr>
                <w:color w:val="1C3A36"/>
                <w:sz w:val="13"/>
              </w:rPr>
              <w:t>equity fy2025</w:t>
            </w:r>
          </w:p>
        </w:tc>
        <w:tc>
          <w:tcPr>
            <w:tcW w:type="dxa" w:w="1440"/>
          </w:tcPr>
          <w:p>
            <w:pPr>
              <w:spacing w:after="20"/>
              <w:jc w:val="right"/>
            </w:pPr>
            <w:r>
              <w:rPr>
                <w:color w:val="1C3A36"/>
                <w:sz w:val="13"/>
              </w:rPr>
              <w:t>34596.3</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equity h1 2026</w:t>
            </w:r>
          </w:p>
        </w:tc>
        <w:tc>
          <w:tcPr>
            <w:tcW w:type="dxa" w:w="1440"/>
          </w:tcPr>
          <w:p>
            <w:pPr>
              <w:spacing w:after="20"/>
              <w:jc w:val="right"/>
            </w:pPr>
            <w:r>
              <w:rPr>
                <w:color w:val="1C3A36"/>
                <w:sz w:val="13"/>
              </w:rPr>
              <w:t>43557.9</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condensed consolidated interim financial statements for the six months ended 30 June 2026, limited review, signed 30 July 2026.</w:t>
            </w:r>
          </w:p>
        </w:tc>
      </w:tr>
      <w:tr>
        <w:tc>
          <w:tcPr>
            <w:tcW w:type="dxa" w:w="1800"/>
          </w:tcPr>
          <w:p>
            <w:pPr>
              <w:spacing w:after="20"/>
            </w:pPr>
            <w:r>
              <w:rPr>
                <w:color w:val="1C3A36"/>
                <w:sz w:val="13"/>
              </w:rPr>
              <w:t>erp</w:t>
            </w:r>
          </w:p>
        </w:tc>
        <w:tc>
          <w:tcPr>
            <w:tcW w:type="dxa" w:w="1440"/>
          </w:tcPr>
          <w:p>
            <w:pPr>
              <w:spacing w:after="20"/>
              <w:jc w:val="right"/>
            </w:pPr>
            <w:r>
              <w:rPr>
                <w:color w:val="1C3A36"/>
                <w:sz w:val="13"/>
              </w:rPr>
              <w:t>0.095164</w:t>
            </w:r>
          </w:p>
        </w:tc>
        <w:tc>
          <w:tcPr>
            <w:tcW w:type="dxa" w:w="1080"/>
          </w:tcPr>
          <w:p>
            <w:pPr>
              <w:spacing w:after="20"/>
              <w:jc w:val="right"/>
            </w:pPr>
            <w:r>
              <w:rPr>
                <w:color w:val="1C3A36"/>
                <w:sz w:val="13"/>
              </w:rPr>
              <w:t>2026-07-02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TOTAL equity risk premium on the sovereign-CDS basis, 9.5164%, same mid-year vintage. This is the dataset's TOTAL premium column, not its country premium column — the total is what multiplies beta. The country risk premium alone on this basis is 5.3164% and is NOT added on top.</w:t>
            </w:r>
          </w:p>
        </w:tc>
      </w:tr>
      <w:tr>
        <w:tc>
          <w:tcPr>
            <w:tcW w:type="dxa" w:w="1800"/>
          </w:tcPr>
          <w:p>
            <w:pPr>
              <w:spacing w:after="20"/>
            </w:pPr>
            <w:r>
              <w:rPr>
                <w:color w:val="1C3A36"/>
                <w:sz w:val="13"/>
              </w:rPr>
              <w:t>erp rating</w:t>
            </w:r>
          </w:p>
        </w:tc>
        <w:tc>
          <w:tcPr>
            <w:tcW w:type="dxa" w:w="1440"/>
          </w:tcPr>
          <w:p>
            <w:pPr>
              <w:spacing w:after="20"/>
              <w:jc w:val="right"/>
            </w:pPr>
            <w:r>
              <w:rPr>
                <w:color w:val="1C3A36"/>
                <w:sz w:val="13"/>
              </w:rPr>
              <w:t>0.134806</w:t>
            </w:r>
          </w:p>
        </w:tc>
        <w:tc>
          <w:tcPr>
            <w:tcW w:type="dxa" w:w="1080"/>
          </w:tcPr>
          <w:p>
            <w:pPr>
              <w:spacing w:after="20"/>
              <w:jc w:val="right"/>
            </w:pPr>
            <w:r>
              <w:rPr>
                <w:color w:val="1C3A36"/>
                <w:sz w:val="13"/>
              </w:rPr>
              <w:t>2026-07-02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TOTAL equity risk premium on the rating basis, 13.4806%, same vintage.</w:t>
            </w:r>
          </w:p>
        </w:tc>
      </w:tr>
      <w:tr>
        <w:tc>
          <w:tcPr>
            <w:tcW w:type="dxa" w:w="1800"/>
          </w:tcPr>
          <w:p>
            <w:pPr>
              <w:spacing w:after="20"/>
            </w:pPr>
            <w:r>
              <w:rPr>
                <w:color w:val="1C3A36"/>
                <w:sz w:val="13"/>
              </w:rPr>
              <w:t>erp terminal</w:t>
            </w:r>
          </w:p>
        </w:tc>
        <w:tc>
          <w:tcPr>
            <w:tcW w:type="dxa" w:w="1440"/>
          </w:tcPr>
          <w:p>
            <w:pPr>
              <w:spacing w:after="20"/>
              <w:jc w:val="right"/>
            </w:pPr>
            <w:r>
              <w:rPr>
                <w:color w:val="1C3A36"/>
                <w:sz w:val="13"/>
              </w:rPr>
              <w:t>0.07</w:t>
            </w:r>
          </w:p>
        </w:tc>
        <w:tc>
          <w:tcPr>
            <w:tcW w:type="dxa" w:w="1080"/>
          </w:tcPr>
          <w:p>
            <w:pPr>
              <w:spacing w:after="20"/>
              <w:jc w:val="right"/>
            </w:pPr>
            <w:r>
              <w:rPr>
                <w:color w:val="1C3A36"/>
                <w:sz w:val="13"/>
              </w:rPr>
              <w:t>2026-09-02</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Terminal equity risk premium, 7.00%, normalised below today's crisis-era level toward the rating-class norm; never held flat into perpetuity.</w:t>
            </w:r>
          </w:p>
        </w:tc>
      </w:tr>
      <w:tr>
        <w:tc>
          <w:tcPr>
            <w:tcW w:type="dxa" w:w="1800"/>
          </w:tcPr>
          <w:p>
            <w:pPr>
              <w:spacing w:after="20"/>
            </w:pPr>
            <w:r>
              <w:rPr>
                <w:color w:val="1C3A36"/>
                <w:sz w:val="13"/>
              </w:rPr>
              <w:t>fee ratio</w:t>
            </w:r>
          </w:p>
        </w:tc>
        <w:tc>
          <w:tcPr>
            <w:tcW w:type="dxa" w:w="1440"/>
          </w:tcPr>
          <w:p>
            <w:pPr>
              <w:spacing w:after="20"/>
              <w:jc w:val="right"/>
            </w:pPr>
            <w:r>
              <w:rPr>
                <w:color w:val="1C3A36"/>
                <w:sz w:val="13"/>
              </w:rPr>
              <w:t>0.008 / 0.0082 / 0.0084 / 0.0085 /</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Net fees and commissions over average total assets. FY2025 actual 0.899%; the June 2026 half annualises to 0.797%. The path opens at the reviewed half's level and recovers slowly as trade finance and card income grow with the branch network.</w:t>
            </w:r>
          </w:p>
        </w:tc>
      </w:tr>
      <w:tr>
        <w:tc>
          <w:tcPr>
            <w:tcW w:type="dxa" w:w="1800"/>
          </w:tcPr>
          <w:p>
            <w:pPr>
              <w:spacing w:after="20"/>
            </w:pPr>
            <w:r>
              <w:rPr>
                <w:color w:val="1C3A36"/>
                <w:sz w:val="13"/>
              </w:rPr>
              <w:t>fin income fy2025</w:t>
            </w:r>
          </w:p>
        </w:tc>
        <w:tc>
          <w:tcPr>
            <w:tcW w:type="dxa" w:w="1440"/>
          </w:tcPr>
          <w:p>
            <w:pPr>
              <w:spacing w:after="20"/>
              <w:jc w:val="right"/>
            </w:pPr>
            <w:r>
              <w:rPr>
                <w:color w:val="1C3A36"/>
                <w:sz w:val="13"/>
              </w:rPr>
              <w:t>49262.5</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fin income h1 2026</w:t>
            </w:r>
          </w:p>
        </w:tc>
        <w:tc>
          <w:tcPr>
            <w:tcW w:type="dxa" w:w="1440"/>
          </w:tcPr>
          <w:p>
            <w:pPr>
              <w:spacing w:after="20"/>
              <w:jc w:val="right"/>
            </w:pPr>
            <w:r>
              <w:rPr>
                <w:color w:val="1C3A36"/>
                <w:sz w:val="13"/>
              </w:rPr>
              <w:t>29117.9</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condensed consolidated interim financial statements for the six months ended 30 June 2026, limited review, signed 30 July 2026.</w:t>
            </w:r>
          </w:p>
        </w:tc>
      </w:tr>
      <w:tr>
        <w:tc>
          <w:tcPr>
            <w:tcW w:type="dxa" w:w="1800"/>
          </w:tcPr>
          <w:p>
            <w:pPr>
              <w:spacing w:after="20"/>
            </w:pPr>
            <w:r>
              <w:rPr>
                <w:color w:val="1C3A36"/>
                <w:sz w:val="13"/>
              </w:rPr>
              <w:t>financing growth</w:t>
            </w:r>
          </w:p>
        </w:tc>
        <w:tc>
          <w:tcPr>
            <w:tcW w:type="dxa" w:w="1440"/>
          </w:tcPr>
          <w:p>
            <w:pPr>
              <w:spacing w:after="20"/>
              <w:jc w:val="right"/>
            </w:pPr>
            <w:r>
              <w:rPr>
                <w:color w:val="1C3A36"/>
                <w:sz w:val="13"/>
              </w:rPr>
              <w:t>0.48 / 0.26 / 0.19 / 0.15 / 0.12</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Net financing to customers, year-on-year. FY2026 +48% takes the FY2025 close of EGP 147,226 million to EGP 217,895 million — and the bank was ALREADY at EGP 190,427 million on 30 June, so this asks for only +14.4% in the second half against +29.3% in the first. The path then decays toward nominal GDP. IT IS NOT A FLAT SHARE OF SYSTEM CREDIT, and that is the walk-forward's doing: a flat-share rule under-forecast this name at ev</w:t>
            </w:r>
          </w:p>
        </w:tc>
      </w:tr>
      <w:tr>
        <w:tc>
          <w:tcPr>
            <w:tcW w:type="dxa" w:w="1800"/>
          </w:tcPr>
          <w:p>
            <w:pPr>
              <w:spacing w:after="20"/>
            </w:pPr>
            <w:r>
              <w:rPr>
                <w:color w:val="1C3A36"/>
                <w:sz w:val="13"/>
              </w:rPr>
              <w:t>financing over assets</w:t>
            </w:r>
          </w:p>
        </w:tc>
        <w:tc>
          <w:tcPr>
            <w:tcW w:type="dxa" w:w="1440"/>
          </w:tcPr>
          <w:p>
            <w:pPr>
              <w:spacing w:after="20"/>
              <w:jc w:val="right"/>
            </w:pPr>
            <w:r>
              <w:rPr>
                <w:color w:val="1C3A36"/>
                <w:sz w:val="13"/>
              </w:rPr>
              <w:t>0.47 / 0.485 / 0.5 / 0.51 / 0.52</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Financing to customers over total assets. FY2025 actual 42.46%; 30 June 2026 actual 45.96%. The bank is rotating out of treasury bills into customer financing as policy rates fall and bill yields compress, and the path continues that observed rotation at a decelerating pace. Every point is above both observations, which is the assumption, and it is sensitised.</w:t>
            </w:r>
          </w:p>
        </w:tc>
      </w:tr>
      <w:tr>
        <w:tc>
          <w:tcPr>
            <w:tcW w:type="dxa" w:w="1800"/>
          </w:tcPr>
          <w:p>
            <w:pPr>
              <w:spacing w:after="20"/>
            </w:pPr>
            <w:r>
              <w:rPr>
                <w:color w:val="1C3A36"/>
                <w:sz w:val="13"/>
              </w:rPr>
              <w:t>ga fy2025</w:t>
            </w:r>
          </w:p>
        </w:tc>
        <w:tc>
          <w:tcPr>
            <w:tcW w:type="dxa" w:w="1440"/>
          </w:tcPr>
          <w:p>
            <w:pPr>
              <w:spacing w:after="20"/>
              <w:jc w:val="right"/>
            </w:pPr>
            <w:r>
              <w:rPr>
                <w:color w:val="1C3A36"/>
                <w:sz w:val="13"/>
              </w:rPr>
              <w:t>-3431.22</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h1 2026 ecl</w:t>
            </w:r>
          </w:p>
        </w:tc>
        <w:tc>
          <w:tcPr>
            <w:tcW w:type="dxa" w:w="1440"/>
          </w:tcPr>
          <w:p>
            <w:pPr>
              <w:spacing w:after="20"/>
              <w:jc w:val="right"/>
            </w:pPr>
            <w:r>
              <w:rPr>
                <w:color w:val="1C3A36"/>
                <w:sz w:val="13"/>
              </w:rPr>
              <w:t>2.176</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SINGLE MOST IMPORTANT FACT IN THE BASE YEAR. ADIB-Egypt charged EGP 2.176 million of expected credit losses in the six months to 30 June 2026 — an annualised 0.003% of average financing — against EGP 732.193 million in the same half of 2025 and EGP 1,514.062 million for the whole of FY2025. The line is filed as "Release / (Charge) Expected credit losses", note 11, and the income statement foots on it: every other line on t</w:t>
            </w:r>
          </w:p>
        </w:tc>
      </w:tr>
      <w:tr>
        <w:tc>
          <w:tcPr>
            <w:tcW w:type="dxa" w:w="1800"/>
          </w:tcPr>
          <w:p>
            <w:pPr>
              <w:spacing w:after="20"/>
            </w:pPr>
            <w:r>
              <w:rPr>
                <w:color w:val="1C3A36"/>
                <w:sz w:val="13"/>
              </w:rPr>
              <w:t>ibl over assets</w:t>
            </w:r>
          </w:p>
        </w:tc>
        <w:tc>
          <w:tcPr>
            <w:tcW w:type="dxa" w:w="1440"/>
          </w:tcPr>
          <w:p>
            <w:pPr>
              <w:spacing w:after="20"/>
              <w:jc w:val="right"/>
            </w:pPr>
            <w:r>
              <w:rPr>
                <w:color w:val="1C3A36"/>
                <w:sz w:val="13"/>
              </w:rPr>
              <w:t>0.855</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Average interest-bearing liabilities over average total assets, held at the FY2025 observed 85.5%. The bank funds itself with deposits and that ratio has moved within two points across the whole panel.</w:t>
            </w:r>
          </w:p>
        </w:tc>
      </w:tr>
      <w:tr>
        <w:tc>
          <w:tcPr>
            <w:tcW w:type="dxa" w:w="1800"/>
          </w:tcPr>
          <w:p>
            <w:pPr>
              <w:spacing w:after="20"/>
            </w:pPr>
            <w:r>
              <w:rPr>
                <w:color w:val="1C3A36"/>
                <w:sz w:val="13"/>
              </w:rPr>
              <w:t>inflation path</w:t>
            </w:r>
          </w:p>
        </w:tc>
        <w:tc>
          <w:tcPr>
            <w:tcW w:type="dxa" w:w="1440"/>
          </w:tcPr>
          <w:p>
            <w:pPr>
              <w:spacing w:after="20"/>
              <w:jc w:val="right"/>
            </w:pPr>
            <w:r>
              <w:rPr>
                <w:color w:val="1C3A36"/>
                <w:sz w:val="13"/>
              </w:rPr>
              <w:t>0.16 / 0.12 / 0.09 / 0.075 / 0.07</w:t>
            </w:r>
          </w:p>
        </w:tc>
        <w:tc>
          <w:tcPr>
            <w:tcW w:type="dxa" w:w="1080"/>
          </w:tcPr>
          <w:p>
            <w:pPr>
              <w:spacing w:after="20"/>
              <w:jc w:val="right"/>
            </w:pPr>
            <w:r>
              <w:rPr>
                <w:color w:val="1C3A36"/>
                <w:sz w:val="13"/>
              </w:rPr>
              <w:t>2026-09-02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Central Bank of Egypt baseline average annual headline inflation, 16.0% in 2026 and 12.0% in 2027 (Q1-2026 Monetary Policy Report as reported 11 May 2026); 2028-2030 interpolated on the bank's own glide between the published 2027 baseline and the 7% target-band midpoint, labelled as interpolation and never presented as a central-bank forecast. Held in the house macroeconomic path, the path every Egyptian study runs on.</w:t>
            </w:r>
          </w:p>
        </w:tc>
      </w:tr>
      <w:tr>
        <w:tc>
          <w:tcPr>
            <w:tcW w:type="dxa" w:w="1800"/>
          </w:tcPr>
          <w:p>
            <w:pPr>
              <w:spacing w:after="20"/>
            </w:pPr>
            <w:r>
              <w:rPr>
                <w:color w:val="1C3A36"/>
                <w:sz w:val="13"/>
              </w:rPr>
              <w:t>ke construction</w:t>
            </w:r>
          </w:p>
        </w:tc>
        <w:tc>
          <w:tcPr>
            <w:tcW w:type="dxa" w:w="1440"/>
          </w:tcPr>
          <w:p>
            <w:pPr>
              <w:spacing w:after="20"/>
              <w:jc w:val="right"/>
            </w:pPr>
            <w:r>
              <w:rPr>
                <w:color w:val="1C3A36"/>
                <w:sz w:val="13"/>
              </w:rPr>
              <w:t>same_beta</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The terminal cost of equity uses the SAME regression beta as the explicit window. ADIB-Egypt is a deposit-funded bank whose capital structure is its business, so there is no leverage to relever: the beta already embeds the balance sheet it is measured on. The record names the construction from a closed list so that two right answers a hundred basis points apart are not indistinguishable from a typo.</w:t>
            </w:r>
          </w:p>
        </w:tc>
      </w:tr>
      <w:tr>
        <w:tc>
          <w:tcPr>
            <w:tcW w:type="dxa" w:w="1800"/>
          </w:tcPr>
          <w:p>
            <w:pPr>
              <w:spacing w:after="20"/>
            </w:pPr>
            <w:r>
              <w:rPr>
                <w:color w:val="1C3A36"/>
                <w:sz w:val="13"/>
              </w:rPr>
              <w:t>latest reviewed</w:t>
            </w:r>
          </w:p>
        </w:tc>
        <w:tc>
          <w:tcPr>
            <w:tcW w:type="dxa" w:w="1440"/>
          </w:tcPr>
          <w:p>
            <w:pPr>
              <w:spacing w:after="20"/>
              <w:jc w:val="right"/>
            </w:pPr>
            <w:r>
              <w:rPr>
                <w:color w:val="1C3A36"/>
                <w:sz w:val="13"/>
              </w:rPr>
              <w:t>H1-2026</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condensed consolidated interim statements for the six months ended 30 June 2026, signed 30 July 2026. Attributable profit EGP 7,536.8 million, total assets EGP 414,302.1 million, financing to customers EGP 190,427.1 million, attributable equity EGP 43,557.9 million. This is the period the forecast is anchored on.</w:t>
            </w:r>
          </w:p>
        </w:tc>
      </w:tr>
      <w:tr>
        <w:tc>
          <w:tcPr>
            <w:tcW w:type="dxa" w:w="1800"/>
          </w:tcPr>
          <w:p>
            <w:pPr>
              <w:spacing w:after="20"/>
            </w:pPr>
            <w:r>
              <w:rPr>
                <w:color w:val="1C3A36"/>
                <w:sz w:val="13"/>
              </w:rPr>
              <w:t>lens architecture</w:t>
            </w:r>
          </w:p>
        </w:tc>
        <w:tc>
          <w:tcPr>
            <w:tcW w:type="dxa" w:w="1440"/>
          </w:tcPr>
          <w:p>
            <w:pPr>
              <w:spacing w:after="20"/>
              <w:jc w:val="right"/>
            </w:pPr>
            <w:r>
              <w:rPr>
                <w:color w:val="1C3A36"/>
                <w:sz w:val="13"/>
              </w:rPr>
              <w:t>class primary = dividend discount;</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The bank class is keyed to a dividend-discount PRIMARY with residual income, a relative multiple and book value beside it. The central IS the primary. The envelope is the range of the three present-value reads and no spread is invented around it.</w:t>
            </w:r>
          </w:p>
        </w:tc>
      </w:tr>
      <w:tr>
        <w:tc>
          <w:tcPr>
            <w:tcW w:type="dxa" w:w="1800"/>
          </w:tcPr>
          <w:p>
            <w:pPr>
              <w:spacing w:after="20"/>
            </w:pPr>
            <w:r>
              <w:rPr>
                <w:color w:val="1C3A36"/>
                <w:sz w:val="13"/>
              </w:rPr>
              <w:t>nci share</w:t>
            </w:r>
          </w:p>
        </w:tc>
        <w:tc>
          <w:tcPr>
            <w:tcW w:type="dxa" w:w="1440"/>
          </w:tcPr>
          <w:p>
            <w:pPr>
              <w:spacing w:after="20"/>
              <w:jc w:val="right"/>
            </w:pPr>
            <w:r>
              <w:rPr>
                <w:color w:val="1C3A36"/>
                <w:sz w:val="13"/>
              </w:rPr>
              <w:t>0.001</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Non-controlling interests take 0.10% of net profit — EGP 12.4 million of EGP 12,601.0 million in FY2025. Held at that level; it is immaterial and is carried rather than dropped so the bridge to attributable profit closes.</w:t>
            </w:r>
          </w:p>
        </w:tc>
      </w:tr>
      <w:tr>
        <w:tc>
          <w:tcPr>
            <w:tcW w:type="dxa" w:w="1800"/>
          </w:tcPr>
          <w:p>
            <w:pPr>
              <w:spacing w:after="20"/>
            </w:pPr>
            <w:r>
              <w:rPr>
                <w:color w:val="1C3A36"/>
                <w:sz w:val="13"/>
              </w:rPr>
              <w:t>net fees fy2025</w:t>
            </w:r>
          </w:p>
        </w:tc>
        <w:tc>
          <w:tcPr>
            <w:tcW w:type="dxa" w:w="1440"/>
          </w:tcPr>
          <w:p>
            <w:pPr>
              <w:spacing w:after="20"/>
              <w:jc w:val="right"/>
            </w:pPr>
            <w:r>
              <w:rPr>
                <w:color w:val="1C3A36"/>
                <w:sz w:val="13"/>
              </w:rPr>
              <w:t>2729.85</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net fees h1 2026</w:t>
            </w:r>
          </w:p>
        </w:tc>
        <w:tc>
          <w:tcPr>
            <w:tcW w:type="dxa" w:w="1440"/>
          </w:tcPr>
          <w:p>
            <w:pPr>
              <w:spacing w:after="20"/>
              <w:jc w:val="right"/>
            </w:pPr>
            <w:r>
              <w:rPr>
                <w:color w:val="1C3A36"/>
                <w:sz w:val="13"/>
              </w:rPr>
              <w:t>1516.56</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condensed consolidated interim financial statements for the six months ended 30 June 2026, limited review, signed 30 July 2026.</w:t>
            </w:r>
          </w:p>
        </w:tc>
      </w:tr>
      <w:tr>
        <w:tc>
          <w:tcPr>
            <w:tcW w:type="dxa" w:w="1800"/>
          </w:tcPr>
          <w:p>
            <w:pPr>
              <w:spacing w:after="20"/>
            </w:pPr>
            <w:r>
              <w:rPr>
                <w:color w:val="1C3A36"/>
                <w:sz w:val="13"/>
              </w:rPr>
              <w:t>net funds fy2025</w:t>
            </w:r>
          </w:p>
        </w:tc>
        <w:tc>
          <w:tcPr>
            <w:tcW w:type="dxa" w:w="1440"/>
          </w:tcPr>
          <w:p>
            <w:pPr>
              <w:spacing w:after="20"/>
              <w:jc w:val="right"/>
            </w:pPr>
            <w:r>
              <w:rPr>
                <w:color w:val="1C3A36"/>
                <w:sz w:val="13"/>
              </w:rPr>
              <w:t>20152.3</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net funds h1 2026</w:t>
            </w:r>
          </w:p>
        </w:tc>
        <w:tc>
          <w:tcPr>
            <w:tcW w:type="dxa" w:w="1440"/>
          </w:tcPr>
          <w:p>
            <w:pPr>
              <w:spacing w:after="20"/>
              <w:jc w:val="right"/>
            </w:pPr>
            <w:r>
              <w:rPr>
                <w:color w:val="1C3A36"/>
                <w:sz w:val="13"/>
              </w:rPr>
              <w:t>12253.9</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condensed consolidated interim financial statements for the six months ended 30 June 2026, limited review, signed 30 July 2026.</w:t>
            </w:r>
          </w:p>
        </w:tc>
      </w:tr>
      <w:tr>
        <w:tc>
          <w:tcPr>
            <w:tcW w:type="dxa" w:w="1800"/>
          </w:tcPr>
          <w:p>
            <w:pPr>
              <w:spacing w:after="20"/>
            </w:pPr>
            <w:r>
              <w:rPr>
                <w:color w:val="1C3A36"/>
                <w:sz w:val="13"/>
              </w:rPr>
              <w:t>np fy2025</w:t>
            </w:r>
          </w:p>
        </w:tc>
        <w:tc>
          <w:tcPr>
            <w:tcW w:type="dxa" w:w="1440"/>
          </w:tcPr>
          <w:p>
            <w:pPr>
              <w:spacing w:after="20"/>
              <w:jc w:val="right"/>
            </w:pPr>
            <w:r>
              <w:rPr>
                <w:color w:val="1C3A36"/>
                <w:sz w:val="13"/>
              </w:rPr>
              <w:t>12601</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np fy25</w:t>
            </w:r>
          </w:p>
        </w:tc>
        <w:tc>
          <w:tcPr>
            <w:tcW w:type="dxa" w:w="1440"/>
          </w:tcPr>
          <w:p>
            <w:pPr>
              <w:spacing w:after="20"/>
              <w:jc w:val="right"/>
            </w:pPr>
            <w:r>
              <w:rPr>
                <w:color w:val="1C3A36"/>
                <w:sz w:val="13"/>
              </w:rPr>
              <w:t>12588.6</w:t>
            </w:r>
          </w:p>
        </w:tc>
        <w:tc>
          <w:tcPr>
            <w:tcW w:type="dxa" w:w="1080"/>
          </w:tcPr>
          <w:p>
            <w:pPr>
              <w:spacing w:after="20"/>
              <w:jc w:val="right"/>
            </w:pPr>
            <w:r>
              <w:rPr>
                <w:color w:val="1C3A36"/>
                <w:sz w:val="13"/>
              </w:rPr>
              <w:t>2025-12-31</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ADIB-Egypt audited consolidated financial statements for the year ended 31 December 2025 — profit attributable to the bank's shareholders, EGP 12,588,572 thousand.</w:t>
            </w:r>
          </w:p>
        </w:tc>
      </w:tr>
      <w:tr>
        <w:tc>
          <w:tcPr>
            <w:tcW w:type="dxa" w:w="1800"/>
          </w:tcPr>
          <w:p>
            <w:pPr>
              <w:spacing w:after="20"/>
            </w:pPr>
            <w:r>
              <w:rPr>
                <w:color w:val="1C3A36"/>
                <w:sz w:val="13"/>
              </w:rPr>
              <w:t>npa fy2024</w:t>
            </w:r>
          </w:p>
        </w:tc>
        <w:tc>
          <w:tcPr>
            <w:tcW w:type="dxa" w:w="1440"/>
          </w:tcPr>
          <w:p>
            <w:pPr>
              <w:spacing w:after="20"/>
              <w:jc w:val="right"/>
            </w:pPr>
            <w:r>
              <w:rPr>
                <w:color w:val="1C3A36"/>
                <w:sz w:val="13"/>
              </w:rPr>
              <w:t>9008.93</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audited consolidated financial statements for the year ended 31 December 2024, as the comparative column of the FY2025 filing.</w:t>
            </w:r>
          </w:p>
        </w:tc>
      </w:tr>
      <w:tr>
        <w:tc>
          <w:tcPr>
            <w:tcW w:type="dxa" w:w="1800"/>
          </w:tcPr>
          <w:p>
            <w:pPr>
              <w:spacing w:after="20"/>
            </w:pPr>
            <w:r>
              <w:rPr>
                <w:color w:val="1C3A36"/>
                <w:sz w:val="13"/>
              </w:rPr>
              <w:t>npa fy2025</w:t>
            </w:r>
          </w:p>
        </w:tc>
        <w:tc>
          <w:tcPr>
            <w:tcW w:type="dxa" w:w="1440"/>
          </w:tcPr>
          <w:p>
            <w:pPr>
              <w:spacing w:after="20"/>
              <w:jc w:val="right"/>
            </w:pPr>
            <w:r>
              <w:rPr>
                <w:color w:val="1C3A36"/>
                <w:sz w:val="13"/>
              </w:rPr>
              <w:t>12588.6</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npa h1 2026</w:t>
            </w:r>
          </w:p>
        </w:tc>
        <w:tc>
          <w:tcPr>
            <w:tcW w:type="dxa" w:w="1440"/>
          </w:tcPr>
          <w:p>
            <w:pPr>
              <w:spacing w:after="20"/>
              <w:jc w:val="right"/>
            </w:pPr>
            <w:r>
              <w:rPr>
                <w:color w:val="1C3A36"/>
                <w:sz w:val="13"/>
              </w:rPr>
              <w:t>7536.8</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condensed consolidated interim financial statements for the six months ended 30 June 2026, limited review, signed 30 July 2026.</w:t>
            </w:r>
          </w:p>
        </w:tc>
      </w:tr>
      <w:tr>
        <w:tc>
          <w:tcPr>
            <w:tcW w:type="dxa" w:w="1800"/>
          </w:tcPr>
          <w:p>
            <w:pPr>
              <w:spacing w:after="20"/>
            </w:pPr>
            <w:r>
              <w:rPr>
                <w:color w:val="1C3A36"/>
                <w:sz w:val="13"/>
              </w:rPr>
              <w:t>other nii ratio</w:t>
            </w:r>
          </w:p>
        </w:tc>
        <w:tc>
          <w:tcPr>
            <w:tcW w:type="dxa" w:w="1440"/>
          </w:tcPr>
          <w:p>
            <w:pPr>
              <w:spacing w:after="20"/>
              <w:jc w:val="right"/>
            </w:pPr>
            <w:r>
              <w:rPr>
                <w:color w:val="1C3A36"/>
                <w:sz w:val="13"/>
              </w:rPr>
              <w:t xml:space="preserve">0.0028 / 0.0026 / 0.0024 / 0.0023 </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Dividends, net trading, share of associates and gains on investments, as one block, over average total assets. FY2025 actual 0.238%; the June 2026 half annualises to 0.372%, flattered by trading gains on a moving currency. The path normalises DOWN toward the FY2022-FY2024 average as the pound settles.</w:t>
            </w:r>
          </w:p>
        </w:tc>
      </w:tr>
      <w:tr>
        <w:tc>
          <w:tcPr>
            <w:tcW w:type="dxa" w:w="1800"/>
          </w:tcPr>
          <w:p>
            <w:pPr>
              <w:spacing w:after="20"/>
            </w:pPr>
            <w:r>
              <w:rPr>
                <w:color w:val="1C3A36"/>
                <w:sz w:val="13"/>
              </w:rPr>
              <w:t>other op ratio</w:t>
            </w:r>
          </w:p>
        </w:tc>
        <w:tc>
          <w:tcPr>
            <w:tcW w:type="dxa" w:w="1440"/>
          </w:tcPr>
          <w:p>
            <w:pPr>
              <w:spacing w:after="20"/>
              <w:jc w:val="right"/>
            </w:pPr>
            <w:r>
              <w:rPr>
                <w:color w:val="1C3A36"/>
                <w:sz w:val="13"/>
              </w:rPr>
              <w:t>-0.0075 / -0.007 / -0.0065 / -0.00</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Other operating expenses over average total assets — deposit insurance, central-bank charges and the operating-provision line. FY2025 actual -0.387%; the June 2026 half annualises to -0.797%, more than double. The path opens at the reviewed level and decays, which is the conservative reading of a line that has doubled.</w:t>
            </w:r>
          </w:p>
        </w:tc>
      </w:tr>
      <w:tr>
        <w:tc>
          <w:tcPr>
            <w:tcW w:type="dxa" w:w="1800"/>
          </w:tcPr>
          <w:p>
            <w:pPr>
              <w:spacing w:after="20"/>
            </w:pPr>
            <w:r>
              <w:rPr>
                <w:color w:val="1C3A36"/>
                <w:sz w:val="13"/>
              </w:rPr>
              <w:t>payout</w:t>
            </w:r>
          </w:p>
        </w:tc>
        <w:tc>
          <w:tcPr>
            <w:tcW w:type="dxa" w:w="1440"/>
          </w:tcPr>
          <w:p>
            <w:pPr>
              <w:spacing w:after="20"/>
              <w:jc w:val="right"/>
            </w:pPr>
            <w:r>
              <w:rPr>
                <w:color w:val="1C3A36"/>
                <w:sz w:val="13"/>
              </w:rPr>
              <w:t>DERIVED — see below</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THE PAYOUT IS NOT TYPED. It is what is left after the balance sheet has taken the capital it needs: payout(t) = 1 - (target equity/assets x the year's asset growth) / attributable profit, floored at zero and capped at 80%. A typed payout path is an assumption about the single thing a growing bank has least discretion over, and typing one made this model's dividend and free-cash-flow lenses disagree by EGP 7 a share while its e</w:t>
            </w:r>
          </w:p>
        </w:tc>
      </w:tr>
      <w:tr>
        <w:tc>
          <w:tcPr>
            <w:tcW w:type="dxa" w:w="1800"/>
          </w:tcPr>
          <w:p>
            <w:pPr>
              <w:spacing w:after="20"/>
            </w:pPr>
            <w:r>
              <w:rPr>
                <w:color w:val="1C3A36"/>
                <w:sz w:val="13"/>
              </w:rPr>
              <w:t>pbt fy2025</w:t>
            </w:r>
          </w:p>
        </w:tc>
        <w:tc>
          <w:tcPr>
            <w:tcW w:type="dxa" w:w="1440"/>
          </w:tcPr>
          <w:p>
            <w:pPr>
              <w:spacing w:after="20"/>
              <w:jc w:val="right"/>
            </w:pPr>
            <w:r>
              <w:rPr>
                <w:color w:val="1C3A36"/>
                <w:sz w:val="13"/>
              </w:rPr>
              <w:t>17482.1</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peer comi price</w:t>
            </w:r>
          </w:p>
        </w:tc>
        <w:tc>
          <w:tcPr>
            <w:tcW w:type="dxa" w:w="1440"/>
          </w:tcPr>
          <w:p>
            <w:pPr>
              <w:spacing w:after="20"/>
              <w:jc w:val="right"/>
            </w:pPr>
            <w:r>
              <w:rPr>
                <w:color w:val="1C3A36"/>
                <w:sz w:val="13"/>
              </w:rPr>
              <w:t>138.98</w:t>
            </w:r>
          </w:p>
        </w:tc>
        <w:tc>
          <w:tcPr>
            <w:tcW w:type="dxa" w:w="1080"/>
          </w:tcPr>
          <w:p>
            <w:pPr>
              <w:spacing w:after="20"/>
              <w:jc w:val="right"/>
            </w:pPr>
            <w:r>
              <w:rPr>
                <w:color w:val="1C3A36"/>
                <w:sz w:val="13"/>
              </w:rPr>
              <w:t>2026-09-03</w:t>
            </w:r>
          </w:p>
        </w:tc>
        <w:tc>
          <w:tcPr>
            <w:tcW w:type="dxa" w:w="720"/>
          </w:tcPr>
          <w:p>
            <w:pPr>
              <w:spacing w:after="20"/>
              <w:jc w:val="right"/>
            </w:pPr>
            <w:r>
              <w:rPr>
                <w:color w:val="1C3A36"/>
                <w:sz w:val="13"/>
              </w:rPr>
              <w:t>Market</w:t>
            </w:r>
          </w:p>
        </w:tc>
        <w:tc>
          <w:tcPr>
            <w:tcW w:type="dxa" w:w="5040"/>
          </w:tcPr>
          <w:p>
            <w:pPr>
              <w:spacing w:after="20"/>
              <w:jc w:val="right"/>
            </w:pPr>
            <w:r>
              <w:rPr>
                <w:color w:val="1C3A36"/>
                <w:sz w:val="13"/>
              </w:rPr>
              <w:t>Commercial International Bank (EGX: COMI), EGP 138.98, the close on 3 September 2026 from the committed price file — the same file, the same date and the same supplier as ADIB's own price, so the two are struck on one day.</w:t>
            </w:r>
          </w:p>
        </w:tc>
      </w:tr>
      <w:tr>
        <w:tc>
          <w:tcPr>
            <w:tcW w:type="dxa" w:w="1800"/>
          </w:tcPr>
          <w:p>
            <w:pPr>
              <w:spacing w:after="20"/>
            </w:pPr>
            <w:r>
              <w:rPr>
                <w:color w:val="1C3A36"/>
                <w:sz w:val="13"/>
              </w:rPr>
              <w:t>peer pb band</w:t>
            </w:r>
          </w:p>
        </w:tc>
        <w:tc>
          <w:tcPr>
            <w:tcW w:type="dxa" w:w="1440"/>
          </w:tcPr>
          <w:p>
            <w:pPr>
              <w:spacing w:after="20"/>
              <w:jc w:val="right"/>
            </w:pPr>
            <w:r>
              <w:rPr>
                <w:color w:val="1C3A36"/>
                <w:sz w:val="13"/>
              </w:rPr>
              <w:t>1.4 / 2.2</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The price-to-book band Egyptian large-cap banks trade in. It is a BAND and not a point because this study could not source a same-day book value for any Egyptian bank other than ADIB itself: the only peer whose price it holds on the same day is CIB, and CIB's own book value is not in this repository. The band is carried as a cross-check on the two cash-flow lenses, weighted at 15%, and it is NOT allowed to set the answer. Wher</w:t>
            </w:r>
          </w:p>
        </w:tc>
      </w:tr>
      <w:tr>
        <w:tc>
          <w:tcPr>
            <w:tcW w:type="dxa" w:w="1800"/>
          </w:tcPr>
          <w:p>
            <w:pPr>
              <w:spacing w:after="20"/>
            </w:pPr>
            <w:r>
              <w:rPr>
                <w:color w:val="1C3A36"/>
                <w:sz w:val="13"/>
              </w:rPr>
              <w:t>peer pe band</w:t>
            </w:r>
          </w:p>
        </w:tc>
        <w:tc>
          <w:tcPr>
            <w:tcW w:type="dxa" w:w="1440"/>
          </w:tcPr>
          <w:p>
            <w:pPr>
              <w:spacing w:after="20"/>
              <w:jc w:val="right"/>
            </w:pPr>
            <w:r>
              <w:rPr>
                <w:color w:val="1C3A36"/>
                <w:sz w:val="13"/>
              </w:rPr>
              <w:t>5.5 / 8.5</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The trailing price-to-earnings band for the same group, on the same caveat.</w:t>
            </w:r>
          </w:p>
        </w:tc>
      </w:tr>
      <w:tr>
        <w:tc>
          <w:tcPr>
            <w:tcW w:type="dxa" w:w="1800"/>
          </w:tcPr>
          <w:p>
            <w:pPr>
              <w:spacing w:after="20"/>
            </w:pPr>
            <w:r>
              <w:rPr>
                <w:color w:val="1C3A36"/>
                <w:sz w:val="13"/>
              </w:rPr>
              <w:t>policy rate path</w:t>
            </w:r>
          </w:p>
        </w:tc>
        <w:tc>
          <w:tcPr>
            <w:tcW w:type="dxa" w:w="1440"/>
          </w:tcPr>
          <w:p>
            <w:pPr>
              <w:spacing w:after="20"/>
              <w:jc w:val="right"/>
            </w:pPr>
            <w:r>
              <w:rPr>
                <w:color w:val="1C3A36"/>
                <w:sz w:val="13"/>
              </w:rPr>
              <w:t>0.19 / 0.165 / 0.145 / 0.13 / 0.12</w:t>
            </w:r>
          </w:p>
        </w:tc>
        <w:tc>
          <w:tcPr>
            <w:tcW w:type="dxa" w:w="1080"/>
          </w:tcPr>
          <w:p>
            <w:pPr>
              <w:spacing w:after="20"/>
              <w:jc w:val="right"/>
            </w:pPr>
            <w:r>
              <w:rPr>
                <w:color w:val="1C3A36"/>
                <w:sz w:val="13"/>
              </w:rPr>
              <w:t>2026-08-20</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Overnight deposit rate 19.00% now, gliding 19.00 -&gt; 16.50 -&gt; 14.50 -&gt; 13.00 -&gt; 12.00 with the published inflation path at an approximately constant real policy rate. Held for a fourth consecutive meeting on 20 August 2026. This is the SHAPE input for the asset-yield and cost-of-funds paths below; it is not a second free parameter and no valuation input is set from it independently.</w:t>
            </w:r>
          </w:p>
        </w:tc>
      </w:tr>
      <w:tr>
        <w:tc>
          <w:tcPr>
            <w:tcW w:type="dxa" w:w="1800"/>
          </w:tcPr>
          <w:p>
            <w:pPr>
              <w:spacing w:after="20"/>
            </w:pPr>
            <w:r>
              <w:rPr>
                <w:color w:val="1C3A36"/>
                <w:sz w:val="13"/>
              </w:rPr>
              <w:t>rf</w:t>
            </w:r>
          </w:p>
        </w:tc>
        <w:tc>
          <w:tcPr>
            <w:tcW w:type="dxa" w:w="1440"/>
          </w:tcPr>
          <w:p>
            <w:pPr>
              <w:spacing w:after="20"/>
              <w:jc w:val="right"/>
            </w:pPr>
            <w:r>
              <w:rPr>
                <w:color w:val="1C3A36"/>
                <w:sz w:val="13"/>
              </w:rPr>
              <w:t>0.23</w:t>
            </w:r>
          </w:p>
        </w:tc>
        <w:tc>
          <w:tcPr>
            <w:tcW w:type="dxa" w:w="1080"/>
          </w:tcPr>
          <w:p>
            <w:pPr>
              <w:spacing w:after="20"/>
              <w:jc w:val="right"/>
            </w:pPr>
            <w:r>
              <w:rPr>
                <w:color w:val="1C3A36"/>
                <w:sz w:val="13"/>
              </w:rPr>
              <w:t>2026-08-06</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ten-year EGP government bond yield, 23.00%, the quote of 6 August 2026 held in the house macroeconomic path and already used by the PHDC, EGCH and PHAR cost-of-capital records. IT IS 34 DAYS OLD AGAINST THIS STUDY'S PRICING DATE AND THE HOUSE PATH'S OWN 14-DAY STALENESS RULE FLAGS IT AS STALE. A live re-source was attempted on 9 September 2026 down four routes and all four failed: the central bank's treasury-bond auction</w:t>
            </w:r>
          </w:p>
        </w:tc>
      </w:tr>
      <w:tr>
        <w:tc>
          <w:tcPr>
            <w:tcW w:type="dxa" w:w="1800"/>
          </w:tcPr>
          <w:p>
            <w:pPr>
              <w:spacing w:after="20"/>
            </w:pPr>
            <w:r>
              <w:rPr>
                <w:color w:val="1C3A36"/>
                <w:sz w:val="13"/>
              </w:rPr>
              <w:t>rf terminal</w:t>
            </w:r>
          </w:p>
        </w:tc>
        <w:tc>
          <w:tcPr>
            <w:tcW w:type="dxa" w:w="1440"/>
          </w:tcPr>
          <w:p>
            <w:pPr>
              <w:spacing w:after="20"/>
              <w:jc w:val="right"/>
            </w:pPr>
            <w:r>
              <w:rPr>
                <w:color w:val="1C3A36"/>
                <w:sz w:val="13"/>
              </w:rPr>
              <w:t>0.105</w:t>
            </w:r>
          </w:p>
        </w:tc>
        <w:tc>
          <w:tcPr>
            <w:tcW w:type="dxa" w:w="1080"/>
          </w:tcPr>
          <w:p>
            <w:pPr>
              <w:spacing w:after="20"/>
              <w:jc w:val="right"/>
            </w:pPr>
            <w:r>
              <w:rPr>
                <w:color w:val="1C3A36"/>
                <w:sz w:val="13"/>
              </w:rPr>
              <w:t>2026-09-02</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Terminal risk-free rate, DERIVED and never quoted: terminal inflation of 7.00% (the CBE target-band midpoint in force) plus the 5.50% emerging-market terminal real convention. It cannot disagree with the inflation the rest of the model runs on because it is computed from it.</w:t>
            </w:r>
          </w:p>
        </w:tc>
      </w:tr>
      <w:tr>
        <w:tc>
          <w:tcPr>
            <w:tcW w:type="dxa" w:w="1800"/>
          </w:tcPr>
          <w:p>
            <w:pPr>
              <w:spacing w:after="20"/>
            </w:pPr>
            <w:r>
              <w:rPr>
                <w:color w:val="1C3A36"/>
                <w:sz w:val="13"/>
              </w:rPr>
              <w:t>shares</w:t>
            </w:r>
          </w:p>
        </w:tc>
        <w:tc>
          <w:tcPr>
            <w:tcW w:type="dxa" w:w="1440"/>
          </w:tcPr>
          <w:p>
            <w:pPr>
              <w:spacing w:after="20"/>
              <w:jc w:val="right"/>
            </w:pPr>
            <w:r>
              <w:rPr>
                <w:color w:val="1C3A36"/>
                <w:sz w:val="13"/>
              </w:rPr>
              <w:t>1500</w:t>
            </w:r>
          </w:p>
        </w:tc>
        <w:tc>
          <w:tcPr>
            <w:tcW w:type="dxa" w:w="1080"/>
          </w:tcPr>
          <w:p>
            <w:pPr>
              <w:spacing w:after="20"/>
              <w:jc w:val="right"/>
            </w:pPr>
            <w:r>
              <w:rPr>
                <w:color w:val="1C3A36"/>
                <w:sz w:val="13"/>
              </w:rPr>
              <w:t>2026-06-30</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ADIB-Egypt issued and paid-up capital of EGP 15,000,000 thousand at 30 June 2026, over the LE 10 par value the filings state (FY2018 note 34/2), = 1,500 million shares. THE CAPITAL FIGURE IS PROVED BY THE EQUITY BLOCK'S OWN ARITHMETIC RATHER THAN BY THE OCR: attributable equity of 43,557,932 less the subordinated-financing difference of 16,454 leaves 43,541,478 for capital plus reserves plus retained earnings; retained earning</w:t>
            </w:r>
          </w:p>
        </w:tc>
      </w:tr>
      <w:tr>
        <w:tc>
          <w:tcPr>
            <w:tcW w:type="dxa" w:w="1800"/>
          </w:tcPr>
          <w:p>
            <w:pPr>
              <w:spacing w:after="20"/>
            </w:pPr>
            <w:r>
              <w:rPr>
                <w:color w:val="1C3A36"/>
                <w:sz w:val="13"/>
              </w:rPr>
              <w:t>sov default spread</w:t>
            </w:r>
          </w:p>
        </w:tc>
        <w:tc>
          <w:tcPr>
            <w:tcW w:type="dxa" w:w="1440"/>
          </w:tcPr>
          <w:p>
            <w:pPr>
              <w:spacing w:after="20"/>
              <w:jc w:val="right"/>
            </w:pPr>
            <w:r>
              <w:rPr>
                <w:color w:val="1C3A36"/>
                <w:sz w:val="13"/>
              </w:rPr>
              <w:t>0.0342</w:t>
            </w:r>
          </w:p>
        </w:tc>
        <w:tc>
          <w:tcPr>
            <w:tcW w:type="dxa" w:w="1080"/>
          </w:tcPr>
          <w:p>
            <w:pPr>
              <w:spacing w:after="20"/>
              <w:jc w:val="right"/>
            </w:pPr>
            <w:r>
              <w:rPr>
                <w:color w:val="1C3A36"/>
                <w:sz w:val="13"/>
              </w:rPr>
              <w:t>2026-07-02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sovereign credit-default-swap spread, 3.42%, mid-year (July 2026) vintage of the country default-spread dataset, Egypt row, "Sovereign CDS net of Swiss CDS". Netted out of the local-currency risk-free rate so that sovereign default risk is charged ONCE, inside the equity risk premium, and not twice. The house macroeconomic path carries 3.41% for the same field from the same file; the one-basis-point difference is a round</w:t>
            </w:r>
          </w:p>
        </w:tc>
      </w:tr>
      <w:tr>
        <w:tc>
          <w:tcPr>
            <w:tcW w:type="dxa" w:w="1800"/>
          </w:tcPr>
          <w:p>
            <w:pPr>
              <w:spacing w:after="20"/>
            </w:pPr>
            <w:r>
              <w:rPr>
                <w:color w:val="1C3A36"/>
                <w:sz w:val="13"/>
              </w:rPr>
              <w:t>sov default spread rating</w:t>
            </w:r>
          </w:p>
        </w:tc>
        <w:tc>
          <w:tcPr>
            <w:tcW w:type="dxa" w:w="1440"/>
          </w:tcPr>
          <w:p>
            <w:pPr>
              <w:spacing w:after="20"/>
              <w:jc w:val="right"/>
            </w:pPr>
            <w:r>
              <w:rPr>
                <w:color w:val="1C3A36"/>
                <w:sz w:val="13"/>
              </w:rPr>
              <w:t>0.059702</w:t>
            </w:r>
          </w:p>
        </w:tc>
        <w:tc>
          <w:tcPr>
            <w:tcW w:type="dxa" w:w="1080"/>
          </w:tcPr>
          <w:p>
            <w:pPr>
              <w:spacing w:after="20"/>
              <w:jc w:val="right"/>
            </w:pPr>
            <w:r>
              <w:rPr>
                <w:color w:val="1C3A36"/>
                <w:sz w:val="13"/>
              </w:rPr>
              <w:t>2026-07-02</w:t>
            </w:r>
          </w:p>
        </w:tc>
        <w:tc>
          <w:tcPr>
            <w:tcW w:type="dxa" w:w="720"/>
          </w:tcPr>
          <w:p>
            <w:pPr>
              <w:spacing w:after="20"/>
              <w:jc w:val="right"/>
            </w:pPr>
            <w:r>
              <w:rPr>
                <w:color w:val="1C3A36"/>
                <w:sz w:val="13"/>
              </w:rPr>
              <w:t>Country</w:t>
            </w:r>
          </w:p>
        </w:tc>
        <w:tc>
          <w:tcPr>
            <w:tcW w:type="dxa" w:w="5040"/>
          </w:tcPr>
          <w:p>
            <w:pPr>
              <w:spacing w:after="20"/>
              <w:jc w:val="right"/>
            </w:pPr>
            <w:r>
              <w:rPr>
                <w:color w:val="1C3A36"/>
                <w:sz w:val="13"/>
              </w:rPr>
              <w:t>Egypt adjusted default spread on the rating basis (Moody's Caa1), 5.9702%, same vintage — the alternative construction, published for the audit trail and never mixed with the CDS basis.</w:t>
            </w:r>
          </w:p>
        </w:tc>
      </w:tr>
      <w:tr>
        <w:tc>
          <w:tcPr>
            <w:tcW w:type="dxa" w:w="1800"/>
          </w:tcPr>
          <w:p>
            <w:pPr>
              <w:spacing w:after="20"/>
            </w:pPr>
            <w:r>
              <w:rPr>
                <w:color w:val="1C3A36"/>
                <w:sz w:val="13"/>
              </w:rPr>
              <w:t>spot</w:t>
            </w:r>
          </w:p>
        </w:tc>
        <w:tc>
          <w:tcPr>
            <w:tcW w:type="dxa" w:w="1440"/>
          </w:tcPr>
          <w:p>
            <w:pPr>
              <w:spacing w:after="20"/>
              <w:jc w:val="right"/>
            </w:pPr>
            <w:r>
              <w:rPr>
                <w:color w:val="1C3A36"/>
                <w:sz w:val="13"/>
              </w:rPr>
              <w:t>52.05</w:t>
            </w:r>
          </w:p>
        </w:tc>
        <w:tc>
          <w:tcPr>
            <w:tcW w:type="dxa" w:w="1080"/>
          </w:tcPr>
          <w:p>
            <w:pPr>
              <w:spacing w:after="20"/>
              <w:jc w:val="right"/>
            </w:pPr>
            <w:r>
              <w:rPr>
                <w:color w:val="1C3A36"/>
                <w:sz w:val="13"/>
              </w:rPr>
              <w:t>2026-09-03</w:t>
            </w:r>
          </w:p>
        </w:tc>
        <w:tc>
          <w:tcPr>
            <w:tcW w:type="dxa" w:w="720"/>
          </w:tcPr>
          <w:p>
            <w:pPr>
              <w:spacing w:after="20"/>
              <w:jc w:val="right"/>
            </w:pPr>
            <w:r>
              <w:rPr>
                <w:color w:val="1C3A36"/>
                <w:sz w:val="13"/>
              </w:rPr>
              <w:t>Market</w:t>
            </w:r>
          </w:p>
        </w:tc>
        <w:tc>
          <w:tcPr>
            <w:tcW w:type="dxa" w:w="5040"/>
          </w:tcPr>
          <w:p>
            <w:pPr>
              <w:spacing w:after="20"/>
              <w:jc w:val="right"/>
            </w:pPr>
            <w:r>
              <w:rPr>
                <w:color w:val="1C3A36"/>
                <w:sz w:val="13"/>
              </w:rPr>
              <w:t>EGP 52.05, the close on 3 September 2026, supplied by the principal and committed to the house price file for that date. THIS IS THE LATEST KNOWN PRICE and it is the one the gap is measured against. The published site still carries 54.40 at the 23 August close, which is 11 days older; a study audited against its own past is audited against nothing.</w:t>
            </w:r>
          </w:p>
        </w:tc>
      </w:tr>
      <w:tr>
        <w:tc>
          <w:tcPr>
            <w:tcW w:type="dxa" w:w="1800"/>
          </w:tcPr>
          <w:p>
            <w:pPr>
              <w:spacing w:after="20"/>
            </w:pPr>
            <w:r>
              <w:rPr>
                <w:color w:val="1C3A36"/>
                <w:sz w:val="13"/>
              </w:rPr>
              <w:t>target equity assets</w:t>
            </w:r>
          </w:p>
        </w:tc>
        <w:tc>
          <w:tcPr>
            <w:tcW w:type="dxa" w:w="1440"/>
          </w:tcPr>
          <w:p>
            <w:pPr>
              <w:spacing w:after="20"/>
              <w:jc w:val="right"/>
            </w:pPr>
            <w:r>
              <w:rPr>
                <w:color w:val="1C3A36"/>
                <w:sz w:val="13"/>
              </w:rPr>
              <w:t>0.105</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Attributable equity to total assets, held at 10.5% — the level ADIB-Egypt actually stood at on 30 June 2026 after its EGP 3 billion cash increase, against 9.98% at the FY2025 year end. THIS IS THE BINDING CONSTRAINT ON A GROWING BANK and the model pins the RATIO, not the increment: equity each year is 10.5% of that year's assets and the dividend is whatever profit is left after getting there. A bank growing its balance sheet 3</w:t>
            </w:r>
          </w:p>
        </w:tc>
      </w:tr>
      <w:tr>
        <w:tc>
          <w:tcPr>
            <w:tcW w:type="dxa" w:w="1800"/>
          </w:tcPr>
          <w:p>
            <w:pPr>
              <w:spacing w:after="20"/>
            </w:pPr>
            <w:r>
              <w:rPr>
                <w:color w:val="1C3A36"/>
                <w:sz w:val="13"/>
              </w:rPr>
              <w:t>tax fy2025</w:t>
            </w:r>
          </w:p>
        </w:tc>
        <w:tc>
          <w:tcPr>
            <w:tcW w:type="dxa" w:w="1440"/>
          </w:tcPr>
          <w:p>
            <w:pPr>
              <w:spacing w:after="20"/>
              <w:jc w:val="right"/>
            </w:pPr>
            <w:r>
              <w:rPr>
                <w:color w:val="1C3A36"/>
                <w:sz w:val="13"/>
              </w:rPr>
              <w:t>-4881.19</w:t>
            </w:r>
          </w:p>
        </w:tc>
        <w:tc>
          <w:tcPr>
            <w:tcW w:type="dxa" w:w="1080"/>
          </w:tcPr>
          <w:p>
            <w:pPr>
              <w:spacing w:after="20"/>
              <w:jc w:val="right"/>
            </w:pPr>
            <w:r>
              <w:rPr>
                <w:color w:val="1C3A36"/>
                <w:sz w:val="13"/>
              </w:rPr>
              <w:t>2026-02-05</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The audited consolidated financial statements for the year ended 31 December 2025, signed in Cairo on 5 February 2026 — read from the filing itself; the statement foots.</w:t>
            </w:r>
          </w:p>
        </w:tc>
      </w:tr>
      <w:tr>
        <w:tc>
          <w:tcPr>
            <w:tcW w:type="dxa" w:w="1800"/>
          </w:tcPr>
          <w:p>
            <w:pPr>
              <w:spacing w:after="20"/>
            </w:pPr>
            <w:r>
              <w:rPr>
                <w:color w:val="1C3A36"/>
                <w:sz w:val="13"/>
              </w:rPr>
              <w:t>tax rate</w:t>
            </w:r>
          </w:p>
        </w:tc>
        <w:tc>
          <w:tcPr>
            <w:tcW w:type="dxa" w:w="1440"/>
          </w:tcPr>
          <w:p>
            <w:pPr>
              <w:spacing w:after="20"/>
              <w:jc w:val="right"/>
            </w:pPr>
            <w:r>
              <w:rPr>
                <w:color w:val="1C3A36"/>
                <w:sz w:val="13"/>
              </w:rPr>
              <w:t>0.285</w:t>
            </w:r>
          </w:p>
        </w:tc>
        <w:tc>
          <w:tcPr>
            <w:tcW w:type="dxa" w:w="1080"/>
          </w:tcPr>
          <w:p>
            <w:pPr>
              <w:spacing w:after="20"/>
              <w:jc w:val="right"/>
            </w:pPr>
            <w:r>
              <w:rPr>
                <w:color w:val="1C3A36"/>
                <w:sz w:val="13"/>
              </w:rPr>
              <w:t>2026-09-10</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Effective tax rate. FY2025 actual 27.92%, FY2024 26.64%, the June 2026 half 29.57%. The Egyptian statutory corporate rate is 22.5%; an Egyptian bank pays materially more because the 20% withholding on treasury-bill income is not creditable and part of its cost base is disallowed. 28.5% sits inside the observed range and above the statutory rate for that reason.</w:t>
            </w:r>
          </w:p>
        </w:tc>
      </w:tr>
      <w:tr>
        <w:tc>
          <w:tcPr>
            <w:tcW w:type="dxa" w:w="1800"/>
          </w:tcPr>
          <w:p>
            <w:pPr>
              <w:spacing w:after="20"/>
            </w:pPr>
            <w:r>
              <w:rPr>
                <w:color w:val="1C3A36"/>
                <w:sz w:val="13"/>
              </w:rPr>
              <w:t>tax rate h1 2026</w:t>
            </w:r>
          </w:p>
        </w:tc>
        <w:tc>
          <w:tcPr>
            <w:tcW w:type="dxa" w:w="1440"/>
          </w:tcPr>
          <w:p>
            <w:pPr>
              <w:spacing w:after="20"/>
              <w:jc w:val="right"/>
            </w:pPr>
            <w:r>
              <w:rPr>
                <w:color w:val="1C3A36"/>
                <w:sz w:val="13"/>
              </w:rPr>
              <w:t>0.295749</w:t>
            </w:r>
          </w:p>
        </w:tc>
        <w:tc>
          <w:tcPr>
            <w:tcW w:type="dxa" w:w="1080"/>
          </w:tcPr>
          <w:p>
            <w:pPr>
              <w:spacing w:after="20"/>
              <w:jc w:val="right"/>
            </w:pPr>
            <w:r>
              <w:rPr>
                <w:color w:val="1C3A36"/>
                <w:sz w:val="13"/>
              </w:rPr>
              <w:t>2026-07-30</w:t>
            </w:r>
          </w:p>
        </w:tc>
        <w:tc>
          <w:tcPr>
            <w:tcW w:type="dxa" w:w="720"/>
          </w:tcPr>
          <w:p>
            <w:pPr>
              <w:spacing w:after="20"/>
              <w:jc w:val="right"/>
            </w:pPr>
            <w:r>
              <w:rPr>
                <w:color w:val="1C3A36"/>
                <w:sz w:val="13"/>
              </w:rPr>
              <w:t>Company</w:t>
            </w:r>
          </w:p>
        </w:tc>
        <w:tc>
          <w:tcPr>
            <w:tcW w:type="dxa" w:w="5040"/>
          </w:tcPr>
          <w:p>
            <w:pPr>
              <w:spacing w:after="20"/>
              <w:jc w:val="right"/>
            </w:pPr>
            <w:r>
              <w:rPr>
                <w:color w:val="1C3A36"/>
                <w:sz w:val="13"/>
              </w:rPr>
              <w:t>Effective tax rate for the six months ended 30 June 2026, DERIVED from the reviewed statement's own tax charge over its own profit before tax. It is the highest of the three readings this study holds and is why the forecast carries 28.5% rather than the 27.92% of the last full year.</w:t>
            </w:r>
          </w:p>
        </w:tc>
      </w:tr>
      <w:tr>
        <w:tc>
          <w:tcPr>
            <w:tcW w:type="dxa" w:w="1800"/>
          </w:tcPr>
          <w:p>
            <w:pPr>
              <w:spacing w:after="20"/>
            </w:pPr>
            <w:r>
              <w:rPr>
                <w:color w:val="1C3A36"/>
                <w:sz w:val="13"/>
              </w:rPr>
              <w:t>terminal growth</w:t>
            </w:r>
          </w:p>
        </w:tc>
        <w:tc>
          <w:tcPr>
            <w:tcW w:type="dxa" w:w="1440"/>
          </w:tcPr>
          <w:p>
            <w:pPr>
              <w:spacing w:after="20"/>
              <w:jc w:val="right"/>
            </w:pPr>
            <w:r>
              <w:rPr>
                <w:color w:val="1C3A36"/>
                <w:sz w:val="13"/>
              </w:rPr>
              <w:t>0.07</w:t>
            </w:r>
          </w:p>
        </w:tc>
        <w:tc>
          <w:tcPr>
            <w:tcW w:type="dxa" w:w="1080"/>
          </w:tcPr>
          <w:p>
            <w:pPr>
              <w:spacing w:after="20"/>
              <w:jc w:val="right"/>
            </w:pPr>
            <w:r>
              <w:rPr>
                <w:color w:val="1C3A36"/>
                <w:sz w:val="13"/>
              </w:rPr>
              <w:t>2026-09-02</w:t>
            </w:r>
          </w:p>
        </w:tc>
        <w:tc>
          <w:tcPr>
            <w:tcW w:type="dxa" w:w="720"/>
          </w:tcPr>
          <w:p>
            <w:pPr>
              <w:spacing w:after="20"/>
              <w:jc w:val="right"/>
            </w:pPr>
            <w:r>
              <w:rPr>
                <w:color w:val="1C3A36"/>
                <w:sz w:val="13"/>
              </w:rPr>
              <w:t>House</w:t>
            </w:r>
          </w:p>
        </w:tc>
        <w:tc>
          <w:tcPr>
            <w:tcW w:type="dxa" w:w="5040"/>
          </w:tcPr>
          <w:p>
            <w:pPr>
              <w:spacing w:after="20"/>
              <w:jc w:val="right"/>
            </w:pPr>
            <w:r>
              <w:rPr>
                <w:color w:val="1C3A36"/>
                <w:sz w:val="13"/>
              </w:rPr>
              <w:t>Terminal growth 7.00% = terminal inflation, ZERO REAL. For a bank in an economy whose private credit is 26% of GDP that is deliberately conservative: it assumes ADIB-Egypt stops taking share and stops participating in credit deepening the moment the explicit window closes. It sits BELOW the 12.50% terminal risk-free rate and equals the inflation inside it, so the terminal cannot grow faster than the money it is discounted in.</w:t>
            </w:r>
          </w:p>
        </w:tc>
      </w:tr>
    </w:tbl>
    <w:p>
      <w:pPr>
        <w:spacing w:after="40"/>
      </w:pPr>
    </w:p>
    <w:p>
      <w:pPr>
        <w:spacing w:after="200" w:before="0"/>
      </w:pPr>
      <w:r>
        <w:rPr>
          <w:b w:val="0"/>
          <w:i/>
          <w:color w:val="6E7B77"/>
          <w:sz w:val="17"/>
        </w:rPr>
        <w:t>Table 2 — the full input register.</w:t>
      </w:r>
    </w:p>
    <w:p>
      <w:pPr>
        <w:spacing w:after="120" w:before="280"/>
      </w:pPr>
      <w:r>
        <w:rPr>
          <w:b/>
          <w:i w:val="0"/>
          <w:color w:val="1C3A36"/>
          <w:sz w:val="30"/>
        </w:rPr>
        <w:t>3  Judgements, and what would overturn each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3600"/>
        <w:gridCol w:w="4320"/>
      </w:tblGrid>
      <w:tr>
        <w:tc>
          <w:tcPr>
            <w:tcW w:type="dxa" w:w="2160"/>
            <w:shd w:val="clear" w:color="auto" w:fill="EAF0EE"/>
          </w:tcPr>
          <w:p>
            <w:pPr>
              <w:spacing w:after="20"/>
            </w:pPr>
            <w:r>
              <w:rPr>
                <w:b/>
                <w:color w:val="1C3A36"/>
                <w:sz w:val="15"/>
              </w:rPr>
              <w:t>Judgement</w:t>
            </w:r>
          </w:p>
        </w:tc>
        <w:tc>
          <w:tcPr>
            <w:tcW w:type="dxa" w:w="3600"/>
            <w:shd w:val="clear" w:color="auto" w:fill="EAF0EE"/>
          </w:tcPr>
          <w:p>
            <w:pPr>
              <w:spacing w:after="20"/>
            </w:pPr>
            <w:r>
              <w:rPr>
                <w:b/>
                <w:color w:val="1C3A36"/>
                <w:sz w:val="15"/>
              </w:rPr>
              <w:t>What it is</w:t>
            </w:r>
          </w:p>
        </w:tc>
        <w:tc>
          <w:tcPr>
            <w:tcW w:type="dxa" w:w="4320"/>
            <w:shd w:val="clear" w:color="auto" w:fill="EAF0EE"/>
          </w:tcPr>
          <w:p>
            <w:pPr>
              <w:spacing w:after="20"/>
            </w:pPr>
            <w:r>
              <w:rPr>
                <w:b/>
                <w:color w:val="1C3A36"/>
                <w:sz w:val="15"/>
              </w:rPr>
              <w:t>What would overturn it</w:t>
            </w:r>
          </w:p>
        </w:tc>
      </w:tr>
      <w:tr>
        <w:tc>
          <w:tcPr>
            <w:tcW w:type="dxa" w:w="2160"/>
          </w:tcPr>
          <w:p>
            <w:pPr>
              <w:spacing w:after="20"/>
            </w:pPr>
            <w:r>
              <w:rPr>
                <w:color w:val="1C3A36"/>
                <w:sz w:val="15"/>
              </w:rPr>
              <w:t>The cost of risk</w:t>
            </w:r>
          </w:p>
        </w:tc>
        <w:tc>
          <w:tcPr>
            <w:tcW w:type="dxa" w:w="3600"/>
          </w:tcPr>
          <w:p>
            <w:pPr>
              <w:spacing w:after="20"/>
              <w:jc w:val="right"/>
            </w:pPr>
            <w:r>
              <w:rPr>
                <w:color w:val="1C3A36"/>
                <w:sz w:val="15"/>
              </w:rPr>
              <w:t>1.00% of average financing in FY2026 and 1.30% thereafter, against a FY2022-25 mean of 2.09% and a June-2026 half of effectively zero</w:t>
            </w:r>
          </w:p>
        </w:tc>
        <w:tc>
          <w:tcPr>
            <w:tcW w:type="dxa" w:w="4320"/>
          </w:tcPr>
          <w:p>
            <w:pPr>
              <w:spacing w:after="20"/>
              <w:jc w:val="right"/>
            </w:pPr>
            <w:r>
              <w:rPr>
                <w:color w:val="1C3A36"/>
                <w:sz w:val="15"/>
              </w:rPr>
              <w:t>A third-quarter 2026 charge still near zero would say the release is structural and the assumption too harsh. A charge back above 2% would say the opposite. This is the single most consequential judgement in the study and it is worth EGP 10.86 a share.</w:t>
            </w:r>
          </w:p>
        </w:tc>
      </w:tr>
      <w:tr>
        <w:tc>
          <w:tcPr>
            <w:tcW w:type="dxa" w:w="2160"/>
          </w:tcPr>
          <w:p>
            <w:pPr>
              <w:spacing w:after="20"/>
            </w:pPr>
            <w:r>
              <w:rPr>
                <w:color w:val="1C3A36"/>
                <w:sz w:val="15"/>
              </w:rPr>
              <w:t>The share of Egyptian credit rises</w:t>
            </w:r>
          </w:p>
        </w:tc>
        <w:tc>
          <w:tcPr>
            <w:tcW w:type="dxa" w:w="3600"/>
          </w:tcPr>
          <w:p>
            <w:pPr>
              <w:spacing w:after="20"/>
              <w:jc w:val="right"/>
            </w:pPr>
            <w:r>
              <w:rPr>
                <w:color w:val="1C3A36"/>
                <w:sz w:val="15"/>
              </w:rPr>
              <w:t>financing grows at 2.26x nominal GDP in 2026, decaying to parity by 2030, taking the bank from 3.14% of Egyptian private credit to 4.42%</w:t>
            </w:r>
          </w:p>
        </w:tc>
        <w:tc>
          <w:tcPr>
            <w:tcW w:type="dxa" w:w="4320"/>
          </w:tcPr>
          <w:p>
            <w:pPr>
              <w:spacing w:after="20"/>
              <w:jc w:val="right"/>
            </w:pPr>
            <w:r>
              <w:rPr>
                <w:color w:val="1C3A36"/>
                <w:sz w:val="15"/>
              </w:rPr>
              <w:t>Two consecutive halves of financing growth at or below nominal GDP. The walk-forward beneath this study measured the historical drift at about 8.7% a year for a decade, so the assumption is slower than history and faster than none.</w:t>
            </w:r>
          </w:p>
        </w:tc>
      </w:tr>
      <w:tr>
        <w:tc>
          <w:tcPr>
            <w:tcW w:type="dxa" w:w="2160"/>
          </w:tcPr>
          <w:p>
            <w:pPr>
              <w:spacing w:after="20"/>
            </w:pPr>
            <w:r>
              <w:rPr>
                <w:color w:val="1C3A36"/>
                <w:sz w:val="15"/>
              </w:rPr>
              <w:t>The margin compresses with the policy glide</w:t>
            </w:r>
          </w:p>
        </w:tc>
        <w:tc>
          <w:tcPr>
            <w:tcW w:type="dxa" w:w="3600"/>
          </w:tcPr>
          <w:p>
            <w:pPr>
              <w:spacing w:after="20"/>
              <w:jc w:val="right"/>
            </w:pPr>
            <w:r>
              <w:rPr>
                <w:color w:val="1C3A36"/>
                <w:sz w:val="15"/>
              </w:rPr>
              <w:t>asset yield falls at about 0.75 of the central bank's published path and the cost of funds at about 0.80, so the margin goes from 6.64% to 4.81%</w:t>
            </w:r>
          </w:p>
        </w:tc>
        <w:tc>
          <w:tcPr>
            <w:tcW w:type="dxa" w:w="4320"/>
          </w:tcPr>
          <w:p>
            <w:pPr>
              <w:spacing w:after="20"/>
              <w:jc w:val="right"/>
            </w:pPr>
            <w:r>
              <w:rPr>
                <w:color w:val="1C3A36"/>
                <w:sz w:val="15"/>
              </w:rPr>
              <w:t>A half in which the margin holds while the policy rate falls. The Islamic financing book prices at origination for its whole term, so the mix could slow the repricing more than assumed — which would RAISE the value.</w:t>
            </w:r>
          </w:p>
        </w:tc>
      </w:tr>
      <w:tr>
        <w:tc>
          <w:tcPr>
            <w:tcW w:type="dxa" w:w="2160"/>
          </w:tcPr>
          <w:p>
            <w:pPr>
              <w:spacing w:after="20"/>
            </w:pPr>
            <w:r>
              <w:rPr>
                <w:color w:val="1C3A36"/>
                <w:sz w:val="15"/>
              </w:rPr>
              <w:t>Equity is pinned at 10.5% of assets</w:t>
            </w:r>
          </w:p>
        </w:tc>
        <w:tc>
          <w:tcPr>
            <w:tcW w:type="dxa" w:w="3600"/>
          </w:tcPr>
          <w:p>
            <w:pPr>
              <w:spacing w:after="20"/>
              <w:jc w:val="right"/>
            </w:pPr>
            <w:r>
              <w:rPr>
                <w:color w:val="1C3A36"/>
                <w:sz w:val="15"/>
              </w:rPr>
              <w:t>the level the bank actually stood at on 30 June 2026, and the constraint that makes the dividend what is left rather than what is chosen</w:t>
            </w:r>
          </w:p>
        </w:tc>
        <w:tc>
          <w:tcPr>
            <w:tcW w:type="dxa" w:w="4320"/>
          </w:tcPr>
          <w:p>
            <w:pPr>
              <w:spacing w:after="20"/>
              <w:jc w:val="right"/>
            </w:pPr>
            <w:r>
              <w:rPr>
                <w:color w:val="1C3A36"/>
                <w:sz w:val="15"/>
              </w:rPr>
              <w:t>A disclosed regulatory capital target materially different from it, or a balance sheet run at a visibly lower ratio for two years.</w:t>
            </w:r>
          </w:p>
        </w:tc>
      </w:tr>
      <w:tr>
        <w:tc>
          <w:tcPr>
            <w:tcW w:type="dxa" w:w="2160"/>
          </w:tcPr>
          <w:p>
            <w:pPr>
              <w:spacing w:after="20"/>
            </w:pPr>
            <w:r>
              <w:rPr>
                <w:color w:val="1C3A36"/>
                <w:sz w:val="15"/>
              </w:rPr>
              <w:t>The cost of equity is 29.42%</w:t>
            </w:r>
          </w:p>
        </w:tc>
        <w:tc>
          <w:tcPr>
            <w:tcW w:type="dxa" w:w="3600"/>
          </w:tcPr>
          <w:p>
            <w:pPr>
              <w:spacing w:after="20"/>
              <w:jc w:val="right"/>
            </w:pPr>
            <w:r>
              <w:rPr>
                <w:color w:val="1C3A36"/>
                <w:sz w:val="15"/>
              </w:rPr>
              <w:t>a 23.00% ten-year yield less a 3.42% sovereign spread, plus a 1.0747 beta times the 4.3180% MATURE premium, plus the 5.1984% country premium charged flat and once — beta multiplies the mature leg and nothing else</w:t>
            </w:r>
          </w:p>
        </w:tc>
        <w:tc>
          <w:tcPr>
            <w:tcW w:type="dxa" w:w="4320"/>
          </w:tcPr>
          <w:p>
            <w:pPr>
              <w:spacing w:after="20"/>
              <w:jc w:val="right"/>
            </w:pPr>
            <w:r>
              <w:rPr>
                <w:color w:val="1C3A36"/>
                <w:sz w:val="15"/>
              </w:rPr>
              <w:t>A CURRENT ten-year yield. The one carried is 34 days old and the only recent market evidence found is 171 basis points lower.</w:t>
            </w:r>
          </w:p>
        </w:tc>
      </w:tr>
      <w:tr>
        <w:tc>
          <w:tcPr>
            <w:tcW w:type="dxa" w:w="2160"/>
          </w:tcPr>
          <w:p>
            <w:pPr>
              <w:spacing w:after="20"/>
            </w:pPr>
            <w:r>
              <w:rPr>
                <w:color w:val="1C3A36"/>
                <w:sz w:val="15"/>
              </w:rPr>
              <w:t>Terminal growth is 7.00%</w:t>
            </w:r>
          </w:p>
        </w:tc>
        <w:tc>
          <w:tcPr>
            <w:tcW w:type="dxa" w:w="3600"/>
          </w:tcPr>
          <w:p>
            <w:pPr>
              <w:spacing w:after="20"/>
              <w:jc w:val="right"/>
            </w:pPr>
            <w:r>
              <w:rPr>
                <w:color w:val="1C3A36"/>
                <w:sz w:val="15"/>
              </w:rPr>
              <w:t>equal to terminal inflation — zero real growth in perpetuity</w:t>
            </w:r>
          </w:p>
        </w:tc>
        <w:tc>
          <w:tcPr>
            <w:tcW w:type="dxa" w:w="4320"/>
          </w:tcPr>
          <w:p>
            <w:pPr>
              <w:spacing w:after="20"/>
              <w:jc w:val="right"/>
            </w:pPr>
            <w:r>
              <w:rPr>
                <w:color w:val="1C3A36"/>
                <w:sz w:val="15"/>
              </w:rPr>
              <w:t>Nothing in the evidence; it is deliberately the conservative end. A bank in an economy with private credit at 26% of GDP growing at zero real for ever is an assumption against value, and it is worth about 1.4% per percentage point.</w:t>
            </w:r>
          </w:p>
        </w:tc>
      </w:tr>
    </w:tbl>
    <w:p>
      <w:pPr>
        <w:spacing w:after="40"/>
      </w:pPr>
    </w:p>
    <w:p>
      <w:pPr>
        <w:spacing w:after="200" w:before="0"/>
      </w:pPr>
      <w:r>
        <w:rPr>
          <w:b w:val="0"/>
          <w:i/>
          <w:color w:val="6E7B77"/>
          <w:sz w:val="17"/>
        </w:rPr>
        <w:t>Table 3 — every judgement, and the observation that would kill it.</w:t>
      </w:r>
    </w:p>
    <w:p>
      <w:pPr>
        <w:spacing w:after="120" w:before="280"/>
      </w:pPr>
      <w:r>
        <w:rPr>
          <w:b/>
          <w:i w:val="0"/>
          <w:color w:val="1C3A36"/>
          <w:sz w:val="30"/>
        </w:rPr>
        <w:t>4  Negative results — what was looked for and not found</w:t>
      </w:r>
    </w:p>
    <w:p>
      <w:pPr>
        <w:spacing w:after="120" w:before="0"/>
      </w:pPr>
      <w:r>
        <w:rPr>
          <w:b w:val="0"/>
          <w:i w:val="0"/>
          <w:color w:val="1C3A36"/>
          <w:sz w:val="21"/>
        </w:rPr>
        <w:t>A source that would not yield is a fact worth recording. These are the attempts that failed, with what was done instead.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4176"/>
        <w:gridCol w:w="3456"/>
      </w:tblGrid>
      <w:tr>
        <w:tc>
          <w:tcPr>
            <w:tcW w:type="dxa" w:w="2448"/>
            <w:shd w:val="clear" w:color="auto" w:fill="EAF0EE"/>
          </w:tcPr>
          <w:p>
            <w:pPr>
              <w:spacing w:after="20"/>
            </w:pPr>
            <w:r>
              <w:rPr>
                <w:b/>
                <w:color w:val="1C3A36"/>
                <w:sz w:val="14"/>
              </w:rPr>
              <w:t>What was sought</w:t>
            </w:r>
          </w:p>
        </w:tc>
        <w:tc>
          <w:tcPr>
            <w:tcW w:type="dxa" w:w="4176"/>
            <w:shd w:val="clear" w:color="auto" w:fill="EAF0EE"/>
          </w:tcPr>
          <w:p>
            <w:pPr>
              <w:spacing w:after="20"/>
            </w:pPr>
            <w:r>
              <w:rPr>
                <w:b/>
                <w:color w:val="1C3A36"/>
                <w:sz w:val="14"/>
              </w:rPr>
              <w:t>What happened</w:t>
            </w:r>
          </w:p>
        </w:tc>
        <w:tc>
          <w:tcPr>
            <w:tcW w:type="dxa" w:w="3456"/>
            <w:shd w:val="clear" w:color="auto" w:fill="EAF0EE"/>
          </w:tcPr>
          <w:p>
            <w:pPr>
              <w:spacing w:after="20"/>
            </w:pPr>
            <w:r>
              <w:rPr>
                <w:b/>
                <w:color w:val="1C3A36"/>
                <w:sz w:val="14"/>
              </w:rPr>
              <w:t>What was done instead</w:t>
            </w:r>
          </w:p>
        </w:tc>
      </w:tr>
      <w:tr>
        <w:tc>
          <w:tcPr>
            <w:tcW w:type="dxa" w:w="2448"/>
          </w:tcPr>
          <w:p>
            <w:pPr>
              <w:spacing w:after="20"/>
            </w:pPr>
            <w:r>
              <w:rPr>
                <w:color w:val="1C3A36"/>
                <w:sz w:val="14"/>
              </w:rPr>
              <w:t>ADIB-Egypt IR (trailing slash + /en/ prefix)</w:t>
            </w:r>
          </w:p>
        </w:tc>
        <w:tc>
          <w:tcPr>
            <w:tcW w:type="dxa" w:w="4176"/>
          </w:tcPr>
          <w:p>
            <w:pPr>
              <w:spacing w:after="20"/>
              <w:jc w:val="right"/>
            </w:pPr>
            <w:r>
              <w:rPr>
                <w:color w:val="1C3A36"/>
                <w:sz w:val="14"/>
              </w:rPr>
              <w:t>REJECTED by the site WAF ("Request Rejected", support ID returned). The path without the /en/ prefix serves the same page and was used.</w:t>
            </w:r>
          </w:p>
        </w:tc>
        <w:tc>
          <w:tcPr>
            <w:tcW w:type="dxa" w:w="3456"/>
          </w:tcPr>
          <w:p>
            <w:pPr>
              <w:spacing w:after="20"/>
              <w:jc w:val="right"/>
            </w:pPr>
            <w:r>
              <w:rPr>
                <w:color w:val="1C3A36"/>
                <w:sz w:val="14"/>
              </w:rPr>
            </w:r>
          </w:p>
        </w:tc>
      </w:tr>
      <w:tr>
        <w:tc>
          <w:tcPr>
            <w:tcW w:type="dxa" w:w="2448"/>
          </w:tcPr>
          <w:p>
            <w:pPr>
              <w:spacing w:after="20"/>
            </w:pPr>
            <w:r>
              <w:rPr>
                <w:color w:val="1C3A36"/>
                <w:sz w:val="14"/>
              </w:rPr>
              <w:t>FY2021 English consolidated, alternative names</w:t>
            </w:r>
          </w:p>
        </w:tc>
        <w:tc>
          <w:tcPr>
            <w:tcW w:type="dxa" w:w="4176"/>
          </w:tcPr>
          <w:p>
            <w:pPr>
              <w:spacing w:after="20"/>
              <w:jc w:val="right"/>
            </w:pPr>
            <w:r>
              <w:rPr>
                <w:color w:val="1C3A36"/>
                <w:sz w:val="14"/>
              </w:rPr>
              <w:t>404 on both</w:t>
            </w:r>
          </w:p>
        </w:tc>
        <w:tc>
          <w:tcPr>
            <w:tcW w:type="dxa" w:w="3456"/>
          </w:tcPr>
          <w:p>
            <w:pPr>
              <w:spacing w:after="20"/>
              <w:jc w:val="right"/>
            </w:pPr>
            <w:r>
              <w:rPr>
                <w:color w:val="1C3A36"/>
                <w:sz w:val="14"/>
              </w:rPr>
            </w:r>
          </w:p>
        </w:tc>
      </w:tr>
      <w:tr>
        <w:tc>
          <w:tcPr>
            <w:tcW w:type="dxa" w:w="2448"/>
          </w:tcPr>
          <w:p>
            <w:pPr>
              <w:spacing w:after="20"/>
            </w:pPr>
            <w:r>
              <w:rPr>
                <w:color w:val="1C3A36"/>
                <w:sz w:val="14"/>
              </w:rPr>
              <w:t>FY2021 standalone English</w:t>
            </w:r>
          </w:p>
        </w:tc>
        <w:tc>
          <w:tcPr>
            <w:tcW w:type="dxa" w:w="4176"/>
          </w:tcPr>
          <w:p>
            <w:pPr>
              <w:spacing w:after="20"/>
              <w:jc w:val="right"/>
            </w:pPr>
            <w:r>
              <w:rPr>
                <w:color w:val="1C3A36"/>
                <w:sz w:val="14"/>
              </w:rPr>
              <w:t>200 - standalone, not consolidated; NOT used, the panel is consolidated throughout</w:t>
            </w:r>
          </w:p>
        </w:tc>
        <w:tc>
          <w:tcPr>
            <w:tcW w:type="dxa" w:w="3456"/>
          </w:tcPr>
          <w:p>
            <w:pPr>
              <w:spacing w:after="20"/>
              <w:jc w:val="right"/>
            </w:pPr>
            <w:r>
              <w:rPr>
                <w:color w:val="1C3A36"/>
                <w:sz w:val="14"/>
              </w:rPr>
            </w:r>
          </w:p>
        </w:tc>
      </w:tr>
      <w:tr>
        <w:tc>
          <w:tcPr>
            <w:tcW w:type="dxa" w:w="2448"/>
          </w:tcPr>
          <w:p>
            <w:pPr>
              <w:spacing w:after="20"/>
            </w:pPr>
            <w:r>
              <w:rPr>
                <w:color w:val="1C3A36"/>
                <w:sz w:val="14"/>
              </w:rPr>
              <w:t>Board of Directors report FY2023</w:t>
            </w:r>
          </w:p>
        </w:tc>
        <w:tc>
          <w:tcPr>
            <w:tcW w:type="dxa" w:w="4176"/>
          </w:tcPr>
          <w:p>
            <w:pPr>
              <w:spacing w:after="20"/>
              <w:jc w:val="right"/>
            </w:pPr>
            <w:r>
              <w:rPr>
                <w:color w:val="1C3A36"/>
                <w:sz w:val="14"/>
              </w:rPr>
              <w:t>curl refused the unencoded space in the path; not retried, the FY2023 audited statements carry everything this run needs</w:t>
            </w:r>
          </w:p>
        </w:tc>
        <w:tc>
          <w:tcPr>
            <w:tcW w:type="dxa" w:w="3456"/>
          </w:tcPr>
          <w:p>
            <w:pPr>
              <w:spacing w:after="20"/>
              <w:jc w:val="right"/>
            </w:pPr>
            <w:r>
              <w:rPr>
                <w:color w:val="1C3A36"/>
                <w:sz w:val="14"/>
              </w:rPr>
            </w:r>
          </w:p>
        </w:tc>
      </w:tr>
      <w:tr>
        <w:tc>
          <w:tcPr>
            <w:tcW w:type="dxa" w:w="2448"/>
          </w:tcPr>
          <w:p>
            <w:pPr>
              <w:spacing w:after="20"/>
            </w:pPr>
            <w:r>
              <w:rPr>
                <w:color w:val="1C3A36"/>
                <w:sz w:val="14"/>
              </w:rPr>
              <w:t>A current Egyptian ten-year government bond yield</w:t>
            </w:r>
          </w:p>
        </w:tc>
        <w:tc>
          <w:tcPr>
            <w:tcW w:type="dxa" w:w="4176"/>
          </w:tcPr>
          <w:p>
            <w:pPr>
              <w:spacing w:after="20"/>
              <w:jc w:val="right"/>
            </w:pPr>
            <w:r>
              <w:rPr>
                <w:color w:val="1C3A36"/>
                <w:sz w:val="14"/>
              </w:rPr>
              <w:t>FOUR ROUTES, ALL FAILED on 9 September 2026: the central bank's treasury-bond auction pages return 404; its auction endpoint returns the website shell rather than data; two market-data providers render their yield tables in JavaScript, and one returns 403.</w:t>
            </w:r>
          </w:p>
        </w:tc>
        <w:tc>
          <w:tcPr>
            <w:tcW w:type="dxa" w:w="3456"/>
          </w:tcPr>
          <w:p>
            <w:pPr>
              <w:spacing w:after="20"/>
              <w:jc w:val="right"/>
            </w:pPr>
            <w:r>
              <w:rPr>
                <w:color w:val="1C3A36"/>
                <w:sz w:val="14"/>
              </w:rPr>
              <w:t>The 6 August 2026 quote of 23.00% held in the house macro path is carried and DECLARED STALE on the face of the register entry, in section 1.8 of the study and in the gap review. It is sensitised by 200 basis points either way. The only recent evidence found — a 21.29% average over late April to late May 2026 — is quoted beside it.</w:t>
            </w:r>
          </w:p>
        </w:tc>
      </w:tr>
      <w:tr>
        <w:tc>
          <w:tcPr>
            <w:tcW w:type="dxa" w:w="2448"/>
          </w:tcPr>
          <w:p>
            <w:pPr>
              <w:spacing w:after="20"/>
            </w:pPr>
            <w:r>
              <w:rPr>
                <w:color w:val="1C3A36"/>
                <w:sz w:val="14"/>
              </w:rPr>
              <w:t>Same-day book value for any Egyptian bank peer</w:t>
            </w:r>
          </w:p>
        </w:tc>
        <w:tc>
          <w:tcPr>
            <w:tcW w:type="dxa" w:w="4176"/>
          </w:tcPr>
          <w:p>
            <w:pPr>
              <w:spacing w:after="20"/>
              <w:jc w:val="right"/>
            </w:pPr>
            <w:r>
              <w:rPr>
                <w:color w:val="1C3A36"/>
                <w:sz w:val="14"/>
              </w:rPr>
              <w:t>NOT FOUND. One same-day peer PRICE is held (Commercial International Bank, EGP 138.98 on 3 September 2026). No peer book value, earnings or capital ratio could be sourced on the study date.</w:t>
            </w:r>
          </w:p>
        </w:tc>
        <w:tc>
          <w:tcPr>
            <w:tcW w:type="dxa" w:w="3456"/>
          </w:tcPr>
          <w:p>
            <w:pPr>
              <w:spacing w:after="20"/>
              <w:jc w:val="right"/>
            </w:pPr>
            <w:r>
              <w:rPr>
                <w:color w:val="1C3A36"/>
                <w:sz w:val="14"/>
              </w:rPr>
              <w:t>The relative-multiple lens is published as a BAND, carries no weight in the answer, and the hole is stated in the study's own Appendix B.</w:t>
            </w:r>
          </w:p>
        </w:tc>
      </w:tr>
      <w:tr>
        <w:tc>
          <w:tcPr>
            <w:tcW w:type="dxa" w:w="2448"/>
          </w:tcPr>
          <w:p>
            <w:pPr>
              <w:spacing w:after="20"/>
            </w:pPr>
            <w:r>
              <w:rPr>
                <w:color w:val="1C3A36"/>
                <w:sz w:val="14"/>
              </w:rPr>
              <w:t>The English FY2021 consolidated filing</w:t>
            </w:r>
          </w:p>
        </w:tc>
        <w:tc>
          <w:tcPr>
            <w:tcW w:type="dxa" w:w="4176"/>
          </w:tcPr>
          <w:p>
            <w:pPr>
              <w:spacing w:after="20"/>
              <w:jc w:val="right"/>
            </w:pPr>
            <w:r>
              <w:rPr>
                <w:color w:val="1C3A36"/>
                <w:sz w:val="14"/>
              </w:rPr>
              <w:t>DOES NOT EXIST on the issuer's site. The file published under that name is the ARABIC filing — 102 pages, no English statement page. Two alternative filenames return 404.</w:t>
            </w:r>
          </w:p>
        </w:tc>
        <w:tc>
          <w:tcPr>
            <w:tcW w:type="dxa" w:w="3456"/>
          </w:tcPr>
          <w:p>
            <w:pPr>
              <w:spacing w:after="20"/>
              <w:jc w:val="right"/>
            </w:pPr>
            <w:r>
              <w:rPr>
                <w:color w:val="1C3A36"/>
                <w:sz w:val="14"/>
              </w:rPr>
              <w:t>FY2021 is taken from the comparative column of the audited FY2022 statements. Tier A and the same issuer, but a comparative, which is the one row in the record where point-in-time discipline cannot be fully honoured.</w:t>
            </w:r>
          </w:p>
        </w:tc>
      </w:tr>
    </w:tbl>
    <w:p>
      <w:pPr>
        <w:spacing w:after="40"/>
      </w:pPr>
    </w:p>
    <w:p>
      <w:pPr>
        <w:spacing w:after="200" w:before="0"/>
      </w:pPr>
      <w:r>
        <w:rPr>
          <w:b w:val="0"/>
          <w:i/>
          <w:color w:val="6E7B77"/>
          <w:sz w:val="17"/>
        </w:rPr>
        <w:t>Table 4 — negative results.</w:t>
      </w:r>
    </w:p>
    <w:p>
      <w:pPr>
        <w:spacing w:after="120" w:before="280"/>
      </w:pPr>
      <w:r>
        <w:rPr>
          <w:b/>
          <w:i w:val="0"/>
          <w:color w:val="1C3A36"/>
          <w:sz w:val="30"/>
        </w:rPr>
        <w:t>5  Where two sources disagree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896"/>
        <w:gridCol w:w="5184"/>
      </w:tblGrid>
      <w:tr>
        <w:tc>
          <w:tcPr>
            <w:tcW w:type="dxa" w:w="4896"/>
            <w:shd w:val="clear" w:color="auto" w:fill="EAF0EE"/>
          </w:tcPr>
          <w:p>
            <w:pPr>
              <w:spacing w:after="20"/>
            </w:pPr>
            <w:r>
              <w:rPr>
                <w:b/>
                <w:color w:val="1C3A36"/>
                <w:sz w:val="15"/>
              </w:rPr>
              <w:t>The disagreement</w:t>
            </w:r>
          </w:p>
        </w:tc>
        <w:tc>
          <w:tcPr>
            <w:tcW w:type="dxa" w:w="5184"/>
            <w:shd w:val="clear" w:color="auto" w:fill="EAF0EE"/>
          </w:tcPr>
          <w:p>
            <w:pPr>
              <w:spacing w:after="20"/>
            </w:pPr>
            <w:r>
              <w:rPr>
                <w:b/>
                <w:color w:val="1C3A36"/>
                <w:sz w:val="15"/>
              </w:rPr>
              <w:t>How it was settled</w:t>
            </w:r>
          </w:p>
        </w:tc>
      </w:tr>
      <w:tr>
        <w:tc>
          <w:tcPr>
            <w:tcW w:type="dxa" w:w="4896"/>
          </w:tcPr>
          <w:p>
            <w:pPr>
              <w:spacing w:after="20"/>
            </w:pPr>
            <w:r>
              <w:rPr>
                <w:color w:val="1C3A36"/>
                <w:sz w:val="15"/>
              </w:rPr>
              <w:t>Six fiscal years are RESTATED by the following year's filing — FY2011, FY2014, FY2015, FY2016, FY2017 and FY2018 all carry different figures in their own report and in the next one. FY2017's administrative expenses are EGP 1,172.1 million in its own filing and EGP 1,015.4 million in the FY2018 comparative.</w:t>
            </w:r>
          </w:p>
        </w:tc>
        <w:tc>
          <w:tcPr>
            <w:tcW w:type="dxa" w:w="5184"/>
          </w:tcPr>
          <w:p>
            <w:pPr>
              <w:spacing w:after="20"/>
              <w:jc w:val="right"/>
            </w:pPr>
            <w:r>
              <w:rPr>
                <w:color w:val="1C3A36"/>
                <w:sz w:val="15"/>
              </w:rPr>
              <w:t>THE ORIGINAL IS USED and the restatement is recorded beside it, never substituted. Every one is listed in the walk-forward's own restatement register. A year read as its successor restated it is a year nobody could have read at the time.</w:t>
            </w:r>
          </w:p>
        </w:tc>
      </w:tr>
      <w:tr>
        <w:tc>
          <w:tcPr>
            <w:tcW w:type="dxa" w:w="4896"/>
          </w:tcPr>
          <w:p>
            <w:pPr>
              <w:spacing w:after="20"/>
            </w:pPr>
            <w:r>
              <w:rPr>
                <w:color w:val="1C3A36"/>
                <w:sz w:val="15"/>
              </w:rPr>
              <w:t>The FY2025 filing prints total assets of EGP 260,457,106 thousand for FY2024 in one place and the FY2024 filing prints EGP 260,467,106.</w:t>
            </w:r>
          </w:p>
        </w:tc>
        <w:tc>
          <w:tcPr>
            <w:tcW w:type="dxa" w:w="5184"/>
          </w:tcPr>
          <w:p>
            <w:pPr>
              <w:spacing w:after="20"/>
              <w:jc w:val="right"/>
            </w:pPr>
            <w:r>
              <w:rPr>
                <w:color w:val="1C3A36"/>
                <w:sz w:val="15"/>
              </w:rPr>
              <w:t>The equity block's own arithmetic settles it at 260,467,106: liabilities of 237,480,399 plus equity of 22,986,707 reproduce it exactly.</w:t>
            </w:r>
          </w:p>
        </w:tc>
      </w:tr>
      <w:tr>
        <w:tc>
          <w:tcPr>
            <w:tcW w:type="dxa" w:w="4896"/>
          </w:tcPr>
          <w:p>
            <w:pPr>
              <w:spacing w:after="20"/>
            </w:pPr>
            <w:r>
              <w:rPr>
                <w:color w:val="1C3A36"/>
                <w:sz w:val="15"/>
              </w:rPr>
              <w:t>The sovereign default spread is 3.42% in the cost-of-capital record used by the other Egyptian studies and 3.41% in the house macro path, from the same source file.</w:t>
            </w:r>
          </w:p>
        </w:tc>
        <w:tc>
          <w:tcPr>
            <w:tcW w:type="dxa" w:w="5184"/>
          </w:tcPr>
          <w:p>
            <w:pPr>
              <w:spacing w:after="20"/>
              <w:jc w:val="right"/>
            </w:pPr>
            <w:r>
              <w:rPr>
                <w:color w:val="1C3A36"/>
                <w:sz w:val="15"/>
              </w:rPr>
              <w:t>A rounding artefact of one basis point. The 3.42% figure is used so that this study's cost of equity is built from the same pair of numbers as every other Egyptian study in the book, and the difference is recorded here.</w:t>
            </w:r>
          </w:p>
        </w:tc>
      </w:tr>
      <w:tr>
        <w:tc>
          <w:tcPr>
            <w:tcW w:type="dxa" w:w="4896"/>
          </w:tcPr>
          <w:p>
            <w:pPr>
              <w:spacing w:after="20"/>
            </w:pPr>
            <w:r>
              <w:rPr>
                <w:color w:val="1C3A36"/>
                <w:sz w:val="15"/>
              </w:rPr>
              <w:t>The share price is EGP 54.40 in the site's own data file (23 August close) and EGP 52.05 in the supplied-price file (3 September close).</w:t>
            </w:r>
          </w:p>
        </w:tc>
        <w:tc>
          <w:tcPr>
            <w:tcW w:type="dxa" w:w="5184"/>
          </w:tcPr>
          <w:p>
            <w:pPr>
              <w:spacing w:after="20"/>
              <w:jc w:val="right"/>
            </w:pPr>
            <w:r>
              <w:rPr>
                <w:color w:val="1C3A36"/>
                <w:sz w:val="15"/>
              </w:rPr>
              <w:t>THE LATER ONE. A study audited against a price eleven days old is audited against its own past. The 23 August close is still used as the anchor for the probability map in section 3, because it is the last session in the price history, and the study says so in terms.</w:t>
            </w:r>
          </w:p>
        </w:tc>
      </w:tr>
    </w:tbl>
    <w:p>
      <w:pPr>
        <w:spacing w:after="40"/>
      </w:pPr>
    </w:p>
    <w:p>
      <w:pPr>
        <w:spacing w:after="200" w:before="0"/>
      </w:pPr>
      <w:r>
        <w:rPr>
          <w:b w:val="0"/>
          <w:i/>
          <w:color w:val="6E7B77"/>
          <w:sz w:val="17"/>
        </w:rPr>
        <w:t>Table 5 — disagreements, and which side was taken.</w:t>
      </w:r>
    </w:p>
    <w:p>
      <w:pPr>
        <w:spacing w:after="120" w:before="280"/>
      </w:pPr>
      <w:r>
        <w:rPr>
          <w:b/>
          <w:i w:val="0"/>
          <w:color w:val="1C3A36"/>
          <w:sz w:val="30"/>
        </w:rPr>
        <w:t>6  What is not disclosed</w:t>
      </w:r>
    </w:p>
    <w:p>
      <w:pPr>
        <w:spacing w:after="120" w:before="0"/>
      </w:pPr>
      <w:r>
        <w:rPr>
          <w:b w:val="0"/>
          <w:i w:val="0"/>
          <w:color w:val="1C3A36"/>
          <w:sz w:val="21"/>
        </w:rPr>
        <w:t>The limits of the record, stated so nobody has to discover them.</w:t>
      </w:r>
    </w:p>
    <w:p>
      <w:pPr>
        <w:pStyle w:val="ListBullet"/>
        <w:spacing w:after="60"/>
      </w:pPr>
      <w:r>
        <w:rPr>
          <w:color w:val="1C3A36"/>
          <w:sz w:val="21"/>
        </w:rPr>
        <w:t>NO SPLIT OF FINANCING by retail, corporate or small business, and no split of deposits by account type. The low-cost funding share — the single most useful number in judging how a bank's funding cost behaves in an easing cycle — cannot be computed, and no assumption is made about it.</w:t>
      </w:r>
    </w:p>
    <w:p>
      <w:pPr>
        <w:pStyle w:val="ListBullet"/>
        <w:spacing w:after="60"/>
      </w:pPr>
      <w:r>
        <w:rPr>
          <w:color w:val="1C3A36"/>
          <w:sz w:val="21"/>
        </w:rPr>
        <w:t>NO NON-PERFORMING RATIO AND NO COVERAGE RATIO in any of the eighteen statements parsed. The cost-of-risk driver is therefore built on the charge, not on the stock of bad assets, and there is no way to check whether the June 2026 release reflects recoveries, write-offs or a change in the loss model.</w:t>
      </w:r>
    </w:p>
    <w:p>
      <w:pPr>
        <w:pStyle w:val="ListBullet"/>
        <w:spacing w:after="60"/>
      </w:pPr>
      <w:r>
        <w:rPr>
          <w:color w:val="1C3A36"/>
          <w:sz w:val="21"/>
        </w:rPr>
        <w:t>NO GEOGRAPHIC OR PRODUCT SEGMENT NOTE.</w:t>
      </w:r>
    </w:p>
    <w:p>
      <w:pPr>
        <w:pStyle w:val="ListBullet"/>
        <w:spacing w:after="60"/>
      </w:pPr>
      <w:r>
        <w:rPr>
          <w:color w:val="1C3A36"/>
          <w:sz w:val="21"/>
        </w:rPr>
        <w:t>NO NUMERIC FORWARD GUIDANCE. Nothing management publishes is consumed as an input to this model, and there is nothing to score.</w:t>
      </w:r>
    </w:p>
    <w:p>
      <w:pPr>
        <w:pStyle w:val="ListBullet"/>
        <w:spacing w:after="60"/>
      </w:pPr>
      <w:r>
        <w:rPr>
          <w:color w:val="1C3A36"/>
          <w:sz w:val="21"/>
        </w:rPr>
        <w:t>THE FILED EARNINGS-PER-SHARE FIGURES CANNOT BE REPRODUCED from attributable profit and the year-end share count, and this study says so rather than reverse-engineering a deduction the equity statement does not show. FY2025 prints EGP 11.25 on attributable profit of EGP 12,588.6 million, implying about 1,119 million weighted shares against a year-end 1,200 million; FY2024 prints EGP 14.02 implying about 643 million against a year-end 600 million. Every per-share figure in this study is attributable profit over the SHARE COUNT AT THE PERIOD END, which is stated, reproducible, and different from the filed EPS.</w:t>
      </w:r>
    </w:p>
    <w:p>
      <w:pPr>
        <w:pStyle w:val="ListBullet"/>
        <w:spacing w:after="60"/>
      </w:pPr>
      <w:r>
        <w:rPr>
          <w:color w:val="1C3A36"/>
          <w:sz w:val="21"/>
        </w:rPr>
        <w:t>THE FY2025 EQUITY RECONCILIATION LEAVES EGP 110.5 MILLION UNEXPLAINED. Retained earnings move from 15,815.3 to 20,963.2 while attributable profit is 12,588.6, dividends paid 1,055.9, the reserve transfer 495.4 and the capital increase 6,000.0 — which closes to within 110.5, or 0.9% of the profit. It is recorded rather than assigned.</w:t>
      </w:r>
    </w:p>
    <w:p>
      <w:pPr>
        <w:spacing w:after="120" w:before="280"/>
      </w:pPr>
      <w:r>
        <w:rPr>
          <w:b/>
          <w:i w:val="0"/>
          <w:color w:val="1C3A36"/>
          <w:sz w:val="30"/>
        </w:rPr>
        <w:t>7  Market and macro data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584"/>
        <w:gridCol w:w="1152"/>
        <w:gridCol w:w="5472"/>
      </w:tblGrid>
      <w:tr>
        <w:tc>
          <w:tcPr>
            <w:tcW w:type="dxa" w:w="1872"/>
            <w:shd w:val="clear" w:color="auto" w:fill="EAF0EE"/>
          </w:tcPr>
          <w:p>
            <w:pPr>
              <w:spacing w:after="20"/>
            </w:pPr>
            <w:r>
              <w:rPr>
                <w:b/>
                <w:color w:val="1C3A36"/>
                <w:sz w:val="13"/>
              </w:rPr>
              <w:t>Item</w:t>
            </w:r>
          </w:p>
        </w:tc>
        <w:tc>
          <w:tcPr>
            <w:tcW w:type="dxa" w:w="1584"/>
            <w:shd w:val="clear" w:color="auto" w:fill="EAF0EE"/>
          </w:tcPr>
          <w:p>
            <w:pPr>
              <w:spacing w:after="20"/>
            </w:pPr>
            <w:r>
              <w:rPr>
                <w:b/>
                <w:color w:val="1C3A36"/>
                <w:sz w:val="13"/>
              </w:rPr>
              <w:t>Value</w:t>
            </w:r>
          </w:p>
        </w:tc>
        <w:tc>
          <w:tcPr>
            <w:tcW w:type="dxa" w:w="1152"/>
            <w:shd w:val="clear" w:color="auto" w:fill="EAF0EE"/>
          </w:tcPr>
          <w:p>
            <w:pPr>
              <w:spacing w:after="20"/>
            </w:pPr>
            <w:r>
              <w:rPr>
                <w:b/>
                <w:color w:val="1C3A36"/>
                <w:sz w:val="13"/>
              </w:rPr>
              <w:t>Date</w:t>
            </w:r>
          </w:p>
        </w:tc>
        <w:tc>
          <w:tcPr>
            <w:tcW w:type="dxa" w:w="5472"/>
            <w:shd w:val="clear" w:color="auto" w:fill="EAF0EE"/>
          </w:tcPr>
          <w:p>
            <w:pPr>
              <w:spacing w:after="20"/>
            </w:pPr>
            <w:r>
              <w:rPr>
                <w:b/>
                <w:color w:val="1C3A36"/>
                <w:sz w:val="13"/>
              </w:rPr>
              <w:t>Source</w:t>
            </w:r>
          </w:p>
        </w:tc>
      </w:tr>
      <w:tr>
        <w:tc>
          <w:tcPr>
            <w:tcW w:type="dxa" w:w="1872"/>
          </w:tcPr>
          <w:p>
            <w:pPr>
              <w:spacing w:after="20"/>
            </w:pPr>
            <w:r>
              <w:rPr>
                <w:color w:val="1C3A36"/>
                <w:sz w:val="13"/>
              </w:rPr>
              <w:t>spot</w:t>
            </w:r>
          </w:p>
        </w:tc>
        <w:tc>
          <w:tcPr>
            <w:tcW w:type="dxa" w:w="1584"/>
          </w:tcPr>
          <w:p>
            <w:pPr>
              <w:spacing w:after="20"/>
              <w:jc w:val="right"/>
            </w:pPr>
            <w:r>
              <w:rPr>
                <w:color w:val="1C3A36"/>
                <w:sz w:val="13"/>
              </w:rPr>
              <w:t>52.05</w:t>
            </w:r>
          </w:p>
        </w:tc>
        <w:tc>
          <w:tcPr>
            <w:tcW w:type="dxa" w:w="1152"/>
          </w:tcPr>
          <w:p>
            <w:pPr>
              <w:spacing w:after="20"/>
              <w:jc w:val="right"/>
            </w:pPr>
            <w:r>
              <w:rPr>
                <w:color w:val="1C3A36"/>
                <w:sz w:val="13"/>
              </w:rPr>
              <w:t>2026-09-03</w:t>
            </w:r>
          </w:p>
        </w:tc>
        <w:tc>
          <w:tcPr>
            <w:tcW w:type="dxa" w:w="5472"/>
          </w:tcPr>
          <w:p>
            <w:pPr>
              <w:spacing w:after="20"/>
              <w:jc w:val="right"/>
            </w:pPr>
            <w:r>
              <w:rPr>
                <w:color w:val="1C3A36"/>
                <w:sz w:val="13"/>
              </w:rPr>
              <w:t>EGP 52.05, the close on 3 September 2026, supplied by the principal and committed to the house price file for that date. THIS IS THE LATEST KNOWN PRICE and it is the one the gap is measured against. The published site still carries 54.40 at the 23 August close, which is 11 days older; a study audited against its own past is audi</w:t>
            </w:r>
          </w:p>
        </w:tc>
      </w:tr>
      <w:tr>
        <w:tc>
          <w:tcPr>
            <w:tcW w:type="dxa" w:w="1872"/>
          </w:tcPr>
          <w:p>
            <w:pPr>
              <w:spacing w:after="20"/>
            </w:pPr>
            <w:r>
              <w:rPr>
                <w:color w:val="1C3A36"/>
                <w:sz w:val="13"/>
              </w:rPr>
              <w:t>peer comi price</w:t>
            </w:r>
          </w:p>
        </w:tc>
        <w:tc>
          <w:tcPr>
            <w:tcW w:type="dxa" w:w="1584"/>
          </w:tcPr>
          <w:p>
            <w:pPr>
              <w:spacing w:after="20"/>
              <w:jc w:val="right"/>
            </w:pPr>
            <w:r>
              <w:rPr>
                <w:color w:val="1C3A36"/>
                <w:sz w:val="13"/>
              </w:rPr>
              <w:t>138.98</w:t>
            </w:r>
          </w:p>
        </w:tc>
        <w:tc>
          <w:tcPr>
            <w:tcW w:type="dxa" w:w="1152"/>
          </w:tcPr>
          <w:p>
            <w:pPr>
              <w:spacing w:after="20"/>
              <w:jc w:val="right"/>
            </w:pPr>
            <w:r>
              <w:rPr>
                <w:color w:val="1C3A36"/>
                <w:sz w:val="13"/>
              </w:rPr>
              <w:t>2026-09-03</w:t>
            </w:r>
          </w:p>
        </w:tc>
        <w:tc>
          <w:tcPr>
            <w:tcW w:type="dxa" w:w="5472"/>
          </w:tcPr>
          <w:p>
            <w:pPr>
              <w:spacing w:after="20"/>
              <w:jc w:val="right"/>
            </w:pPr>
            <w:r>
              <w:rPr>
                <w:color w:val="1C3A36"/>
                <w:sz w:val="13"/>
              </w:rPr>
              <w:t>Commercial International Bank (EGX: COMI), EGP 138.98, the close on 3 September 2026 from the committed price file — the same file, the same date and the same supplier as ADIB's own price, so the two are struck on one day.</w:t>
            </w:r>
          </w:p>
        </w:tc>
      </w:tr>
      <w:tr>
        <w:tc>
          <w:tcPr>
            <w:tcW w:type="dxa" w:w="1872"/>
          </w:tcPr>
          <w:p>
            <w:pPr>
              <w:spacing w:after="20"/>
            </w:pPr>
            <w:r>
              <w:rPr>
                <w:color w:val="1C3A36"/>
                <w:sz w:val="13"/>
              </w:rPr>
              <w:t>beta</w:t>
            </w:r>
          </w:p>
        </w:tc>
        <w:tc>
          <w:tcPr>
            <w:tcW w:type="dxa" w:w="1584"/>
          </w:tcPr>
          <w:p>
            <w:pPr>
              <w:spacing w:after="20"/>
              <w:jc w:val="right"/>
            </w:pPr>
            <w:r>
              <w:rPr>
                <w:color w:val="1C3A36"/>
                <w:sz w:val="13"/>
              </w:rPr>
              <w:t>1.07469</w:t>
            </w:r>
          </w:p>
        </w:tc>
        <w:tc>
          <w:tcPr>
            <w:tcW w:type="dxa" w:w="1152"/>
          </w:tcPr>
          <w:p>
            <w:pPr>
              <w:spacing w:after="20"/>
              <w:jc w:val="right"/>
            </w:pPr>
            <w:r>
              <w:rPr>
                <w:color w:val="1C3A36"/>
                <w:sz w:val="13"/>
              </w:rPr>
              <w:t>2026-09-08</w:t>
            </w:r>
          </w:p>
        </w:tc>
        <w:tc>
          <w:tcPr>
            <w:tcW w:type="dxa" w:w="5472"/>
          </w:tcPr>
          <w:p>
            <w:pPr>
              <w:spacing w:after="20"/>
              <w:jc w:val="right"/>
            </w:pPr>
            <w:r>
              <w:rPr>
                <w:color w:val="1C3A36"/>
                <w:sz w:val="13"/>
              </w:rPr>
              <w:t>Own-stock first-tier weekly regression against EGX30 — THE PUBLISHED INDEX OF THE EXCHANGE THIS STOCK IS LISTED ON — resolved by beta_regression.own_stock_beta() rather than hand-rolled. Beta 1.0747, R-squared 0.248, n = 256 weekly observations over 4.94 years to 2026-08-20, standard error 0.1634, 90% confidence interval [0.806,</w:t>
            </w:r>
          </w:p>
        </w:tc>
      </w:tr>
      <w:tr>
        <w:tc>
          <w:tcPr>
            <w:tcW w:type="dxa" w:w="1872"/>
          </w:tcPr>
          <w:p>
            <w:pPr>
              <w:spacing w:after="20"/>
            </w:pPr>
            <w:r>
              <w:rPr>
                <w:color w:val="1C3A36"/>
                <w:sz w:val="13"/>
              </w:rPr>
              <w:t>rf</w:t>
            </w:r>
          </w:p>
        </w:tc>
        <w:tc>
          <w:tcPr>
            <w:tcW w:type="dxa" w:w="1584"/>
          </w:tcPr>
          <w:p>
            <w:pPr>
              <w:spacing w:after="20"/>
              <w:jc w:val="right"/>
            </w:pPr>
            <w:r>
              <w:rPr>
                <w:color w:val="1C3A36"/>
                <w:sz w:val="13"/>
              </w:rPr>
              <w:t>0.23</w:t>
            </w:r>
          </w:p>
        </w:tc>
        <w:tc>
          <w:tcPr>
            <w:tcW w:type="dxa" w:w="1152"/>
          </w:tcPr>
          <w:p>
            <w:pPr>
              <w:spacing w:after="20"/>
              <w:jc w:val="right"/>
            </w:pPr>
            <w:r>
              <w:rPr>
                <w:color w:val="1C3A36"/>
                <w:sz w:val="13"/>
              </w:rPr>
              <w:t>2026-08-06</w:t>
            </w:r>
          </w:p>
        </w:tc>
        <w:tc>
          <w:tcPr>
            <w:tcW w:type="dxa" w:w="5472"/>
          </w:tcPr>
          <w:p>
            <w:pPr>
              <w:spacing w:after="20"/>
              <w:jc w:val="right"/>
            </w:pPr>
            <w:r>
              <w:rPr>
                <w:color w:val="1C3A36"/>
                <w:sz w:val="13"/>
              </w:rPr>
              <w:t>Egypt ten-year EGP government bond yield, 23.00%, the quote of 6 August 2026 held in the house macroeconomic path and already used by the PHDC, EGCH and PHAR cost-of-capital records. IT IS 34 DAYS OLD AGAINST THIS STUDY'S PRICING DATE AND THE HOUSE PATH'S OWN 14-DAY STALENESS RULE FLAGS IT AS STALE. A live re-source was attempte</w:t>
            </w:r>
          </w:p>
        </w:tc>
      </w:tr>
      <w:tr>
        <w:tc>
          <w:tcPr>
            <w:tcW w:type="dxa" w:w="1872"/>
          </w:tcPr>
          <w:p>
            <w:pPr>
              <w:spacing w:after="20"/>
            </w:pPr>
            <w:r>
              <w:rPr>
                <w:color w:val="1C3A36"/>
                <w:sz w:val="13"/>
              </w:rPr>
              <w:t>sov default spread</w:t>
            </w:r>
          </w:p>
        </w:tc>
        <w:tc>
          <w:tcPr>
            <w:tcW w:type="dxa" w:w="1584"/>
          </w:tcPr>
          <w:p>
            <w:pPr>
              <w:spacing w:after="20"/>
              <w:jc w:val="right"/>
            </w:pPr>
            <w:r>
              <w:rPr>
                <w:color w:val="1C3A36"/>
                <w:sz w:val="13"/>
              </w:rPr>
              <w:t>0.0342</w:t>
            </w:r>
          </w:p>
        </w:tc>
        <w:tc>
          <w:tcPr>
            <w:tcW w:type="dxa" w:w="1152"/>
          </w:tcPr>
          <w:p>
            <w:pPr>
              <w:spacing w:after="20"/>
              <w:jc w:val="right"/>
            </w:pPr>
            <w:r>
              <w:rPr>
                <w:color w:val="1C3A36"/>
                <w:sz w:val="13"/>
              </w:rPr>
              <w:t>2026-07-02</w:t>
            </w:r>
          </w:p>
        </w:tc>
        <w:tc>
          <w:tcPr>
            <w:tcW w:type="dxa" w:w="5472"/>
          </w:tcPr>
          <w:p>
            <w:pPr>
              <w:spacing w:after="20"/>
              <w:jc w:val="right"/>
            </w:pPr>
            <w:r>
              <w:rPr>
                <w:color w:val="1C3A36"/>
                <w:sz w:val="13"/>
              </w:rPr>
              <w:t>Egypt sovereign credit-default-swap spread, 3.42%, mid-year (July 2026) vintage of the country default-spread dataset, Egypt row, "Sovereign CDS net of Swiss CDS". Netted out of the local-currency risk-free rate so that sovereign default risk is charged ONCE, inside the equity risk premium, and not twice. The house macroeconomic</w:t>
            </w:r>
          </w:p>
        </w:tc>
      </w:tr>
      <w:tr>
        <w:tc>
          <w:tcPr>
            <w:tcW w:type="dxa" w:w="1872"/>
          </w:tcPr>
          <w:p>
            <w:pPr>
              <w:spacing w:after="20"/>
            </w:pPr>
            <w:r>
              <w:rPr>
                <w:color w:val="1C3A36"/>
                <w:sz w:val="13"/>
              </w:rPr>
              <w:t>erp</w:t>
            </w:r>
          </w:p>
        </w:tc>
        <w:tc>
          <w:tcPr>
            <w:tcW w:type="dxa" w:w="1584"/>
          </w:tcPr>
          <w:p>
            <w:pPr>
              <w:spacing w:after="20"/>
              <w:jc w:val="right"/>
            </w:pPr>
            <w:r>
              <w:rPr>
                <w:color w:val="1C3A36"/>
                <w:sz w:val="13"/>
              </w:rPr>
              <w:t>0.095164</w:t>
            </w:r>
          </w:p>
        </w:tc>
        <w:tc>
          <w:tcPr>
            <w:tcW w:type="dxa" w:w="1152"/>
          </w:tcPr>
          <w:p>
            <w:pPr>
              <w:spacing w:after="20"/>
              <w:jc w:val="right"/>
            </w:pPr>
            <w:r>
              <w:rPr>
                <w:color w:val="1C3A36"/>
                <w:sz w:val="13"/>
              </w:rPr>
              <w:t>2026-07-02</w:t>
            </w:r>
          </w:p>
        </w:tc>
        <w:tc>
          <w:tcPr>
            <w:tcW w:type="dxa" w:w="5472"/>
          </w:tcPr>
          <w:p>
            <w:pPr>
              <w:spacing w:after="20"/>
              <w:jc w:val="right"/>
            </w:pPr>
            <w:r>
              <w:rPr>
                <w:color w:val="1C3A36"/>
                <w:sz w:val="13"/>
              </w:rPr>
              <w:t>Egypt TOTAL equity risk premium on the sovereign-CDS basis, 9.5164%, same mid-year vintage. This is the dataset's TOTAL premium column, not its country premium column — the total is what multiplies beta. The country risk premium alone on this basis is 5.3164% and is NOT added on top.</w:t>
            </w:r>
          </w:p>
        </w:tc>
      </w:tr>
      <w:tr>
        <w:tc>
          <w:tcPr>
            <w:tcW w:type="dxa" w:w="1872"/>
          </w:tcPr>
          <w:p>
            <w:pPr>
              <w:spacing w:after="20"/>
            </w:pPr>
            <w:r>
              <w:rPr>
                <w:color w:val="1C3A36"/>
                <w:sz w:val="13"/>
              </w:rPr>
              <w:t>rf terminal</w:t>
            </w:r>
          </w:p>
        </w:tc>
        <w:tc>
          <w:tcPr>
            <w:tcW w:type="dxa" w:w="1584"/>
          </w:tcPr>
          <w:p>
            <w:pPr>
              <w:spacing w:after="20"/>
              <w:jc w:val="right"/>
            </w:pPr>
            <w:r>
              <w:rPr>
                <w:color w:val="1C3A36"/>
                <w:sz w:val="13"/>
              </w:rPr>
              <w:t>0.105</w:t>
            </w:r>
          </w:p>
        </w:tc>
        <w:tc>
          <w:tcPr>
            <w:tcW w:type="dxa" w:w="1152"/>
          </w:tcPr>
          <w:p>
            <w:pPr>
              <w:spacing w:after="20"/>
              <w:jc w:val="right"/>
            </w:pPr>
            <w:r>
              <w:rPr>
                <w:color w:val="1C3A36"/>
                <w:sz w:val="13"/>
              </w:rPr>
              <w:t>2026-09-02</w:t>
            </w:r>
          </w:p>
        </w:tc>
        <w:tc>
          <w:tcPr>
            <w:tcW w:type="dxa" w:w="5472"/>
          </w:tcPr>
          <w:p>
            <w:pPr>
              <w:spacing w:after="20"/>
              <w:jc w:val="right"/>
            </w:pPr>
            <w:r>
              <w:rPr>
                <w:color w:val="1C3A36"/>
                <w:sz w:val="13"/>
              </w:rPr>
              <w:t>Terminal risk-free rate, DERIVED and never quoted: terminal inflation of 7.00% (the CBE target-band midpoint in force) plus the 5.50% emerging-market terminal real convention. It cannot disagree with the inflation the rest of the model runs on because it is computed from it.</w:t>
            </w:r>
          </w:p>
        </w:tc>
      </w:tr>
      <w:tr>
        <w:tc>
          <w:tcPr>
            <w:tcW w:type="dxa" w:w="1872"/>
          </w:tcPr>
          <w:p>
            <w:pPr>
              <w:spacing w:after="20"/>
            </w:pPr>
            <w:r>
              <w:rPr>
                <w:color w:val="1C3A36"/>
                <w:sz w:val="13"/>
              </w:rPr>
              <w:t>erp terminal</w:t>
            </w:r>
          </w:p>
        </w:tc>
        <w:tc>
          <w:tcPr>
            <w:tcW w:type="dxa" w:w="1584"/>
          </w:tcPr>
          <w:p>
            <w:pPr>
              <w:spacing w:after="20"/>
              <w:jc w:val="right"/>
            </w:pPr>
            <w:r>
              <w:rPr>
                <w:color w:val="1C3A36"/>
                <w:sz w:val="13"/>
              </w:rPr>
              <w:t>0.07</w:t>
            </w:r>
          </w:p>
        </w:tc>
        <w:tc>
          <w:tcPr>
            <w:tcW w:type="dxa" w:w="1152"/>
          </w:tcPr>
          <w:p>
            <w:pPr>
              <w:spacing w:after="20"/>
              <w:jc w:val="right"/>
            </w:pPr>
            <w:r>
              <w:rPr>
                <w:color w:val="1C3A36"/>
                <w:sz w:val="13"/>
              </w:rPr>
              <w:t>2026-09-02</w:t>
            </w:r>
          </w:p>
        </w:tc>
        <w:tc>
          <w:tcPr>
            <w:tcW w:type="dxa" w:w="5472"/>
          </w:tcPr>
          <w:p>
            <w:pPr>
              <w:spacing w:after="20"/>
              <w:jc w:val="right"/>
            </w:pPr>
            <w:r>
              <w:rPr>
                <w:color w:val="1C3A36"/>
                <w:sz w:val="13"/>
              </w:rPr>
              <w:t>Terminal equity risk premium, 7.00%, normalised below today's crisis-era level toward the rating-class norm; never held flat into perpetuity.</w:t>
            </w:r>
          </w:p>
        </w:tc>
      </w:tr>
      <w:tr>
        <w:tc>
          <w:tcPr>
            <w:tcW w:type="dxa" w:w="1872"/>
          </w:tcPr>
          <w:p>
            <w:pPr>
              <w:spacing w:after="20"/>
            </w:pPr>
            <w:r>
              <w:rPr>
                <w:color w:val="1C3A36"/>
                <w:sz w:val="13"/>
              </w:rPr>
              <w:t>terminal growth</w:t>
            </w:r>
          </w:p>
        </w:tc>
        <w:tc>
          <w:tcPr>
            <w:tcW w:type="dxa" w:w="1584"/>
          </w:tcPr>
          <w:p>
            <w:pPr>
              <w:spacing w:after="20"/>
              <w:jc w:val="right"/>
            </w:pPr>
            <w:r>
              <w:rPr>
                <w:color w:val="1C3A36"/>
                <w:sz w:val="13"/>
              </w:rPr>
              <w:t>0.07</w:t>
            </w:r>
          </w:p>
        </w:tc>
        <w:tc>
          <w:tcPr>
            <w:tcW w:type="dxa" w:w="1152"/>
          </w:tcPr>
          <w:p>
            <w:pPr>
              <w:spacing w:after="20"/>
              <w:jc w:val="right"/>
            </w:pPr>
            <w:r>
              <w:rPr>
                <w:color w:val="1C3A36"/>
                <w:sz w:val="13"/>
              </w:rPr>
              <w:t>2026-09-02</w:t>
            </w:r>
          </w:p>
        </w:tc>
        <w:tc>
          <w:tcPr>
            <w:tcW w:type="dxa" w:w="5472"/>
          </w:tcPr>
          <w:p>
            <w:pPr>
              <w:spacing w:after="20"/>
              <w:jc w:val="right"/>
            </w:pPr>
            <w:r>
              <w:rPr>
                <w:color w:val="1C3A36"/>
                <w:sz w:val="13"/>
              </w:rPr>
              <w:t>Terminal growth 7.00% = terminal inflation, ZERO REAL. For a bank in an economy whose private credit is 26% of GDP that is deliberately conservative: it assumes ADIB-Egypt stops taking share and stops participating in credit deepening the moment the explicit window closes. It sits BELOW the 12.50% terminal risk-free rate and equ</w:t>
            </w:r>
          </w:p>
        </w:tc>
      </w:tr>
      <w:tr>
        <w:tc>
          <w:tcPr>
            <w:tcW w:type="dxa" w:w="1872"/>
          </w:tcPr>
          <w:p>
            <w:pPr>
              <w:spacing w:after="20"/>
            </w:pPr>
            <w:r>
              <w:rPr>
                <w:color w:val="1C3A36"/>
                <w:sz w:val="13"/>
              </w:rPr>
              <w:t>inflation path</w:t>
            </w:r>
          </w:p>
        </w:tc>
        <w:tc>
          <w:tcPr>
            <w:tcW w:type="dxa" w:w="1584"/>
          </w:tcPr>
          <w:p>
            <w:pPr>
              <w:spacing w:after="20"/>
              <w:jc w:val="right"/>
            </w:pPr>
            <w:r>
              <w:rPr>
                <w:color w:val="1C3A36"/>
                <w:sz w:val="13"/>
              </w:rPr>
              <w:t>0.16 / 0.12 / 0.09 / 0.075 /</w:t>
            </w:r>
          </w:p>
        </w:tc>
        <w:tc>
          <w:tcPr>
            <w:tcW w:type="dxa" w:w="1152"/>
          </w:tcPr>
          <w:p>
            <w:pPr>
              <w:spacing w:after="20"/>
              <w:jc w:val="right"/>
            </w:pPr>
            <w:r>
              <w:rPr>
                <w:color w:val="1C3A36"/>
                <w:sz w:val="13"/>
              </w:rPr>
              <w:t>2026-09-02</w:t>
            </w:r>
          </w:p>
        </w:tc>
        <w:tc>
          <w:tcPr>
            <w:tcW w:type="dxa" w:w="5472"/>
          </w:tcPr>
          <w:p>
            <w:pPr>
              <w:spacing w:after="20"/>
              <w:jc w:val="right"/>
            </w:pPr>
            <w:r>
              <w:rPr>
                <w:color w:val="1C3A36"/>
                <w:sz w:val="13"/>
              </w:rPr>
              <w:t>Central Bank of Egypt baseline average annual headline inflation, 16.0% in 2026 and 12.0% in 2027 (Q1-2026 Monetary Policy Report as reported 11 May 2026); 2028-2030 interpolated on the bank's own glide between the published 2027 baseline and the 7% target-band midpoint, labelled as interpolation and never presented as a central</w:t>
            </w:r>
          </w:p>
        </w:tc>
      </w:tr>
      <w:tr>
        <w:tc>
          <w:tcPr>
            <w:tcW w:type="dxa" w:w="1872"/>
          </w:tcPr>
          <w:p>
            <w:pPr>
              <w:spacing w:after="20"/>
            </w:pPr>
            <w:r>
              <w:rPr>
                <w:color w:val="1C3A36"/>
                <w:sz w:val="13"/>
              </w:rPr>
              <w:t>policy rate path</w:t>
            </w:r>
          </w:p>
        </w:tc>
        <w:tc>
          <w:tcPr>
            <w:tcW w:type="dxa" w:w="1584"/>
          </w:tcPr>
          <w:p>
            <w:pPr>
              <w:spacing w:after="20"/>
              <w:jc w:val="right"/>
            </w:pPr>
            <w:r>
              <w:rPr>
                <w:color w:val="1C3A36"/>
                <w:sz w:val="13"/>
              </w:rPr>
              <w:t xml:space="preserve">0.19 / 0.165 / 0.145 / 0.13 </w:t>
            </w:r>
          </w:p>
        </w:tc>
        <w:tc>
          <w:tcPr>
            <w:tcW w:type="dxa" w:w="1152"/>
          </w:tcPr>
          <w:p>
            <w:pPr>
              <w:spacing w:after="20"/>
              <w:jc w:val="right"/>
            </w:pPr>
            <w:r>
              <w:rPr>
                <w:color w:val="1C3A36"/>
                <w:sz w:val="13"/>
              </w:rPr>
              <w:t>2026-08-20</w:t>
            </w:r>
          </w:p>
        </w:tc>
        <w:tc>
          <w:tcPr>
            <w:tcW w:type="dxa" w:w="5472"/>
          </w:tcPr>
          <w:p>
            <w:pPr>
              <w:spacing w:after="20"/>
              <w:jc w:val="right"/>
            </w:pPr>
            <w:r>
              <w:rPr>
                <w:color w:val="1C3A36"/>
                <w:sz w:val="13"/>
              </w:rPr>
              <w:t>Overnight deposit rate 19.00% now, gliding 19.00 -&gt; 16.50 -&gt; 14.50 -&gt; 13.00 -&gt; 12.00 with the published inflation path at an approximately constant real policy rate. Held for a fourth consecutive meeting on 20 August 2026. This is the SHAPE input for the asset-yield and cost-of-funds paths below; it is not a second free paramete</w:t>
            </w:r>
          </w:p>
        </w:tc>
      </w:tr>
    </w:tbl>
    <w:p>
      <w:pPr>
        <w:spacing w:after="40"/>
      </w:pPr>
    </w:p>
    <w:p>
      <w:pPr>
        <w:spacing w:after="200" w:before="0"/>
      </w:pPr>
      <w:r>
        <w:rPr>
          <w:b w:val="0"/>
          <w:i/>
          <w:color w:val="6E7B77"/>
          <w:sz w:val="17"/>
        </w:rPr>
        <w:t>Table 6 — market and macro inputs. These are the only figures in this study that are not the company's own disclosure.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