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w:t>
            </w:r>
            <w:r>
              <w:rPr>
                <w:color w:val="9FB0AC"/>
                <w:sz w:val="19"/>
              </w:rPr>
              <w:t xml:space="preserve">   Educational analysis · not investment advice</w:t>
            </w:r>
          </w:p>
        </w:tc>
      </w:tr>
    </w:tbl>
    <w:p>
      <w:pPr>
        <w:spacing w:after="0"/>
      </w:pPr>
    </w:p>
    <w:p>
      <w:pPr>
        <w:spacing w:after="20" w:before="0"/>
      </w:pPr>
      <w:r>
        <w:rPr>
          <w:b/>
          <w:i w:val="0"/>
          <w:color w:val="1C3A36"/>
          <w:sz w:val="42"/>
        </w:rPr>
        <w:t>Abu Dhabi National Oil Company for Distribution PJSC</w:t>
      </w:r>
    </w:p>
    <w:p>
      <w:pPr>
        <w:spacing w:after="40" w:before="0"/>
      </w:pPr>
      <w:r>
        <w:rPr>
          <w:b w:val="0"/>
          <w:i w:val="0"/>
          <w:color w:val="6E7B77"/>
          <w:sz w:val="23"/>
        </w:rPr>
        <w:t>Independent valuation study · Abu Dhabi Securities Exchange · ticker ADNOCDIST · AED · fuel retail, convenience retail and commercial fuel distribution</w:t>
      </w:r>
    </w:p>
    <w:p>
      <w:pPr>
        <w:spacing w:after="240" w:before="0"/>
      </w:pPr>
      <w:r>
        <w:rPr>
          <w:b w:val="0"/>
          <w:i w:val="0"/>
          <w:color w:val="6E7B77"/>
          <w:sz w:val="20"/>
        </w:rPr>
        <w:t>Prepared 9 August 2026 · share price AED 4.02 at the close of 7 August 2026 · 12,500 million shares in issue · market capitalisation AED 50,250 million</w:t>
      </w:r>
    </w:p>
    <w:p>
      <w:pPr>
        <w:spacing w:after="120" w:before="280"/>
      </w:pPr>
      <w:r>
        <w:rPr>
          <w:b/>
          <w:i w:val="0"/>
          <w:color w:val="1C3A36"/>
          <w:sz w:val="30"/>
        </w:rPr>
        <w:t>Read first</w:t>
      </w:r>
    </w:p>
    <w:tbl>
      <w:tblPr>
        <w:tblW w:type="auto" w:w="0"/>
        <w:tblLook w:firstColumn="1" w:firstRow="1" w:lastColumn="0" w:lastRow="0" w:noHBand="0" w:noVBand="1" w:val="04A0"/>
        <w:tblLayout w:type="fixed"/>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educational valuation of the largest fuel and convenience retailer in the United Arab Emirates, built from the company's own audited consolidated financial statements for FY2023, FY2024 and FY2025, its reviewed interim accounts for the first and second quarters of 2026, and its own published operating disclosures. It contains no rating, no recommendation and no price target. It expresses value as a RANGE and, separately, as a probability distribution.</w:t>
            </w:r>
          </w:p>
          <w:p>
            <w:pPr>
              <w:spacing w:after="100"/>
            </w:pPr>
            <w:r>
              <w:rPr>
                <w:b/>
                <w:color w:val="1C3A36"/>
                <w:sz w:val="19"/>
              </w:rPr>
              <w:t xml:space="preserve">The structural fact that governs everything below. </w:t>
            </w:r>
            <w:r>
              <w:rPr>
                <w:color w:val="1C3A36"/>
                <w:sz w:val="19"/>
              </w:rPr>
              <w:t>Retail fuel prices in the UAE are not set by the retailer. A government Fuel Price Committee fixes them monthly, uniformly across the country and identically for every operator, from average international prices plus operating costs. There is therefore no retail price competition in this market at all. Volume and margin per litre are the levers; price is not one. A reader who values this company as though it sets its own pump prices will value the wrong business.</w:t>
            </w:r>
          </w:p>
          <w:p>
            <w:pPr>
              <w:spacing w:after="100"/>
            </w:pPr>
            <w:r>
              <w:rPr>
                <w:b/>
                <w:color w:val="1C3A36"/>
                <w:sz w:val="19"/>
              </w:rPr>
              <w:t xml:space="preserve">The one number to hold on to. </w:t>
            </w:r>
            <w:r>
              <w:rPr>
                <w:color w:val="1C3A36"/>
                <w:sz w:val="19"/>
              </w:rPr>
              <w:t>There is no single number, and that is deliberate. Five readings put fair value between AED 2.71 and AED 5.17 a share. Because the contested judgement below is carried BOTH ways and the two are never averaged, this study publishes TWO weighted centres: AED 4.41 a share on the normalising reading of inventory movements and AED 4.58 on the through-cycle one. The market price is AED 4.02.</w:t>
            </w:r>
          </w:p>
          <w:p>
            <w:pPr>
              <w:spacing w:after="100"/>
            </w:pPr>
            <w:r>
              <w:rPr>
                <w:b/>
                <w:color w:val="1C3A36"/>
                <w:sz w:val="19"/>
              </w:rPr>
              <w:t xml:space="preserve">The contested judgement, carried both ways. </w:t>
            </w:r>
            <w:r>
              <w:rPr>
                <w:color w:val="1C3A36"/>
                <w:sz w:val="19"/>
              </w:rPr>
              <w:t>Inventory movements — the profit the company books when the fuel in its tanks is worth more than it paid — were AED 254 million in FY2024, AED 335 million in FY2025 and AED 762 million in the first half of 2026 ALONE, against fuel volume growth in that half of 1.6%. Frame A normalises them to zero from FY2027; Frame B carries the FY2024–FY2025 average of AED 294 million. Both are published side by side in the summary table, in the body of section 1, and in one expert's range. They are NEVER averaged into one number.</w:t>
            </w:r>
          </w:p>
          <w:p>
            <w:pPr>
              <w:spacing w:after="100"/>
            </w:pPr>
            <w:r>
              <w:rPr>
                <w:b/>
                <w:color w:val="1C3A36"/>
                <w:sz w:val="19"/>
              </w:rPr>
              <w:t xml:space="preserve">A limitation the reader should know about that judgement. </w:t>
            </w:r>
            <w:r>
              <w:rPr>
                <w:color w:val="1C3A36"/>
                <w:sz w:val="19"/>
              </w:rPr>
              <w:t>Inventory movements are not a line in the audited financial statements. They appear only in management commentary and in the results presentations, and no reconciliation of them to the audited accounts is published. This study therefore treats the figures above as management's own disclosed estimates and carries the judgement two ways rather than picking one. That is a real limitation and it is stated here rather than in a footnote.</w:t>
            </w:r>
          </w:p>
          <w:p>
            <w:pPr>
              <w:spacing w:after="100"/>
            </w:pPr>
            <w:r>
              <w:rPr>
                <w:b/>
                <w:color w:val="1C3A36"/>
                <w:sz w:val="19"/>
              </w:rPr>
              <w:t xml:space="preserve">Where the disagreement actually lies. </w:t>
            </w:r>
            <w:r>
              <w:rPr>
                <w:color w:val="1C3A36"/>
                <w:sz w:val="19"/>
              </w:rPr>
              <w:t>Set inventory movements to zero in EVERY forecast year — the harshest reading available — and the cash-flow model still gives AED 4.73 a share against a traded price of AED 4.02. So the disagreement is not about the windfall. It is about the long run, where 75% of the value sits. Section 1.7 solves the market price backwards and states exactly what it embeds.</w:t>
            </w:r>
          </w:p>
          <w:p>
            <w:pPr>
              <w:spacing w:after="100"/>
            </w:pPr>
            <w:r>
              <w:rPr>
                <w:b/>
                <w:color w:val="1C3A36"/>
                <w:sz w:val="19"/>
              </w:rPr>
              <w:t xml:space="preserve">What this study deliberately does NOT do. </w:t>
            </w:r>
            <w:r>
              <w:rPr>
                <w:color w:val="1C3A36"/>
                <w:sz w:val="19"/>
              </w:rPr>
              <w:t>It puts no revenue, no cost and no value on the proposed acquisition of Shell Downstream South Africa, announced on 7 July 2026 at approximately USD 1,000 million of enterprise value. The transaction has not closed and remains subject to regulatory approval. It is set out in full in section 5 as the largest single item outside the base case, and the base case excludes it.</w:t>
            </w:r>
          </w:p>
        </w:tc>
      </w:tr>
    </w:tbl>
    <w:p>
      <w:pPr>
        <w:spacing w:after="40"/>
      </w:pPr>
    </w:p>
    <w:p>
      <w:pPr>
        <w:spacing w:after="120" w:before="280"/>
      </w:pPr>
      <w:r>
        <w:rPr>
          <w:b/>
          <w:i w:val="0"/>
          <w:color w:val="1C3A36"/>
          <w:sz w:val="30"/>
        </w:rPr>
        <w:t>Headline</w:t>
      </w:r>
    </w:p>
    <w:p>
      <w:pPr>
        <w:spacing w:after="120" w:before="0"/>
      </w:pPr>
      <w:r>
        <w:rPr>
          <w:b w:val="0"/>
          <w:i w:val="0"/>
          <w:color w:val="1C3A36"/>
          <w:sz w:val="21"/>
        </w:rPr>
        <w:t>ADNOC Distribution sells about 16 billion litres of fuel a year through 1,045 service stations in three countries, and about AED 1,784 million a year of coffee, groceries and car care alongside it. Revenue was AED 35,897 million in FY2025, gross profit AED 6,946 million and profit attributable to shareholders AED 2,794 million, or AED 0.22 a share. It has grown revenue in each of the three audited years and gross margin in each of them too — from 16.9% to 19.3%.</w:t>
      </w:r>
    </w:p>
    <w:p>
      <w:pPr>
        <w:spacing w:after="120" w:before="0"/>
      </w:pPr>
      <w:r>
        <w:rPr>
          <w:b w:val="0"/>
          <w:i w:val="0"/>
          <w:color w:val="1C3A36"/>
          <w:sz w:val="21"/>
        </w:rPr>
        <w:t>The question this study asks is not whether the business is sound. It is what the market is assuming about the next twenty years. At AED 4.02 the shares trade on 17.9 times trailing earnings and yield 5.1% on a dividend the board has committed to through 2030. Neither of those looks demanding. But run the cash-flow model backwards from the traded price and it requires a terminal growth rate of -0.42% a year — a business whose volume base is in permanent, if gentle, decline. That is a coherent thing to believe about a fuel retailer in 2026. It is not what this study's own drivers, built segment by segment from the company's disclosed volumes and margins per litre, produce.</w:t>
      </w:r>
    </w:p>
    <w:p>
      <w:pPr>
        <w:spacing w:after="120" w:before="0"/>
      </w:pPr>
      <w:r>
        <w:rPr>
          <w:b w:val="0"/>
          <w:i w:val="0"/>
          <w:color w:val="1C3A36"/>
          <w:sz w:val="21"/>
        </w:rPr>
        <w:t>Four independent methods put the shares between AED 2.71 and AED 5.17, with weighted centres of AED 4.41 and AED 4.58 on the two framings of the inventory judgement. A fifth reading — capitalising the fixed policy dividend — lands at AED 2.71, 33% BELOW the traded price. So the price sits between the two readings that matter most: above what the fixed dividend promise alone is worth at this cost of equity, and below what the cash the business generates is worth. Section 4 takes that gap apart.</w:t>
      </w:r>
    </w:p>
    <w:p>
      <w:pPr>
        <w:spacing w:after="40"/>
        <w:jc w:val="center"/>
      </w:pPr>
      <w:r>
        <w:drawing>
          <wp:inline xmlns:a="http://schemas.openxmlformats.org/drawingml/2006/main" xmlns:pic="http://schemas.openxmlformats.org/drawingml/2006/picture">
            <wp:extent cx="6309360" cy="2398871"/>
            <wp:docPr id="1" name="Picture 1"/>
            <wp:cNvGraphicFramePr>
              <a:graphicFrameLocks noChangeAspect="1"/>
            </wp:cNvGraphicFramePr>
            <a:graphic>
              <a:graphicData uri="http://schemas.openxmlformats.org/drawingml/2006/picture">
                <pic:pic>
                  <pic:nvPicPr>
                    <pic:cNvPr id="0" name="fig1_field.png"/>
                    <pic:cNvPicPr/>
                  </pic:nvPicPr>
                  <pic:blipFill>
                    <a:blip r:embed="rId9"/>
                    <a:stretch>
                      <a:fillRect/>
                    </a:stretch>
                  </pic:blipFill>
                  <pic:spPr>
                    <a:xfrm>
                      <a:off x="0" y="0"/>
                      <a:ext cx="6309360" cy="2398871"/>
                    </a:xfrm>
                    <a:prstGeom prst="rect"/>
                  </pic:spPr>
                </pic:pic>
              </a:graphicData>
            </a:graphic>
          </wp:inline>
        </w:drawing>
      </w:r>
    </w:p>
    <w:p>
      <w:pPr>
        <w:spacing w:after="200" w:before="0"/>
      </w:pPr>
      <w:r>
        <w:rPr>
          <w:b w:val="0"/>
          <w:i/>
          <w:color w:val="6E7B77"/>
          <w:sz w:val="17"/>
        </w:rPr>
        <w:t>Figure 1 — the field of value. Each method is an independent reading; the spread between them is the uncertainty, and the two centres are the contested judgement carried both ways.</w:t>
      </w:r>
    </w:p>
    <w:p>
      <w:pPr>
        <w:spacing w:after="120" w:before="280"/>
      </w:pPr>
      <w:r>
        <w:rPr>
          <w:b/>
          <w:i w:val="0"/>
          <w:color w:val="1C3A36"/>
          <w:sz w:val="30"/>
        </w:rPr>
        <w:t>Valuation summary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512"/>
        <w:gridCol w:w="1224"/>
        <w:gridCol w:w="3960"/>
      </w:tblGrid>
      <w:tr>
        <w:trPr>
          <w:cantSplit/>
        </w:trPr>
        <w:tc>
          <w:tcPr>
            <w:tcW w:type="dxa" w:w="3384"/>
            <w:shd w:val="clear" w:color="auto" w:fill="EAF0EE"/>
          </w:tcPr>
          <w:p>
            <w:pPr>
              <w:spacing w:after="20"/>
            </w:pPr>
            <w:r>
              <w:rPr>
                <w:b/>
                <w:color w:val="1C3A36"/>
                <w:sz w:val="17"/>
              </w:rPr>
              <w:t>Reading</w:t>
            </w:r>
          </w:p>
        </w:tc>
        <w:tc>
          <w:tcPr>
            <w:tcW w:type="dxa" w:w="1512"/>
            <w:shd w:val="clear" w:color="auto" w:fill="EAF0EE"/>
          </w:tcPr>
          <w:p>
            <w:pPr>
              <w:spacing w:after="20"/>
            </w:pPr>
            <w:r>
              <w:rPr>
                <w:b/>
                <w:color w:val="1C3A36"/>
                <w:sz w:val="17"/>
              </w:rPr>
              <w:t>AED / share</w:t>
            </w:r>
          </w:p>
        </w:tc>
        <w:tc>
          <w:tcPr>
            <w:tcW w:type="dxa" w:w="1224"/>
            <w:shd w:val="clear" w:color="auto" w:fill="EAF0EE"/>
          </w:tcPr>
          <w:p>
            <w:pPr>
              <w:spacing w:after="20"/>
            </w:pPr>
            <w:r>
              <w:rPr>
                <w:b/>
                <w:color w:val="1C3A36"/>
                <w:sz w:val="17"/>
              </w:rPr>
              <w:t>vs market</w:t>
            </w:r>
          </w:p>
        </w:tc>
        <w:tc>
          <w:tcPr>
            <w:tcW w:type="dxa" w:w="3960"/>
            <w:shd w:val="clear" w:color="auto" w:fill="EAF0EE"/>
          </w:tcPr>
          <w:p>
            <w:pPr>
              <w:spacing w:after="20"/>
            </w:pPr>
            <w:r>
              <w:rPr>
                <w:b/>
                <w:color w:val="1C3A36"/>
                <w:sz w:val="17"/>
              </w:rPr>
              <w:t>Note</w:t>
            </w:r>
          </w:p>
        </w:tc>
      </w:tr>
      <w:tr>
        <w:trPr>
          <w:cantSplit/>
        </w:trPr>
        <w:tc>
          <w:tcPr>
            <w:tcW w:type="dxa" w:w="3384"/>
          </w:tcPr>
          <w:p>
            <w:pPr>
              <w:spacing w:after="20"/>
            </w:pPr>
            <w:r>
              <w:rPr>
                <w:color w:val="1C3A36"/>
                <w:sz w:val="17"/>
              </w:rPr>
              <w:t>Discounted cash flow — Frame A</w:t>
            </w:r>
          </w:p>
        </w:tc>
        <w:tc>
          <w:tcPr>
            <w:tcW w:type="dxa" w:w="1512"/>
          </w:tcPr>
          <w:p>
            <w:pPr>
              <w:spacing w:after="20"/>
              <w:jc w:val="right"/>
            </w:pPr>
            <w:r>
              <w:rPr>
                <w:color w:val="1C3A36"/>
                <w:sz w:val="17"/>
              </w:rPr>
              <w:t>4.79</w:t>
            </w:r>
          </w:p>
        </w:tc>
        <w:tc>
          <w:tcPr>
            <w:tcW w:type="dxa" w:w="1224"/>
          </w:tcPr>
          <w:p>
            <w:pPr>
              <w:spacing w:after="20"/>
              <w:jc w:val="right"/>
            </w:pPr>
            <w:r>
              <w:rPr>
                <w:color w:val="1C3A36"/>
                <w:sz w:val="17"/>
              </w:rPr>
              <w:t>19%</w:t>
            </w:r>
          </w:p>
        </w:tc>
        <w:tc>
          <w:tcPr>
            <w:tcW w:type="dxa" w:w="3960"/>
          </w:tcPr>
          <w:p>
            <w:pPr>
              <w:spacing w:after="20"/>
              <w:jc w:val="right"/>
            </w:pPr>
            <w:r>
              <w:rPr>
                <w:color w:val="1C3A36"/>
                <w:sz w:val="17"/>
              </w:rPr>
              <w:t>terminal value 74.9% of enterprise value — inventory movements normalised to zero from FY2027</w:t>
            </w:r>
          </w:p>
        </w:tc>
      </w:tr>
      <w:tr>
        <w:trPr>
          <w:cantSplit/>
        </w:trPr>
        <w:tc>
          <w:tcPr>
            <w:tcW w:type="dxa" w:w="3384"/>
          </w:tcPr>
          <w:p>
            <w:pPr>
              <w:spacing w:after="20"/>
            </w:pPr>
            <w:r>
              <w:rPr>
                <w:color w:val="1C3A36"/>
                <w:sz w:val="17"/>
              </w:rPr>
              <w:t>Discounted cash flow — Frame B</w:t>
            </w:r>
          </w:p>
        </w:tc>
        <w:tc>
          <w:tcPr>
            <w:tcW w:type="dxa" w:w="1512"/>
          </w:tcPr>
          <w:p>
            <w:pPr>
              <w:spacing w:after="20"/>
              <w:jc w:val="right"/>
            </w:pPr>
            <w:r>
              <w:rPr>
                <w:color w:val="1C3A36"/>
                <w:sz w:val="17"/>
              </w:rPr>
              <w:t>5.10</w:t>
            </w:r>
          </w:p>
        </w:tc>
        <w:tc>
          <w:tcPr>
            <w:tcW w:type="dxa" w:w="1224"/>
          </w:tcPr>
          <w:p>
            <w:pPr>
              <w:spacing w:after="20"/>
              <w:jc w:val="right"/>
            </w:pPr>
            <w:r>
              <w:rPr>
                <w:color w:val="1C3A36"/>
                <w:sz w:val="17"/>
              </w:rPr>
              <w:t>27%</w:t>
            </w:r>
          </w:p>
        </w:tc>
        <w:tc>
          <w:tcPr>
            <w:tcW w:type="dxa" w:w="3960"/>
          </w:tcPr>
          <w:p>
            <w:pPr>
              <w:spacing w:after="20"/>
              <w:jc w:val="right"/>
            </w:pPr>
            <w:r>
              <w:rPr>
                <w:color w:val="1C3A36"/>
                <w:sz w:val="17"/>
              </w:rPr>
              <w:t>terminal value 74.9% of enterprise value — inventory movements carried at the FY2024–FY2025 average</w:t>
            </w:r>
          </w:p>
        </w:tc>
      </w:tr>
      <w:tr>
        <w:trPr>
          <w:cantSplit/>
        </w:trPr>
        <w:tc>
          <w:tcPr>
            <w:tcW w:type="dxa" w:w="3384"/>
          </w:tcPr>
          <w:p>
            <w:pPr>
              <w:spacing w:after="20"/>
            </w:pPr>
            <w:r>
              <w:rPr>
                <w:color w:val="1C3A36"/>
                <w:sz w:val="17"/>
              </w:rPr>
              <w:t>Normalised earnings power</w:t>
            </w:r>
          </w:p>
        </w:tc>
        <w:tc>
          <w:tcPr>
            <w:tcW w:type="dxa" w:w="1512"/>
          </w:tcPr>
          <w:p>
            <w:pPr>
              <w:spacing w:after="20"/>
              <w:jc w:val="right"/>
            </w:pPr>
            <w:r>
              <w:rPr>
                <w:color w:val="1C3A36"/>
                <w:sz w:val="17"/>
              </w:rPr>
              <w:t>4.02</w:t>
            </w:r>
          </w:p>
        </w:tc>
        <w:tc>
          <w:tcPr>
            <w:tcW w:type="dxa" w:w="1224"/>
          </w:tcPr>
          <w:p>
            <w:pPr>
              <w:spacing w:after="20"/>
              <w:jc w:val="right"/>
            </w:pPr>
            <w:r>
              <w:rPr>
                <w:color w:val="1C3A36"/>
                <w:sz w:val="17"/>
              </w:rPr>
              <w:t>-0%</w:t>
            </w:r>
          </w:p>
        </w:tc>
        <w:tc>
          <w:tcPr>
            <w:tcW w:type="dxa" w:w="3960"/>
          </w:tcPr>
          <w:p>
            <w:pPr>
              <w:spacing w:after="20"/>
              <w:jc w:val="right"/>
            </w:pPr>
            <w:r>
              <w:rPr>
                <w:color w:val="1C3A36"/>
                <w:sz w:val="17"/>
              </w:rPr>
              <w:t>structural gross profit only, capitalised at the current cost of capital less long-run growth</w:t>
            </w:r>
          </w:p>
        </w:tc>
      </w:tr>
      <w:tr>
        <w:trPr>
          <w:cantSplit/>
        </w:trPr>
        <w:tc>
          <w:tcPr>
            <w:tcW w:type="dxa" w:w="3384"/>
          </w:tcPr>
          <w:p>
            <w:pPr>
              <w:spacing w:after="20"/>
            </w:pPr>
            <w:r>
              <w:rPr>
                <w:color w:val="1C3A36"/>
                <w:sz w:val="17"/>
              </w:rPr>
              <w:t>Relative multiples — Frame A</w:t>
            </w:r>
          </w:p>
        </w:tc>
        <w:tc>
          <w:tcPr>
            <w:tcW w:type="dxa" w:w="1512"/>
          </w:tcPr>
          <w:p>
            <w:pPr>
              <w:spacing w:after="20"/>
              <w:jc w:val="right"/>
            </w:pPr>
            <w:r>
              <w:rPr>
                <w:color w:val="1C3A36"/>
                <w:sz w:val="17"/>
              </w:rPr>
              <w:t>4.95</w:t>
            </w:r>
          </w:p>
        </w:tc>
        <w:tc>
          <w:tcPr>
            <w:tcW w:type="dxa" w:w="1224"/>
          </w:tcPr>
          <w:p>
            <w:pPr>
              <w:spacing w:after="20"/>
              <w:jc w:val="right"/>
            </w:pPr>
            <w:r>
              <w:rPr>
                <w:color w:val="1C3A36"/>
                <w:sz w:val="17"/>
              </w:rPr>
              <w:t>23%</w:t>
            </w:r>
          </w:p>
        </w:tc>
        <w:tc>
          <w:tcPr>
            <w:tcW w:type="dxa" w:w="3960"/>
          </w:tcPr>
          <w:p>
            <w:pPr>
              <w:spacing w:after="20"/>
              <w:jc w:val="right"/>
            </w:pPr>
            <w:r>
              <w:rPr>
                <w:color w:val="1C3A36"/>
                <w:sz w:val="17"/>
              </w:rPr>
              <w:t>16.3 times the FY2026 forward earnings the model itself produces</w:t>
            </w:r>
          </w:p>
        </w:tc>
      </w:tr>
      <w:tr>
        <w:trPr>
          <w:cantSplit/>
        </w:trPr>
        <w:tc>
          <w:tcPr>
            <w:tcW w:type="dxa" w:w="3384"/>
          </w:tcPr>
          <w:p>
            <w:pPr>
              <w:spacing w:after="20"/>
            </w:pPr>
            <w:r>
              <w:rPr>
                <w:color w:val="1C3A36"/>
                <w:sz w:val="17"/>
              </w:rPr>
              <w:t>Relative multiples — Frame B</w:t>
            </w:r>
          </w:p>
        </w:tc>
        <w:tc>
          <w:tcPr>
            <w:tcW w:type="dxa" w:w="1512"/>
          </w:tcPr>
          <w:p>
            <w:pPr>
              <w:spacing w:after="20"/>
              <w:jc w:val="right"/>
            </w:pPr>
            <w:r>
              <w:rPr>
                <w:color w:val="1C3A36"/>
                <w:sz w:val="17"/>
              </w:rPr>
              <w:t>5.17</w:t>
            </w:r>
          </w:p>
        </w:tc>
        <w:tc>
          <w:tcPr>
            <w:tcW w:type="dxa" w:w="1224"/>
          </w:tcPr>
          <w:p>
            <w:pPr>
              <w:spacing w:after="20"/>
              <w:jc w:val="right"/>
            </w:pPr>
            <w:r>
              <w:rPr>
                <w:color w:val="1C3A36"/>
                <w:sz w:val="17"/>
              </w:rPr>
              <w:t>29%</w:t>
            </w:r>
          </w:p>
        </w:tc>
        <w:tc>
          <w:tcPr>
            <w:tcW w:type="dxa" w:w="3960"/>
          </w:tcPr>
          <w:p>
            <w:pPr>
              <w:spacing w:after="20"/>
              <w:jc w:val="right"/>
            </w:pPr>
            <w:r>
              <w:rPr>
                <w:color w:val="1C3A36"/>
                <w:sz w:val="17"/>
              </w:rPr>
              <w:t>the same multiple on the through-cycle earnings</w:t>
            </w:r>
          </w:p>
        </w:tc>
      </w:tr>
      <w:tr>
        <w:trPr>
          <w:cantSplit/>
        </w:trPr>
        <w:tc>
          <w:tcPr>
            <w:tcW w:type="dxa" w:w="3384"/>
          </w:tcPr>
          <w:p>
            <w:pPr>
              <w:spacing w:after="20"/>
            </w:pPr>
            <w:r>
              <w:rPr>
                <w:color w:val="1C3A36"/>
                <w:sz w:val="17"/>
              </w:rPr>
              <w:t>Book value and sustainable return</w:t>
            </w:r>
          </w:p>
        </w:tc>
        <w:tc>
          <w:tcPr>
            <w:tcW w:type="dxa" w:w="1512"/>
          </w:tcPr>
          <w:p>
            <w:pPr>
              <w:spacing w:after="20"/>
              <w:jc w:val="right"/>
            </w:pPr>
            <w:r>
              <w:rPr>
                <w:color w:val="1C3A36"/>
                <w:sz w:val="17"/>
              </w:rPr>
              <w:t>3.36</w:t>
            </w:r>
          </w:p>
        </w:tc>
        <w:tc>
          <w:tcPr>
            <w:tcW w:type="dxa" w:w="1224"/>
          </w:tcPr>
          <w:p>
            <w:pPr>
              <w:spacing w:after="20"/>
              <w:jc w:val="right"/>
            </w:pPr>
            <w:r>
              <w:rPr>
                <w:color w:val="1C3A36"/>
                <w:sz w:val="17"/>
              </w:rPr>
              <w:t>-16%</w:t>
            </w:r>
          </w:p>
        </w:tc>
        <w:tc>
          <w:tcPr>
            <w:tcW w:type="dxa" w:w="3960"/>
          </w:tcPr>
          <w:p>
            <w:pPr>
              <w:spacing w:after="20"/>
              <w:jc w:val="right"/>
            </w:pPr>
            <w:r>
              <w:rPr>
                <w:color w:val="1C3A36"/>
                <w:sz w:val="17"/>
              </w:rPr>
              <w:t>justified 13.0 times a book value of 0.26 a share</w:t>
            </w:r>
          </w:p>
        </w:tc>
      </w:tr>
      <w:tr>
        <w:trPr>
          <w:cantSplit/>
        </w:trPr>
        <w:tc>
          <w:tcPr>
            <w:tcW w:type="dxa" w:w="3384"/>
          </w:tcPr>
          <w:p>
            <w:pPr>
              <w:spacing w:after="20"/>
            </w:pPr>
            <w:r>
              <w:rPr>
                <w:color w:val="1C3A36"/>
                <w:sz w:val="17"/>
              </w:rPr>
              <w:t>Dividend capitalisation (unweighted)</w:t>
            </w:r>
          </w:p>
        </w:tc>
        <w:tc>
          <w:tcPr>
            <w:tcW w:type="dxa" w:w="1512"/>
          </w:tcPr>
          <w:p>
            <w:pPr>
              <w:spacing w:after="20"/>
              <w:jc w:val="right"/>
            </w:pPr>
            <w:r>
              <w:rPr>
                <w:color w:val="1C3A36"/>
                <w:sz w:val="17"/>
              </w:rPr>
              <w:t>2.71</w:t>
            </w:r>
          </w:p>
        </w:tc>
        <w:tc>
          <w:tcPr>
            <w:tcW w:type="dxa" w:w="1224"/>
          </w:tcPr>
          <w:p>
            <w:pPr>
              <w:spacing w:after="20"/>
              <w:jc w:val="right"/>
            </w:pPr>
            <w:r>
              <w:rPr>
                <w:color w:val="1C3A36"/>
                <w:sz w:val="17"/>
              </w:rPr>
              <w:t>-33%</w:t>
            </w:r>
          </w:p>
        </w:tc>
        <w:tc>
          <w:tcPr>
            <w:tcW w:type="dxa" w:w="3960"/>
          </w:tcPr>
          <w:p>
            <w:pPr>
              <w:spacing w:after="20"/>
              <w:jc w:val="right"/>
            </w:pPr>
            <w:r>
              <w:rPr>
                <w:color w:val="1C3A36"/>
                <w:sz w:val="17"/>
              </w:rPr>
              <w:t>the fixed policy dividend of 0.21 a share grown at 1.5% — a claim on cash paid, not cash earned</w:t>
            </w:r>
          </w:p>
        </w:tc>
      </w:tr>
      <w:tr>
        <w:trPr>
          <w:cantSplit/>
        </w:trPr>
        <w:tc>
          <w:tcPr>
            <w:tcW w:type="dxa" w:w="3384"/>
            <w:shd w:val="clear" w:color="auto" w:fill="F6F1E6"/>
          </w:tcPr>
          <w:p>
            <w:pPr>
              <w:spacing w:after="20"/>
            </w:pPr>
            <w:r>
              <w:rPr>
                <w:b/>
                <w:color w:val="1C3A36"/>
                <w:sz w:val="17"/>
              </w:rPr>
              <w:t>WEIGHTED CENTRE — Frame A</w:t>
            </w:r>
          </w:p>
        </w:tc>
        <w:tc>
          <w:tcPr>
            <w:tcW w:type="dxa" w:w="1512"/>
            <w:shd w:val="clear" w:color="auto" w:fill="F6F1E6"/>
          </w:tcPr>
          <w:p>
            <w:pPr>
              <w:spacing w:after="20"/>
              <w:jc w:val="right"/>
            </w:pPr>
            <w:r>
              <w:rPr>
                <w:b/>
                <w:color w:val="1C3A36"/>
                <w:sz w:val="17"/>
              </w:rPr>
              <w:t>4.41</w:t>
            </w:r>
          </w:p>
        </w:tc>
        <w:tc>
          <w:tcPr>
            <w:tcW w:type="dxa" w:w="1224"/>
            <w:shd w:val="clear" w:color="auto" w:fill="F6F1E6"/>
          </w:tcPr>
          <w:p>
            <w:pPr>
              <w:spacing w:after="20"/>
              <w:jc w:val="right"/>
            </w:pPr>
            <w:r>
              <w:rPr>
                <w:b/>
                <w:color w:val="1C3A36"/>
                <w:sz w:val="17"/>
              </w:rPr>
              <w:t>10%</w:t>
            </w:r>
          </w:p>
        </w:tc>
        <w:tc>
          <w:tcPr>
            <w:tcW w:type="dxa" w:w="3960"/>
            <w:shd w:val="clear" w:color="auto" w:fill="F6F1E6"/>
          </w:tcPr>
          <w:p>
            <w:pPr>
              <w:spacing w:after="20"/>
              <w:jc w:val="right"/>
            </w:pPr>
            <w:r>
              <w:rPr>
                <w:b/>
                <w:color w:val="1C3A36"/>
                <w:sz w:val="17"/>
              </w:rPr>
              <w:t>cash flow 40%, normalised earnings 25%, relative 20%, book and return 15%</w:t>
            </w:r>
          </w:p>
        </w:tc>
      </w:tr>
      <w:tr>
        <w:trPr>
          <w:cantSplit/>
        </w:trPr>
        <w:tc>
          <w:tcPr>
            <w:tcW w:type="dxa" w:w="3384"/>
            <w:shd w:val="clear" w:color="auto" w:fill="F6F1E6"/>
          </w:tcPr>
          <w:p>
            <w:pPr>
              <w:spacing w:after="20"/>
            </w:pPr>
            <w:r>
              <w:rPr>
                <w:b/>
                <w:color w:val="1C3A36"/>
                <w:sz w:val="17"/>
              </w:rPr>
              <w:t>WEIGHTED CENTRE — Frame B</w:t>
            </w:r>
          </w:p>
        </w:tc>
        <w:tc>
          <w:tcPr>
            <w:tcW w:type="dxa" w:w="1512"/>
            <w:shd w:val="clear" w:color="auto" w:fill="F6F1E6"/>
          </w:tcPr>
          <w:p>
            <w:pPr>
              <w:spacing w:after="20"/>
              <w:jc w:val="right"/>
            </w:pPr>
            <w:r>
              <w:rPr>
                <w:b/>
                <w:color w:val="1C3A36"/>
                <w:sz w:val="17"/>
              </w:rPr>
              <w:t>4.58</w:t>
            </w:r>
          </w:p>
        </w:tc>
        <w:tc>
          <w:tcPr>
            <w:tcW w:type="dxa" w:w="1224"/>
            <w:shd w:val="clear" w:color="auto" w:fill="F6F1E6"/>
          </w:tcPr>
          <w:p>
            <w:pPr>
              <w:spacing w:after="20"/>
              <w:jc w:val="right"/>
            </w:pPr>
            <w:r>
              <w:rPr>
                <w:b/>
                <w:color w:val="1C3A36"/>
                <w:sz w:val="17"/>
              </w:rPr>
              <w:t>14%</w:t>
            </w:r>
          </w:p>
        </w:tc>
        <w:tc>
          <w:tcPr>
            <w:tcW w:type="dxa" w:w="3960"/>
            <w:shd w:val="clear" w:color="auto" w:fill="F6F1E6"/>
          </w:tcPr>
          <w:p>
            <w:pPr>
              <w:spacing w:after="20"/>
              <w:jc w:val="right"/>
            </w:pPr>
            <w:r>
              <w:rPr>
                <w:b/>
                <w:color w:val="1C3A36"/>
                <w:sz w:val="17"/>
              </w:rPr>
              <w:t>the same weights on the through-cycle framing. The two centres are NEVER averaged</w:t>
            </w:r>
          </w:p>
        </w:tc>
      </w:tr>
      <w:tr>
        <w:trPr>
          <w:cantSplit/>
        </w:trPr>
        <w:tc>
          <w:tcPr>
            <w:tcW w:type="dxa" w:w="3384"/>
          </w:tcPr>
          <w:p>
            <w:pPr>
              <w:spacing w:after="20"/>
            </w:pPr>
            <w:r>
              <w:rPr>
                <w:color w:val="1C3A36"/>
                <w:sz w:val="17"/>
              </w:rPr>
              <w:t>Field low to field high</w:t>
            </w:r>
          </w:p>
        </w:tc>
        <w:tc>
          <w:tcPr>
            <w:tcW w:type="dxa" w:w="1512"/>
          </w:tcPr>
          <w:p>
            <w:pPr>
              <w:spacing w:after="20"/>
              <w:jc w:val="right"/>
            </w:pPr>
            <w:r>
              <w:rPr>
                <w:color w:val="1C3A36"/>
                <w:sz w:val="17"/>
              </w:rPr>
              <w:t>2.71 – 5.17</w:t>
            </w:r>
          </w:p>
        </w:tc>
        <w:tc>
          <w:tcPr>
            <w:tcW w:type="dxa" w:w="1224"/>
          </w:tcPr>
          <w:p>
            <w:pPr>
              <w:spacing w:after="20"/>
              <w:jc w:val="right"/>
            </w:pPr>
            <w:r>
              <w:rPr>
                <w:color w:val="1C3A36"/>
                <w:sz w:val="17"/>
              </w:rPr>
            </w:r>
          </w:p>
        </w:tc>
        <w:tc>
          <w:tcPr>
            <w:tcW w:type="dxa" w:w="3960"/>
          </w:tcPr>
          <w:p>
            <w:pPr>
              <w:spacing w:after="20"/>
              <w:jc w:val="right"/>
            </w:pPr>
            <w:r>
              <w:rPr>
                <w:color w:val="1C3A36"/>
                <w:sz w:val="17"/>
              </w:rPr>
              <w:t>the spread between the readings IS the uncertainty</w:t>
            </w:r>
          </w:p>
        </w:tc>
      </w:tr>
      <w:tr>
        <w:trPr>
          <w:cantSplit/>
        </w:trPr>
        <w:tc>
          <w:tcPr>
            <w:tcW w:type="dxa" w:w="3384"/>
            <w:shd w:val="clear" w:color="auto" w:fill="F6F1E6"/>
          </w:tcPr>
          <w:p>
            <w:pPr>
              <w:spacing w:after="20"/>
            </w:pPr>
            <w:r>
              <w:rPr>
                <w:b/>
                <w:color w:val="1C3A36"/>
                <w:sz w:val="17"/>
              </w:rPr>
              <w:t>Market price</w:t>
            </w:r>
          </w:p>
        </w:tc>
        <w:tc>
          <w:tcPr>
            <w:tcW w:type="dxa" w:w="1512"/>
            <w:shd w:val="clear" w:color="auto" w:fill="F6F1E6"/>
          </w:tcPr>
          <w:p>
            <w:pPr>
              <w:spacing w:after="20"/>
              <w:jc w:val="right"/>
            </w:pPr>
            <w:r>
              <w:rPr>
                <w:b/>
                <w:color w:val="1C3A36"/>
                <w:sz w:val="17"/>
              </w:rPr>
              <w:t>4.02</w:t>
            </w:r>
          </w:p>
        </w:tc>
        <w:tc>
          <w:tcPr>
            <w:tcW w:type="dxa" w:w="1224"/>
            <w:shd w:val="clear" w:color="auto" w:fill="F6F1E6"/>
          </w:tcPr>
          <w:p>
            <w:pPr>
              <w:spacing w:after="20"/>
              <w:jc w:val="right"/>
            </w:pPr>
            <w:r>
              <w:rPr>
                <w:b/>
                <w:color w:val="1C3A36"/>
                <w:sz w:val="17"/>
              </w:rPr>
            </w:r>
          </w:p>
        </w:tc>
        <w:tc>
          <w:tcPr>
            <w:tcW w:type="dxa" w:w="3960"/>
            <w:shd w:val="clear" w:color="auto" w:fill="F6F1E6"/>
          </w:tcPr>
          <w:p>
            <w:pPr>
              <w:spacing w:after="20"/>
              <w:jc w:val="right"/>
            </w:pPr>
            <w:r>
              <w:rPr>
                <w:b/>
                <w:color w:val="1C3A36"/>
                <w:sz w:val="17"/>
              </w:rPr>
              <w:t>close of 2026-08-07</w:t>
            </w:r>
          </w:p>
        </w:tc>
      </w:tr>
    </w:tbl>
    <w:p>
      <w:pPr>
        <w:spacing w:after="40"/>
      </w:pPr>
    </w:p>
    <w:p>
      <w:pPr>
        <w:spacing w:after="200" w:before="0"/>
      </w:pPr>
      <w:r>
        <w:rPr>
          <w:b w:val="0"/>
          <w:i/>
          <w:color w:val="6E7B77"/>
          <w:sz w:val="17"/>
        </w:rPr>
        <w:t>Table 1 — the summary valuation table. Terminal value is stated beside the cash-flow readings rather than buried in the model, because it is high: 74.9% of enterprise value on Frame A and 74.9% on Frame B. A reader who distrusts perpetuities should read section 1.7 before anything else — three-quarters of this valuation is a statement about the years after FY2030.</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872"/>
        <w:gridCol w:w="3168"/>
        <w:gridCol w:w="1872"/>
      </w:tblGrid>
      <w:tr>
        <w:trPr>
          <w:cantSplit/>
        </w:trPr>
        <w:tc>
          <w:tcPr>
            <w:tcW w:type="dxa" w:w="3168"/>
            <w:shd w:val="clear" w:color="auto" w:fill="EAF0EE"/>
          </w:tcPr>
          <w:p>
            <w:pPr>
              <w:spacing w:after="20"/>
            </w:pPr>
            <w:r>
              <w:rPr>
                <w:b/>
                <w:color w:val="1C3A36"/>
                <w:sz w:val="18"/>
              </w:rPr>
              <w:t>Key figures</w:t>
            </w:r>
          </w:p>
        </w:tc>
        <w:tc>
          <w:tcPr>
            <w:tcW w:type="dxa" w:w="1872"/>
            <w:shd w:val="clear" w:color="auto" w:fill="EAF0EE"/>
          </w:tcPr>
          <w:p>
            <w:pPr>
              <w:spacing w:after="20"/>
            </w:pPr>
            <w:r>
              <w:rPr>
                <w:b/>
                <w:color w:val="1C3A36"/>
                <w:sz w:val="18"/>
              </w:rPr>
              <w:t>Value</w:t>
            </w:r>
          </w:p>
        </w:tc>
        <w:tc>
          <w:tcPr>
            <w:tcW w:type="dxa" w:w="3168"/>
            <w:shd w:val="clear" w:color="auto" w:fill="EAF0EE"/>
          </w:tcPr>
          <w:p>
            <w:pPr>
              <w:spacing w:after="20"/>
            </w:pPr>
            <w:r>
              <w:rPr>
                <w:b/>
                <w:color w:val="1C3A36"/>
                <w:sz w:val="18"/>
              </w:rPr>
              <w:t>Key figures</w:t>
            </w:r>
          </w:p>
        </w:tc>
        <w:tc>
          <w:tcPr>
            <w:tcW w:type="dxa" w:w="1872"/>
            <w:shd w:val="clear" w:color="auto" w:fill="EAF0EE"/>
          </w:tcPr>
          <w:p>
            <w:pPr>
              <w:spacing w:after="20"/>
            </w:pPr>
            <w:r>
              <w:rPr>
                <w:b/>
                <w:color w:val="1C3A36"/>
                <w:sz w:val="18"/>
              </w:rPr>
              <w:t>Value</w:t>
            </w:r>
          </w:p>
        </w:tc>
      </w:tr>
      <w:tr>
        <w:trPr>
          <w:cantSplit/>
        </w:trPr>
        <w:tc>
          <w:tcPr>
            <w:tcW w:type="dxa" w:w="3168"/>
          </w:tcPr>
          <w:p>
            <w:pPr>
              <w:spacing w:after="20"/>
            </w:pPr>
            <w:r>
              <w:rPr>
                <w:color w:val="1C3A36"/>
                <w:sz w:val="18"/>
              </w:rPr>
              <w:t>Market capitalisation</w:t>
            </w:r>
          </w:p>
        </w:tc>
        <w:tc>
          <w:tcPr>
            <w:tcW w:type="dxa" w:w="1872"/>
          </w:tcPr>
          <w:p>
            <w:pPr>
              <w:spacing w:after="20"/>
              <w:jc w:val="right"/>
            </w:pPr>
            <w:r>
              <w:rPr>
                <w:color w:val="1C3A36"/>
                <w:sz w:val="18"/>
              </w:rPr>
              <w:t>AED 50,250m</w:t>
            </w:r>
          </w:p>
        </w:tc>
        <w:tc>
          <w:tcPr>
            <w:tcW w:type="dxa" w:w="3168"/>
          </w:tcPr>
          <w:p>
            <w:pPr>
              <w:spacing w:after="20"/>
              <w:jc w:val="right"/>
            </w:pPr>
            <w:r>
              <w:rPr>
                <w:color w:val="1C3A36"/>
                <w:sz w:val="18"/>
              </w:rPr>
              <w:t>Net debt excluding leases</w:t>
            </w:r>
          </w:p>
        </w:tc>
        <w:tc>
          <w:tcPr>
            <w:tcW w:type="dxa" w:w="1872"/>
          </w:tcPr>
          <w:p>
            <w:pPr>
              <w:spacing w:after="20"/>
              <w:jc w:val="right"/>
            </w:pPr>
            <w:r>
              <w:rPr>
                <w:color w:val="1C3A36"/>
                <w:sz w:val="18"/>
              </w:rPr>
              <w:t>AED 2,985m</w:t>
            </w:r>
          </w:p>
        </w:tc>
      </w:tr>
      <w:tr>
        <w:trPr>
          <w:cantSplit/>
        </w:trPr>
        <w:tc>
          <w:tcPr>
            <w:tcW w:type="dxa" w:w="3168"/>
          </w:tcPr>
          <w:p>
            <w:pPr>
              <w:spacing w:after="20"/>
            </w:pPr>
            <w:r>
              <w:rPr>
                <w:color w:val="1C3A36"/>
                <w:sz w:val="18"/>
              </w:rPr>
              <w:t>Lease liabilities</w:t>
            </w:r>
          </w:p>
        </w:tc>
        <w:tc>
          <w:tcPr>
            <w:tcW w:type="dxa" w:w="1872"/>
          </w:tcPr>
          <w:p>
            <w:pPr>
              <w:spacing w:after="20"/>
              <w:jc w:val="right"/>
            </w:pPr>
            <w:r>
              <w:rPr>
                <w:color w:val="1C3A36"/>
                <w:sz w:val="18"/>
              </w:rPr>
              <w:t>AED 1,446m</w:t>
            </w:r>
          </w:p>
        </w:tc>
        <w:tc>
          <w:tcPr>
            <w:tcW w:type="dxa" w:w="3168"/>
          </w:tcPr>
          <w:p>
            <w:pPr>
              <w:spacing w:after="20"/>
              <w:jc w:val="right"/>
            </w:pPr>
            <w:r>
              <w:rPr>
                <w:color w:val="1C3A36"/>
                <w:sz w:val="18"/>
              </w:rPr>
              <w:t>Enterprise value on the traded price</w:t>
            </w:r>
          </w:p>
        </w:tc>
        <w:tc>
          <w:tcPr>
            <w:tcW w:type="dxa" w:w="1872"/>
          </w:tcPr>
          <w:p>
            <w:pPr>
              <w:spacing w:after="20"/>
              <w:jc w:val="right"/>
            </w:pPr>
            <w:r>
              <w:rPr>
                <w:color w:val="1C3A36"/>
                <w:sz w:val="18"/>
              </w:rPr>
              <w:t>AED 54,912m</w:t>
            </w:r>
          </w:p>
        </w:tc>
      </w:tr>
      <w:tr>
        <w:trPr>
          <w:cantSplit/>
        </w:trPr>
        <w:tc>
          <w:tcPr>
            <w:tcW w:type="dxa" w:w="3168"/>
          </w:tcPr>
          <w:p>
            <w:pPr>
              <w:spacing w:after="20"/>
            </w:pPr>
            <w:r>
              <w:rPr>
                <w:color w:val="1C3A36"/>
                <w:sz w:val="18"/>
              </w:rPr>
              <w:t>FY2025 revenue</w:t>
            </w:r>
          </w:p>
        </w:tc>
        <w:tc>
          <w:tcPr>
            <w:tcW w:type="dxa" w:w="1872"/>
          </w:tcPr>
          <w:p>
            <w:pPr>
              <w:spacing w:after="20"/>
              <w:jc w:val="right"/>
            </w:pPr>
            <w:r>
              <w:rPr>
                <w:color w:val="1C3A36"/>
                <w:sz w:val="18"/>
              </w:rPr>
              <w:t>AED 35,897m</w:t>
            </w:r>
          </w:p>
        </w:tc>
        <w:tc>
          <w:tcPr>
            <w:tcW w:type="dxa" w:w="3168"/>
          </w:tcPr>
          <w:p>
            <w:pPr>
              <w:spacing w:after="20"/>
              <w:jc w:val="right"/>
            </w:pPr>
            <w:r>
              <w:rPr>
                <w:color w:val="1C3A36"/>
                <w:sz w:val="18"/>
              </w:rPr>
              <w:t>FY2025 EBITDA</w:t>
            </w:r>
          </w:p>
        </w:tc>
        <w:tc>
          <w:tcPr>
            <w:tcW w:type="dxa" w:w="1872"/>
          </w:tcPr>
          <w:p>
            <w:pPr>
              <w:spacing w:after="20"/>
              <w:jc w:val="right"/>
            </w:pPr>
            <w:r>
              <w:rPr>
                <w:color w:val="1C3A36"/>
                <w:sz w:val="18"/>
              </w:rPr>
              <w:t>AED 4,282m</w:t>
            </w:r>
          </w:p>
        </w:tc>
      </w:tr>
      <w:tr>
        <w:trPr>
          <w:cantSplit/>
        </w:trPr>
        <w:tc>
          <w:tcPr>
            <w:tcW w:type="dxa" w:w="3168"/>
          </w:tcPr>
          <w:p>
            <w:pPr>
              <w:spacing w:after="20"/>
            </w:pPr>
            <w:r>
              <w:rPr>
                <w:color w:val="1C3A36"/>
                <w:sz w:val="18"/>
              </w:rPr>
              <w:t>FY2025 attributable profit</w:t>
            </w:r>
          </w:p>
        </w:tc>
        <w:tc>
          <w:tcPr>
            <w:tcW w:type="dxa" w:w="1872"/>
          </w:tcPr>
          <w:p>
            <w:pPr>
              <w:spacing w:after="20"/>
              <w:jc w:val="right"/>
            </w:pPr>
            <w:r>
              <w:rPr>
                <w:color w:val="1C3A36"/>
                <w:sz w:val="18"/>
              </w:rPr>
              <w:t>AED 2,794m</w:t>
            </w:r>
          </w:p>
        </w:tc>
        <w:tc>
          <w:tcPr>
            <w:tcW w:type="dxa" w:w="3168"/>
          </w:tcPr>
          <w:p>
            <w:pPr>
              <w:spacing w:after="20"/>
              <w:jc w:val="right"/>
            </w:pPr>
            <w:r>
              <w:rPr>
                <w:color w:val="1C3A36"/>
                <w:sz w:val="18"/>
              </w:rPr>
              <w:t>FY2025 fuel volume</w:t>
            </w:r>
          </w:p>
        </w:tc>
        <w:tc>
          <w:tcPr>
            <w:tcW w:type="dxa" w:w="1872"/>
          </w:tcPr>
          <w:p>
            <w:pPr>
              <w:spacing w:after="20"/>
              <w:jc w:val="right"/>
            </w:pPr>
            <w:r>
              <w:rPr>
                <w:color w:val="1C3A36"/>
                <w:sz w:val="18"/>
              </w:rPr>
              <w:t>15,710m litres</w:t>
            </w:r>
          </w:p>
        </w:tc>
      </w:tr>
      <w:tr>
        <w:trPr>
          <w:cantSplit/>
        </w:trPr>
        <w:tc>
          <w:tcPr>
            <w:tcW w:type="dxa" w:w="3168"/>
          </w:tcPr>
          <w:p>
            <w:pPr>
              <w:spacing w:after="20"/>
            </w:pPr>
            <w:r>
              <w:rPr>
                <w:color w:val="1C3A36"/>
                <w:sz w:val="18"/>
              </w:rPr>
              <w:t>Trailing price / earnings</w:t>
            </w:r>
          </w:p>
        </w:tc>
        <w:tc>
          <w:tcPr>
            <w:tcW w:type="dxa" w:w="1872"/>
          </w:tcPr>
          <w:p>
            <w:pPr>
              <w:spacing w:after="20"/>
              <w:jc w:val="right"/>
            </w:pPr>
            <w:r>
              <w:rPr>
                <w:color w:val="1C3A36"/>
                <w:sz w:val="18"/>
              </w:rPr>
              <w:t>17.9x</w:t>
            </w:r>
          </w:p>
        </w:tc>
        <w:tc>
          <w:tcPr>
            <w:tcW w:type="dxa" w:w="3168"/>
          </w:tcPr>
          <w:p>
            <w:pPr>
              <w:spacing w:after="20"/>
              <w:jc w:val="right"/>
            </w:pPr>
            <w:r>
              <w:rPr>
                <w:color w:val="1C3A36"/>
                <w:sz w:val="18"/>
              </w:rPr>
              <w:t>Trailing enterprise value / EBITDA</w:t>
            </w:r>
          </w:p>
        </w:tc>
        <w:tc>
          <w:tcPr>
            <w:tcW w:type="dxa" w:w="1872"/>
          </w:tcPr>
          <w:p>
            <w:pPr>
              <w:spacing w:after="20"/>
              <w:jc w:val="right"/>
            </w:pPr>
            <w:r>
              <w:rPr>
                <w:color w:val="1C3A36"/>
                <w:sz w:val="18"/>
              </w:rPr>
              <w:t>12.8x</w:t>
            </w:r>
          </w:p>
        </w:tc>
      </w:tr>
      <w:tr>
        <w:trPr>
          <w:cantSplit/>
        </w:trPr>
        <w:tc>
          <w:tcPr>
            <w:tcW w:type="dxa" w:w="3168"/>
          </w:tcPr>
          <w:p>
            <w:pPr>
              <w:spacing w:after="20"/>
            </w:pPr>
            <w:r>
              <w:rPr>
                <w:color w:val="1C3A36"/>
                <w:sz w:val="18"/>
              </w:rPr>
              <w:t>Cost of equity</w:t>
            </w:r>
          </w:p>
        </w:tc>
        <w:tc>
          <w:tcPr>
            <w:tcW w:type="dxa" w:w="1872"/>
          </w:tcPr>
          <w:p>
            <w:pPr>
              <w:spacing w:after="20"/>
              <w:jc w:val="right"/>
            </w:pPr>
            <w:r>
              <w:rPr>
                <w:color w:val="1C3A36"/>
                <w:sz w:val="18"/>
              </w:rPr>
              <w:t>7.60%</w:t>
            </w:r>
          </w:p>
        </w:tc>
        <w:tc>
          <w:tcPr>
            <w:tcW w:type="dxa" w:w="3168"/>
          </w:tcPr>
          <w:p>
            <w:pPr>
              <w:spacing w:after="20"/>
              <w:jc w:val="right"/>
            </w:pPr>
            <w:r>
              <w:rPr>
                <w:color w:val="1C3A36"/>
                <w:sz w:val="18"/>
              </w:rPr>
              <w:t>Discount rate, first forecast year</w:t>
            </w:r>
          </w:p>
        </w:tc>
        <w:tc>
          <w:tcPr>
            <w:tcW w:type="dxa" w:w="1872"/>
          </w:tcPr>
          <w:p>
            <w:pPr>
              <w:spacing w:after="20"/>
              <w:jc w:val="right"/>
            </w:pPr>
            <w:r>
              <w:rPr>
                <w:color w:val="1C3A36"/>
                <w:sz w:val="18"/>
              </w:rPr>
              <w:t>7.44%</w:t>
            </w:r>
          </w:p>
        </w:tc>
      </w:tr>
      <w:tr>
        <w:trPr>
          <w:cantSplit/>
        </w:trPr>
        <w:tc>
          <w:tcPr>
            <w:tcW w:type="dxa" w:w="3168"/>
          </w:tcPr>
          <w:p>
            <w:pPr>
              <w:spacing w:after="20"/>
            </w:pPr>
            <w:r>
              <w:rPr>
                <w:color w:val="1C3A36"/>
                <w:sz w:val="18"/>
              </w:rPr>
              <w:t>Discount rate, terminal</w:t>
            </w:r>
          </w:p>
        </w:tc>
        <w:tc>
          <w:tcPr>
            <w:tcW w:type="dxa" w:w="1872"/>
          </w:tcPr>
          <w:p>
            <w:pPr>
              <w:spacing w:after="20"/>
              <w:jc w:val="right"/>
            </w:pPr>
            <w:r>
              <w:rPr>
                <w:color w:val="1C3A36"/>
                <w:sz w:val="18"/>
              </w:rPr>
              <w:t>7.44%</w:t>
            </w:r>
          </w:p>
        </w:tc>
        <w:tc>
          <w:tcPr>
            <w:tcW w:type="dxa" w:w="3168"/>
          </w:tcPr>
          <w:p>
            <w:pPr>
              <w:spacing w:after="20"/>
              <w:jc w:val="right"/>
            </w:pPr>
            <w:r>
              <w:rPr>
                <w:color w:val="1C3A36"/>
                <w:sz w:val="18"/>
              </w:rPr>
              <w:t>Policy dividend per share</w:t>
            </w:r>
          </w:p>
        </w:tc>
        <w:tc>
          <w:tcPr>
            <w:tcW w:type="dxa" w:w="1872"/>
          </w:tcPr>
          <w:p>
            <w:pPr>
              <w:spacing w:after="20"/>
              <w:jc w:val="right"/>
            </w:pPr>
            <w:r>
              <w:rPr>
                <w:color w:val="1C3A36"/>
                <w:sz w:val="18"/>
              </w:rPr>
              <w:t>AED 0.21 (5.1% yield)</w:t>
            </w:r>
          </w:p>
        </w:tc>
      </w:tr>
      <w:tr>
        <w:trPr>
          <w:cantSplit/>
        </w:trPr>
        <w:tc>
          <w:tcPr>
            <w:tcW w:type="dxa" w:w="3168"/>
          </w:tcPr>
          <w:p>
            <w:pPr>
              <w:spacing w:after="20"/>
            </w:pPr>
            <w:r>
              <w:rPr>
                <w:color w:val="1C3A36"/>
                <w:sz w:val="18"/>
              </w:rPr>
              <w:t>Return on average equity, FY2025</w:t>
            </w:r>
          </w:p>
        </w:tc>
        <w:tc>
          <w:tcPr>
            <w:tcW w:type="dxa" w:w="1872"/>
          </w:tcPr>
          <w:p>
            <w:pPr>
              <w:spacing w:after="20"/>
              <w:jc w:val="right"/>
            </w:pPr>
            <w:r>
              <w:rPr>
                <w:color w:val="1C3A36"/>
                <w:sz w:val="18"/>
              </w:rPr>
              <w:t>86.5%</w:t>
            </w:r>
          </w:p>
        </w:tc>
        <w:tc>
          <w:tcPr>
            <w:tcW w:type="dxa" w:w="3168"/>
          </w:tcPr>
          <w:p>
            <w:pPr>
              <w:spacing w:after="20"/>
              <w:jc w:val="right"/>
            </w:pPr>
            <w:r>
              <w:rPr>
                <w:color w:val="1C3A36"/>
                <w:sz w:val="18"/>
              </w:rPr>
              <w:t>Service stations, mid-2026</w:t>
            </w:r>
          </w:p>
        </w:tc>
        <w:tc>
          <w:tcPr>
            <w:tcW w:type="dxa" w:w="1872"/>
          </w:tcPr>
          <w:p>
            <w:pPr>
              <w:spacing w:after="20"/>
              <w:jc w:val="right"/>
            </w:pPr>
            <w:r>
              <w:rPr>
                <w:color w:val="1C3A36"/>
                <w:sz w:val="18"/>
              </w:rPr>
              <w:t>1,045</w:t>
            </w:r>
          </w:p>
        </w:tc>
      </w:tr>
    </w:tbl>
    <w:p>
      <w:pPr>
        <w:spacing w:after="40"/>
      </w:pPr>
    </w:p>
    <w:p>
      <w:pPr>
        <w:spacing w:after="200" w:before="0"/>
      </w:pPr>
      <w:r>
        <w:rPr>
          <w:b w:val="0"/>
          <w:i/>
          <w:color w:val="6E7B77"/>
          <w:sz w:val="17"/>
        </w:rPr>
        <w:t>Table 2 — the figures a reader needs before anything else. Enterprise value carries the lease liability and the non-controlling interest, on the same basis the valuation bridge in section 1.1 uses, so the multiple beside it and the bridge are struck on one definition.</w:t>
      </w:r>
    </w:p>
    <w:p>
      <w:pPr>
        <w:spacing w:after="120" w:before="280"/>
      </w:pPr>
      <w:r>
        <w:rPr>
          <w:b/>
          <w:i w:val="0"/>
          <w:color w:val="1C3A36"/>
          <w:sz w:val="30"/>
        </w:rPr>
        <w:t>Company overview</w:t>
      </w:r>
    </w:p>
    <w:p>
      <w:pPr>
        <w:spacing w:after="120" w:before="0"/>
      </w:pPr>
      <w:r>
        <w:rPr>
          <w:b w:val="0"/>
          <w:i w:val="0"/>
          <w:color w:val="1C3A36"/>
          <w:sz w:val="21"/>
        </w:rPr>
        <w:t>ADNOC Distribution is the fuel and convenience retailing arm of the Abu Dhabi National Oil Company, listed on the Abu Dhabi Securities Exchange in December 2017 with roughly 23% of its shares in free float and the parent retaining the balance. It runs 1,045 service stations — 569 in the United Arab Emirates, 231 in Saudi Arabia and 245 in Egypt — together with 541 convenience stores and 406 electric-vehicle charging points, all figures as at the end of June 2026.</w:t>
      </w:r>
    </w:p>
    <w:p>
      <w:pPr>
        <w:spacing w:after="120" w:before="0"/>
      </w:pPr>
      <w:r>
        <w:rPr>
          <w:b w:val="0"/>
          <w:i w:val="0"/>
          <w:color w:val="1C3A36"/>
          <w:sz w:val="21"/>
        </w:rPr>
        <w:t>The business has four disclosed revenue legs and they behave differently enough that blending them would destroy information. Retail fuel is the sale of petrol and diesel at the pump to the motoring public, at a price the company does not set. Non-fuel retail is convenience stores, car care and the property income underneath them — a genuine retail margin, and the only leg where the company has full pricing freedom. Corporate fuel is bulk supply to government, fleet and industrial customers under contract. Aviation is jet fuel into airports. The first two are a retail network business; the second two are a distribution business with different working capital, different margins and different competitive dynamics.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76"/>
        <w:gridCol w:w="1512"/>
        <w:gridCol w:w="1512"/>
        <w:gridCol w:w="1152"/>
        <w:gridCol w:w="1512"/>
        <w:gridCol w:w="1656"/>
      </w:tblGrid>
      <w:tr>
        <w:trPr>
          <w:cantSplit/>
        </w:trPr>
        <w:tc>
          <w:tcPr>
            <w:tcW w:type="dxa" w:w="2376"/>
            <w:shd w:val="clear" w:color="auto" w:fill="EAF0EE"/>
          </w:tcPr>
          <w:p>
            <w:pPr>
              <w:spacing w:after="20"/>
            </w:pPr>
            <w:r>
              <w:rPr>
                <w:b/>
                <w:color w:val="1C3A36"/>
                <w:sz w:val="17"/>
              </w:rPr>
              <w:t>Revenue leg</w:t>
            </w:r>
          </w:p>
        </w:tc>
        <w:tc>
          <w:tcPr>
            <w:tcW w:type="dxa" w:w="1512"/>
            <w:shd w:val="clear" w:color="auto" w:fill="EAF0EE"/>
          </w:tcPr>
          <w:p>
            <w:pPr>
              <w:spacing w:after="20"/>
            </w:pPr>
            <w:r>
              <w:rPr>
                <w:b/>
                <w:color w:val="1C3A36"/>
                <w:sz w:val="17"/>
              </w:rPr>
              <w:t>FY2024</w:t>
            </w:r>
          </w:p>
        </w:tc>
        <w:tc>
          <w:tcPr>
            <w:tcW w:type="dxa" w:w="1512"/>
            <w:shd w:val="clear" w:color="auto" w:fill="EAF0EE"/>
          </w:tcPr>
          <w:p>
            <w:pPr>
              <w:spacing w:after="20"/>
            </w:pPr>
            <w:r>
              <w:rPr>
                <w:b/>
                <w:color w:val="1C3A36"/>
                <w:sz w:val="17"/>
              </w:rPr>
              <w:t>FY2025</w:t>
            </w:r>
          </w:p>
        </w:tc>
        <w:tc>
          <w:tcPr>
            <w:tcW w:type="dxa" w:w="1152"/>
            <w:shd w:val="clear" w:color="auto" w:fill="EAF0EE"/>
          </w:tcPr>
          <w:p>
            <w:pPr>
              <w:spacing w:after="20"/>
            </w:pPr>
            <w:r>
              <w:rPr>
                <w:b/>
                <w:color w:val="1C3A36"/>
                <w:sz w:val="17"/>
              </w:rPr>
              <w:t>Growth</w:t>
            </w:r>
          </w:p>
        </w:tc>
        <w:tc>
          <w:tcPr>
            <w:tcW w:type="dxa" w:w="1512"/>
            <w:shd w:val="clear" w:color="auto" w:fill="EAF0EE"/>
          </w:tcPr>
          <w:p>
            <w:pPr>
              <w:spacing w:after="20"/>
            </w:pPr>
            <w:r>
              <w:rPr>
                <w:b/>
                <w:color w:val="1C3A36"/>
                <w:sz w:val="17"/>
              </w:rPr>
              <w:t>H1-2026</w:t>
            </w:r>
          </w:p>
        </w:tc>
        <w:tc>
          <w:tcPr>
            <w:tcW w:type="dxa" w:w="1656"/>
            <w:shd w:val="clear" w:color="auto" w:fill="EAF0EE"/>
          </w:tcPr>
          <w:p>
            <w:pPr>
              <w:spacing w:after="20"/>
            </w:pPr>
            <w:r>
              <w:rPr>
                <w:b/>
                <w:color w:val="1C3A36"/>
                <w:sz w:val="17"/>
              </w:rPr>
              <w:t>Share of FY2025</w:t>
            </w:r>
          </w:p>
        </w:tc>
      </w:tr>
      <w:tr>
        <w:trPr>
          <w:cantSplit/>
        </w:trPr>
        <w:tc>
          <w:tcPr>
            <w:tcW w:type="dxa" w:w="2376"/>
          </w:tcPr>
          <w:p>
            <w:pPr>
              <w:spacing w:after="20"/>
            </w:pPr>
            <w:r>
              <w:rPr>
                <w:color w:val="1C3A36"/>
                <w:sz w:val="17"/>
              </w:rPr>
              <w:t>Retail fuel</w:t>
            </w:r>
          </w:p>
        </w:tc>
        <w:tc>
          <w:tcPr>
            <w:tcW w:type="dxa" w:w="1512"/>
          </w:tcPr>
          <w:p>
            <w:pPr>
              <w:spacing w:after="20"/>
              <w:jc w:val="right"/>
            </w:pPr>
            <w:r>
              <w:rPr>
                <w:color w:val="1C3A36"/>
                <w:sz w:val="17"/>
              </w:rPr>
              <w:t>22,223</w:t>
            </w:r>
          </w:p>
        </w:tc>
        <w:tc>
          <w:tcPr>
            <w:tcW w:type="dxa" w:w="1512"/>
          </w:tcPr>
          <w:p>
            <w:pPr>
              <w:spacing w:after="20"/>
              <w:jc w:val="right"/>
            </w:pPr>
            <w:r>
              <w:rPr>
                <w:color w:val="1C3A36"/>
                <w:sz w:val="17"/>
              </w:rPr>
              <w:t>22,797</w:t>
            </w:r>
          </w:p>
        </w:tc>
        <w:tc>
          <w:tcPr>
            <w:tcW w:type="dxa" w:w="1152"/>
          </w:tcPr>
          <w:p>
            <w:pPr>
              <w:spacing w:after="20"/>
              <w:jc w:val="right"/>
            </w:pPr>
            <w:r>
              <w:rPr>
                <w:color w:val="1C3A36"/>
                <w:sz w:val="17"/>
              </w:rPr>
              <w:t>2.6%</w:t>
            </w:r>
          </w:p>
        </w:tc>
        <w:tc>
          <w:tcPr>
            <w:tcW w:type="dxa" w:w="1512"/>
          </w:tcPr>
          <w:p>
            <w:pPr>
              <w:spacing w:after="20"/>
              <w:jc w:val="right"/>
            </w:pPr>
            <w:r>
              <w:rPr>
                <w:color w:val="1C3A36"/>
                <w:sz w:val="17"/>
              </w:rPr>
              <w:t>13,170</w:t>
            </w:r>
          </w:p>
        </w:tc>
        <w:tc>
          <w:tcPr>
            <w:tcW w:type="dxa" w:w="1656"/>
          </w:tcPr>
          <w:p>
            <w:pPr>
              <w:spacing w:after="20"/>
              <w:jc w:val="right"/>
            </w:pPr>
            <w:r>
              <w:rPr>
                <w:color w:val="1C3A36"/>
                <w:sz w:val="17"/>
              </w:rPr>
              <w:t>63.5%</w:t>
            </w:r>
          </w:p>
        </w:tc>
      </w:tr>
      <w:tr>
        <w:trPr>
          <w:cantSplit/>
        </w:trPr>
        <w:tc>
          <w:tcPr>
            <w:tcW w:type="dxa" w:w="2376"/>
          </w:tcPr>
          <w:p>
            <w:pPr>
              <w:spacing w:after="20"/>
            </w:pPr>
            <w:r>
              <w:rPr>
                <w:color w:val="1C3A36"/>
                <w:sz w:val="17"/>
              </w:rPr>
              <w:t>Non-fuel retail</w:t>
            </w:r>
          </w:p>
        </w:tc>
        <w:tc>
          <w:tcPr>
            <w:tcW w:type="dxa" w:w="1512"/>
          </w:tcPr>
          <w:p>
            <w:pPr>
              <w:spacing w:after="20"/>
              <w:jc w:val="right"/>
            </w:pPr>
            <w:r>
              <w:rPr>
                <w:color w:val="1C3A36"/>
                <w:sz w:val="17"/>
              </w:rPr>
              <w:t>1,575</w:t>
            </w:r>
          </w:p>
        </w:tc>
        <w:tc>
          <w:tcPr>
            <w:tcW w:type="dxa" w:w="1512"/>
          </w:tcPr>
          <w:p>
            <w:pPr>
              <w:spacing w:after="20"/>
              <w:jc w:val="right"/>
            </w:pPr>
            <w:r>
              <w:rPr>
                <w:color w:val="1C3A36"/>
                <w:sz w:val="17"/>
              </w:rPr>
              <w:t>1,784</w:t>
            </w:r>
          </w:p>
        </w:tc>
        <w:tc>
          <w:tcPr>
            <w:tcW w:type="dxa" w:w="1152"/>
          </w:tcPr>
          <w:p>
            <w:pPr>
              <w:spacing w:after="20"/>
              <w:jc w:val="right"/>
            </w:pPr>
            <w:r>
              <w:rPr>
                <w:color w:val="1C3A36"/>
                <w:sz w:val="17"/>
              </w:rPr>
              <w:t>13.2%</w:t>
            </w:r>
          </w:p>
        </w:tc>
        <w:tc>
          <w:tcPr>
            <w:tcW w:type="dxa" w:w="1512"/>
          </w:tcPr>
          <w:p>
            <w:pPr>
              <w:spacing w:after="20"/>
              <w:jc w:val="right"/>
            </w:pPr>
            <w:r>
              <w:rPr>
                <w:color w:val="1C3A36"/>
                <w:sz w:val="17"/>
              </w:rPr>
              <w:t>927</w:t>
            </w:r>
          </w:p>
        </w:tc>
        <w:tc>
          <w:tcPr>
            <w:tcW w:type="dxa" w:w="1656"/>
          </w:tcPr>
          <w:p>
            <w:pPr>
              <w:spacing w:after="20"/>
              <w:jc w:val="right"/>
            </w:pPr>
            <w:r>
              <w:rPr>
                <w:color w:val="1C3A36"/>
                <w:sz w:val="17"/>
              </w:rPr>
              <w:t>5.0%</w:t>
            </w:r>
          </w:p>
        </w:tc>
      </w:tr>
      <w:tr>
        <w:trPr>
          <w:cantSplit/>
        </w:trPr>
        <w:tc>
          <w:tcPr>
            <w:tcW w:type="dxa" w:w="2376"/>
          </w:tcPr>
          <w:p>
            <w:pPr>
              <w:spacing w:after="20"/>
            </w:pPr>
            <w:r>
              <w:rPr>
                <w:color w:val="1C3A36"/>
                <w:sz w:val="17"/>
              </w:rPr>
              <w:t>Corporate fuel</w:t>
            </w:r>
          </w:p>
        </w:tc>
        <w:tc>
          <w:tcPr>
            <w:tcW w:type="dxa" w:w="1512"/>
          </w:tcPr>
          <w:p>
            <w:pPr>
              <w:spacing w:after="20"/>
              <w:jc w:val="right"/>
            </w:pPr>
            <w:r>
              <w:rPr>
                <w:color w:val="1C3A36"/>
                <w:sz w:val="17"/>
              </w:rPr>
              <w:t>10,085</w:t>
            </w:r>
          </w:p>
        </w:tc>
        <w:tc>
          <w:tcPr>
            <w:tcW w:type="dxa" w:w="1512"/>
          </w:tcPr>
          <w:p>
            <w:pPr>
              <w:spacing w:after="20"/>
              <w:jc w:val="right"/>
            </w:pPr>
            <w:r>
              <w:rPr>
                <w:color w:val="1C3A36"/>
                <w:sz w:val="17"/>
              </w:rPr>
              <w:t>9,572</w:t>
            </w:r>
          </w:p>
        </w:tc>
        <w:tc>
          <w:tcPr>
            <w:tcW w:type="dxa" w:w="1152"/>
          </w:tcPr>
          <w:p>
            <w:pPr>
              <w:spacing w:after="20"/>
              <w:jc w:val="right"/>
            </w:pPr>
            <w:r>
              <w:rPr>
                <w:color w:val="1C3A36"/>
                <w:sz w:val="17"/>
              </w:rPr>
              <w:t>-5.1%</w:t>
            </w:r>
          </w:p>
        </w:tc>
        <w:tc>
          <w:tcPr>
            <w:tcW w:type="dxa" w:w="1512"/>
          </w:tcPr>
          <w:p>
            <w:pPr>
              <w:spacing w:after="20"/>
              <w:jc w:val="right"/>
            </w:pPr>
            <w:r>
              <w:rPr>
                <w:color w:val="1C3A36"/>
                <w:sz w:val="17"/>
              </w:rPr>
              <w:t>6,282</w:t>
            </w:r>
          </w:p>
        </w:tc>
        <w:tc>
          <w:tcPr>
            <w:tcW w:type="dxa" w:w="1656"/>
          </w:tcPr>
          <w:p>
            <w:pPr>
              <w:spacing w:after="20"/>
              <w:jc w:val="right"/>
            </w:pPr>
            <w:r>
              <w:rPr>
                <w:color w:val="1C3A36"/>
                <w:sz w:val="17"/>
              </w:rPr>
              <w:t>26.7%</w:t>
            </w:r>
          </w:p>
        </w:tc>
      </w:tr>
      <w:tr>
        <w:trPr>
          <w:cantSplit/>
        </w:trPr>
        <w:tc>
          <w:tcPr>
            <w:tcW w:type="dxa" w:w="2376"/>
          </w:tcPr>
          <w:p>
            <w:pPr>
              <w:spacing w:after="20"/>
            </w:pPr>
            <w:r>
              <w:rPr>
                <w:color w:val="1C3A36"/>
                <w:sz w:val="17"/>
              </w:rPr>
              <w:t>Aviation fuel</w:t>
            </w:r>
          </w:p>
        </w:tc>
        <w:tc>
          <w:tcPr>
            <w:tcW w:type="dxa" w:w="1512"/>
          </w:tcPr>
          <w:p>
            <w:pPr>
              <w:spacing w:after="20"/>
              <w:jc w:val="right"/>
            </w:pPr>
            <w:r>
              <w:rPr>
                <w:color w:val="1C3A36"/>
                <w:sz w:val="17"/>
              </w:rPr>
              <w:t>1,570</w:t>
            </w:r>
          </w:p>
        </w:tc>
        <w:tc>
          <w:tcPr>
            <w:tcW w:type="dxa" w:w="1512"/>
          </w:tcPr>
          <w:p>
            <w:pPr>
              <w:spacing w:after="20"/>
              <w:jc w:val="right"/>
            </w:pPr>
            <w:r>
              <w:rPr>
                <w:color w:val="1C3A36"/>
                <w:sz w:val="17"/>
              </w:rPr>
              <w:t>1,744</w:t>
            </w:r>
          </w:p>
        </w:tc>
        <w:tc>
          <w:tcPr>
            <w:tcW w:type="dxa" w:w="1152"/>
          </w:tcPr>
          <w:p>
            <w:pPr>
              <w:spacing w:after="20"/>
              <w:jc w:val="right"/>
            </w:pPr>
            <w:r>
              <w:rPr>
                <w:color w:val="1C3A36"/>
                <w:sz w:val="17"/>
              </w:rPr>
              <w:t>11.1%</w:t>
            </w:r>
          </w:p>
        </w:tc>
        <w:tc>
          <w:tcPr>
            <w:tcW w:type="dxa" w:w="1512"/>
          </w:tcPr>
          <w:p>
            <w:pPr>
              <w:spacing w:after="20"/>
              <w:jc w:val="right"/>
            </w:pPr>
            <w:r>
              <w:rPr>
                <w:color w:val="1C3A36"/>
                <w:sz w:val="17"/>
              </w:rPr>
              <w:t>1,655</w:t>
            </w:r>
          </w:p>
        </w:tc>
        <w:tc>
          <w:tcPr>
            <w:tcW w:type="dxa" w:w="1656"/>
          </w:tcPr>
          <w:p>
            <w:pPr>
              <w:spacing w:after="20"/>
              <w:jc w:val="right"/>
            </w:pPr>
            <w:r>
              <w:rPr>
                <w:color w:val="1C3A36"/>
                <w:sz w:val="17"/>
              </w:rPr>
              <w:t>4.9%</w:t>
            </w:r>
          </w:p>
        </w:tc>
      </w:tr>
      <w:tr>
        <w:trPr>
          <w:cantSplit/>
        </w:trPr>
        <w:tc>
          <w:tcPr>
            <w:tcW w:type="dxa" w:w="2376"/>
            <w:shd w:val="clear" w:color="auto" w:fill="F6F1E6"/>
          </w:tcPr>
          <w:p>
            <w:pPr>
              <w:spacing w:after="20"/>
            </w:pPr>
            <w:r>
              <w:rPr>
                <w:b/>
                <w:color w:val="1C3A36"/>
                <w:sz w:val="17"/>
              </w:rPr>
              <w:t>Total</w:t>
            </w:r>
          </w:p>
        </w:tc>
        <w:tc>
          <w:tcPr>
            <w:tcW w:type="dxa" w:w="1512"/>
            <w:shd w:val="clear" w:color="auto" w:fill="F6F1E6"/>
          </w:tcPr>
          <w:p>
            <w:pPr>
              <w:spacing w:after="20"/>
              <w:jc w:val="right"/>
            </w:pPr>
            <w:r>
              <w:rPr>
                <w:b/>
                <w:color w:val="1C3A36"/>
                <w:sz w:val="17"/>
              </w:rPr>
              <w:t>35,454</w:t>
            </w:r>
          </w:p>
        </w:tc>
        <w:tc>
          <w:tcPr>
            <w:tcW w:type="dxa" w:w="1512"/>
            <w:shd w:val="clear" w:color="auto" w:fill="F6F1E6"/>
          </w:tcPr>
          <w:p>
            <w:pPr>
              <w:spacing w:after="20"/>
              <w:jc w:val="right"/>
            </w:pPr>
            <w:r>
              <w:rPr>
                <w:b/>
                <w:color w:val="1C3A36"/>
                <w:sz w:val="17"/>
              </w:rPr>
              <w:t>35,897</w:t>
            </w:r>
          </w:p>
        </w:tc>
        <w:tc>
          <w:tcPr>
            <w:tcW w:type="dxa" w:w="1152"/>
            <w:shd w:val="clear" w:color="auto" w:fill="F6F1E6"/>
          </w:tcPr>
          <w:p>
            <w:pPr>
              <w:spacing w:after="20"/>
              <w:jc w:val="right"/>
            </w:pPr>
            <w:r>
              <w:rPr>
                <w:b/>
                <w:color w:val="1C3A36"/>
                <w:sz w:val="17"/>
              </w:rPr>
              <w:t>1.2%</w:t>
            </w:r>
          </w:p>
        </w:tc>
        <w:tc>
          <w:tcPr>
            <w:tcW w:type="dxa" w:w="1512"/>
            <w:shd w:val="clear" w:color="auto" w:fill="F6F1E6"/>
          </w:tcPr>
          <w:p>
            <w:pPr>
              <w:spacing w:after="20"/>
              <w:jc w:val="right"/>
            </w:pPr>
            <w:r>
              <w:rPr>
                <w:b/>
                <w:color w:val="1C3A36"/>
                <w:sz w:val="17"/>
              </w:rPr>
              <w:t>22,035</w:t>
            </w:r>
          </w:p>
        </w:tc>
        <w:tc>
          <w:tcPr>
            <w:tcW w:type="dxa" w:w="1656"/>
            <w:shd w:val="clear" w:color="auto" w:fill="F6F1E6"/>
          </w:tcPr>
          <w:p>
            <w:pPr>
              <w:spacing w:after="20"/>
              <w:jc w:val="right"/>
            </w:pPr>
            <w:r>
              <w:rPr>
                <w:b/>
                <w:color w:val="1C3A36"/>
                <w:sz w:val="17"/>
              </w:rPr>
              <w:t>100.0%</w:t>
            </w:r>
          </w:p>
        </w:tc>
      </w:tr>
    </w:tbl>
    <w:p>
      <w:pPr>
        <w:spacing w:after="40"/>
      </w:pPr>
    </w:p>
    <w:p>
      <w:pPr>
        <w:spacing w:after="200" w:before="0"/>
      </w:pPr>
      <w:r>
        <w:rPr>
          <w:b w:val="0"/>
          <w:i/>
          <w:color w:val="6E7B77"/>
          <w:sz w:val="17"/>
        </w:rPr>
        <w:t>Table 3 — the disclosed revenue split in AED million, each total SUMMED from its own column rather than quoted. The audited FY2025 consolidated revenue of 35,897 reconciles to the 35,897 above; the difference is rounding within the segment disclosure. Note what the first-half column shows: revenue up 23% annualised on volume up 1.6%. That gap is price, and price here is a pass-through the company does not control.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1656"/>
        <w:gridCol w:w="1656"/>
        <w:gridCol w:w="1440"/>
      </w:tblGrid>
      <w:tr>
        <w:trPr>
          <w:cantSplit/>
        </w:trPr>
        <w:tc>
          <w:tcPr>
            <w:tcW w:type="dxa" w:w="4320"/>
            <w:shd w:val="clear" w:color="auto" w:fill="EAF0EE"/>
          </w:tcPr>
          <w:p>
            <w:pPr>
              <w:spacing w:after="20"/>
            </w:pPr>
            <w:r>
              <w:rPr>
                <w:b/>
                <w:color w:val="1C3A36"/>
                <w:sz w:val="17"/>
              </w:rPr>
              <w:t>Operating measure</w:t>
            </w:r>
          </w:p>
        </w:tc>
        <w:tc>
          <w:tcPr>
            <w:tcW w:type="dxa" w:w="1656"/>
            <w:shd w:val="clear" w:color="auto" w:fill="EAF0EE"/>
          </w:tcPr>
          <w:p>
            <w:pPr>
              <w:spacing w:after="20"/>
            </w:pPr>
            <w:r>
              <w:rPr>
                <w:b/>
                <w:color w:val="1C3A36"/>
                <w:sz w:val="17"/>
              </w:rPr>
              <w:t>H1-2025</w:t>
            </w:r>
          </w:p>
        </w:tc>
        <w:tc>
          <w:tcPr>
            <w:tcW w:type="dxa" w:w="1656"/>
            <w:shd w:val="clear" w:color="auto" w:fill="EAF0EE"/>
          </w:tcPr>
          <w:p>
            <w:pPr>
              <w:spacing w:after="20"/>
            </w:pPr>
            <w:r>
              <w:rPr>
                <w:b/>
                <w:color w:val="1C3A36"/>
                <w:sz w:val="17"/>
              </w:rPr>
              <w:t>H1-2026</w:t>
            </w:r>
          </w:p>
        </w:tc>
        <w:tc>
          <w:tcPr>
            <w:tcW w:type="dxa" w:w="1440"/>
            <w:shd w:val="clear" w:color="auto" w:fill="EAF0EE"/>
          </w:tcPr>
          <w:p>
            <w:pPr>
              <w:spacing w:after="20"/>
            </w:pPr>
            <w:r>
              <w:rPr>
                <w:b/>
                <w:color w:val="1C3A36"/>
                <w:sz w:val="17"/>
              </w:rPr>
              <w:t>Change</w:t>
            </w:r>
          </w:p>
        </w:tc>
      </w:tr>
      <w:tr>
        <w:trPr>
          <w:cantSplit/>
        </w:trPr>
        <w:tc>
          <w:tcPr>
            <w:tcW w:type="dxa" w:w="4320"/>
          </w:tcPr>
          <w:p>
            <w:pPr>
              <w:spacing w:after="20"/>
            </w:pPr>
            <w:r>
              <w:rPr>
                <w:color w:val="1C3A36"/>
                <w:sz w:val="17"/>
              </w:rPr>
              <w:t>Service stations</w:t>
            </w:r>
          </w:p>
        </w:tc>
        <w:tc>
          <w:tcPr>
            <w:tcW w:type="dxa" w:w="1656"/>
          </w:tcPr>
          <w:p>
            <w:pPr>
              <w:spacing w:after="20"/>
              <w:jc w:val="right"/>
            </w:pPr>
            <w:r>
              <w:rPr>
                <w:color w:val="1C3A36"/>
                <w:sz w:val="17"/>
              </w:rPr>
              <w:t>939</w:t>
            </w:r>
          </w:p>
        </w:tc>
        <w:tc>
          <w:tcPr>
            <w:tcW w:type="dxa" w:w="1656"/>
          </w:tcPr>
          <w:p>
            <w:pPr>
              <w:spacing w:after="20"/>
              <w:jc w:val="right"/>
            </w:pPr>
            <w:r>
              <w:rPr>
                <w:color w:val="1C3A36"/>
                <w:sz w:val="17"/>
              </w:rPr>
              <w:t>1,045</w:t>
            </w:r>
          </w:p>
        </w:tc>
        <w:tc>
          <w:tcPr>
            <w:tcW w:type="dxa" w:w="1440"/>
          </w:tcPr>
          <w:p>
            <w:pPr>
              <w:spacing w:after="20"/>
              <w:jc w:val="right"/>
            </w:pPr>
            <w:r>
              <w:rPr>
                <w:color w:val="1C3A36"/>
                <w:sz w:val="17"/>
              </w:rPr>
              <w:t>11.3%</w:t>
            </w:r>
          </w:p>
        </w:tc>
      </w:tr>
      <w:tr>
        <w:trPr>
          <w:cantSplit/>
        </w:trPr>
        <w:tc>
          <w:tcPr>
            <w:tcW w:type="dxa" w:w="4320"/>
          </w:tcPr>
          <w:p>
            <w:pPr>
              <w:spacing w:after="20"/>
            </w:pPr>
            <w:r>
              <w:rPr>
                <w:color w:val="1C3A36"/>
                <w:sz w:val="17"/>
              </w:rPr>
              <w:t>Retail fuel volume (m litres)</w:t>
            </w:r>
          </w:p>
        </w:tc>
        <w:tc>
          <w:tcPr>
            <w:tcW w:type="dxa" w:w="1656"/>
          </w:tcPr>
          <w:p>
            <w:pPr>
              <w:spacing w:after="20"/>
              <w:jc w:val="right"/>
            </w:pPr>
            <w:r>
              <w:rPr>
                <w:color w:val="1C3A36"/>
                <w:sz w:val="17"/>
              </w:rPr>
              <w:t>5,324</w:t>
            </w:r>
          </w:p>
        </w:tc>
        <w:tc>
          <w:tcPr>
            <w:tcW w:type="dxa" w:w="1656"/>
          </w:tcPr>
          <w:p>
            <w:pPr>
              <w:spacing w:after="20"/>
              <w:jc w:val="right"/>
            </w:pPr>
            <w:r>
              <w:rPr>
                <w:color w:val="1C3A36"/>
                <w:sz w:val="17"/>
              </w:rPr>
              <w:t>5,376</w:t>
            </w:r>
          </w:p>
        </w:tc>
        <w:tc>
          <w:tcPr>
            <w:tcW w:type="dxa" w:w="1440"/>
          </w:tcPr>
          <w:p>
            <w:pPr>
              <w:spacing w:after="20"/>
              <w:jc w:val="right"/>
            </w:pPr>
            <w:r>
              <w:rPr>
                <w:color w:val="1C3A36"/>
                <w:sz w:val="17"/>
              </w:rPr>
              <w:t>1.0%</w:t>
            </w:r>
          </w:p>
        </w:tc>
      </w:tr>
      <w:tr>
        <w:trPr>
          <w:cantSplit/>
        </w:trPr>
        <w:tc>
          <w:tcPr>
            <w:tcW w:type="dxa" w:w="4320"/>
          </w:tcPr>
          <w:p>
            <w:pPr>
              <w:spacing w:after="20"/>
            </w:pPr>
            <w:r>
              <w:rPr>
                <w:color w:val="1C3A36"/>
                <w:sz w:val="17"/>
              </w:rPr>
              <w:t>Commercial fuel volume (m litres)</w:t>
            </w:r>
          </w:p>
        </w:tc>
        <w:tc>
          <w:tcPr>
            <w:tcW w:type="dxa" w:w="1656"/>
          </w:tcPr>
          <w:p>
            <w:pPr>
              <w:spacing w:after="20"/>
              <w:jc w:val="right"/>
            </w:pPr>
            <w:r>
              <w:rPr>
                <w:color w:val="1C3A36"/>
                <w:sz w:val="17"/>
              </w:rPr>
              <w:t>2,300</w:t>
            </w:r>
          </w:p>
        </w:tc>
        <w:tc>
          <w:tcPr>
            <w:tcW w:type="dxa" w:w="1656"/>
          </w:tcPr>
          <w:p>
            <w:pPr>
              <w:spacing w:after="20"/>
              <w:jc w:val="right"/>
            </w:pPr>
            <w:r>
              <w:rPr>
                <w:color w:val="1C3A36"/>
                <w:sz w:val="17"/>
              </w:rPr>
              <w:t>2,372</w:t>
            </w:r>
          </w:p>
        </w:tc>
        <w:tc>
          <w:tcPr>
            <w:tcW w:type="dxa" w:w="1440"/>
          </w:tcPr>
          <w:p>
            <w:pPr>
              <w:spacing w:after="20"/>
              <w:jc w:val="right"/>
            </w:pPr>
            <w:r>
              <w:rPr>
                <w:color w:val="1C3A36"/>
                <w:sz w:val="17"/>
              </w:rPr>
              <w:t>3.1%</w:t>
            </w:r>
          </w:p>
        </w:tc>
      </w:tr>
      <w:tr>
        <w:trPr>
          <w:cantSplit/>
        </w:trPr>
        <w:tc>
          <w:tcPr>
            <w:tcW w:type="dxa" w:w="4320"/>
          </w:tcPr>
          <w:p>
            <w:pPr>
              <w:spacing w:after="20"/>
            </w:pPr>
            <w:r>
              <w:rPr>
                <w:color w:val="1C3A36"/>
                <w:sz w:val="17"/>
              </w:rPr>
              <w:t xml:space="preserve">   of which corporate</w:t>
            </w:r>
          </w:p>
        </w:tc>
        <w:tc>
          <w:tcPr>
            <w:tcW w:type="dxa" w:w="1656"/>
          </w:tcPr>
          <w:p>
            <w:pPr>
              <w:spacing w:after="20"/>
              <w:jc w:val="right"/>
            </w:pPr>
            <w:r>
              <w:rPr>
                <w:color w:val="1C3A36"/>
                <w:sz w:val="17"/>
              </w:rPr>
              <w:t>2,068</w:t>
            </w:r>
          </w:p>
        </w:tc>
        <w:tc>
          <w:tcPr>
            <w:tcW w:type="dxa" w:w="1656"/>
          </w:tcPr>
          <w:p>
            <w:pPr>
              <w:spacing w:after="20"/>
              <w:jc w:val="right"/>
            </w:pPr>
            <w:r>
              <w:rPr>
                <w:color w:val="1C3A36"/>
                <w:sz w:val="17"/>
              </w:rPr>
              <w:t>2,015</w:t>
            </w:r>
          </w:p>
        </w:tc>
        <w:tc>
          <w:tcPr>
            <w:tcW w:type="dxa" w:w="1440"/>
          </w:tcPr>
          <w:p>
            <w:pPr>
              <w:spacing w:after="20"/>
              <w:jc w:val="right"/>
            </w:pPr>
            <w:r>
              <w:rPr>
                <w:color w:val="1C3A36"/>
                <w:sz w:val="17"/>
              </w:rPr>
              <w:t>-2.6%</w:t>
            </w:r>
          </w:p>
        </w:tc>
      </w:tr>
      <w:tr>
        <w:trPr>
          <w:cantSplit/>
        </w:trPr>
        <w:tc>
          <w:tcPr>
            <w:tcW w:type="dxa" w:w="4320"/>
          </w:tcPr>
          <w:p>
            <w:pPr>
              <w:spacing w:after="20"/>
            </w:pPr>
            <w:r>
              <w:rPr>
                <w:color w:val="1C3A36"/>
                <w:sz w:val="17"/>
              </w:rPr>
              <w:t xml:space="preserve">   of which aviation</w:t>
            </w:r>
          </w:p>
        </w:tc>
        <w:tc>
          <w:tcPr>
            <w:tcW w:type="dxa" w:w="1656"/>
          </w:tcPr>
          <w:p>
            <w:pPr>
              <w:spacing w:after="20"/>
              <w:jc w:val="right"/>
            </w:pPr>
            <w:r>
              <w:rPr>
                <w:color w:val="1C3A36"/>
                <w:sz w:val="17"/>
              </w:rPr>
              <w:t>232</w:t>
            </w:r>
          </w:p>
        </w:tc>
        <w:tc>
          <w:tcPr>
            <w:tcW w:type="dxa" w:w="1656"/>
          </w:tcPr>
          <w:p>
            <w:pPr>
              <w:spacing w:after="20"/>
              <w:jc w:val="right"/>
            </w:pPr>
            <w:r>
              <w:rPr>
                <w:color w:val="1C3A36"/>
                <w:sz w:val="17"/>
              </w:rPr>
              <w:t>357</w:t>
            </w:r>
          </w:p>
        </w:tc>
        <w:tc>
          <w:tcPr>
            <w:tcW w:type="dxa" w:w="1440"/>
          </w:tcPr>
          <w:p>
            <w:pPr>
              <w:spacing w:after="20"/>
              <w:jc w:val="right"/>
            </w:pPr>
            <w:r>
              <w:rPr>
                <w:color w:val="1C3A36"/>
                <w:sz w:val="17"/>
              </w:rPr>
              <w:t>53.9%</w:t>
            </w:r>
          </w:p>
        </w:tc>
      </w:tr>
      <w:tr>
        <w:trPr>
          <w:cantSplit/>
        </w:trPr>
        <w:tc>
          <w:tcPr>
            <w:tcW w:type="dxa" w:w="4320"/>
          </w:tcPr>
          <w:p>
            <w:pPr>
              <w:spacing w:after="20"/>
            </w:pPr>
            <w:r>
              <w:rPr>
                <w:color w:val="1C3A36"/>
                <w:sz w:val="17"/>
              </w:rPr>
              <w:t>Fuel transactions (millions)</w:t>
            </w:r>
          </w:p>
        </w:tc>
        <w:tc>
          <w:tcPr>
            <w:tcW w:type="dxa" w:w="1656"/>
          </w:tcPr>
          <w:p>
            <w:pPr>
              <w:spacing w:after="20"/>
              <w:jc w:val="right"/>
            </w:pPr>
            <w:r>
              <w:rPr>
                <w:color w:val="1C3A36"/>
                <w:sz w:val="17"/>
              </w:rPr>
              <w:t>96.2</w:t>
            </w:r>
          </w:p>
        </w:tc>
        <w:tc>
          <w:tcPr>
            <w:tcW w:type="dxa" w:w="1656"/>
          </w:tcPr>
          <w:p>
            <w:pPr>
              <w:spacing w:after="20"/>
              <w:jc w:val="right"/>
            </w:pPr>
            <w:r>
              <w:rPr>
                <w:color w:val="1C3A36"/>
                <w:sz w:val="17"/>
              </w:rPr>
              <w:t>100.9</w:t>
            </w:r>
          </w:p>
        </w:tc>
        <w:tc>
          <w:tcPr>
            <w:tcW w:type="dxa" w:w="1440"/>
          </w:tcPr>
          <w:p>
            <w:pPr>
              <w:spacing w:after="20"/>
              <w:jc w:val="right"/>
            </w:pPr>
            <w:r>
              <w:rPr>
                <w:color w:val="1C3A36"/>
                <w:sz w:val="17"/>
              </w:rPr>
              <w:t>4.9%</w:t>
            </w:r>
          </w:p>
        </w:tc>
      </w:tr>
      <w:tr>
        <w:trPr>
          <w:cantSplit/>
        </w:trPr>
        <w:tc>
          <w:tcPr>
            <w:tcW w:type="dxa" w:w="4320"/>
          </w:tcPr>
          <w:p>
            <w:pPr>
              <w:spacing w:after="20"/>
            </w:pPr>
            <w:r>
              <w:rPr>
                <w:color w:val="1C3A36"/>
                <w:sz w:val="17"/>
              </w:rPr>
              <w:t>Non-fuel transactions (millions)</w:t>
            </w:r>
          </w:p>
        </w:tc>
        <w:tc>
          <w:tcPr>
            <w:tcW w:type="dxa" w:w="1656"/>
          </w:tcPr>
          <w:p>
            <w:pPr>
              <w:spacing w:after="20"/>
              <w:jc w:val="right"/>
            </w:pPr>
            <w:r>
              <w:rPr>
                <w:color w:val="1C3A36"/>
                <w:sz w:val="17"/>
              </w:rPr>
              <w:t>26.0</w:t>
            </w:r>
          </w:p>
        </w:tc>
        <w:tc>
          <w:tcPr>
            <w:tcW w:type="dxa" w:w="1656"/>
          </w:tcPr>
          <w:p>
            <w:pPr>
              <w:spacing w:after="20"/>
              <w:jc w:val="right"/>
            </w:pPr>
            <w:r>
              <w:rPr>
                <w:color w:val="1C3A36"/>
                <w:sz w:val="17"/>
              </w:rPr>
              <w:t>26.4</w:t>
            </w:r>
          </w:p>
        </w:tc>
        <w:tc>
          <w:tcPr>
            <w:tcW w:type="dxa" w:w="1440"/>
          </w:tcPr>
          <w:p>
            <w:pPr>
              <w:spacing w:after="20"/>
              <w:jc w:val="right"/>
            </w:pPr>
            <w:r>
              <w:rPr>
                <w:color w:val="1C3A36"/>
                <w:sz w:val="17"/>
              </w:rPr>
              <w:t>1.5%</w:t>
            </w:r>
          </w:p>
        </w:tc>
      </w:tr>
    </w:tbl>
    <w:p>
      <w:pPr>
        <w:spacing w:after="40"/>
      </w:pPr>
    </w:p>
    <w:p>
      <w:pPr>
        <w:spacing w:after="200" w:before="0"/>
      </w:pPr>
      <w:r>
        <w:rPr>
          <w:b w:val="0"/>
          <w:i/>
          <w:color w:val="6E7B77"/>
          <w:sz w:val="17"/>
        </w:rPr>
        <w:t>Table 4 — the operating measures that drive the model, from the company's own half-year disclosures. Fuel transactions grew 4.9% while non-fuel transactions grew 1.5%: the network is adding fuel customers faster than it is converting them into the shop. Non-fuel transactions per fuel transaction fell from 0.27 to 0.26, which is the single clearest operating weakness in the disclosure.</w:t>
      </w:r>
    </w:p>
    <w:p>
      <w:pPr>
        <w:spacing w:after="120" w:before="0"/>
      </w:pPr>
      <w:r>
        <w:rPr>
          <w:b w:val="0"/>
          <w:i w:val="0"/>
          <w:color w:val="1C3A36"/>
          <w:sz w:val="21"/>
        </w:rPr>
        <w:t>Two further structural features matter. The supply agreement with the parent sets a minimum margin of roughly 45 fils a litre with no upper limit, and management has described a quarterly, cash-settled mechanism under which the parent absorbs inventory losses on regulated retail stock when prices fall. That is an unusual and genuinely valuable asymmetry: it truncates the downside of the very volatility that produced the FY2026 inventory windfall. Second, the dividend policy commits the company to USD 700 million a year, or AED 0.21 a share, through 2030 — or 92% of net profit if that is higher — and from 2026 it is paid quarterly.</w:t>
      </w:r>
    </w:p>
    <w:p>
      <w:pPr>
        <w:spacing w:after="120" w:before="280"/>
      </w:pPr>
      <w:r>
        <w:rPr>
          <w:b/>
          <w:i w:val="0"/>
          <w:color w:val="1C3A36"/>
          <w:sz w:val="30"/>
        </w:rPr>
        <w:t>1. Fundamental valuation</w:t>
      </w:r>
    </w:p>
    <w:p>
      <w:pPr>
        <w:spacing w:after="120" w:before="0"/>
      </w:pPr>
      <w:r>
        <w:rPr>
          <w:b w:val="0"/>
          <w:i w:val="0"/>
          <w:color w:val="1C3A36"/>
          <w:sz w:val="21"/>
        </w:rPr>
        <w:t>This is an operating company, so it is valued as one: free cash flow to the firm over five explicit years discounted at a cost of capital that glides from today's to a normalised one, plus a terminal value; then cross-read against book value and the return earned on it, against multiples, and against normalised earnings power. Four methods, one field. None of them is the answer on its own.</w:t>
      </w:r>
    </w:p>
    <w:p>
      <w:pPr>
        <w:spacing w:after="80" w:before="200"/>
      </w:pPr>
      <w:r>
        <w:rPr>
          <w:b/>
          <w:i w:val="0"/>
          <w:color w:val="1C3A36"/>
          <w:sz w:val="24"/>
        </w:rPr>
        <w:t>1.1 The cash-flow model</w:t>
      </w:r>
    </w:p>
    <w:p>
      <w:pPr>
        <w:spacing w:after="120" w:before="0"/>
      </w:pPr>
      <w:r>
        <w:rPr>
          <w:b w:val="0"/>
          <w:i w:val="0"/>
          <w:color w:val="1C3A36"/>
          <w:sz w:val="21"/>
        </w:rPr>
        <w:t>Frame A is shown here in full. It normalises inventory movements to zero from FY2027 onward, carrying only the AED 762 million already realised in the first half of 2026. Frame B differs in that one line and is carried through to its own value per share; nothing else between the two frames differs.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325"/>
        <w:gridCol w:w="1325"/>
        <w:gridCol w:w="1325"/>
        <w:gridCol w:w="1325"/>
        <w:gridCol w:w="1325"/>
      </w:tblGrid>
      <w:tr>
        <w:trPr>
          <w:cantSplit/>
        </w:trPr>
        <w:tc>
          <w:tcPr>
            <w:tcW w:type="dxa" w:w="3384"/>
            <w:shd w:val="clear" w:color="auto" w:fill="EAF0EE"/>
          </w:tcPr>
          <w:p>
            <w:pPr>
              <w:spacing w:after="20"/>
            </w:pPr>
            <w:r>
              <w:rPr>
                <w:b/>
                <w:color w:val="1C3A36"/>
                <w:sz w:val="17"/>
              </w:rPr>
              <w:t>AED million</w:t>
            </w:r>
          </w:p>
        </w:tc>
        <w:tc>
          <w:tcPr>
            <w:tcW w:type="dxa" w:w="1325"/>
            <w:shd w:val="clear" w:color="auto" w:fill="EAF0EE"/>
          </w:tcPr>
          <w:p>
            <w:pPr>
              <w:spacing w:after="20"/>
            </w:pPr>
            <w:r>
              <w:rPr>
                <w:b/>
                <w:color w:val="1C3A36"/>
                <w:sz w:val="17"/>
              </w:rPr>
              <w:t>2026E</w:t>
            </w:r>
          </w:p>
        </w:tc>
        <w:tc>
          <w:tcPr>
            <w:tcW w:type="dxa" w:w="1325"/>
            <w:shd w:val="clear" w:color="auto" w:fill="EAF0EE"/>
          </w:tcPr>
          <w:p>
            <w:pPr>
              <w:spacing w:after="20"/>
            </w:pPr>
            <w:r>
              <w:rPr>
                <w:b/>
                <w:color w:val="1C3A36"/>
                <w:sz w:val="17"/>
              </w:rPr>
              <w:t>2027E</w:t>
            </w:r>
          </w:p>
        </w:tc>
        <w:tc>
          <w:tcPr>
            <w:tcW w:type="dxa" w:w="1325"/>
            <w:shd w:val="clear" w:color="auto" w:fill="EAF0EE"/>
          </w:tcPr>
          <w:p>
            <w:pPr>
              <w:spacing w:after="20"/>
            </w:pPr>
            <w:r>
              <w:rPr>
                <w:b/>
                <w:color w:val="1C3A36"/>
                <w:sz w:val="17"/>
              </w:rPr>
              <w:t>2028E</w:t>
            </w:r>
          </w:p>
        </w:tc>
        <w:tc>
          <w:tcPr>
            <w:tcW w:type="dxa" w:w="1325"/>
            <w:shd w:val="clear" w:color="auto" w:fill="EAF0EE"/>
          </w:tcPr>
          <w:p>
            <w:pPr>
              <w:spacing w:after="20"/>
            </w:pPr>
            <w:r>
              <w:rPr>
                <w:b/>
                <w:color w:val="1C3A36"/>
                <w:sz w:val="17"/>
              </w:rPr>
              <w:t>2029E</w:t>
            </w:r>
          </w:p>
        </w:tc>
        <w:tc>
          <w:tcPr>
            <w:tcW w:type="dxa" w:w="1325"/>
            <w:shd w:val="clear" w:color="auto" w:fill="EAF0EE"/>
          </w:tcPr>
          <w:p>
            <w:pPr>
              <w:spacing w:after="20"/>
            </w:pPr>
            <w:r>
              <w:rPr>
                <w:b/>
                <w:color w:val="1C3A36"/>
                <w:sz w:val="17"/>
              </w:rPr>
              <w:t>2030E</w:t>
            </w:r>
          </w:p>
        </w:tc>
      </w:tr>
      <w:tr>
        <w:trPr>
          <w:cantSplit/>
        </w:trPr>
        <w:tc>
          <w:tcPr>
            <w:tcW w:type="dxa" w:w="3384"/>
          </w:tcPr>
          <w:p>
            <w:pPr>
              <w:spacing w:after="20"/>
            </w:pPr>
            <w:r>
              <w:rPr>
                <w:color w:val="1C3A36"/>
                <w:sz w:val="17"/>
              </w:rPr>
              <w:t>Revenue</w:t>
            </w:r>
          </w:p>
        </w:tc>
        <w:tc>
          <w:tcPr>
            <w:tcW w:type="dxa" w:w="1325"/>
          </w:tcPr>
          <w:p>
            <w:pPr>
              <w:spacing w:after="20"/>
              <w:jc w:val="right"/>
            </w:pPr>
            <w:r>
              <w:rPr>
                <w:color w:val="1C3A36"/>
                <w:sz w:val="17"/>
              </w:rPr>
              <w:t>43,836</w:t>
            </w:r>
          </w:p>
        </w:tc>
        <w:tc>
          <w:tcPr>
            <w:tcW w:type="dxa" w:w="1325"/>
          </w:tcPr>
          <w:p>
            <w:pPr>
              <w:spacing w:after="20"/>
              <w:jc w:val="right"/>
            </w:pPr>
            <w:r>
              <w:rPr>
                <w:color w:val="1C3A36"/>
                <w:sz w:val="17"/>
              </w:rPr>
              <w:t>43,215</w:t>
            </w:r>
          </w:p>
        </w:tc>
        <w:tc>
          <w:tcPr>
            <w:tcW w:type="dxa" w:w="1325"/>
          </w:tcPr>
          <w:p>
            <w:pPr>
              <w:spacing w:after="20"/>
              <w:jc w:val="right"/>
            </w:pPr>
            <w:r>
              <w:rPr>
                <w:color w:val="1C3A36"/>
                <w:sz w:val="17"/>
              </w:rPr>
              <w:t>44,450</w:t>
            </w:r>
          </w:p>
        </w:tc>
        <w:tc>
          <w:tcPr>
            <w:tcW w:type="dxa" w:w="1325"/>
          </w:tcPr>
          <w:p>
            <w:pPr>
              <w:spacing w:after="20"/>
              <w:jc w:val="right"/>
            </w:pPr>
            <w:r>
              <w:rPr>
                <w:color w:val="1C3A36"/>
                <w:sz w:val="17"/>
              </w:rPr>
              <w:t>45,876</w:t>
            </w:r>
          </w:p>
        </w:tc>
        <w:tc>
          <w:tcPr>
            <w:tcW w:type="dxa" w:w="1325"/>
          </w:tcPr>
          <w:p>
            <w:pPr>
              <w:spacing w:after="20"/>
              <w:jc w:val="right"/>
            </w:pPr>
            <w:r>
              <w:rPr>
                <w:color w:val="1C3A36"/>
                <w:sz w:val="17"/>
              </w:rPr>
              <w:t>47,321</w:t>
            </w:r>
          </w:p>
        </w:tc>
      </w:tr>
      <w:tr>
        <w:trPr>
          <w:cantSplit/>
        </w:trPr>
        <w:tc>
          <w:tcPr>
            <w:tcW w:type="dxa" w:w="3384"/>
          </w:tcPr>
          <w:p>
            <w:pPr>
              <w:spacing w:after="20"/>
            </w:pPr>
            <w:r>
              <w:rPr>
                <w:color w:val="1C3A36"/>
                <w:sz w:val="17"/>
              </w:rPr>
              <w:t>Gross profit</w:t>
            </w:r>
          </w:p>
        </w:tc>
        <w:tc>
          <w:tcPr>
            <w:tcW w:type="dxa" w:w="1325"/>
          </w:tcPr>
          <w:p>
            <w:pPr>
              <w:spacing w:after="20"/>
              <w:jc w:val="right"/>
            </w:pPr>
            <w:r>
              <w:rPr>
                <w:color w:val="1C3A36"/>
                <w:sz w:val="17"/>
              </w:rPr>
              <w:t>8,247</w:t>
            </w:r>
          </w:p>
        </w:tc>
        <w:tc>
          <w:tcPr>
            <w:tcW w:type="dxa" w:w="1325"/>
          </w:tcPr>
          <w:p>
            <w:pPr>
              <w:spacing w:after="20"/>
              <w:jc w:val="right"/>
            </w:pPr>
            <w:r>
              <w:rPr>
                <w:color w:val="1C3A36"/>
                <w:sz w:val="17"/>
              </w:rPr>
              <w:t>7,769</w:t>
            </w:r>
          </w:p>
        </w:tc>
        <w:tc>
          <w:tcPr>
            <w:tcW w:type="dxa" w:w="1325"/>
          </w:tcPr>
          <w:p>
            <w:pPr>
              <w:spacing w:after="20"/>
              <w:jc w:val="right"/>
            </w:pPr>
            <w:r>
              <w:rPr>
                <w:color w:val="1C3A36"/>
                <w:sz w:val="17"/>
              </w:rPr>
              <w:t>8,076</w:t>
            </w:r>
          </w:p>
        </w:tc>
        <w:tc>
          <w:tcPr>
            <w:tcW w:type="dxa" w:w="1325"/>
          </w:tcPr>
          <w:p>
            <w:pPr>
              <w:spacing w:after="20"/>
              <w:jc w:val="right"/>
            </w:pPr>
            <w:r>
              <w:rPr>
                <w:color w:val="1C3A36"/>
                <w:sz w:val="17"/>
              </w:rPr>
              <w:t>8,421</w:t>
            </w:r>
          </w:p>
        </w:tc>
        <w:tc>
          <w:tcPr>
            <w:tcW w:type="dxa" w:w="1325"/>
          </w:tcPr>
          <w:p>
            <w:pPr>
              <w:spacing w:after="20"/>
              <w:jc w:val="right"/>
            </w:pPr>
            <w:r>
              <w:rPr>
                <w:color w:val="1C3A36"/>
                <w:sz w:val="17"/>
              </w:rPr>
              <w:t>8,777</w:t>
            </w:r>
          </w:p>
        </w:tc>
      </w:tr>
      <w:tr>
        <w:trPr>
          <w:cantSplit/>
        </w:trPr>
        <w:tc>
          <w:tcPr>
            <w:tcW w:type="dxa" w:w="3384"/>
          </w:tcPr>
          <w:p>
            <w:pPr>
              <w:spacing w:after="20"/>
            </w:pPr>
            <w:r>
              <w:rPr>
                <w:color w:val="1C3A36"/>
                <w:sz w:val="17"/>
              </w:rPr>
              <w:t>Less cash operating expenses</w:t>
            </w:r>
          </w:p>
        </w:tc>
        <w:tc>
          <w:tcPr>
            <w:tcW w:type="dxa" w:w="1325"/>
          </w:tcPr>
          <w:p>
            <w:pPr>
              <w:spacing w:after="20"/>
              <w:jc w:val="right"/>
            </w:pPr>
            <w:r>
              <w:rPr>
                <w:color w:val="1C3A36"/>
                <w:sz w:val="17"/>
              </w:rPr>
              <w:t>(2,650)</w:t>
            </w:r>
          </w:p>
        </w:tc>
        <w:tc>
          <w:tcPr>
            <w:tcW w:type="dxa" w:w="1325"/>
          </w:tcPr>
          <w:p>
            <w:pPr>
              <w:spacing w:after="20"/>
              <w:jc w:val="right"/>
            </w:pPr>
            <w:r>
              <w:rPr>
                <w:color w:val="1C3A36"/>
                <w:sz w:val="17"/>
              </w:rPr>
              <w:t>(2,755)</w:t>
            </w:r>
          </w:p>
        </w:tc>
        <w:tc>
          <w:tcPr>
            <w:tcW w:type="dxa" w:w="1325"/>
          </w:tcPr>
          <w:p>
            <w:pPr>
              <w:spacing w:after="20"/>
              <w:jc w:val="right"/>
            </w:pPr>
            <w:r>
              <w:rPr>
                <w:color w:val="1C3A36"/>
                <w:sz w:val="17"/>
              </w:rPr>
              <w:t>(2,866)</w:t>
            </w:r>
          </w:p>
        </w:tc>
        <w:tc>
          <w:tcPr>
            <w:tcW w:type="dxa" w:w="1325"/>
          </w:tcPr>
          <w:p>
            <w:pPr>
              <w:spacing w:after="20"/>
              <w:jc w:val="right"/>
            </w:pPr>
            <w:r>
              <w:rPr>
                <w:color w:val="1C3A36"/>
                <w:sz w:val="17"/>
              </w:rPr>
              <w:t>(2,980)</w:t>
            </w:r>
          </w:p>
        </w:tc>
        <w:tc>
          <w:tcPr>
            <w:tcW w:type="dxa" w:w="1325"/>
          </w:tcPr>
          <w:p>
            <w:pPr>
              <w:spacing w:after="20"/>
              <w:jc w:val="right"/>
            </w:pPr>
            <w:r>
              <w:rPr>
                <w:color w:val="1C3A36"/>
                <w:sz w:val="17"/>
              </w:rPr>
              <w:t>(3,100)</w:t>
            </w:r>
          </w:p>
        </w:tc>
      </w:tr>
      <w:tr>
        <w:trPr>
          <w:cantSplit/>
        </w:trPr>
        <w:tc>
          <w:tcPr>
            <w:tcW w:type="dxa" w:w="3384"/>
          </w:tcPr>
          <w:p>
            <w:pPr>
              <w:spacing w:after="20"/>
            </w:pPr>
            <w:r>
              <w:rPr>
                <w:color w:val="1C3A36"/>
                <w:sz w:val="17"/>
              </w:rPr>
              <w:t>Add other income</w:t>
            </w:r>
          </w:p>
        </w:tc>
        <w:tc>
          <w:tcPr>
            <w:tcW w:type="dxa" w:w="1325"/>
          </w:tcPr>
          <w:p>
            <w:pPr>
              <w:spacing w:after="20"/>
              <w:jc w:val="right"/>
            </w:pPr>
            <w:r>
              <w:rPr>
                <w:color w:val="1C3A36"/>
                <w:sz w:val="17"/>
              </w:rPr>
              <w:t>173</w:t>
            </w:r>
          </w:p>
        </w:tc>
        <w:tc>
          <w:tcPr>
            <w:tcW w:type="dxa" w:w="1325"/>
          </w:tcPr>
          <w:p>
            <w:pPr>
              <w:spacing w:after="20"/>
              <w:jc w:val="right"/>
            </w:pPr>
            <w:r>
              <w:rPr>
                <w:color w:val="1C3A36"/>
                <w:sz w:val="17"/>
              </w:rPr>
              <w:t>178</w:t>
            </w:r>
          </w:p>
        </w:tc>
        <w:tc>
          <w:tcPr>
            <w:tcW w:type="dxa" w:w="1325"/>
          </w:tcPr>
          <w:p>
            <w:pPr>
              <w:spacing w:after="20"/>
              <w:jc w:val="right"/>
            </w:pPr>
            <w:r>
              <w:rPr>
                <w:color w:val="1C3A36"/>
                <w:sz w:val="17"/>
              </w:rPr>
              <w:t>183</w:t>
            </w:r>
          </w:p>
        </w:tc>
        <w:tc>
          <w:tcPr>
            <w:tcW w:type="dxa" w:w="1325"/>
          </w:tcPr>
          <w:p>
            <w:pPr>
              <w:spacing w:after="20"/>
              <w:jc w:val="right"/>
            </w:pPr>
            <w:r>
              <w:rPr>
                <w:color w:val="1C3A36"/>
                <w:sz w:val="17"/>
              </w:rPr>
              <w:t>189</w:t>
            </w:r>
          </w:p>
        </w:tc>
        <w:tc>
          <w:tcPr>
            <w:tcW w:type="dxa" w:w="1325"/>
          </w:tcPr>
          <w:p>
            <w:pPr>
              <w:spacing w:after="20"/>
              <w:jc w:val="right"/>
            </w:pPr>
            <w:r>
              <w:rPr>
                <w:color w:val="1C3A36"/>
                <w:sz w:val="17"/>
              </w:rPr>
              <w:t>194</w:t>
            </w:r>
          </w:p>
        </w:tc>
      </w:tr>
      <w:tr>
        <w:trPr>
          <w:cantSplit/>
        </w:trPr>
        <w:tc>
          <w:tcPr>
            <w:tcW w:type="dxa" w:w="3384"/>
          </w:tcPr>
          <w:p>
            <w:pPr>
              <w:spacing w:after="20"/>
            </w:pPr>
            <w:r>
              <w:rPr>
                <w:color w:val="1C3A36"/>
                <w:sz w:val="17"/>
              </w:rPr>
              <w:t>Less impairment and credit losses</w:t>
            </w:r>
          </w:p>
        </w:tc>
        <w:tc>
          <w:tcPr>
            <w:tcW w:type="dxa" w:w="1325"/>
          </w:tcPr>
          <w:p>
            <w:pPr>
              <w:spacing w:after="20"/>
              <w:jc w:val="right"/>
            </w:pPr>
            <w:r>
              <w:rPr>
                <w:color w:val="1C3A36"/>
                <w:sz w:val="17"/>
              </w:rPr>
              <w:t>(360)</w:t>
            </w:r>
          </w:p>
        </w:tc>
        <w:tc>
          <w:tcPr>
            <w:tcW w:type="dxa" w:w="1325"/>
          </w:tcPr>
          <w:p>
            <w:pPr>
              <w:spacing w:after="20"/>
              <w:jc w:val="right"/>
            </w:pPr>
            <w:r>
              <w:rPr>
                <w:color w:val="1C3A36"/>
                <w:sz w:val="17"/>
              </w:rPr>
              <w:t>(220)</w:t>
            </w:r>
          </w:p>
        </w:tc>
        <w:tc>
          <w:tcPr>
            <w:tcW w:type="dxa" w:w="1325"/>
          </w:tcPr>
          <w:p>
            <w:pPr>
              <w:spacing w:after="20"/>
              <w:jc w:val="right"/>
            </w:pPr>
            <w:r>
              <w:rPr>
                <w:color w:val="1C3A36"/>
                <w:sz w:val="17"/>
              </w:rPr>
              <w:t>(225)</w:t>
            </w:r>
          </w:p>
        </w:tc>
        <w:tc>
          <w:tcPr>
            <w:tcW w:type="dxa" w:w="1325"/>
          </w:tcPr>
          <w:p>
            <w:pPr>
              <w:spacing w:after="20"/>
              <w:jc w:val="right"/>
            </w:pPr>
            <w:r>
              <w:rPr>
                <w:color w:val="1C3A36"/>
                <w:sz w:val="17"/>
              </w:rPr>
              <w:t>(230)</w:t>
            </w:r>
          </w:p>
        </w:tc>
        <w:tc>
          <w:tcPr>
            <w:tcW w:type="dxa" w:w="1325"/>
          </w:tcPr>
          <w:p>
            <w:pPr>
              <w:spacing w:after="20"/>
              <w:jc w:val="right"/>
            </w:pPr>
            <w:r>
              <w:rPr>
                <w:color w:val="1C3A36"/>
                <w:sz w:val="17"/>
              </w:rPr>
              <w:t>(235)</w:t>
            </w:r>
          </w:p>
        </w:tc>
      </w:tr>
      <w:tr>
        <w:trPr>
          <w:cantSplit/>
        </w:trPr>
        <w:tc>
          <w:tcPr>
            <w:tcW w:type="dxa" w:w="3384"/>
            <w:shd w:val="clear" w:color="auto" w:fill="F6F1E6"/>
          </w:tcPr>
          <w:p>
            <w:pPr>
              <w:spacing w:after="20"/>
            </w:pPr>
            <w:r>
              <w:rPr>
                <w:b/>
                <w:color w:val="1C3A36"/>
                <w:sz w:val="17"/>
              </w:rPr>
              <w:t>EBITDA</w:t>
            </w:r>
          </w:p>
        </w:tc>
        <w:tc>
          <w:tcPr>
            <w:tcW w:type="dxa" w:w="1325"/>
            <w:shd w:val="clear" w:color="auto" w:fill="F6F1E6"/>
          </w:tcPr>
          <w:p>
            <w:pPr>
              <w:spacing w:after="20"/>
              <w:jc w:val="right"/>
            </w:pPr>
            <w:r>
              <w:rPr>
                <w:b/>
                <w:color w:val="1C3A36"/>
                <w:sz w:val="17"/>
              </w:rPr>
              <w:t>5,410</w:t>
            </w:r>
          </w:p>
        </w:tc>
        <w:tc>
          <w:tcPr>
            <w:tcW w:type="dxa" w:w="1325"/>
            <w:shd w:val="clear" w:color="auto" w:fill="F6F1E6"/>
          </w:tcPr>
          <w:p>
            <w:pPr>
              <w:spacing w:after="20"/>
              <w:jc w:val="right"/>
            </w:pPr>
            <w:r>
              <w:rPr>
                <w:b/>
                <w:color w:val="1C3A36"/>
                <w:sz w:val="17"/>
              </w:rPr>
              <w:t>4,972</w:t>
            </w:r>
          </w:p>
        </w:tc>
        <w:tc>
          <w:tcPr>
            <w:tcW w:type="dxa" w:w="1325"/>
            <w:shd w:val="clear" w:color="auto" w:fill="F6F1E6"/>
          </w:tcPr>
          <w:p>
            <w:pPr>
              <w:spacing w:after="20"/>
              <w:jc w:val="right"/>
            </w:pPr>
            <w:r>
              <w:rPr>
                <w:b/>
                <w:color w:val="1C3A36"/>
                <w:sz w:val="17"/>
              </w:rPr>
              <w:t>5,168</w:t>
            </w:r>
          </w:p>
        </w:tc>
        <w:tc>
          <w:tcPr>
            <w:tcW w:type="dxa" w:w="1325"/>
            <w:shd w:val="clear" w:color="auto" w:fill="F6F1E6"/>
          </w:tcPr>
          <w:p>
            <w:pPr>
              <w:spacing w:after="20"/>
              <w:jc w:val="right"/>
            </w:pPr>
            <w:r>
              <w:rPr>
                <w:b/>
                <w:color w:val="1C3A36"/>
                <w:sz w:val="17"/>
              </w:rPr>
              <w:t>5,399</w:t>
            </w:r>
          </w:p>
        </w:tc>
        <w:tc>
          <w:tcPr>
            <w:tcW w:type="dxa" w:w="1325"/>
            <w:shd w:val="clear" w:color="auto" w:fill="F6F1E6"/>
          </w:tcPr>
          <w:p>
            <w:pPr>
              <w:spacing w:after="20"/>
              <w:jc w:val="right"/>
            </w:pPr>
            <w:r>
              <w:rPr>
                <w:b/>
                <w:color w:val="1C3A36"/>
                <w:sz w:val="17"/>
              </w:rPr>
              <w:t>5,637</w:t>
            </w:r>
          </w:p>
        </w:tc>
      </w:tr>
      <w:tr>
        <w:trPr>
          <w:cantSplit/>
        </w:trPr>
        <w:tc>
          <w:tcPr>
            <w:tcW w:type="dxa" w:w="3384"/>
          </w:tcPr>
          <w:p>
            <w:pPr>
              <w:spacing w:after="20"/>
            </w:pPr>
            <w:r>
              <w:rPr>
                <w:color w:val="1C3A36"/>
                <w:sz w:val="17"/>
              </w:rPr>
              <w:t>EBITDA margin</w:t>
            </w:r>
          </w:p>
        </w:tc>
        <w:tc>
          <w:tcPr>
            <w:tcW w:type="dxa" w:w="1325"/>
          </w:tcPr>
          <w:p>
            <w:pPr>
              <w:spacing w:after="20"/>
              <w:jc w:val="right"/>
            </w:pPr>
            <w:r>
              <w:rPr>
                <w:color w:val="1C3A36"/>
                <w:sz w:val="17"/>
              </w:rPr>
              <w:t>12.3%</w:t>
            </w:r>
          </w:p>
        </w:tc>
        <w:tc>
          <w:tcPr>
            <w:tcW w:type="dxa" w:w="1325"/>
          </w:tcPr>
          <w:p>
            <w:pPr>
              <w:spacing w:after="20"/>
              <w:jc w:val="right"/>
            </w:pPr>
            <w:r>
              <w:rPr>
                <w:color w:val="1C3A36"/>
                <w:sz w:val="17"/>
              </w:rPr>
              <w:t>11.5%</w:t>
            </w:r>
          </w:p>
        </w:tc>
        <w:tc>
          <w:tcPr>
            <w:tcW w:type="dxa" w:w="1325"/>
          </w:tcPr>
          <w:p>
            <w:pPr>
              <w:spacing w:after="20"/>
              <w:jc w:val="right"/>
            </w:pPr>
            <w:r>
              <w:rPr>
                <w:color w:val="1C3A36"/>
                <w:sz w:val="17"/>
              </w:rPr>
              <w:t>11.6%</w:t>
            </w:r>
          </w:p>
        </w:tc>
        <w:tc>
          <w:tcPr>
            <w:tcW w:type="dxa" w:w="1325"/>
          </w:tcPr>
          <w:p>
            <w:pPr>
              <w:spacing w:after="20"/>
              <w:jc w:val="right"/>
            </w:pPr>
            <w:r>
              <w:rPr>
                <w:color w:val="1C3A36"/>
                <w:sz w:val="17"/>
              </w:rPr>
              <w:t>11.8%</w:t>
            </w:r>
          </w:p>
        </w:tc>
        <w:tc>
          <w:tcPr>
            <w:tcW w:type="dxa" w:w="1325"/>
          </w:tcPr>
          <w:p>
            <w:pPr>
              <w:spacing w:after="20"/>
              <w:jc w:val="right"/>
            </w:pPr>
            <w:r>
              <w:rPr>
                <w:color w:val="1C3A36"/>
                <w:sz w:val="17"/>
              </w:rPr>
              <w:t>11.9%</w:t>
            </w:r>
          </w:p>
        </w:tc>
      </w:tr>
      <w:tr>
        <w:trPr>
          <w:cantSplit/>
        </w:trPr>
        <w:tc>
          <w:tcPr>
            <w:tcW w:type="dxa" w:w="3384"/>
          </w:tcPr>
          <w:p>
            <w:pPr>
              <w:spacing w:after="20"/>
            </w:pPr>
            <w:r>
              <w:rPr>
                <w:color w:val="1C3A36"/>
                <w:sz w:val="17"/>
              </w:rPr>
              <w:t>Less depreciation and amortisation</w:t>
            </w:r>
          </w:p>
        </w:tc>
        <w:tc>
          <w:tcPr>
            <w:tcW w:type="dxa" w:w="1325"/>
          </w:tcPr>
          <w:p>
            <w:pPr>
              <w:spacing w:after="20"/>
              <w:jc w:val="right"/>
            </w:pPr>
            <w:r>
              <w:rPr>
                <w:color w:val="1C3A36"/>
                <w:sz w:val="17"/>
              </w:rPr>
              <w:t>(792)</w:t>
            </w:r>
          </w:p>
        </w:tc>
        <w:tc>
          <w:tcPr>
            <w:tcW w:type="dxa" w:w="1325"/>
          </w:tcPr>
          <w:p>
            <w:pPr>
              <w:spacing w:after="20"/>
              <w:jc w:val="right"/>
            </w:pPr>
            <w:r>
              <w:rPr>
                <w:color w:val="1C3A36"/>
                <w:sz w:val="17"/>
              </w:rPr>
              <w:t>(811)</w:t>
            </w:r>
          </w:p>
        </w:tc>
        <w:tc>
          <w:tcPr>
            <w:tcW w:type="dxa" w:w="1325"/>
          </w:tcPr>
          <w:p>
            <w:pPr>
              <w:spacing w:after="20"/>
              <w:jc w:val="right"/>
            </w:pPr>
            <w:r>
              <w:rPr>
                <w:color w:val="1C3A36"/>
                <w:sz w:val="17"/>
              </w:rPr>
              <w:t>(825)</w:t>
            </w:r>
          </w:p>
        </w:tc>
        <w:tc>
          <w:tcPr>
            <w:tcW w:type="dxa" w:w="1325"/>
          </w:tcPr>
          <w:p>
            <w:pPr>
              <w:spacing w:after="20"/>
              <w:jc w:val="right"/>
            </w:pPr>
            <w:r>
              <w:rPr>
                <w:color w:val="1C3A36"/>
                <w:sz w:val="17"/>
              </w:rPr>
              <w:t>(839)</w:t>
            </w:r>
          </w:p>
        </w:tc>
        <w:tc>
          <w:tcPr>
            <w:tcW w:type="dxa" w:w="1325"/>
          </w:tcPr>
          <w:p>
            <w:pPr>
              <w:spacing w:after="20"/>
              <w:jc w:val="right"/>
            </w:pPr>
            <w:r>
              <w:rPr>
                <w:color w:val="1C3A36"/>
                <w:sz w:val="17"/>
              </w:rPr>
              <w:t>(851)</w:t>
            </w:r>
          </w:p>
        </w:tc>
      </w:tr>
      <w:tr>
        <w:trPr>
          <w:cantSplit/>
        </w:trPr>
        <w:tc>
          <w:tcPr>
            <w:tcW w:type="dxa" w:w="3384"/>
          </w:tcPr>
          <w:p>
            <w:pPr>
              <w:spacing w:after="20"/>
            </w:pPr>
            <w:r>
              <w:rPr>
                <w:color w:val="1C3A36"/>
                <w:sz w:val="17"/>
              </w:rPr>
              <w:t>EBIT</w:t>
            </w:r>
          </w:p>
        </w:tc>
        <w:tc>
          <w:tcPr>
            <w:tcW w:type="dxa" w:w="1325"/>
          </w:tcPr>
          <w:p>
            <w:pPr>
              <w:spacing w:after="20"/>
              <w:jc w:val="right"/>
            </w:pPr>
            <w:r>
              <w:rPr>
                <w:color w:val="1C3A36"/>
                <w:sz w:val="17"/>
              </w:rPr>
              <w:t>4,618</w:t>
            </w:r>
          </w:p>
        </w:tc>
        <w:tc>
          <w:tcPr>
            <w:tcW w:type="dxa" w:w="1325"/>
          </w:tcPr>
          <w:p>
            <w:pPr>
              <w:spacing w:after="20"/>
              <w:jc w:val="right"/>
            </w:pPr>
            <w:r>
              <w:rPr>
                <w:color w:val="1C3A36"/>
                <w:sz w:val="17"/>
              </w:rPr>
              <w:t>4,161</w:t>
            </w:r>
          </w:p>
        </w:tc>
        <w:tc>
          <w:tcPr>
            <w:tcW w:type="dxa" w:w="1325"/>
          </w:tcPr>
          <w:p>
            <w:pPr>
              <w:spacing w:after="20"/>
              <w:jc w:val="right"/>
            </w:pPr>
            <w:r>
              <w:rPr>
                <w:color w:val="1C3A36"/>
                <w:sz w:val="17"/>
              </w:rPr>
              <w:t>4,343</w:t>
            </w:r>
          </w:p>
        </w:tc>
        <w:tc>
          <w:tcPr>
            <w:tcW w:type="dxa" w:w="1325"/>
          </w:tcPr>
          <w:p>
            <w:pPr>
              <w:spacing w:after="20"/>
              <w:jc w:val="right"/>
            </w:pPr>
            <w:r>
              <w:rPr>
                <w:color w:val="1C3A36"/>
                <w:sz w:val="17"/>
              </w:rPr>
              <w:t>4,560</w:t>
            </w:r>
          </w:p>
        </w:tc>
        <w:tc>
          <w:tcPr>
            <w:tcW w:type="dxa" w:w="1325"/>
          </w:tcPr>
          <w:p>
            <w:pPr>
              <w:spacing w:after="20"/>
              <w:jc w:val="right"/>
            </w:pPr>
            <w:r>
              <w:rPr>
                <w:color w:val="1C3A36"/>
                <w:sz w:val="17"/>
              </w:rPr>
              <w:t>4,786</w:t>
            </w:r>
          </w:p>
        </w:tc>
      </w:tr>
      <w:tr>
        <w:trPr>
          <w:cantSplit/>
        </w:trPr>
        <w:tc>
          <w:tcPr>
            <w:tcW w:type="dxa" w:w="3384"/>
          </w:tcPr>
          <w:p>
            <w:pPr>
              <w:spacing w:after="20"/>
            </w:pPr>
            <w:r>
              <w:rPr>
                <w:color w:val="1C3A36"/>
                <w:sz w:val="17"/>
              </w:rPr>
              <w:t>Tax rate applied to EBIT</w:t>
            </w:r>
          </w:p>
        </w:tc>
        <w:tc>
          <w:tcPr>
            <w:tcW w:type="dxa" w:w="1325"/>
          </w:tcPr>
          <w:p>
            <w:pPr>
              <w:spacing w:after="20"/>
              <w:jc w:val="right"/>
            </w:pPr>
            <w:r>
              <w:rPr>
                <w:color w:val="1C3A36"/>
                <w:sz w:val="17"/>
              </w:rPr>
              <w:t>10.17%</w:t>
            </w:r>
          </w:p>
        </w:tc>
        <w:tc>
          <w:tcPr>
            <w:tcW w:type="dxa" w:w="1325"/>
          </w:tcPr>
          <w:p>
            <w:pPr>
              <w:spacing w:after="20"/>
              <w:jc w:val="right"/>
            </w:pPr>
            <w:r>
              <w:rPr>
                <w:color w:val="1C3A36"/>
                <w:sz w:val="17"/>
              </w:rPr>
              <w:t>10.17%</w:t>
            </w:r>
          </w:p>
        </w:tc>
        <w:tc>
          <w:tcPr>
            <w:tcW w:type="dxa" w:w="1325"/>
          </w:tcPr>
          <w:p>
            <w:pPr>
              <w:spacing w:after="20"/>
              <w:jc w:val="right"/>
            </w:pPr>
            <w:r>
              <w:rPr>
                <w:color w:val="1C3A36"/>
                <w:sz w:val="17"/>
              </w:rPr>
              <w:t>10.17%</w:t>
            </w:r>
          </w:p>
        </w:tc>
        <w:tc>
          <w:tcPr>
            <w:tcW w:type="dxa" w:w="1325"/>
          </w:tcPr>
          <w:p>
            <w:pPr>
              <w:spacing w:after="20"/>
              <w:jc w:val="right"/>
            </w:pPr>
            <w:r>
              <w:rPr>
                <w:color w:val="1C3A36"/>
                <w:sz w:val="17"/>
              </w:rPr>
              <w:t>10.17%</w:t>
            </w:r>
          </w:p>
        </w:tc>
        <w:tc>
          <w:tcPr>
            <w:tcW w:type="dxa" w:w="1325"/>
          </w:tcPr>
          <w:p>
            <w:pPr>
              <w:spacing w:after="20"/>
              <w:jc w:val="right"/>
            </w:pPr>
            <w:r>
              <w:rPr>
                <w:color w:val="1C3A36"/>
                <w:sz w:val="17"/>
              </w:rPr>
              <w:t>10.17%</w:t>
            </w:r>
          </w:p>
        </w:tc>
      </w:tr>
      <w:tr>
        <w:trPr>
          <w:cantSplit/>
        </w:trPr>
        <w:tc>
          <w:tcPr>
            <w:tcW w:type="dxa" w:w="3384"/>
            <w:shd w:val="clear" w:color="auto" w:fill="F6F1E6"/>
          </w:tcPr>
          <w:p>
            <w:pPr>
              <w:spacing w:after="20"/>
            </w:pPr>
            <w:r>
              <w:rPr>
                <w:b/>
                <w:color w:val="1C3A36"/>
                <w:sz w:val="17"/>
              </w:rPr>
              <w:t>NOPAT = EBIT x (1 − tax rate)</w:t>
            </w:r>
          </w:p>
        </w:tc>
        <w:tc>
          <w:tcPr>
            <w:tcW w:type="dxa" w:w="1325"/>
            <w:shd w:val="clear" w:color="auto" w:fill="F6F1E6"/>
          </w:tcPr>
          <w:p>
            <w:pPr>
              <w:spacing w:after="20"/>
              <w:jc w:val="right"/>
            </w:pPr>
            <w:r>
              <w:rPr>
                <w:b/>
                <w:color w:val="1C3A36"/>
                <w:sz w:val="17"/>
              </w:rPr>
              <w:t>4,148</w:t>
            </w:r>
          </w:p>
        </w:tc>
        <w:tc>
          <w:tcPr>
            <w:tcW w:type="dxa" w:w="1325"/>
            <w:shd w:val="clear" w:color="auto" w:fill="F6F1E6"/>
          </w:tcPr>
          <w:p>
            <w:pPr>
              <w:spacing w:after="20"/>
              <w:jc w:val="right"/>
            </w:pPr>
            <w:r>
              <w:rPr>
                <w:b/>
                <w:color w:val="1C3A36"/>
                <w:sz w:val="17"/>
              </w:rPr>
              <w:t>3,738</w:t>
            </w:r>
          </w:p>
        </w:tc>
        <w:tc>
          <w:tcPr>
            <w:tcW w:type="dxa" w:w="1325"/>
            <w:shd w:val="clear" w:color="auto" w:fill="F6F1E6"/>
          </w:tcPr>
          <w:p>
            <w:pPr>
              <w:spacing w:after="20"/>
              <w:jc w:val="right"/>
            </w:pPr>
            <w:r>
              <w:rPr>
                <w:b/>
                <w:color w:val="1C3A36"/>
                <w:sz w:val="17"/>
              </w:rPr>
              <w:t>3,901</w:t>
            </w:r>
          </w:p>
        </w:tc>
        <w:tc>
          <w:tcPr>
            <w:tcW w:type="dxa" w:w="1325"/>
            <w:shd w:val="clear" w:color="auto" w:fill="F6F1E6"/>
          </w:tcPr>
          <w:p>
            <w:pPr>
              <w:spacing w:after="20"/>
              <w:jc w:val="right"/>
            </w:pPr>
            <w:r>
              <w:rPr>
                <w:b/>
                <w:color w:val="1C3A36"/>
                <w:sz w:val="17"/>
              </w:rPr>
              <w:t>4,096</w:t>
            </w:r>
          </w:p>
        </w:tc>
        <w:tc>
          <w:tcPr>
            <w:tcW w:type="dxa" w:w="1325"/>
            <w:shd w:val="clear" w:color="auto" w:fill="F6F1E6"/>
          </w:tcPr>
          <w:p>
            <w:pPr>
              <w:spacing w:after="20"/>
              <w:jc w:val="right"/>
            </w:pPr>
            <w:r>
              <w:rPr>
                <w:b/>
                <w:color w:val="1C3A36"/>
                <w:sz w:val="17"/>
              </w:rPr>
              <w:t>4,299</w:t>
            </w:r>
          </w:p>
        </w:tc>
      </w:tr>
      <w:tr>
        <w:trPr>
          <w:cantSplit/>
        </w:trPr>
        <w:tc>
          <w:tcPr>
            <w:tcW w:type="dxa" w:w="3384"/>
          </w:tcPr>
          <w:p>
            <w:pPr>
              <w:spacing w:after="20"/>
            </w:pPr>
            <w:r>
              <w:rPr>
                <w:color w:val="1C3A36"/>
                <w:sz w:val="17"/>
              </w:rPr>
              <w:t>Add back depreciation and amortisation</w:t>
            </w:r>
          </w:p>
        </w:tc>
        <w:tc>
          <w:tcPr>
            <w:tcW w:type="dxa" w:w="1325"/>
          </w:tcPr>
          <w:p>
            <w:pPr>
              <w:spacing w:after="20"/>
              <w:jc w:val="right"/>
            </w:pPr>
            <w:r>
              <w:rPr>
                <w:color w:val="1C3A36"/>
                <w:sz w:val="17"/>
              </w:rPr>
              <w:t>792</w:t>
            </w:r>
          </w:p>
        </w:tc>
        <w:tc>
          <w:tcPr>
            <w:tcW w:type="dxa" w:w="1325"/>
          </w:tcPr>
          <w:p>
            <w:pPr>
              <w:spacing w:after="20"/>
              <w:jc w:val="right"/>
            </w:pPr>
            <w:r>
              <w:rPr>
                <w:color w:val="1C3A36"/>
                <w:sz w:val="17"/>
              </w:rPr>
              <w:t>811</w:t>
            </w:r>
          </w:p>
        </w:tc>
        <w:tc>
          <w:tcPr>
            <w:tcW w:type="dxa" w:w="1325"/>
          </w:tcPr>
          <w:p>
            <w:pPr>
              <w:spacing w:after="20"/>
              <w:jc w:val="right"/>
            </w:pPr>
            <w:r>
              <w:rPr>
                <w:color w:val="1C3A36"/>
                <w:sz w:val="17"/>
              </w:rPr>
              <w:t>825</w:t>
            </w:r>
          </w:p>
        </w:tc>
        <w:tc>
          <w:tcPr>
            <w:tcW w:type="dxa" w:w="1325"/>
          </w:tcPr>
          <w:p>
            <w:pPr>
              <w:spacing w:after="20"/>
              <w:jc w:val="right"/>
            </w:pPr>
            <w:r>
              <w:rPr>
                <w:color w:val="1C3A36"/>
                <w:sz w:val="17"/>
              </w:rPr>
              <w:t>839</w:t>
            </w:r>
          </w:p>
        </w:tc>
        <w:tc>
          <w:tcPr>
            <w:tcW w:type="dxa" w:w="1325"/>
          </w:tcPr>
          <w:p>
            <w:pPr>
              <w:spacing w:after="20"/>
              <w:jc w:val="right"/>
            </w:pPr>
            <w:r>
              <w:rPr>
                <w:color w:val="1C3A36"/>
                <w:sz w:val="17"/>
              </w:rPr>
              <w:t>851</w:t>
            </w:r>
          </w:p>
        </w:tc>
      </w:tr>
      <w:tr>
        <w:trPr>
          <w:cantSplit/>
        </w:trPr>
        <w:tc>
          <w:tcPr>
            <w:tcW w:type="dxa" w:w="3384"/>
          </w:tcPr>
          <w:p>
            <w:pPr>
              <w:spacing w:after="20"/>
            </w:pPr>
            <w:r>
              <w:rPr>
                <w:color w:val="1C3A36"/>
                <w:sz w:val="17"/>
              </w:rPr>
              <w:t>Less capital expenditure</w:t>
            </w:r>
          </w:p>
        </w:tc>
        <w:tc>
          <w:tcPr>
            <w:tcW w:type="dxa" w:w="1325"/>
          </w:tcPr>
          <w:p>
            <w:pPr>
              <w:spacing w:after="20"/>
              <w:jc w:val="right"/>
            </w:pPr>
            <w:r>
              <w:rPr>
                <w:color w:val="1C3A36"/>
                <w:sz w:val="17"/>
              </w:rPr>
              <w:t>(1,012)</w:t>
            </w:r>
          </w:p>
        </w:tc>
        <w:tc>
          <w:tcPr>
            <w:tcW w:type="dxa" w:w="1325"/>
          </w:tcPr>
          <w:p>
            <w:pPr>
              <w:spacing w:after="20"/>
              <w:jc w:val="right"/>
            </w:pPr>
            <w:r>
              <w:rPr>
                <w:color w:val="1C3A36"/>
                <w:sz w:val="17"/>
              </w:rPr>
              <w:t>(984)</w:t>
            </w:r>
          </w:p>
        </w:tc>
        <w:tc>
          <w:tcPr>
            <w:tcW w:type="dxa" w:w="1325"/>
          </w:tcPr>
          <w:p>
            <w:pPr>
              <w:spacing w:after="20"/>
              <w:jc w:val="right"/>
            </w:pPr>
            <w:r>
              <w:rPr>
                <w:color w:val="1C3A36"/>
                <w:sz w:val="17"/>
              </w:rPr>
              <w:t>(986)</w:t>
            </w:r>
          </w:p>
        </w:tc>
        <w:tc>
          <w:tcPr>
            <w:tcW w:type="dxa" w:w="1325"/>
          </w:tcPr>
          <w:p>
            <w:pPr>
              <w:spacing w:after="20"/>
              <w:jc w:val="right"/>
            </w:pPr>
            <w:r>
              <w:rPr>
                <w:color w:val="1C3A36"/>
                <w:sz w:val="17"/>
              </w:rPr>
              <w:t>(985)</w:t>
            </w:r>
          </w:p>
        </w:tc>
        <w:tc>
          <w:tcPr>
            <w:tcW w:type="dxa" w:w="1325"/>
          </w:tcPr>
          <w:p>
            <w:pPr>
              <w:spacing w:after="20"/>
              <w:jc w:val="right"/>
            </w:pPr>
            <w:r>
              <w:rPr>
                <w:color w:val="1C3A36"/>
                <w:sz w:val="17"/>
              </w:rPr>
              <w:t>(981)</w:t>
            </w:r>
          </w:p>
        </w:tc>
      </w:tr>
      <w:tr>
        <w:trPr>
          <w:cantSplit/>
        </w:trPr>
        <w:tc>
          <w:tcPr>
            <w:tcW w:type="dxa" w:w="3384"/>
          </w:tcPr>
          <w:p>
            <w:pPr>
              <w:spacing w:after="20"/>
            </w:pPr>
            <w:r>
              <w:rPr>
                <w:color w:val="1C3A36"/>
                <w:sz w:val="17"/>
              </w:rPr>
              <w:t>Movement in working capital — a release adds, a build subtracts</w:t>
            </w:r>
          </w:p>
        </w:tc>
        <w:tc>
          <w:tcPr>
            <w:tcW w:type="dxa" w:w="1325"/>
          </w:tcPr>
          <w:p>
            <w:pPr>
              <w:spacing w:after="20"/>
              <w:jc w:val="right"/>
            </w:pPr>
            <w:r>
              <w:rPr>
                <w:color w:val="1C3A36"/>
                <w:sz w:val="17"/>
              </w:rPr>
              <w:t>440</w:t>
            </w:r>
          </w:p>
        </w:tc>
        <w:tc>
          <w:tcPr>
            <w:tcW w:type="dxa" w:w="1325"/>
          </w:tcPr>
          <w:p>
            <w:pPr>
              <w:spacing w:after="20"/>
              <w:jc w:val="right"/>
            </w:pPr>
            <w:r>
              <w:rPr>
                <w:color w:val="1C3A36"/>
                <w:sz w:val="17"/>
              </w:rPr>
              <w:t>33</w:t>
            </w:r>
          </w:p>
        </w:tc>
        <w:tc>
          <w:tcPr>
            <w:tcW w:type="dxa" w:w="1325"/>
          </w:tcPr>
          <w:p>
            <w:pPr>
              <w:spacing w:after="20"/>
              <w:jc w:val="right"/>
            </w:pPr>
            <w:r>
              <w:rPr>
                <w:color w:val="1C3A36"/>
                <w:sz w:val="17"/>
              </w:rPr>
              <w:t>50</w:t>
            </w:r>
          </w:p>
        </w:tc>
        <w:tc>
          <w:tcPr>
            <w:tcW w:type="dxa" w:w="1325"/>
          </w:tcPr>
          <w:p>
            <w:pPr>
              <w:spacing w:after="20"/>
              <w:jc w:val="right"/>
            </w:pPr>
            <w:r>
              <w:rPr>
                <w:color w:val="1C3A36"/>
                <w:sz w:val="17"/>
              </w:rPr>
              <w:t>59</w:t>
            </w:r>
          </w:p>
        </w:tc>
        <w:tc>
          <w:tcPr>
            <w:tcW w:type="dxa" w:w="1325"/>
          </w:tcPr>
          <w:p>
            <w:pPr>
              <w:spacing w:after="20"/>
              <w:jc w:val="right"/>
            </w:pPr>
            <w:r>
              <w:rPr>
                <w:color w:val="1C3A36"/>
                <w:sz w:val="17"/>
              </w:rPr>
              <w:t>59</w:t>
            </w:r>
          </w:p>
        </w:tc>
      </w:tr>
      <w:tr>
        <w:trPr>
          <w:cantSplit/>
        </w:trPr>
        <w:tc>
          <w:tcPr>
            <w:tcW w:type="dxa" w:w="3384"/>
            <w:shd w:val="clear" w:color="auto" w:fill="F6F1E6"/>
          </w:tcPr>
          <w:p>
            <w:pPr>
              <w:spacing w:after="20"/>
            </w:pPr>
            <w:r>
              <w:rPr>
                <w:b/>
                <w:color w:val="1C3A36"/>
                <w:sz w:val="17"/>
              </w:rPr>
              <w:t>Free cash flow to the firm</w:t>
            </w:r>
          </w:p>
        </w:tc>
        <w:tc>
          <w:tcPr>
            <w:tcW w:type="dxa" w:w="1325"/>
            <w:shd w:val="clear" w:color="auto" w:fill="F6F1E6"/>
          </w:tcPr>
          <w:p>
            <w:pPr>
              <w:spacing w:after="20"/>
              <w:jc w:val="right"/>
            </w:pPr>
            <w:r>
              <w:rPr>
                <w:b/>
                <w:color w:val="1C3A36"/>
                <w:sz w:val="17"/>
              </w:rPr>
              <w:t>4,368</w:t>
            </w:r>
          </w:p>
        </w:tc>
        <w:tc>
          <w:tcPr>
            <w:tcW w:type="dxa" w:w="1325"/>
            <w:shd w:val="clear" w:color="auto" w:fill="F6F1E6"/>
          </w:tcPr>
          <w:p>
            <w:pPr>
              <w:spacing w:after="20"/>
              <w:jc w:val="right"/>
            </w:pPr>
            <w:r>
              <w:rPr>
                <w:b/>
                <w:color w:val="1C3A36"/>
                <w:sz w:val="17"/>
              </w:rPr>
              <w:t>3,598</w:t>
            </w:r>
          </w:p>
        </w:tc>
        <w:tc>
          <w:tcPr>
            <w:tcW w:type="dxa" w:w="1325"/>
            <w:shd w:val="clear" w:color="auto" w:fill="F6F1E6"/>
          </w:tcPr>
          <w:p>
            <w:pPr>
              <w:spacing w:after="20"/>
              <w:jc w:val="right"/>
            </w:pPr>
            <w:r>
              <w:rPr>
                <w:b/>
                <w:color w:val="1C3A36"/>
                <w:sz w:val="17"/>
              </w:rPr>
              <w:t>3,790</w:t>
            </w:r>
          </w:p>
        </w:tc>
        <w:tc>
          <w:tcPr>
            <w:tcW w:type="dxa" w:w="1325"/>
            <w:shd w:val="clear" w:color="auto" w:fill="F6F1E6"/>
          </w:tcPr>
          <w:p>
            <w:pPr>
              <w:spacing w:after="20"/>
              <w:jc w:val="right"/>
            </w:pPr>
            <w:r>
              <w:rPr>
                <w:b/>
                <w:color w:val="1C3A36"/>
                <w:sz w:val="17"/>
              </w:rPr>
              <w:t>4,009</w:t>
            </w:r>
          </w:p>
        </w:tc>
        <w:tc>
          <w:tcPr>
            <w:tcW w:type="dxa" w:w="1325"/>
            <w:shd w:val="clear" w:color="auto" w:fill="F6F1E6"/>
          </w:tcPr>
          <w:p>
            <w:pPr>
              <w:spacing w:after="20"/>
              <w:jc w:val="right"/>
            </w:pPr>
            <w:r>
              <w:rPr>
                <w:b/>
                <w:color w:val="1C3A36"/>
                <w:sz w:val="17"/>
              </w:rPr>
              <w:t>4,228</w:t>
            </w:r>
          </w:p>
        </w:tc>
      </w:tr>
      <w:tr>
        <w:trPr>
          <w:cantSplit/>
        </w:trPr>
        <w:tc>
          <w:tcPr>
            <w:tcW w:type="dxa" w:w="3384"/>
          </w:tcPr>
          <w:p>
            <w:pPr>
              <w:spacing w:after="20"/>
            </w:pPr>
            <w:r>
              <w:rPr>
                <w:color w:val="1C3A36"/>
                <w:sz w:val="17"/>
              </w:rPr>
              <w:t>Discount rate</w:t>
            </w:r>
          </w:p>
        </w:tc>
        <w:tc>
          <w:tcPr>
            <w:tcW w:type="dxa" w:w="1325"/>
          </w:tcPr>
          <w:p>
            <w:pPr>
              <w:spacing w:after="20"/>
              <w:jc w:val="right"/>
            </w:pPr>
            <w:r>
              <w:rPr>
                <w:color w:val="1C3A36"/>
                <w:sz w:val="17"/>
              </w:rPr>
              <w:t>7.44%</w:t>
            </w:r>
          </w:p>
        </w:tc>
        <w:tc>
          <w:tcPr>
            <w:tcW w:type="dxa" w:w="1325"/>
          </w:tcPr>
          <w:p>
            <w:pPr>
              <w:spacing w:after="20"/>
              <w:jc w:val="right"/>
            </w:pPr>
            <w:r>
              <w:rPr>
                <w:color w:val="1C3A36"/>
                <w:sz w:val="17"/>
              </w:rPr>
              <w:t>7.44%</w:t>
            </w:r>
          </w:p>
        </w:tc>
        <w:tc>
          <w:tcPr>
            <w:tcW w:type="dxa" w:w="1325"/>
          </w:tcPr>
          <w:p>
            <w:pPr>
              <w:spacing w:after="20"/>
              <w:jc w:val="right"/>
            </w:pPr>
            <w:r>
              <w:rPr>
                <w:color w:val="1C3A36"/>
                <w:sz w:val="17"/>
              </w:rPr>
              <w:t>7.44%</w:t>
            </w:r>
          </w:p>
        </w:tc>
        <w:tc>
          <w:tcPr>
            <w:tcW w:type="dxa" w:w="1325"/>
          </w:tcPr>
          <w:p>
            <w:pPr>
              <w:spacing w:after="20"/>
              <w:jc w:val="right"/>
            </w:pPr>
            <w:r>
              <w:rPr>
                <w:color w:val="1C3A36"/>
                <w:sz w:val="17"/>
              </w:rPr>
              <w:t>7.44%</w:t>
            </w:r>
          </w:p>
        </w:tc>
        <w:tc>
          <w:tcPr>
            <w:tcW w:type="dxa" w:w="1325"/>
          </w:tcPr>
          <w:p>
            <w:pPr>
              <w:spacing w:after="20"/>
              <w:jc w:val="right"/>
            </w:pPr>
            <w:r>
              <w:rPr>
                <w:color w:val="1C3A36"/>
                <w:sz w:val="17"/>
              </w:rPr>
              <w:t>7.44%</w:t>
            </w:r>
          </w:p>
        </w:tc>
      </w:tr>
      <w:tr>
        <w:trPr>
          <w:cantSplit/>
        </w:trPr>
        <w:tc>
          <w:tcPr>
            <w:tcW w:type="dxa" w:w="3384"/>
          </w:tcPr>
          <w:p>
            <w:pPr>
              <w:spacing w:after="20"/>
            </w:pPr>
            <w:r>
              <w:rPr>
                <w:color w:val="1C3A36"/>
                <w:sz w:val="17"/>
              </w:rPr>
              <w:t>Discount factor</w:t>
            </w:r>
          </w:p>
        </w:tc>
        <w:tc>
          <w:tcPr>
            <w:tcW w:type="dxa" w:w="1325"/>
          </w:tcPr>
          <w:p>
            <w:pPr>
              <w:spacing w:after="20"/>
              <w:jc w:val="right"/>
            </w:pPr>
            <w:r>
              <w:rPr>
                <w:color w:val="1C3A36"/>
                <w:sz w:val="17"/>
              </w:rPr>
              <w:t>0.93</w:t>
            </w:r>
          </w:p>
        </w:tc>
        <w:tc>
          <w:tcPr>
            <w:tcW w:type="dxa" w:w="1325"/>
          </w:tcPr>
          <w:p>
            <w:pPr>
              <w:spacing w:after="20"/>
              <w:jc w:val="right"/>
            </w:pPr>
            <w:r>
              <w:rPr>
                <w:color w:val="1C3A36"/>
                <w:sz w:val="17"/>
              </w:rPr>
              <w:t>0.87</w:t>
            </w:r>
          </w:p>
        </w:tc>
        <w:tc>
          <w:tcPr>
            <w:tcW w:type="dxa" w:w="1325"/>
          </w:tcPr>
          <w:p>
            <w:pPr>
              <w:spacing w:after="20"/>
              <w:jc w:val="right"/>
            </w:pPr>
            <w:r>
              <w:rPr>
                <w:color w:val="1C3A36"/>
                <w:sz w:val="17"/>
              </w:rPr>
              <w:t>0.81</w:t>
            </w:r>
          </w:p>
        </w:tc>
        <w:tc>
          <w:tcPr>
            <w:tcW w:type="dxa" w:w="1325"/>
          </w:tcPr>
          <w:p>
            <w:pPr>
              <w:spacing w:after="20"/>
              <w:jc w:val="right"/>
            </w:pPr>
            <w:r>
              <w:rPr>
                <w:color w:val="1C3A36"/>
                <w:sz w:val="17"/>
              </w:rPr>
              <w:t>0.75</w:t>
            </w:r>
          </w:p>
        </w:tc>
        <w:tc>
          <w:tcPr>
            <w:tcW w:type="dxa" w:w="1325"/>
          </w:tcPr>
          <w:p>
            <w:pPr>
              <w:spacing w:after="20"/>
              <w:jc w:val="right"/>
            </w:pPr>
            <w:r>
              <w:rPr>
                <w:color w:val="1C3A36"/>
                <w:sz w:val="17"/>
              </w:rPr>
              <w:t>0.70</w:t>
            </w:r>
          </w:p>
        </w:tc>
      </w:tr>
      <w:tr>
        <w:trPr>
          <w:cantSplit/>
        </w:trPr>
        <w:tc>
          <w:tcPr>
            <w:tcW w:type="dxa" w:w="3384"/>
            <w:shd w:val="clear" w:color="auto" w:fill="F6F1E6"/>
          </w:tcPr>
          <w:p>
            <w:pPr>
              <w:spacing w:after="20"/>
            </w:pPr>
            <w:r>
              <w:rPr>
                <w:b/>
                <w:color w:val="1C3A36"/>
                <w:sz w:val="17"/>
              </w:rPr>
              <w:t>PRESENT VALUE of free cash flow</w:t>
            </w:r>
          </w:p>
        </w:tc>
        <w:tc>
          <w:tcPr>
            <w:tcW w:type="dxa" w:w="1325"/>
            <w:shd w:val="clear" w:color="auto" w:fill="F6F1E6"/>
          </w:tcPr>
          <w:p>
            <w:pPr>
              <w:spacing w:after="20"/>
              <w:jc w:val="right"/>
            </w:pPr>
            <w:r>
              <w:rPr>
                <w:b/>
                <w:color w:val="1C3A36"/>
                <w:sz w:val="17"/>
              </w:rPr>
              <w:t>4,066</w:t>
            </w:r>
          </w:p>
        </w:tc>
        <w:tc>
          <w:tcPr>
            <w:tcW w:type="dxa" w:w="1325"/>
            <w:shd w:val="clear" w:color="auto" w:fill="F6F1E6"/>
          </w:tcPr>
          <w:p>
            <w:pPr>
              <w:spacing w:after="20"/>
              <w:jc w:val="right"/>
            </w:pPr>
            <w:r>
              <w:rPr>
                <w:b/>
                <w:color w:val="1C3A36"/>
                <w:sz w:val="17"/>
              </w:rPr>
              <w:t>3,117</w:t>
            </w:r>
          </w:p>
        </w:tc>
        <w:tc>
          <w:tcPr>
            <w:tcW w:type="dxa" w:w="1325"/>
            <w:shd w:val="clear" w:color="auto" w:fill="F6F1E6"/>
          </w:tcPr>
          <w:p>
            <w:pPr>
              <w:spacing w:after="20"/>
              <w:jc w:val="right"/>
            </w:pPr>
            <w:r>
              <w:rPr>
                <w:b/>
                <w:color w:val="1C3A36"/>
                <w:sz w:val="17"/>
              </w:rPr>
              <w:t>3,057</w:t>
            </w:r>
          </w:p>
        </w:tc>
        <w:tc>
          <w:tcPr>
            <w:tcW w:type="dxa" w:w="1325"/>
            <w:shd w:val="clear" w:color="auto" w:fill="F6F1E6"/>
          </w:tcPr>
          <w:p>
            <w:pPr>
              <w:spacing w:after="20"/>
              <w:jc w:val="right"/>
            </w:pPr>
            <w:r>
              <w:rPr>
                <w:b/>
                <w:color w:val="1C3A36"/>
                <w:sz w:val="17"/>
              </w:rPr>
              <w:t>3,009</w:t>
            </w:r>
          </w:p>
        </w:tc>
        <w:tc>
          <w:tcPr>
            <w:tcW w:type="dxa" w:w="1325"/>
            <w:shd w:val="clear" w:color="auto" w:fill="F6F1E6"/>
          </w:tcPr>
          <w:p>
            <w:pPr>
              <w:spacing w:after="20"/>
              <w:jc w:val="right"/>
            </w:pPr>
            <w:r>
              <w:rPr>
                <w:b/>
                <w:color w:val="1C3A36"/>
                <w:sz w:val="17"/>
              </w:rPr>
              <w:t>2,954</w:t>
            </w:r>
          </w:p>
        </w:tc>
      </w:tr>
    </w:tbl>
    <w:p>
      <w:pPr>
        <w:spacing w:after="40"/>
      </w:pPr>
    </w:p>
    <w:p>
      <w:pPr>
        <w:spacing w:after="200" w:before="0"/>
      </w:pPr>
      <w:r>
        <w:rPr>
          <w:b w:val="0"/>
          <w:i/>
          <w:color w:val="6E7B77"/>
          <w:sz w:val="17"/>
        </w:rPr>
        <w:t>Table 5 — the full free-cash-flow waterfall through to present value, Frame A. Working capital is NEGATIVE in this business — customers pay at the pump while suppliers are paid on terms — so growth RELEASES cash rather than absorbing it, and the working-capital line adds to free cash flow in every year. The discount rate rises through the window because the capital structure and the beta are glided toward a normalised terminal position rather than held at today's unusually low reading; section 1.8 sets out both ends.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112"/>
        <w:gridCol w:w="2304"/>
        <w:gridCol w:w="2232"/>
      </w:tblGrid>
      <w:tr>
        <w:trPr>
          <w:cantSplit/>
        </w:trPr>
        <w:tc>
          <w:tcPr>
            <w:tcW w:type="dxa" w:w="5112"/>
            <w:shd w:val="clear" w:color="auto" w:fill="EAF0EE"/>
          </w:tcPr>
          <w:p>
            <w:pPr>
              <w:spacing w:after="20"/>
            </w:pPr>
            <w:r>
              <w:rPr>
                <w:b/>
                <w:color w:val="1C3A36"/>
                <w:sz w:val="18"/>
              </w:rPr>
              <w:t>Enterprise value to equity value</w:t>
            </w:r>
          </w:p>
        </w:tc>
        <w:tc>
          <w:tcPr>
            <w:tcW w:type="dxa" w:w="2304"/>
            <w:shd w:val="clear" w:color="auto" w:fill="EAF0EE"/>
          </w:tcPr>
          <w:p>
            <w:pPr>
              <w:spacing w:after="20"/>
            </w:pPr>
            <w:r>
              <w:rPr>
                <w:b/>
                <w:color w:val="1C3A36"/>
                <w:sz w:val="18"/>
              </w:rPr>
              <w:t>AED million</w:t>
            </w:r>
          </w:p>
        </w:tc>
        <w:tc>
          <w:tcPr>
            <w:tcW w:type="dxa" w:w="2232"/>
            <w:shd w:val="clear" w:color="auto" w:fill="EAF0EE"/>
          </w:tcPr>
          <w:p>
            <w:pPr>
              <w:spacing w:after="20"/>
            </w:pPr>
            <w:r>
              <w:rPr>
                <w:b/>
                <w:color w:val="1C3A36"/>
                <w:sz w:val="18"/>
              </w:rPr>
              <w:t>AED / share</w:t>
            </w:r>
          </w:p>
        </w:tc>
      </w:tr>
      <w:tr>
        <w:trPr>
          <w:cantSplit/>
        </w:trPr>
        <w:tc>
          <w:tcPr>
            <w:tcW w:type="dxa" w:w="5112"/>
          </w:tcPr>
          <w:p>
            <w:pPr>
              <w:spacing w:after="20"/>
            </w:pPr>
            <w:r>
              <w:rPr>
                <w:color w:val="1C3A36"/>
                <w:sz w:val="18"/>
              </w:rPr>
              <w:t>Present value of 5 years of free cash flow</w:t>
            </w:r>
          </w:p>
        </w:tc>
        <w:tc>
          <w:tcPr>
            <w:tcW w:type="dxa" w:w="2304"/>
          </w:tcPr>
          <w:p>
            <w:pPr>
              <w:spacing w:after="20"/>
              <w:jc w:val="right"/>
            </w:pPr>
            <w:r>
              <w:rPr>
                <w:color w:val="1C3A36"/>
                <w:sz w:val="18"/>
              </w:rPr>
              <w:t>16,202</w:t>
            </w:r>
          </w:p>
        </w:tc>
        <w:tc>
          <w:tcPr>
            <w:tcW w:type="dxa" w:w="2232"/>
          </w:tcPr>
          <w:p>
            <w:pPr>
              <w:spacing w:after="20"/>
              <w:jc w:val="right"/>
            </w:pPr>
            <w:r>
              <w:rPr>
                <w:color w:val="1C3A36"/>
                <w:sz w:val="18"/>
              </w:rPr>
              <w:t>1.30</w:t>
            </w:r>
          </w:p>
        </w:tc>
      </w:tr>
      <w:tr>
        <w:trPr>
          <w:cantSplit/>
        </w:trPr>
        <w:tc>
          <w:tcPr>
            <w:tcW w:type="dxa" w:w="5112"/>
          </w:tcPr>
          <w:p>
            <w:pPr>
              <w:spacing w:after="20"/>
            </w:pPr>
            <w:r>
              <w:rPr>
                <w:color w:val="1C3A36"/>
                <w:sz w:val="18"/>
              </w:rPr>
              <w:t>Terminal free cash flow</w:t>
            </w:r>
          </w:p>
        </w:tc>
        <w:tc>
          <w:tcPr>
            <w:tcW w:type="dxa" w:w="2304"/>
          </w:tcPr>
          <w:p>
            <w:pPr>
              <w:spacing w:after="20"/>
              <w:jc w:val="right"/>
            </w:pPr>
            <w:r>
              <w:rPr>
                <w:color w:val="1C3A36"/>
                <w:sz w:val="18"/>
              </w:rPr>
              <w:t>4,102</w:t>
            </w:r>
          </w:p>
        </w:tc>
        <w:tc>
          <w:tcPr>
            <w:tcW w:type="dxa" w:w="2232"/>
          </w:tcPr>
          <w:p>
            <w:pPr>
              <w:spacing w:after="20"/>
              <w:jc w:val="right"/>
            </w:pPr>
            <w:r>
              <w:rPr>
                <w:color w:val="1C3A36"/>
                <w:sz w:val="18"/>
              </w:rPr>
            </w:r>
          </w:p>
        </w:tc>
      </w:tr>
      <w:tr>
        <w:trPr>
          <w:cantSplit/>
        </w:trPr>
        <w:tc>
          <w:tcPr>
            <w:tcW w:type="dxa" w:w="5112"/>
          </w:tcPr>
          <w:p>
            <w:pPr>
              <w:spacing w:after="20"/>
            </w:pPr>
            <w:r>
              <w:rPr>
                <w:color w:val="1C3A36"/>
                <w:sz w:val="18"/>
              </w:rPr>
              <w:t>Terminal discount rate less growth: 7.44% − 1.5%</w:t>
            </w:r>
          </w:p>
        </w:tc>
        <w:tc>
          <w:tcPr>
            <w:tcW w:type="dxa" w:w="2304"/>
          </w:tcPr>
          <w:p>
            <w:pPr>
              <w:spacing w:after="20"/>
              <w:jc w:val="right"/>
            </w:pPr>
            <w:r>
              <w:rPr>
                <w:color w:val="1C3A36"/>
                <w:sz w:val="18"/>
              </w:rPr>
              <w:t>5.94%</w:t>
            </w:r>
          </w:p>
        </w:tc>
        <w:tc>
          <w:tcPr>
            <w:tcW w:type="dxa" w:w="2232"/>
          </w:tcPr>
          <w:p>
            <w:pPr>
              <w:spacing w:after="20"/>
              <w:jc w:val="right"/>
            </w:pPr>
            <w:r>
              <w:rPr>
                <w:color w:val="1C3A36"/>
                <w:sz w:val="18"/>
              </w:rPr>
            </w:r>
          </w:p>
        </w:tc>
      </w:tr>
      <w:tr>
        <w:trPr>
          <w:cantSplit/>
        </w:trPr>
        <w:tc>
          <w:tcPr>
            <w:tcW w:type="dxa" w:w="5112"/>
          </w:tcPr>
          <w:p>
            <w:pPr>
              <w:spacing w:after="20"/>
            </w:pPr>
            <w:r>
              <w:rPr>
                <w:color w:val="1C3A36"/>
                <w:sz w:val="18"/>
              </w:rPr>
              <w:t>Terminal value</w:t>
            </w:r>
          </w:p>
        </w:tc>
        <w:tc>
          <w:tcPr>
            <w:tcW w:type="dxa" w:w="2304"/>
          </w:tcPr>
          <w:p>
            <w:pPr>
              <w:spacing w:after="20"/>
              <w:jc w:val="right"/>
            </w:pPr>
            <w:r>
              <w:rPr>
                <w:color w:val="1C3A36"/>
                <w:sz w:val="18"/>
              </w:rPr>
              <w:t>69,105</w:t>
            </w:r>
          </w:p>
        </w:tc>
        <w:tc>
          <w:tcPr>
            <w:tcW w:type="dxa" w:w="2232"/>
          </w:tcPr>
          <w:p>
            <w:pPr>
              <w:spacing w:after="20"/>
              <w:jc w:val="right"/>
            </w:pPr>
            <w:r>
              <w:rPr>
                <w:color w:val="1C3A36"/>
                <w:sz w:val="18"/>
              </w:rPr>
            </w:r>
          </w:p>
        </w:tc>
      </w:tr>
      <w:tr>
        <w:trPr>
          <w:cantSplit/>
        </w:trPr>
        <w:tc>
          <w:tcPr>
            <w:tcW w:type="dxa" w:w="5112"/>
          </w:tcPr>
          <w:p>
            <w:pPr>
              <w:spacing w:after="20"/>
            </w:pPr>
            <w:r>
              <w:rPr>
                <w:color w:val="1C3A36"/>
                <w:sz w:val="18"/>
              </w:rPr>
              <w:t>Present value of the terminal value</w:t>
            </w:r>
          </w:p>
        </w:tc>
        <w:tc>
          <w:tcPr>
            <w:tcW w:type="dxa" w:w="2304"/>
          </w:tcPr>
          <w:p>
            <w:pPr>
              <w:spacing w:after="20"/>
              <w:jc w:val="right"/>
            </w:pPr>
            <w:r>
              <w:rPr>
                <w:color w:val="1C3A36"/>
                <w:sz w:val="18"/>
              </w:rPr>
              <w:t>48,280</w:t>
            </w:r>
          </w:p>
        </w:tc>
        <w:tc>
          <w:tcPr>
            <w:tcW w:type="dxa" w:w="2232"/>
          </w:tcPr>
          <w:p>
            <w:pPr>
              <w:spacing w:after="20"/>
              <w:jc w:val="right"/>
            </w:pPr>
            <w:r>
              <w:rPr>
                <w:color w:val="1C3A36"/>
                <w:sz w:val="18"/>
              </w:rPr>
              <w:t>3.86</w:t>
            </w:r>
          </w:p>
        </w:tc>
      </w:tr>
      <w:tr>
        <w:trPr>
          <w:cantSplit/>
        </w:trPr>
        <w:tc>
          <w:tcPr>
            <w:tcW w:type="dxa" w:w="5112"/>
            <w:shd w:val="clear" w:color="auto" w:fill="F6F1E6"/>
          </w:tcPr>
          <w:p>
            <w:pPr>
              <w:spacing w:after="20"/>
            </w:pPr>
            <w:r>
              <w:rPr>
                <w:b/>
                <w:color w:val="1C3A36"/>
                <w:sz w:val="18"/>
              </w:rPr>
              <w:t>ENTERPRISE VALUE</w:t>
            </w:r>
          </w:p>
        </w:tc>
        <w:tc>
          <w:tcPr>
            <w:tcW w:type="dxa" w:w="2304"/>
            <w:shd w:val="clear" w:color="auto" w:fill="F6F1E6"/>
          </w:tcPr>
          <w:p>
            <w:pPr>
              <w:spacing w:after="20"/>
              <w:jc w:val="right"/>
            </w:pPr>
            <w:r>
              <w:rPr>
                <w:b/>
                <w:color w:val="1C3A36"/>
                <w:sz w:val="18"/>
              </w:rPr>
              <w:t>64,482</w:t>
            </w:r>
          </w:p>
        </w:tc>
        <w:tc>
          <w:tcPr>
            <w:tcW w:type="dxa" w:w="2232"/>
            <w:shd w:val="clear" w:color="auto" w:fill="F6F1E6"/>
          </w:tcPr>
          <w:p>
            <w:pPr>
              <w:spacing w:after="20"/>
              <w:jc w:val="right"/>
            </w:pPr>
            <w:r>
              <w:rPr>
                <w:b/>
                <w:color w:val="1C3A36"/>
                <w:sz w:val="18"/>
              </w:rPr>
              <w:t>5.16</w:t>
            </w:r>
          </w:p>
        </w:tc>
      </w:tr>
      <w:tr>
        <w:trPr>
          <w:cantSplit/>
        </w:trPr>
        <w:tc>
          <w:tcPr>
            <w:tcW w:type="dxa" w:w="5112"/>
            <w:shd w:val="clear" w:color="auto" w:fill="F6F1E6"/>
          </w:tcPr>
          <w:p>
            <w:pPr>
              <w:spacing w:after="20"/>
            </w:pPr>
            <w:r>
              <w:rPr>
                <w:b/>
                <w:color w:val="1C3A36"/>
                <w:sz w:val="18"/>
              </w:rPr>
              <w:t>Terminal value as a percentage of enterprise value</w:t>
            </w:r>
          </w:p>
        </w:tc>
        <w:tc>
          <w:tcPr>
            <w:tcW w:type="dxa" w:w="2304"/>
            <w:shd w:val="clear" w:color="auto" w:fill="F6F1E6"/>
          </w:tcPr>
          <w:p>
            <w:pPr>
              <w:spacing w:after="20"/>
              <w:jc w:val="right"/>
            </w:pPr>
            <w:r>
              <w:rPr>
                <w:b/>
                <w:color w:val="1C3A36"/>
                <w:sz w:val="18"/>
              </w:rPr>
              <w:t>74.9%</w:t>
            </w:r>
          </w:p>
        </w:tc>
        <w:tc>
          <w:tcPr>
            <w:tcW w:type="dxa" w:w="2232"/>
            <w:shd w:val="clear" w:color="auto" w:fill="F6F1E6"/>
          </w:tcPr>
          <w:p>
            <w:pPr>
              <w:spacing w:after="20"/>
              <w:jc w:val="right"/>
            </w:pPr>
            <w:r>
              <w:rPr>
                <w:b/>
                <w:color w:val="1C3A36"/>
                <w:sz w:val="18"/>
              </w:rPr>
            </w:r>
          </w:p>
        </w:tc>
      </w:tr>
      <w:tr>
        <w:trPr>
          <w:cantSplit/>
        </w:trPr>
        <w:tc>
          <w:tcPr>
            <w:tcW w:type="dxa" w:w="5112"/>
          </w:tcPr>
          <w:p>
            <w:pPr>
              <w:spacing w:after="20"/>
            </w:pPr>
            <w:r>
              <w:rPr>
                <w:color w:val="1C3A36"/>
                <w:sz w:val="18"/>
              </w:rPr>
              <w:t>Less: net debt excluding leases</w:t>
            </w:r>
          </w:p>
        </w:tc>
        <w:tc>
          <w:tcPr>
            <w:tcW w:type="dxa" w:w="2304"/>
          </w:tcPr>
          <w:p>
            <w:pPr>
              <w:spacing w:after="20"/>
              <w:jc w:val="right"/>
            </w:pPr>
            <w:r>
              <w:rPr>
                <w:color w:val="1C3A36"/>
                <w:sz w:val="18"/>
              </w:rPr>
              <w:t>(2,985)</w:t>
            </w:r>
          </w:p>
        </w:tc>
        <w:tc>
          <w:tcPr>
            <w:tcW w:type="dxa" w:w="2232"/>
          </w:tcPr>
          <w:p>
            <w:pPr>
              <w:spacing w:after="20"/>
              <w:jc w:val="right"/>
            </w:pPr>
            <w:r>
              <w:rPr>
                <w:color w:val="1C3A36"/>
                <w:sz w:val="18"/>
              </w:rPr>
              <w:t>(0.24)</w:t>
            </w:r>
          </w:p>
        </w:tc>
      </w:tr>
      <w:tr>
        <w:trPr>
          <w:cantSplit/>
        </w:trPr>
        <w:tc>
          <w:tcPr>
            <w:tcW w:type="dxa" w:w="5112"/>
          </w:tcPr>
          <w:p>
            <w:pPr>
              <w:spacing w:after="20"/>
            </w:pPr>
            <w:r>
              <w:rPr>
                <w:color w:val="1C3A36"/>
                <w:sz w:val="18"/>
              </w:rPr>
              <w:t>Less: lease liabilities</w:t>
            </w:r>
          </w:p>
        </w:tc>
        <w:tc>
          <w:tcPr>
            <w:tcW w:type="dxa" w:w="2304"/>
          </w:tcPr>
          <w:p>
            <w:pPr>
              <w:spacing w:after="20"/>
              <w:jc w:val="right"/>
            </w:pPr>
            <w:r>
              <w:rPr>
                <w:color w:val="1C3A36"/>
                <w:sz w:val="18"/>
              </w:rPr>
              <w:t>(1,446)</w:t>
            </w:r>
          </w:p>
        </w:tc>
        <w:tc>
          <w:tcPr>
            <w:tcW w:type="dxa" w:w="2232"/>
          </w:tcPr>
          <w:p>
            <w:pPr>
              <w:spacing w:after="20"/>
              <w:jc w:val="right"/>
            </w:pPr>
            <w:r>
              <w:rPr>
                <w:color w:val="1C3A36"/>
                <w:sz w:val="18"/>
              </w:rPr>
              <w:t>(0.12)</w:t>
            </w:r>
          </w:p>
        </w:tc>
      </w:tr>
      <w:tr>
        <w:trPr>
          <w:cantSplit/>
        </w:trPr>
        <w:tc>
          <w:tcPr>
            <w:tcW w:type="dxa" w:w="5112"/>
          </w:tcPr>
          <w:p>
            <w:pPr>
              <w:spacing w:after="20"/>
            </w:pPr>
            <w:r>
              <w:rPr>
                <w:color w:val="1C3A36"/>
                <w:sz w:val="18"/>
              </w:rPr>
              <w:t>Less: non-controlling interests</w:t>
            </w:r>
          </w:p>
        </w:tc>
        <w:tc>
          <w:tcPr>
            <w:tcW w:type="dxa" w:w="2304"/>
          </w:tcPr>
          <w:p>
            <w:pPr>
              <w:spacing w:after="20"/>
              <w:jc w:val="right"/>
            </w:pPr>
            <w:r>
              <w:rPr>
                <w:color w:val="1C3A36"/>
                <w:sz w:val="18"/>
              </w:rPr>
              <w:t>(230)</w:t>
            </w:r>
          </w:p>
        </w:tc>
        <w:tc>
          <w:tcPr>
            <w:tcW w:type="dxa" w:w="2232"/>
          </w:tcPr>
          <w:p>
            <w:pPr>
              <w:spacing w:after="20"/>
              <w:jc w:val="right"/>
            </w:pPr>
            <w:r>
              <w:rPr>
                <w:color w:val="1C3A36"/>
                <w:sz w:val="18"/>
              </w:rPr>
              <w:t>(0.02)</w:t>
            </w:r>
          </w:p>
        </w:tc>
      </w:tr>
      <w:tr>
        <w:trPr>
          <w:cantSplit/>
        </w:trPr>
        <w:tc>
          <w:tcPr>
            <w:tcW w:type="dxa" w:w="5112"/>
            <w:shd w:val="clear" w:color="auto" w:fill="F6F1E6"/>
          </w:tcPr>
          <w:p>
            <w:pPr>
              <w:spacing w:after="20"/>
            </w:pPr>
            <w:r>
              <w:rPr>
                <w:b/>
                <w:color w:val="1C3A36"/>
                <w:sz w:val="18"/>
              </w:rPr>
              <w:t>EQUITY VALUE — Frame A</w:t>
            </w:r>
          </w:p>
        </w:tc>
        <w:tc>
          <w:tcPr>
            <w:tcW w:type="dxa" w:w="2304"/>
            <w:shd w:val="clear" w:color="auto" w:fill="F6F1E6"/>
          </w:tcPr>
          <w:p>
            <w:pPr>
              <w:spacing w:after="20"/>
              <w:jc w:val="right"/>
            </w:pPr>
            <w:r>
              <w:rPr>
                <w:b/>
                <w:color w:val="1C3A36"/>
                <w:sz w:val="18"/>
              </w:rPr>
              <w:t>59,820</w:t>
            </w:r>
          </w:p>
        </w:tc>
        <w:tc>
          <w:tcPr>
            <w:tcW w:type="dxa" w:w="2232"/>
            <w:shd w:val="clear" w:color="auto" w:fill="F6F1E6"/>
          </w:tcPr>
          <w:p>
            <w:pPr>
              <w:spacing w:after="20"/>
              <w:jc w:val="right"/>
            </w:pPr>
            <w:r>
              <w:rPr>
                <w:b/>
                <w:color w:val="1C3A36"/>
                <w:sz w:val="18"/>
              </w:rPr>
              <w:t>4.79</w:t>
            </w:r>
          </w:p>
        </w:tc>
      </w:tr>
      <w:tr>
        <w:trPr>
          <w:cantSplit/>
        </w:trPr>
        <w:tc>
          <w:tcPr>
            <w:tcW w:type="dxa" w:w="5112"/>
            <w:shd w:val="clear" w:color="auto" w:fill="F6F1E6"/>
          </w:tcPr>
          <w:p>
            <w:pPr>
              <w:spacing w:after="20"/>
            </w:pPr>
            <w:r>
              <w:rPr>
                <w:b/>
                <w:color w:val="1C3A36"/>
                <w:sz w:val="18"/>
              </w:rPr>
              <w:t>EQUITY VALUE — Frame B</w:t>
            </w:r>
          </w:p>
        </w:tc>
        <w:tc>
          <w:tcPr>
            <w:tcW w:type="dxa" w:w="2304"/>
            <w:shd w:val="clear" w:color="auto" w:fill="F6F1E6"/>
          </w:tcPr>
          <w:p>
            <w:pPr>
              <w:spacing w:after="20"/>
              <w:jc w:val="right"/>
            </w:pPr>
            <w:r>
              <w:rPr>
                <w:b/>
                <w:color w:val="1C3A36"/>
                <w:sz w:val="18"/>
              </w:rPr>
              <w:t>63,781</w:t>
            </w:r>
          </w:p>
        </w:tc>
        <w:tc>
          <w:tcPr>
            <w:tcW w:type="dxa" w:w="2232"/>
            <w:shd w:val="clear" w:color="auto" w:fill="F6F1E6"/>
          </w:tcPr>
          <w:p>
            <w:pPr>
              <w:spacing w:after="20"/>
              <w:jc w:val="right"/>
            </w:pPr>
            <w:r>
              <w:rPr>
                <w:b/>
                <w:color w:val="1C3A36"/>
                <w:sz w:val="18"/>
              </w:rPr>
              <w:t>5.10</w:t>
            </w:r>
          </w:p>
        </w:tc>
      </w:tr>
    </w:tbl>
    <w:p>
      <w:pPr>
        <w:spacing w:after="40"/>
      </w:pPr>
    </w:p>
    <w:p>
      <w:pPr>
        <w:spacing w:after="200" w:before="0"/>
      </w:pPr>
      <w:r>
        <w:rPr>
          <w:b w:val="0"/>
          <w:i/>
          <w:color w:val="6E7B77"/>
          <w:sz w:val="17"/>
        </w:rPr>
        <w:t>Table 6 — the enterprise-to-equity bridge. The terminal share is a LINE of the bridge rather than a footnote: 74.9% of enterprise value sits beyond FY2030. Lease liabilities are deducted in the bridge because the corresponding right-of-use depreciation is already inside the depreciation line above; deducting the lease and charging its depreciation would double-count, so the lease is deducted and the rent is NOT added back — section 1.8 prices that choice.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464"/>
        <w:gridCol w:w="1872"/>
        <w:gridCol w:w="1872"/>
        <w:gridCol w:w="1800"/>
      </w:tblGrid>
      <w:tr>
        <w:trPr>
          <w:cantSplit/>
        </w:trPr>
        <w:tc>
          <w:tcPr>
            <w:tcW w:type="dxa" w:w="4464"/>
            <w:shd w:val="clear" w:color="auto" w:fill="EAF0EE"/>
          </w:tcPr>
          <w:p>
            <w:pPr>
              <w:spacing w:after="20"/>
            </w:pPr>
            <w:r>
              <w:rPr>
                <w:b/>
                <w:color w:val="1C3A36"/>
                <w:sz w:val="17"/>
              </w:rPr>
              <w:t>The two frames side by side</w:t>
            </w:r>
          </w:p>
        </w:tc>
        <w:tc>
          <w:tcPr>
            <w:tcW w:type="dxa" w:w="1872"/>
            <w:shd w:val="clear" w:color="auto" w:fill="EAF0EE"/>
          </w:tcPr>
          <w:p>
            <w:pPr>
              <w:spacing w:after="20"/>
            </w:pPr>
            <w:r>
              <w:rPr>
                <w:b/>
                <w:color w:val="1C3A36"/>
                <w:sz w:val="17"/>
              </w:rPr>
              <w:t>Frame A</w:t>
            </w:r>
          </w:p>
        </w:tc>
        <w:tc>
          <w:tcPr>
            <w:tcW w:type="dxa" w:w="1872"/>
            <w:shd w:val="clear" w:color="auto" w:fill="EAF0EE"/>
          </w:tcPr>
          <w:p>
            <w:pPr>
              <w:spacing w:after="20"/>
            </w:pPr>
            <w:r>
              <w:rPr>
                <w:b/>
                <w:color w:val="1C3A36"/>
                <w:sz w:val="17"/>
              </w:rPr>
              <w:t>Frame B</w:t>
            </w:r>
          </w:p>
        </w:tc>
        <w:tc>
          <w:tcPr>
            <w:tcW w:type="dxa" w:w="1800"/>
            <w:shd w:val="clear" w:color="auto" w:fill="EAF0EE"/>
          </w:tcPr>
          <w:p>
            <w:pPr>
              <w:spacing w:after="20"/>
            </w:pPr>
            <w:r>
              <w:rPr>
                <w:b/>
                <w:color w:val="1C3A36"/>
                <w:sz w:val="17"/>
              </w:rPr>
              <w:t>Difference</w:t>
            </w:r>
          </w:p>
        </w:tc>
      </w:tr>
      <w:tr>
        <w:trPr>
          <w:cantSplit/>
        </w:trPr>
        <w:tc>
          <w:tcPr>
            <w:tcW w:type="dxa" w:w="4464"/>
          </w:tcPr>
          <w:p>
            <w:pPr>
              <w:spacing w:after="20"/>
            </w:pPr>
            <w:r>
              <w:rPr>
                <w:color w:val="1C3A36"/>
                <w:sz w:val="17"/>
              </w:rPr>
              <w:t>Inventory movement carried, FY2027 onward</w:t>
            </w:r>
          </w:p>
        </w:tc>
        <w:tc>
          <w:tcPr>
            <w:tcW w:type="dxa" w:w="1872"/>
          </w:tcPr>
          <w:p>
            <w:pPr>
              <w:spacing w:after="20"/>
              <w:jc w:val="right"/>
            </w:pPr>
            <w:r>
              <w:rPr>
                <w:color w:val="1C3A36"/>
                <w:sz w:val="17"/>
              </w:rPr>
              <w:t>0</w:t>
            </w:r>
          </w:p>
        </w:tc>
        <w:tc>
          <w:tcPr>
            <w:tcW w:type="dxa" w:w="1872"/>
          </w:tcPr>
          <w:p>
            <w:pPr>
              <w:spacing w:after="20"/>
              <w:jc w:val="right"/>
            </w:pPr>
            <w:r>
              <w:rPr>
                <w:color w:val="1C3A36"/>
                <w:sz w:val="17"/>
              </w:rPr>
              <w:t>295</w:t>
            </w:r>
          </w:p>
        </w:tc>
        <w:tc>
          <w:tcPr>
            <w:tcW w:type="dxa" w:w="1800"/>
          </w:tcPr>
          <w:p>
            <w:pPr>
              <w:spacing w:after="20"/>
              <w:jc w:val="right"/>
            </w:pPr>
            <w:r>
              <w:rPr>
                <w:color w:val="1C3A36"/>
                <w:sz w:val="17"/>
              </w:rPr>
              <w:t>295</w:t>
            </w:r>
          </w:p>
        </w:tc>
      </w:tr>
      <w:tr>
        <w:trPr>
          <w:cantSplit/>
        </w:trPr>
        <w:tc>
          <w:tcPr>
            <w:tcW w:type="dxa" w:w="4464"/>
          </w:tcPr>
          <w:p>
            <w:pPr>
              <w:spacing w:after="20"/>
            </w:pPr>
            <w:r>
              <w:rPr>
                <w:color w:val="1C3A36"/>
                <w:sz w:val="17"/>
              </w:rPr>
              <w:t>FY2026 EBITDA (AED m)</w:t>
            </w:r>
          </w:p>
        </w:tc>
        <w:tc>
          <w:tcPr>
            <w:tcW w:type="dxa" w:w="1872"/>
          </w:tcPr>
          <w:p>
            <w:pPr>
              <w:spacing w:after="20"/>
              <w:jc w:val="right"/>
            </w:pPr>
            <w:r>
              <w:rPr>
                <w:color w:val="1C3A36"/>
                <w:sz w:val="17"/>
              </w:rPr>
              <w:t>5,410</w:t>
            </w:r>
          </w:p>
        </w:tc>
        <w:tc>
          <w:tcPr>
            <w:tcW w:type="dxa" w:w="1872"/>
          </w:tcPr>
          <w:p>
            <w:pPr>
              <w:spacing w:after="20"/>
              <w:jc w:val="right"/>
            </w:pPr>
            <w:r>
              <w:rPr>
                <w:color w:val="1C3A36"/>
                <w:sz w:val="17"/>
              </w:rPr>
              <w:t>5,598</w:t>
            </w:r>
          </w:p>
        </w:tc>
        <w:tc>
          <w:tcPr>
            <w:tcW w:type="dxa" w:w="1800"/>
          </w:tcPr>
          <w:p>
            <w:pPr>
              <w:spacing w:after="20"/>
              <w:jc w:val="right"/>
            </w:pPr>
            <w:r>
              <w:rPr>
                <w:color w:val="1C3A36"/>
                <w:sz w:val="17"/>
              </w:rPr>
              <w:t>188</w:t>
            </w:r>
          </w:p>
        </w:tc>
      </w:tr>
      <w:tr>
        <w:trPr>
          <w:cantSplit/>
        </w:trPr>
        <w:tc>
          <w:tcPr>
            <w:tcW w:type="dxa" w:w="4464"/>
          </w:tcPr>
          <w:p>
            <w:pPr>
              <w:spacing w:after="20"/>
            </w:pPr>
            <w:r>
              <w:rPr>
                <w:color w:val="1C3A36"/>
                <w:sz w:val="17"/>
              </w:rPr>
              <w:t>FY2030 EBITDA (AED m)</w:t>
            </w:r>
          </w:p>
        </w:tc>
        <w:tc>
          <w:tcPr>
            <w:tcW w:type="dxa" w:w="1872"/>
          </w:tcPr>
          <w:p>
            <w:pPr>
              <w:spacing w:after="20"/>
              <w:jc w:val="right"/>
            </w:pPr>
            <w:r>
              <w:rPr>
                <w:color w:val="1C3A36"/>
                <w:sz w:val="17"/>
              </w:rPr>
              <w:t>5,637</w:t>
            </w:r>
          </w:p>
        </w:tc>
        <w:tc>
          <w:tcPr>
            <w:tcW w:type="dxa" w:w="1872"/>
          </w:tcPr>
          <w:p>
            <w:pPr>
              <w:spacing w:after="20"/>
              <w:jc w:val="right"/>
            </w:pPr>
            <w:r>
              <w:rPr>
                <w:color w:val="1C3A36"/>
                <w:sz w:val="17"/>
              </w:rPr>
              <w:t>5,932</w:t>
            </w:r>
          </w:p>
        </w:tc>
        <w:tc>
          <w:tcPr>
            <w:tcW w:type="dxa" w:w="1800"/>
          </w:tcPr>
          <w:p>
            <w:pPr>
              <w:spacing w:after="20"/>
              <w:jc w:val="right"/>
            </w:pPr>
            <w:r>
              <w:rPr>
                <w:color w:val="1C3A36"/>
                <w:sz w:val="17"/>
              </w:rPr>
              <w:t>295</w:t>
            </w:r>
          </w:p>
        </w:tc>
      </w:tr>
      <w:tr>
        <w:trPr>
          <w:cantSplit/>
        </w:trPr>
        <w:tc>
          <w:tcPr>
            <w:tcW w:type="dxa" w:w="4464"/>
          </w:tcPr>
          <w:p>
            <w:pPr>
              <w:spacing w:after="20"/>
            </w:pPr>
            <w:r>
              <w:rPr>
                <w:color w:val="1C3A36"/>
                <w:sz w:val="17"/>
              </w:rPr>
              <w:t>Present value of five years (AED m)</w:t>
            </w:r>
          </w:p>
        </w:tc>
        <w:tc>
          <w:tcPr>
            <w:tcW w:type="dxa" w:w="1872"/>
          </w:tcPr>
          <w:p>
            <w:pPr>
              <w:spacing w:after="20"/>
              <w:jc w:val="right"/>
            </w:pPr>
            <w:r>
              <w:rPr>
                <w:color w:val="1C3A36"/>
                <w:sz w:val="17"/>
              </w:rPr>
              <w:t>16,202</w:t>
            </w:r>
          </w:p>
        </w:tc>
        <w:tc>
          <w:tcPr>
            <w:tcW w:type="dxa" w:w="1872"/>
          </w:tcPr>
          <w:p>
            <w:pPr>
              <w:spacing w:after="20"/>
              <w:jc w:val="right"/>
            </w:pPr>
            <w:r>
              <w:rPr>
                <w:color w:val="1C3A36"/>
                <w:sz w:val="17"/>
              </w:rPr>
              <w:t>17,187</w:t>
            </w:r>
          </w:p>
        </w:tc>
        <w:tc>
          <w:tcPr>
            <w:tcW w:type="dxa" w:w="1800"/>
          </w:tcPr>
          <w:p>
            <w:pPr>
              <w:spacing w:after="20"/>
              <w:jc w:val="right"/>
            </w:pPr>
            <w:r>
              <w:rPr>
                <w:color w:val="1C3A36"/>
                <w:sz w:val="17"/>
              </w:rPr>
              <w:t>985</w:t>
            </w:r>
          </w:p>
        </w:tc>
      </w:tr>
      <w:tr>
        <w:trPr>
          <w:cantSplit/>
        </w:trPr>
        <w:tc>
          <w:tcPr>
            <w:tcW w:type="dxa" w:w="4464"/>
          </w:tcPr>
          <w:p>
            <w:pPr>
              <w:spacing w:after="20"/>
            </w:pPr>
            <w:r>
              <w:rPr>
                <w:color w:val="1C3A36"/>
                <w:sz w:val="17"/>
              </w:rPr>
              <w:t>Present value of the terminal (AED m)</w:t>
            </w:r>
          </w:p>
        </w:tc>
        <w:tc>
          <w:tcPr>
            <w:tcW w:type="dxa" w:w="1872"/>
          </w:tcPr>
          <w:p>
            <w:pPr>
              <w:spacing w:after="20"/>
              <w:jc w:val="right"/>
            </w:pPr>
            <w:r>
              <w:rPr>
                <w:color w:val="1C3A36"/>
                <w:sz w:val="17"/>
              </w:rPr>
              <w:t>48,280</w:t>
            </w:r>
          </w:p>
        </w:tc>
        <w:tc>
          <w:tcPr>
            <w:tcW w:type="dxa" w:w="1872"/>
          </w:tcPr>
          <w:p>
            <w:pPr>
              <w:spacing w:after="20"/>
              <w:jc w:val="right"/>
            </w:pPr>
            <w:r>
              <w:rPr>
                <w:color w:val="1C3A36"/>
                <w:sz w:val="17"/>
              </w:rPr>
              <w:t>51,256</w:t>
            </w:r>
          </w:p>
        </w:tc>
        <w:tc>
          <w:tcPr>
            <w:tcW w:type="dxa" w:w="1800"/>
          </w:tcPr>
          <w:p>
            <w:pPr>
              <w:spacing w:after="20"/>
              <w:jc w:val="right"/>
            </w:pPr>
            <w:r>
              <w:rPr>
                <w:color w:val="1C3A36"/>
                <w:sz w:val="17"/>
              </w:rPr>
              <w:t>2,976</w:t>
            </w:r>
          </w:p>
        </w:tc>
      </w:tr>
      <w:tr>
        <w:trPr>
          <w:cantSplit/>
        </w:trPr>
        <w:tc>
          <w:tcPr>
            <w:tcW w:type="dxa" w:w="4464"/>
          </w:tcPr>
          <w:p>
            <w:pPr>
              <w:spacing w:after="20"/>
            </w:pPr>
            <w:r>
              <w:rPr>
                <w:color w:val="1C3A36"/>
                <w:sz w:val="17"/>
              </w:rPr>
              <w:t>Terminal share of enterprise value</w:t>
            </w:r>
          </w:p>
        </w:tc>
        <w:tc>
          <w:tcPr>
            <w:tcW w:type="dxa" w:w="1872"/>
          </w:tcPr>
          <w:p>
            <w:pPr>
              <w:spacing w:after="20"/>
              <w:jc w:val="right"/>
            </w:pPr>
            <w:r>
              <w:rPr>
                <w:color w:val="1C3A36"/>
                <w:sz w:val="17"/>
              </w:rPr>
              <w:t>74.9%</w:t>
            </w:r>
          </w:p>
        </w:tc>
        <w:tc>
          <w:tcPr>
            <w:tcW w:type="dxa" w:w="1872"/>
          </w:tcPr>
          <w:p>
            <w:pPr>
              <w:spacing w:after="20"/>
              <w:jc w:val="right"/>
            </w:pPr>
            <w:r>
              <w:rPr>
                <w:color w:val="1C3A36"/>
                <w:sz w:val="17"/>
              </w:rPr>
              <w:t>74.9%</w:t>
            </w:r>
          </w:p>
        </w:tc>
        <w:tc>
          <w:tcPr>
            <w:tcW w:type="dxa" w:w="1800"/>
          </w:tcPr>
          <w:p>
            <w:pPr>
              <w:spacing w:after="20"/>
              <w:jc w:val="right"/>
            </w:pPr>
            <w:r>
              <w:rPr>
                <w:color w:val="1C3A36"/>
                <w:sz w:val="17"/>
              </w:rPr>
              <w:t>0.0%</w:t>
            </w:r>
          </w:p>
        </w:tc>
      </w:tr>
      <w:tr>
        <w:trPr>
          <w:cantSplit/>
        </w:trPr>
        <w:tc>
          <w:tcPr>
            <w:tcW w:type="dxa" w:w="4464"/>
            <w:shd w:val="clear" w:color="auto" w:fill="F6F1E6"/>
          </w:tcPr>
          <w:p>
            <w:pPr>
              <w:spacing w:after="20"/>
            </w:pPr>
            <w:r>
              <w:rPr>
                <w:b/>
                <w:color w:val="1C3A36"/>
                <w:sz w:val="17"/>
              </w:rPr>
              <w:t>Value per share (AED)</w:t>
            </w:r>
          </w:p>
        </w:tc>
        <w:tc>
          <w:tcPr>
            <w:tcW w:type="dxa" w:w="1872"/>
            <w:shd w:val="clear" w:color="auto" w:fill="F6F1E6"/>
          </w:tcPr>
          <w:p>
            <w:pPr>
              <w:spacing w:after="20"/>
              <w:jc w:val="right"/>
            </w:pPr>
            <w:r>
              <w:rPr>
                <w:b/>
                <w:color w:val="1C3A36"/>
                <w:sz w:val="17"/>
              </w:rPr>
              <w:t>4.79</w:t>
            </w:r>
          </w:p>
        </w:tc>
        <w:tc>
          <w:tcPr>
            <w:tcW w:type="dxa" w:w="1872"/>
            <w:shd w:val="clear" w:color="auto" w:fill="F6F1E6"/>
          </w:tcPr>
          <w:p>
            <w:pPr>
              <w:spacing w:after="20"/>
              <w:jc w:val="right"/>
            </w:pPr>
            <w:r>
              <w:rPr>
                <w:b/>
                <w:color w:val="1C3A36"/>
                <w:sz w:val="17"/>
              </w:rPr>
              <w:t>5.10</w:t>
            </w:r>
          </w:p>
        </w:tc>
        <w:tc>
          <w:tcPr>
            <w:tcW w:type="dxa" w:w="1800"/>
            <w:shd w:val="clear" w:color="auto" w:fill="F6F1E6"/>
          </w:tcPr>
          <w:p>
            <w:pPr>
              <w:spacing w:after="20"/>
              <w:jc w:val="right"/>
            </w:pPr>
            <w:r>
              <w:rPr>
                <w:b/>
                <w:color w:val="1C3A36"/>
                <w:sz w:val="17"/>
              </w:rPr>
              <w:t>0.32</w:t>
            </w:r>
          </w:p>
        </w:tc>
      </w:tr>
    </w:tbl>
    <w:p>
      <w:pPr>
        <w:spacing w:after="40"/>
      </w:pPr>
    </w:p>
    <w:p>
      <w:pPr>
        <w:spacing w:after="200" w:before="0"/>
      </w:pPr>
      <w:r>
        <w:rPr>
          <w:b w:val="0"/>
          <w:i/>
          <w:color w:val="6E7B77"/>
          <w:sz w:val="17"/>
        </w:rPr>
        <w:t>Table 7 — the contested judgement isolated. Everything else in the two models is identical, so the AED 0.32 a share between them is the inventory judgement and nothing else. Note that the difference is overwhelmingly a TERMINAL effect: a permanently higher gross profit compounds into the perpetuity, which is precisely why the two frames must not be averaged.</w:t>
      </w:r>
    </w:p>
    <w:p>
      <w:pPr>
        <w:spacing w:after="80" w:before="200"/>
      </w:pPr>
      <w:r>
        <w:rPr>
          <w:b/>
          <w:i w:val="0"/>
          <w:color w:val="1C3A36"/>
          <w:sz w:val="24"/>
        </w:rPr>
        <w:t>1.2 Book value and sustainable return</w:t>
      </w:r>
    </w:p>
    <w:p>
      <w:pPr>
        <w:spacing w:after="120" w:before="0"/>
      </w:pPr>
      <w:r>
        <w:rPr>
          <w:b w:val="0"/>
          <w:i w:val="0"/>
          <w:color w:val="1C3A36"/>
          <w:sz w:val="21"/>
        </w:rPr>
        <w:t>Equity attributable to shareholders was AED 3,230 million at the year end — AED 0.26 a share, against a traded price of AED 4.02. That is roughly 16 times book, which looks extraordinary until the return is put beside it. Return on equity attributable to shareholders was 74.9% in FY2023, 80.9% in FY2024 and 86.5% in FY2025 — a three-year mean of 80.8%, which is the sustainable return used here, read off the company's own record rather than chosen.</w:t>
      </w:r>
    </w:p>
    <w:p>
      <w:pPr>
        <w:spacing w:after="120" w:before="0"/>
      </w:pPr>
      <w:r>
        <w:rPr>
          <w:b w:val="0"/>
          <w:i w:val="0"/>
          <w:color w:val="1C3A36"/>
          <w:sz w:val="21"/>
        </w:rPr>
        <w:t>A business earning 80.8% on equity while its cost of equity is 7.60% is worth a large multiple of its book. The multiple that relationship justifies is (return less growth) divided by (cost of equity less growth): (80.8% − 1.5%) ÷ (7.60% − 1.5%) = 13.0 times book, or AED 3.36 a 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416"/>
        <w:gridCol w:w="1656"/>
      </w:tblGrid>
      <w:tr>
        <w:trPr>
          <w:cantSplit/>
        </w:trPr>
        <w:tc>
          <w:tcPr>
            <w:tcW w:type="dxa" w:w="7416"/>
            <w:shd w:val="clear" w:color="auto" w:fill="EAF0EE"/>
          </w:tcPr>
          <w:p>
            <w:pPr>
              <w:spacing w:after="20"/>
            </w:pPr>
            <w:r>
              <w:rPr>
                <w:b/>
                <w:color w:val="1C3A36"/>
                <w:sz w:val="17"/>
              </w:rPr>
              <w:t>Book value and sustainable return</w:t>
            </w:r>
          </w:p>
        </w:tc>
        <w:tc>
          <w:tcPr>
            <w:tcW w:type="dxa" w:w="1656"/>
            <w:shd w:val="clear" w:color="auto" w:fill="EAF0EE"/>
          </w:tcPr>
          <w:p>
            <w:pPr>
              <w:spacing w:after="20"/>
            </w:pPr>
            <w:r>
              <w:rPr>
                <w:b/>
                <w:color w:val="1C3A36"/>
                <w:sz w:val="17"/>
              </w:rPr>
              <w:t>Value</w:t>
            </w:r>
          </w:p>
        </w:tc>
      </w:tr>
      <w:tr>
        <w:trPr>
          <w:cantSplit/>
        </w:trPr>
        <w:tc>
          <w:tcPr>
            <w:tcW w:type="dxa" w:w="7416"/>
          </w:tcPr>
          <w:p>
            <w:pPr>
              <w:spacing w:after="20"/>
            </w:pPr>
            <w:r>
              <w:rPr>
                <w:color w:val="1C3A36"/>
                <w:sz w:val="17"/>
              </w:rPr>
              <w:t>Equity attributable to shareholders (AED m)</w:t>
            </w:r>
          </w:p>
        </w:tc>
        <w:tc>
          <w:tcPr>
            <w:tcW w:type="dxa" w:w="1656"/>
          </w:tcPr>
          <w:p>
            <w:pPr>
              <w:spacing w:after="20"/>
              <w:jc w:val="right"/>
            </w:pPr>
            <w:r>
              <w:rPr>
                <w:color w:val="1C3A36"/>
                <w:sz w:val="17"/>
              </w:rPr>
              <w:t>3,230</w:t>
            </w:r>
          </w:p>
        </w:tc>
      </w:tr>
      <w:tr>
        <w:trPr>
          <w:cantSplit/>
        </w:trPr>
        <w:tc>
          <w:tcPr>
            <w:tcW w:type="dxa" w:w="7416"/>
          </w:tcPr>
          <w:p>
            <w:pPr>
              <w:spacing w:after="20"/>
            </w:pPr>
            <w:r>
              <w:rPr>
                <w:color w:val="1C3A36"/>
                <w:sz w:val="17"/>
              </w:rPr>
              <w:t>Shares in issue (millions)</w:t>
            </w:r>
          </w:p>
        </w:tc>
        <w:tc>
          <w:tcPr>
            <w:tcW w:type="dxa" w:w="1656"/>
          </w:tcPr>
          <w:p>
            <w:pPr>
              <w:spacing w:after="20"/>
              <w:jc w:val="right"/>
            </w:pPr>
            <w:r>
              <w:rPr>
                <w:color w:val="1C3A36"/>
                <w:sz w:val="17"/>
              </w:rPr>
              <w:t>12,500</w:t>
            </w:r>
          </w:p>
        </w:tc>
      </w:tr>
      <w:tr>
        <w:trPr>
          <w:cantSplit/>
        </w:trPr>
        <w:tc>
          <w:tcPr>
            <w:tcW w:type="dxa" w:w="7416"/>
          </w:tcPr>
          <w:p>
            <w:pPr>
              <w:spacing w:after="20"/>
            </w:pPr>
            <w:r>
              <w:rPr>
                <w:color w:val="1C3A36"/>
                <w:sz w:val="17"/>
              </w:rPr>
              <w:t>Book value per share (AED)</w:t>
            </w:r>
          </w:p>
        </w:tc>
        <w:tc>
          <w:tcPr>
            <w:tcW w:type="dxa" w:w="1656"/>
          </w:tcPr>
          <w:p>
            <w:pPr>
              <w:spacing w:after="20"/>
              <w:jc w:val="right"/>
            </w:pPr>
            <w:r>
              <w:rPr>
                <w:color w:val="1C3A36"/>
                <w:sz w:val="17"/>
              </w:rPr>
              <w:t>0.26</w:t>
            </w:r>
          </w:p>
        </w:tc>
      </w:tr>
      <w:tr>
        <w:trPr>
          <w:cantSplit/>
        </w:trPr>
        <w:tc>
          <w:tcPr>
            <w:tcW w:type="dxa" w:w="7416"/>
          </w:tcPr>
          <w:p>
            <w:pPr>
              <w:spacing w:after="20"/>
            </w:pPr>
            <w:r>
              <w:rPr>
                <w:color w:val="1C3A36"/>
                <w:sz w:val="17"/>
              </w:rPr>
              <w:t>Return on equity, FY2023</w:t>
            </w:r>
          </w:p>
        </w:tc>
        <w:tc>
          <w:tcPr>
            <w:tcW w:type="dxa" w:w="1656"/>
          </w:tcPr>
          <w:p>
            <w:pPr>
              <w:spacing w:after="20"/>
              <w:jc w:val="right"/>
            </w:pPr>
            <w:r>
              <w:rPr>
                <w:color w:val="1C3A36"/>
                <w:sz w:val="17"/>
              </w:rPr>
              <w:t>74.9%</w:t>
            </w:r>
          </w:p>
        </w:tc>
      </w:tr>
      <w:tr>
        <w:trPr>
          <w:cantSplit/>
        </w:trPr>
        <w:tc>
          <w:tcPr>
            <w:tcW w:type="dxa" w:w="7416"/>
          </w:tcPr>
          <w:p>
            <w:pPr>
              <w:spacing w:after="20"/>
            </w:pPr>
            <w:r>
              <w:rPr>
                <w:color w:val="1C3A36"/>
                <w:sz w:val="17"/>
              </w:rPr>
              <w:t>Return on equity, FY2024</w:t>
            </w:r>
          </w:p>
        </w:tc>
        <w:tc>
          <w:tcPr>
            <w:tcW w:type="dxa" w:w="1656"/>
          </w:tcPr>
          <w:p>
            <w:pPr>
              <w:spacing w:after="20"/>
              <w:jc w:val="right"/>
            </w:pPr>
            <w:r>
              <w:rPr>
                <w:color w:val="1C3A36"/>
                <w:sz w:val="17"/>
              </w:rPr>
              <w:t>80.9%</w:t>
            </w:r>
          </w:p>
        </w:tc>
      </w:tr>
      <w:tr>
        <w:trPr>
          <w:cantSplit/>
        </w:trPr>
        <w:tc>
          <w:tcPr>
            <w:tcW w:type="dxa" w:w="7416"/>
          </w:tcPr>
          <w:p>
            <w:pPr>
              <w:spacing w:after="20"/>
            </w:pPr>
            <w:r>
              <w:rPr>
                <w:color w:val="1C3A36"/>
                <w:sz w:val="17"/>
              </w:rPr>
              <w:t>Return on equity, FY2025</w:t>
            </w:r>
          </w:p>
        </w:tc>
        <w:tc>
          <w:tcPr>
            <w:tcW w:type="dxa" w:w="1656"/>
          </w:tcPr>
          <w:p>
            <w:pPr>
              <w:spacing w:after="20"/>
              <w:jc w:val="right"/>
            </w:pPr>
            <w:r>
              <w:rPr>
                <w:color w:val="1C3A36"/>
                <w:sz w:val="17"/>
              </w:rPr>
              <w:t>86.5%</w:t>
            </w:r>
          </w:p>
        </w:tc>
      </w:tr>
      <w:tr>
        <w:trPr>
          <w:cantSplit/>
        </w:trPr>
        <w:tc>
          <w:tcPr>
            <w:tcW w:type="dxa" w:w="7416"/>
          </w:tcPr>
          <w:p>
            <w:pPr>
              <w:spacing w:after="20"/>
            </w:pPr>
            <w:r>
              <w:rPr>
                <w:color w:val="1C3A36"/>
                <w:sz w:val="17"/>
              </w:rPr>
              <w:t>Sustainable return — the three-year mean</w:t>
            </w:r>
          </w:p>
        </w:tc>
        <w:tc>
          <w:tcPr>
            <w:tcW w:type="dxa" w:w="1656"/>
          </w:tcPr>
          <w:p>
            <w:pPr>
              <w:spacing w:after="20"/>
              <w:jc w:val="right"/>
            </w:pPr>
            <w:r>
              <w:rPr>
                <w:color w:val="1C3A36"/>
                <w:sz w:val="17"/>
              </w:rPr>
              <w:t>80.8%</w:t>
            </w:r>
          </w:p>
        </w:tc>
      </w:tr>
      <w:tr>
        <w:trPr>
          <w:cantSplit/>
        </w:trPr>
        <w:tc>
          <w:tcPr>
            <w:tcW w:type="dxa" w:w="7416"/>
          </w:tcPr>
          <w:p>
            <w:pPr>
              <w:spacing w:after="20"/>
            </w:pPr>
            <w:r>
              <w:rPr>
                <w:color w:val="1C3A36"/>
                <w:sz w:val="17"/>
              </w:rPr>
              <w:t>Cost of equity</w:t>
            </w:r>
          </w:p>
        </w:tc>
        <w:tc>
          <w:tcPr>
            <w:tcW w:type="dxa" w:w="1656"/>
          </w:tcPr>
          <w:p>
            <w:pPr>
              <w:spacing w:after="20"/>
              <w:jc w:val="right"/>
            </w:pPr>
            <w:r>
              <w:rPr>
                <w:color w:val="1C3A36"/>
                <w:sz w:val="17"/>
              </w:rPr>
              <w:t>7.60%</w:t>
            </w:r>
          </w:p>
        </w:tc>
      </w:tr>
      <w:tr>
        <w:trPr>
          <w:cantSplit/>
        </w:trPr>
        <w:tc>
          <w:tcPr>
            <w:tcW w:type="dxa" w:w="7416"/>
          </w:tcPr>
          <w:p>
            <w:pPr>
              <w:spacing w:after="20"/>
            </w:pPr>
            <w:r>
              <w:rPr>
                <w:color w:val="1C3A36"/>
                <w:sz w:val="17"/>
              </w:rPr>
              <w:t>Long-run growth</w:t>
            </w:r>
          </w:p>
        </w:tc>
        <w:tc>
          <w:tcPr>
            <w:tcW w:type="dxa" w:w="1656"/>
          </w:tcPr>
          <w:p>
            <w:pPr>
              <w:spacing w:after="20"/>
              <w:jc w:val="right"/>
            </w:pPr>
            <w:r>
              <w:rPr>
                <w:color w:val="1C3A36"/>
                <w:sz w:val="17"/>
              </w:rPr>
              <w:t>1.5%</w:t>
            </w:r>
          </w:p>
        </w:tc>
      </w:tr>
      <w:tr>
        <w:trPr>
          <w:cantSplit/>
        </w:trPr>
        <w:tc>
          <w:tcPr>
            <w:tcW w:type="dxa" w:w="7416"/>
          </w:tcPr>
          <w:p>
            <w:pPr>
              <w:spacing w:after="20"/>
            </w:pPr>
            <w:r>
              <w:rPr>
                <w:color w:val="1C3A36"/>
                <w:sz w:val="17"/>
              </w:rPr>
              <w:t>Justified multiple of book</w:t>
            </w:r>
          </w:p>
        </w:tc>
        <w:tc>
          <w:tcPr>
            <w:tcW w:type="dxa" w:w="1656"/>
          </w:tcPr>
          <w:p>
            <w:pPr>
              <w:spacing w:after="20"/>
              <w:jc w:val="right"/>
            </w:pPr>
            <w:r>
              <w:rPr>
                <w:color w:val="1C3A36"/>
                <w:sz w:val="17"/>
              </w:rPr>
              <w:t>13.0x</w:t>
            </w:r>
          </w:p>
        </w:tc>
      </w:tr>
      <w:tr>
        <w:trPr>
          <w:cantSplit/>
        </w:trPr>
        <w:tc>
          <w:tcPr>
            <w:tcW w:type="dxa" w:w="7416"/>
            <w:shd w:val="clear" w:color="auto" w:fill="F6F1E6"/>
          </w:tcPr>
          <w:p>
            <w:pPr>
              <w:spacing w:after="20"/>
            </w:pPr>
            <w:r>
              <w:rPr>
                <w:b/>
                <w:color w:val="1C3A36"/>
                <w:sz w:val="17"/>
              </w:rPr>
              <w:t>Value per share (AED)</w:t>
            </w:r>
          </w:p>
        </w:tc>
        <w:tc>
          <w:tcPr>
            <w:tcW w:type="dxa" w:w="1656"/>
            <w:shd w:val="clear" w:color="auto" w:fill="F6F1E6"/>
          </w:tcPr>
          <w:p>
            <w:pPr>
              <w:spacing w:after="20"/>
              <w:jc w:val="right"/>
            </w:pPr>
            <w:r>
              <w:rPr>
                <w:b/>
                <w:color w:val="1C3A36"/>
                <w:sz w:val="17"/>
              </w:rPr>
              <w:t>3.36</w:t>
            </w:r>
          </w:p>
        </w:tc>
      </w:tr>
    </w:tbl>
    <w:p>
      <w:pPr>
        <w:spacing w:after="40"/>
      </w:pPr>
    </w:p>
    <w:p>
      <w:pPr>
        <w:spacing w:after="200" w:before="0"/>
      </w:pPr>
      <w:r>
        <w:rPr>
          <w:b w:val="0"/>
          <w:i/>
          <w:color w:val="6E7B77"/>
          <w:sz w:val="17"/>
        </w:rPr>
        <w:t>Table 8 — the book-value reading. The reason this lens produces a sane answer on a 16-times-book share is that the denominator is small by design: the company has paid out substantially all of its earnings every year since listing, so book equity does not accumulate. Return on equity here measures return on a deliberately thin equity base and should not be read as an operating margin.</w:t>
      </w:r>
    </w:p>
    <w:p>
      <w:pPr>
        <w:spacing w:after="120" w:before="0"/>
      </w:pPr>
      <w:r>
        <w:rPr>
          <w:b w:val="0"/>
          <w:i w:val="0"/>
          <w:color w:val="1C3A36"/>
          <w:sz w:val="21"/>
        </w:rPr>
        <w:t>A caution on this lens, stated plainly. Return on capital employed — a measure that does not flatter a thin equity base — was 49.0% in FY2023, 52.6% in FY2024 and 54.4% in FY2025. That is the more honest read of how good this business is, and it is still exceptional. But a payout policy is a choice, not a law: if the board ever retained earnings to fund the network, book equity would rise and this lens would mechanically produce a higher number for an unchanged business. It carries the lowest weight of the four for that reason.</w:t>
      </w:r>
    </w:p>
    <w:p>
      <w:pPr>
        <w:spacing w:after="80" w:before="200"/>
      </w:pPr>
      <w:r>
        <w:rPr>
          <w:b/>
          <w:i w:val="0"/>
          <w:color w:val="1C3A36"/>
          <w:sz w:val="24"/>
        </w:rPr>
        <w:t>1.3 Relative multiples</w:t>
      </w:r>
    </w:p>
    <w:p>
      <w:pPr>
        <w:spacing w:after="120" w:before="0"/>
      </w:pPr>
      <w:r>
        <w:rPr>
          <w:b w:val="0"/>
          <w:i w:val="0"/>
          <w:color w:val="1C3A36"/>
          <w:sz w:val="21"/>
        </w:rPr>
        <w:t>There is no clean listed comparable for this company. The closest is Aldrees Petroleum and Transport Services in Saudi Arabia at 12.9 times enterprise value to EBITDA; the international convenience-retail names run from about 6.8 times at Ultrapar in Brazil to 22.4 times at Casey's General Stores in the United States. That is a spread of more than three to one, and it is a spread across fundamentally different fuel-pricing regimes: a company that sets its own pump prices and one that receives a committee-set margin are not the same instrument. Applying a peer median here would import someone else's regulatory regime into this valuation.</w:t>
      </w:r>
    </w:p>
    <w:p>
      <w:pPr>
        <w:spacing w:after="120" w:before="0"/>
      </w:pPr>
      <w:r>
        <w:rPr>
          <w:b w:val="0"/>
          <w:i w:val="0"/>
          <w:color w:val="1C3A36"/>
          <w:sz w:val="21"/>
        </w:rPr>
        <w:t>This study therefore anchors the relative lens on what the company's own economics justify rather than on what other companies trade at. A business with the return, the growth and the cost of equity established above supports about 16.3 times forward earnings. On the model's own FY2026 earnings of AED 0.30 a share on Frame A and AED 0.32 on Frame B, that gives AED 4.95 and AED 5.17. The peer observations are reported below as a cross-check on that reference, never as its source.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1152"/>
        <w:gridCol w:w="2304"/>
        <w:gridCol w:w="3384"/>
      </w:tblGrid>
      <w:tr>
        <w:trPr>
          <w:cantSplit/>
        </w:trPr>
        <w:tc>
          <w:tcPr>
            <w:tcW w:type="dxa" w:w="3096"/>
            <w:shd w:val="clear" w:color="auto" w:fill="EAF0EE"/>
          </w:tcPr>
          <w:p>
            <w:pPr>
              <w:spacing w:after="20"/>
            </w:pPr>
            <w:r>
              <w:rPr>
                <w:b/>
                <w:color w:val="1C3A36"/>
                <w:sz w:val="16"/>
              </w:rPr>
              <w:t>Multiple reference</w:t>
            </w:r>
          </w:p>
        </w:tc>
        <w:tc>
          <w:tcPr>
            <w:tcW w:type="dxa" w:w="1152"/>
            <w:shd w:val="clear" w:color="auto" w:fill="EAF0EE"/>
          </w:tcPr>
          <w:p>
            <w:pPr>
              <w:spacing w:after="20"/>
            </w:pPr>
            <w:r>
              <w:rPr>
                <w:b/>
                <w:color w:val="1C3A36"/>
                <w:sz w:val="16"/>
              </w:rPr>
              <w:t>Multiple</w:t>
            </w:r>
          </w:p>
        </w:tc>
        <w:tc>
          <w:tcPr>
            <w:tcW w:type="dxa" w:w="2304"/>
            <w:shd w:val="clear" w:color="auto" w:fill="EAF0EE"/>
          </w:tcPr>
          <w:p>
            <w:pPr>
              <w:spacing w:after="20"/>
            </w:pPr>
            <w:r>
              <w:rPr>
                <w:b/>
                <w:color w:val="1C3A36"/>
                <w:sz w:val="16"/>
              </w:rPr>
              <w:t>Basis</w:t>
            </w:r>
          </w:p>
        </w:tc>
        <w:tc>
          <w:tcPr>
            <w:tcW w:type="dxa" w:w="3384"/>
            <w:shd w:val="clear" w:color="auto" w:fill="EAF0EE"/>
          </w:tcPr>
          <w:p>
            <w:pPr>
              <w:spacing w:after="20"/>
            </w:pPr>
            <w:r>
              <w:rPr>
                <w:b/>
                <w:color w:val="1C3A36"/>
                <w:sz w:val="16"/>
              </w:rPr>
              <w:t>Role in this study</w:t>
            </w:r>
          </w:p>
        </w:tc>
      </w:tr>
      <w:tr>
        <w:trPr>
          <w:cantSplit/>
        </w:trPr>
        <w:tc>
          <w:tcPr>
            <w:tcW w:type="dxa" w:w="3096"/>
          </w:tcPr>
          <w:p>
            <w:pPr>
              <w:spacing w:after="20"/>
            </w:pPr>
            <w:r>
              <w:rPr>
                <w:color w:val="1C3A36"/>
                <w:sz w:val="16"/>
              </w:rPr>
              <w:t>ADNOC Distribution today</w:t>
            </w:r>
          </w:p>
        </w:tc>
        <w:tc>
          <w:tcPr>
            <w:tcW w:type="dxa" w:w="1152"/>
          </w:tcPr>
          <w:p>
            <w:pPr>
              <w:spacing w:after="20"/>
              <w:jc w:val="right"/>
            </w:pPr>
            <w:r>
              <w:rPr>
                <w:color w:val="1C3A36"/>
                <w:sz w:val="16"/>
              </w:rPr>
              <w:t>17.9x</w:t>
            </w:r>
          </w:p>
        </w:tc>
        <w:tc>
          <w:tcPr>
            <w:tcW w:type="dxa" w:w="2304"/>
          </w:tcPr>
          <w:p>
            <w:pPr>
              <w:spacing w:after="20"/>
              <w:jc w:val="right"/>
            </w:pPr>
            <w:r>
              <w:rPr>
                <w:color w:val="1C3A36"/>
                <w:sz w:val="16"/>
              </w:rPr>
              <w:t>trailing price / earnings</w:t>
            </w:r>
          </w:p>
        </w:tc>
        <w:tc>
          <w:tcPr>
            <w:tcW w:type="dxa" w:w="3384"/>
          </w:tcPr>
          <w:p>
            <w:pPr>
              <w:spacing w:after="20"/>
              <w:jc w:val="right"/>
            </w:pPr>
            <w:r>
              <w:rPr>
                <w:color w:val="1C3A36"/>
                <w:sz w:val="16"/>
              </w:rPr>
              <w:t>computed from audited FY2025 earnings per share and the traded price</w:t>
            </w:r>
          </w:p>
        </w:tc>
      </w:tr>
      <w:tr>
        <w:trPr>
          <w:cantSplit/>
        </w:trPr>
        <w:tc>
          <w:tcPr>
            <w:tcW w:type="dxa" w:w="3096"/>
          </w:tcPr>
          <w:p>
            <w:pPr>
              <w:spacing w:after="20"/>
            </w:pPr>
            <w:r>
              <w:rPr>
                <w:color w:val="1C3A36"/>
                <w:sz w:val="16"/>
              </w:rPr>
              <w:t>ADNOC Distribution, own three-year mean</w:t>
            </w:r>
          </w:p>
        </w:tc>
        <w:tc>
          <w:tcPr>
            <w:tcW w:type="dxa" w:w="1152"/>
          </w:tcPr>
          <w:p>
            <w:pPr>
              <w:spacing w:after="20"/>
              <w:jc w:val="right"/>
            </w:pPr>
            <w:r>
              <w:rPr>
                <w:color w:val="1C3A36"/>
                <w:sz w:val="16"/>
              </w:rPr>
              <w:t>19.3x</w:t>
            </w:r>
          </w:p>
        </w:tc>
        <w:tc>
          <w:tcPr>
            <w:tcW w:type="dxa" w:w="2304"/>
          </w:tcPr>
          <w:p>
            <w:pPr>
              <w:spacing w:after="20"/>
              <w:jc w:val="right"/>
            </w:pPr>
            <w:r>
              <w:rPr>
                <w:color w:val="1C3A36"/>
                <w:sz w:val="16"/>
              </w:rPr>
              <w:t>trailing price / earnings</w:t>
            </w:r>
          </w:p>
        </w:tc>
        <w:tc>
          <w:tcPr>
            <w:tcW w:type="dxa" w:w="3384"/>
          </w:tcPr>
          <w:p>
            <w:pPr>
              <w:spacing w:after="20"/>
              <w:jc w:val="right"/>
            </w:pPr>
            <w:r>
              <w:rPr>
                <w:color w:val="1C3A36"/>
                <w:sz w:val="16"/>
              </w:rPr>
              <w:t>the traded price against each audited year's own earnings — computed entirely from primary material</w:t>
            </w:r>
          </w:p>
        </w:tc>
      </w:tr>
      <w:tr>
        <w:trPr>
          <w:cantSplit/>
        </w:trPr>
        <w:tc>
          <w:tcPr>
            <w:tcW w:type="dxa" w:w="3096"/>
          </w:tcPr>
          <w:p>
            <w:pPr>
              <w:spacing w:after="20"/>
            </w:pPr>
            <w:r>
              <w:rPr>
                <w:color w:val="1C3A36"/>
                <w:sz w:val="16"/>
              </w:rPr>
              <w:t>ADNOC Distribution today</w:t>
            </w:r>
          </w:p>
        </w:tc>
        <w:tc>
          <w:tcPr>
            <w:tcW w:type="dxa" w:w="1152"/>
          </w:tcPr>
          <w:p>
            <w:pPr>
              <w:spacing w:after="20"/>
              <w:jc w:val="right"/>
            </w:pPr>
            <w:r>
              <w:rPr>
                <w:color w:val="1C3A36"/>
                <w:sz w:val="16"/>
              </w:rPr>
              <w:t>12.8x</w:t>
            </w:r>
          </w:p>
        </w:tc>
        <w:tc>
          <w:tcPr>
            <w:tcW w:type="dxa" w:w="2304"/>
          </w:tcPr>
          <w:p>
            <w:pPr>
              <w:spacing w:after="20"/>
              <w:jc w:val="right"/>
            </w:pPr>
            <w:r>
              <w:rPr>
                <w:color w:val="1C3A36"/>
                <w:sz w:val="16"/>
              </w:rPr>
              <w:t>enterprise value / EBITDA</w:t>
            </w:r>
          </w:p>
        </w:tc>
        <w:tc>
          <w:tcPr>
            <w:tcW w:type="dxa" w:w="3384"/>
          </w:tcPr>
          <w:p>
            <w:pPr>
              <w:spacing w:after="20"/>
              <w:jc w:val="right"/>
            </w:pPr>
            <w:r>
              <w:rPr>
                <w:color w:val="1C3A36"/>
                <w:sz w:val="16"/>
              </w:rPr>
              <w:t>the basis on which the peers below are quoted</w:t>
            </w:r>
          </w:p>
        </w:tc>
      </w:tr>
      <w:tr>
        <w:trPr>
          <w:cantSplit/>
        </w:trPr>
        <w:tc>
          <w:tcPr>
            <w:tcW w:type="dxa" w:w="3096"/>
          </w:tcPr>
          <w:p>
            <w:pPr>
              <w:spacing w:after="20"/>
            </w:pPr>
            <w:r>
              <w:rPr>
                <w:color w:val="1C3A36"/>
                <w:sz w:val="16"/>
              </w:rPr>
              <w:t>Aldrees Petroleum and Transport Services</w:t>
            </w:r>
          </w:p>
        </w:tc>
        <w:tc>
          <w:tcPr>
            <w:tcW w:type="dxa" w:w="1152"/>
          </w:tcPr>
          <w:p>
            <w:pPr>
              <w:spacing w:after="20"/>
              <w:jc w:val="right"/>
            </w:pPr>
            <w:r>
              <w:rPr>
                <w:color w:val="1C3A36"/>
                <w:sz w:val="16"/>
              </w:rPr>
              <w:t>12.9x</w:t>
            </w:r>
          </w:p>
        </w:tc>
        <w:tc>
          <w:tcPr>
            <w:tcW w:type="dxa" w:w="2304"/>
          </w:tcPr>
          <w:p>
            <w:pPr>
              <w:spacing w:after="20"/>
              <w:jc w:val="right"/>
            </w:pPr>
            <w:r>
              <w:rPr>
                <w:color w:val="1C3A36"/>
                <w:sz w:val="16"/>
              </w:rPr>
              <w:t>enterprise value / EBITDA</w:t>
            </w:r>
          </w:p>
        </w:tc>
        <w:tc>
          <w:tcPr>
            <w:tcW w:type="dxa" w:w="3384"/>
          </w:tcPr>
          <w:p>
            <w:pPr>
              <w:spacing w:after="20"/>
              <w:jc w:val="right"/>
            </w:pPr>
            <w:r>
              <w:rPr>
                <w:color w:val="1C3A36"/>
                <w:sz w:val="16"/>
              </w:rPr>
              <w:t>closest regional comparable — cross-check only</w:t>
            </w:r>
          </w:p>
        </w:tc>
      </w:tr>
      <w:tr>
        <w:trPr>
          <w:cantSplit/>
        </w:trPr>
        <w:tc>
          <w:tcPr>
            <w:tcW w:type="dxa" w:w="3096"/>
          </w:tcPr>
          <w:p>
            <w:pPr>
              <w:spacing w:after="20"/>
            </w:pPr>
            <w:r>
              <w:rPr>
                <w:color w:val="1C3A36"/>
                <w:sz w:val="16"/>
              </w:rPr>
              <w:t>Saudi Automotive Services Company</w:t>
            </w:r>
          </w:p>
        </w:tc>
        <w:tc>
          <w:tcPr>
            <w:tcW w:type="dxa" w:w="1152"/>
          </w:tcPr>
          <w:p>
            <w:pPr>
              <w:spacing w:after="20"/>
              <w:jc w:val="right"/>
            </w:pPr>
            <w:r>
              <w:rPr>
                <w:color w:val="1C3A36"/>
                <w:sz w:val="16"/>
              </w:rPr>
              <w:t>12.3x</w:t>
            </w:r>
          </w:p>
        </w:tc>
        <w:tc>
          <w:tcPr>
            <w:tcW w:type="dxa" w:w="2304"/>
          </w:tcPr>
          <w:p>
            <w:pPr>
              <w:spacing w:after="20"/>
              <w:jc w:val="right"/>
            </w:pPr>
            <w:r>
              <w:rPr>
                <w:color w:val="1C3A36"/>
                <w:sz w:val="16"/>
              </w:rPr>
              <w:t>enterprise value / EBITDA</w:t>
            </w:r>
          </w:p>
        </w:tc>
        <w:tc>
          <w:tcPr>
            <w:tcW w:type="dxa" w:w="3384"/>
          </w:tcPr>
          <w:p>
            <w:pPr>
              <w:spacing w:after="20"/>
              <w:jc w:val="right"/>
            </w:pPr>
            <w:r>
              <w:rPr>
                <w:color w:val="1C3A36"/>
                <w:sz w:val="16"/>
              </w:rPr>
              <w:t>cross-check only</w:t>
            </w:r>
          </w:p>
        </w:tc>
      </w:tr>
      <w:tr>
        <w:trPr>
          <w:cantSplit/>
        </w:trPr>
        <w:tc>
          <w:tcPr>
            <w:tcW w:type="dxa" w:w="3096"/>
          </w:tcPr>
          <w:p>
            <w:pPr>
              <w:spacing w:after="20"/>
            </w:pPr>
            <w:r>
              <w:rPr>
                <w:color w:val="1C3A36"/>
                <w:sz w:val="16"/>
              </w:rPr>
              <w:t>Alimentation Couche-Tard</w:t>
            </w:r>
          </w:p>
        </w:tc>
        <w:tc>
          <w:tcPr>
            <w:tcW w:type="dxa" w:w="1152"/>
          </w:tcPr>
          <w:p>
            <w:pPr>
              <w:spacing w:after="20"/>
              <w:jc w:val="right"/>
            </w:pPr>
            <w:r>
              <w:rPr>
                <w:color w:val="1C3A36"/>
                <w:sz w:val="16"/>
              </w:rPr>
              <w:t>10.7x</w:t>
            </w:r>
          </w:p>
        </w:tc>
        <w:tc>
          <w:tcPr>
            <w:tcW w:type="dxa" w:w="2304"/>
          </w:tcPr>
          <w:p>
            <w:pPr>
              <w:spacing w:after="20"/>
              <w:jc w:val="right"/>
            </w:pPr>
            <w:r>
              <w:rPr>
                <w:color w:val="1C3A36"/>
                <w:sz w:val="16"/>
              </w:rPr>
              <w:t>enterprise value / EBITDA</w:t>
            </w:r>
          </w:p>
        </w:tc>
        <w:tc>
          <w:tcPr>
            <w:tcW w:type="dxa" w:w="3384"/>
          </w:tcPr>
          <w:p>
            <w:pPr>
              <w:spacing w:after="20"/>
              <w:jc w:val="right"/>
            </w:pPr>
            <w:r>
              <w:rPr>
                <w:color w:val="1C3A36"/>
                <w:sz w:val="16"/>
              </w:rPr>
              <w:t>cross-check only</w:t>
            </w:r>
          </w:p>
        </w:tc>
      </w:tr>
      <w:tr>
        <w:trPr>
          <w:cantSplit/>
        </w:trPr>
        <w:tc>
          <w:tcPr>
            <w:tcW w:type="dxa" w:w="3096"/>
          </w:tcPr>
          <w:p>
            <w:pPr>
              <w:spacing w:after="20"/>
            </w:pPr>
            <w:r>
              <w:rPr>
                <w:color w:val="1C3A36"/>
                <w:sz w:val="16"/>
              </w:rPr>
              <w:t>Casey's General Stores</w:t>
            </w:r>
          </w:p>
        </w:tc>
        <w:tc>
          <w:tcPr>
            <w:tcW w:type="dxa" w:w="1152"/>
          </w:tcPr>
          <w:p>
            <w:pPr>
              <w:spacing w:after="20"/>
              <w:jc w:val="right"/>
            </w:pPr>
            <w:r>
              <w:rPr>
                <w:color w:val="1C3A36"/>
                <w:sz w:val="16"/>
              </w:rPr>
              <w:t>22.4x</w:t>
            </w:r>
          </w:p>
        </w:tc>
        <w:tc>
          <w:tcPr>
            <w:tcW w:type="dxa" w:w="2304"/>
          </w:tcPr>
          <w:p>
            <w:pPr>
              <w:spacing w:after="20"/>
              <w:jc w:val="right"/>
            </w:pPr>
            <w:r>
              <w:rPr>
                <w:color w:val="1C3A36"/>
                <w:sz w:val="16"/>
              </w:rPr>
              <w:t>enterprise value / EBITDA</w:t>
            </w:r>
          </w:p>
        </w:tc>
        <w:tc>
          <w:tcPr>
            <w:tcW w:type="dxa" w:w="3384"/>
          </w:tcPr>
          <w:p>
            <w:pPr>
              <w:spacing w:after="20"/>
              <w:jc w:val="right"/>
            </w:pPr>
            <w:r>
              <w:rPr>
                <w:color w:val="1C3A36"/>
                <w:sz w:val="16"/>
              </w:rPr>
              <w:t>cross-check only — the highest of the set</w:t>
            </w:r>
          </w:p>
        </w:tc>
      </w:tr>
      <w:tr>
        <w:trPr>
          <w:cantSplit/>
        </w:trPr>
        <w:tc>
          <w:tcPr>
            <w:tcW w:type="dxa" w:w="3096"/>
          </w:tcPr>
          <w:p>
            <w:pPr>
              <w:spacing w:after="20"/>
            </w:pPr>
            <w:r>
              <w:rPr>
                <w:color w:val="1C3A36"/>
                <w:sz w:val="16"/>
              </w:rPr>
              <w:t>Murphy USA</w:t>
            </w:r>
          </w:p>
        </w:tc>
        <w:tc>
          <w:tcPr>
            <w:tcW w:type="dxa" w:w="1152"/>
          </w:tcPr>
          <w:p>
            <w:pPr>
              <w:spacing w:after="20"/>
              <w:jc w:val="right"/>
            </w:pPr>
            <w:r>
              <w:rPr>
                <w:color w:val="1C3A36"/>
                <w:sz w:val="16"/>
              </w:rPr>
              <w:t>10.0x</w:t>
            </w:r>
          </w:p>
        </w:tc>
        <w:tc>
          <w:tcPr>
            <w:tcW w:type="dxa" w:w="2304"/>
          </w:tcPr>
          <w:p>
            <w:pPr>
              <w:spacing w:after="20"/>
              <w:jc w:val="right"/>
            </w:pPr>
            <w:r>
              <w:rPr>
                <w:color w:val="1C3A36"/>
                <w:sz w:val="16"/>
              </w:rPr>
              <w:t>enterprise value / EBITDA</w:t>
            </w:r>
          </w:p>
        </w:tc>
        <w:tc>
          <w:tcPr>
            <w:tcW w:type="dxa" w:w="3384"/>
          </w:tcPr>
          <w:p>
            <w:pPr>
              <w:spacing w:after="20"/>
              <w:jc w:val="right"/>
            </w:pPr>
            <w:r>
              <w:rPr>
                <w:color w:val="1C3A36"/>
                <w:sz w:val="16"/>
              </w:rPr>
              <w:t>cross-check only</w:t>
            </w:r>
          </w:p>
        </w:tc>
      </w:tr>
      <w:tr>
        <w:trPr>
          <w:cantSplit/>
        </w:trPr>
        <w:tc>
          <w:tcPr>
            <w:tcW w:type="dxa" w:w="3096"/>
          </w:tcPr>
          <w:p>
            <w:pPr>
              <w:spacing w:after="20"/>
            </w:pPr>
            <w:r>
              <w:rPr>
                <w:color w:val="1C3A36"/>
                <w:sz w:val="16"/>
              </w:rPr>
              <w:t>OMV Petrom</w:t>
            </w:r>
          </w:p>
        </w:tc>
        <w:tc>
          <w:tcPr>
            <w:tcW w:type="dxa" w:w="1152"/>
          </w:tcPr>
          <w:p>
            <w:pPr>
              <w:spacing w:after="20"/>
              <w:jc w:val="right"/>
            </w:pPr>
            <w:r>
              <w:rPr>
                <w:color w:val="1C3A36"/>
                <w:sz w:val="16"/>
              </w:rPr>
              <w:t>9.9x</w:t>
            </w:r>
          </w:p>
        </w:tc>
        <w:tc>
          <w:tcPr>
            <w:tcW w:type="dxa" w:w="2304"/>
          </w:tcPr>
          <w:p>
            <w:pPr>
              <w:spacing w:after="20"/>
              <w:jc w:val="right"/>
            </w:pPr>
            <w:r>
              <w:rPr>
                <w:color w:val="1C3A36"/>
                <w:sz w:val="16"/>
              </w:rPr>
              <w:t>enterprise value / EBITDA</w:t>
            </w:r>
          </w:p>
        </w:tc>
        <w:tc>
          <w:tcPr>
            <w:tcW w:type="dxa" w:w="3384"/>
          </w:tcPr>
          <w:p>
            <w:pPr>
              <w:spacing w:after="20"/>
              <w:jc w:val="right"/>
            </w:pPr>
            <w:r>
              <w:rPr>
                <w:color w:val="1C3A36"/>
                <w:sz w:val="16"/>
              </w:rPr>
              <w:t>cross-check only</w:t>
            </w:r>
          </w:p>
        </w:tc>
      </w:tr>
      <w:tr>
        <w:trPr>
          <w:cantSplit/>
        </w:trPr>
        <w:tc>
          <w:tcPr>
            <w:tcW w:type="dxa" w:w="3096"/>
          </w:tcPr>
          <w:p>
            <w:pPr>
              <w:spacing w:after="20"/>
            </w:pPr>
            <w:r>
              <w:rPr>
                <w:color w:val="1C3A36"/>
                <w:sz w:val="16"/>
              </w:rPr>
              <w:t>Vibra Energia</w:t>
            </w:r>
          </w:p>
        </w:tc>
        <w:tc>
          <w:tcPr>
            <w:tcW w:type="dxa" w:w="1152"/>
          </w:tcPr>
          <w:p>
            <w:pPr>
              <w:spacing w:after="20"/>
              <w:jc w:val="right"/>
            </w:pPr>
            <w:r>
              <w:rPr>
                <w:color w:val="1C3A36"/>
                <w:sz w:val="16"/>
              </w:rPr>
              <w:t>7.7x</w:t>
            </w:r>
          </w:p>
        </w:tc>
        <w:tc>
          <w:tcPr>
            <w:tcW w:type="dxa" w:w="2304"/>
          </w:tcPr>
          <w:p>
            <w:pPr>
              <w:spacing w:after="20"/>
              <w:jc w:val="right"/>
            </w:pPr>
            <w:r>
              <w:rPr>
                <w:color w:val="1C3A36"/>
                <w:sz w:val="16"/>
              </w:rPr>
              <w:t>enterprise value / EBITDA</w:t>
            </w:r>
          </w:p>
        </w:tc>
        <w:tc>
          <w:tcPr>
            <w:tcW w:type="dxa" w:w="3384"/>
          </w:tcPr>
          <w:p>
            <w:pPr>
              <w:spacing w:after="20"/>
              <w:jc w:val="right"/>
            </w:pPr>
            <w:r>
              <w:rPr>
                <w:color w:val="1C3A36"/>
                <w:sz w:val="16"/>
              </w:rPr>
              <w:t>cross-check only</w:t>
            </w:r>
          </w:p>
        </w:tc>
      </w:tr>
      <w:tr>
        <w:trPr>
          <w:cantSplit/>
        </w:trPr>
        <w:tc>
          <w:tcPr>
            <w:tcW w:type="dxa" w:w="3096"/>
          </w:tcPr>
          <w:p>
            <w:pPr>
              <w:spacing w:after="20"/>
            </w:pPr>
            <w:r>
              <w:rPr>
                <w:color w:val="1C3A36"/>
                <w:sz w:val="16"/>
              </w:rPr>
              <w:t>Ultrapar Participacoes</w:t>
            </w:r>
          </w:p>
        </w:tc>
        <w:tc>
          <w:tcPr>
            <w:tcW w:type="dxa" w:w="1152"/>
          </w:tcPr>
          <w:p>
            <w:pPr>
              <w:spacing w:after="20"/>
              <w:jc w:val="right"/>
            </w:pPr>
            <w:r>
              <w:rPr>
                <w:color w:val="1C3A36"/>
                <w:sz w:val="16"/>
              </w:rPr>
              <w:t>6.8x</w:t>
            </w:r>
          </w:p>
        </w:tc>
        <w:tc>
          <w:tcPr>
            <w:tcW w:type="dxa" w:w="2304"/>
          </w:tcPr>
          <w:p>
            <w:pPr>
              <w:spacing w:after="20"/>
              <w:jc w:val="right"/>
            </w:pPr>
            <w:r>
              <w:rPr>
                <w:color w:val="1C3A36"/>
                <w:sz w:val="16"/>
              </w:rPr>
              <w:t>enterprise value / EBITDA</w:t>
            </w:r>
          </w:p>
        </w:tc>
        <w:tc>
          <w:tcPr>
            <w:tcW w:type="dxa" w:w="3384"/>
          </w:tcPr>
          <w:p>
            <w:pPr>
              <w:spacing w:after="20"/>
              <w:jc w:val="right"/>
            </w:pPr>
            <w:r>
              <w:rPr>
                <w:color w:val="1C3A36"/>
                <w:sz w:val="16"/>
              </w:rPr>
              <w:t>cross-check only — the lowest of the set</w:t>
            </w:r>
          </w:p>
        </w:tc>
      </w:tr>
      <w:tr>
        <w:trPr>
          <w:cantSplit/>
        </w:trPr>
        <w:tc>
          <w:tcPr>
            <w:tcW w:type="dxa" w:w="3096"/>
            <w:shd w:val="clear" w:color="auto" w:fill="F6F1E6"/>
          </w:tcPr>
          <w:p>
            <w:pPr>
              <w:spacing w:after="20"/>
            </w:pPr>
            <w:r>
              <w:rPr>
                <w:b/>
                <w:color w:val="1C3A36"/>
                <w:sz w:val="16"/>
              </w:rPr>
              <w:t>REFERENCE USED</w:t>
            </w:r>
          </w:p>
        </w:tc>
        <w:tc>
          <w:tcPr>
            <w:tcW w:type="dxa" w:w="1152"/>
            <w:shd w:val="clear" w:color="auto" w:fill="F6F1E6"/>
          </w:tcPr>
          <w:p>
            <w:pPr>
              <w:spacing w:after="20"/>
              <w:jc w:val="right"/>
            </w:pPr>
            <w:r>
              <w:rPr>
                <w:b/>
                <w:color w:val="1C3A36"/>
                <w:sz w:val="16"/>
              </w:rPr>
              <w:t>16.3x</w:t>
            </w:r>
          </w:p>
        </w:tc>
        <w:tc>
          <w:tcPr>
            <w:tcW w:type="dxa" w:w="2304"/>
            <w:shd w:val="clear" w:color="auto" w:fill="F6F1E6"/>
          </w:tcPr>
          <w:p>
            <w:pPr>
              <w:spacing w:after="20"/>
              <w:jc w:val="right"/>
            </w:pPr>
            <w:r>
              <w:rPr>
                <w:b/>
                <w:color w:val="1C3A36"/>
                <w:sz w:val="16"/>
              </w:rPr>
              <w:t>forward price / earnings</w:t>
            </w:r>
          </w:p>
        </w:tc>
        <w:tc>
          <w:tcPr>
            <w:tcW w:type="dxa" w:w="3384"/>
            <w:shd w:val="clear" w:color="auto" w:fill="F6F1E6"/>
          </w:tcPr>
          <w:p>
            <w:pPr>
              <w:spacing w:after="20"/>
              <w:jc w:val="right"/>
            </w:pPr>
            <w:r>
              <w:rPr>
                <w:b/>
                <w:color w:val="1C3A36"/>
                <w:sz w:val="16"/>
              </w:rPr>
              <w:t>what this company's own return, growth and cost of equity justify — NOT a peer median</w:t>
            </w:r>
          </w:p>
        </w:tc>
      </w:tr>
    </w:tbl>
    <w:p>
      <w:pPr>
        <w:spacing w:after="40"/>
      </w:pPr>
    </w:p>
    <w:p>
      <w:pPr>
        <w:spacing w:after="200" w:before="0"/>
      </w:pPr>
      <w:r>
        <w:rPr>
          <w:b w:val="0"/>
          <w:i/>
          <w:color w:val="6E7B77"/>
          <w:sz w:val="17"/>
        </w:rPr>
        <w:t>Table 9 — the multiple evidence. The company trades toward the upper end of the international set on enterprise value to EBITDA and slightly below its closest regional comparable. That is useful context and it is NOT the source of the reference multiple, which is built from the company's own economics.</w:t>
      </w:r>
    </w:p>
    <w:p>
      <w:pPr>
        <w:spacing w:after="40"/>
        <w:jc w:val="center"/>
      </w:pPr>
      <w:r>
        <w:drawing>
          <wp:inline xmlns:a="http://schemas.openxmlformats.org/drawingml/2006/main" xmlns:pic="http://schemas.openxmlformats.org/drawingml/2006/picture">
            <wp:extent cx="6035040" cy="2523921"/>
            <wp:docPr id="2" name="Picture 2"/>
            <wp:cNvGraphicFramePr>
              <a:graphicFrameLocks noChangeAspect="1"/>
            </wp:cNvGraphicFramePr>
            <a:graphic>
              <a:graphicData uri="http://schemas.openxmlformats.org/drawingml/2006/picture">
                <pic:pic>
                  <pic:nvPicPr>
                    <pic:cNvPr id="0" name="fig4_multiple.png"/>
                    <pic:cNvPicPr/>
                  </pic:nvPicPr>
                  <pic:blipFill>
                    <a:blip r:embed="rId10"/>
                    <a:stretch>
                      <a:fillRect/>
                    </a:stretch>
                  </pic:blipFill>
                  <pic:spPr>
                    <a:xfrm>
                      <a:off x="0" y="0"/>
                      <a:ext cx="6035040" cy="2523921"/>
                    </a:xfrm>
                    <a:prstGeom prst="rect"/>
                  </pic:spPr>
                </pic:pic>
              </a:graphicData>
            </a:graphic>
          </wp:inline>
        </w:drawing>
      </w:r>
    </w:p>
    <w:p>
      <w:pPr>
        <w:spacing w:after="200" w:before="0"/>
      </w:pPr>
      <w:r>
        <w:rPr>
          <w:b w:val="0"/>
          <w:i/>
          <w:color w:val="6E7B77"/>
          <w:sz w:val="17"/>
        </w:rPr>
        <w:t>Figure 2 — the multiple evidence. The reference multiple used is derived from this company's own return and cost of equity, not from the peer distribution shown beside it.</w:t>
      </w:r>
    </w:p>
    <w:p>
      <w:pPr>
        <w:spacing w:after="80" w:before="200"/>
      </w:pPr>
      <w:r>
        <w:rPr>
          <w:b/>
          <w:i w:val="0"/>
          <w:color w:val="1C3A36"/>
          <w:sz w:val="24"/>
        </w:rPr>
        <w:t>1.4 Normalised earnings power</w:t>
      </w:r>
    </w:p>
    <w:p>
      <w:pPr>
        <w:spacing w:after="120" w:before="0"/>
      </w:pPr>
      <w:r>
        <w:rPr>
          <w:b w:val="0"/>
          <w:i w:val="0"/>
          <w:color w:val="1C3A36"/>
          <w:sz w:val="21"/>
        </w:rPr>
        <w:t>The fourth reading asks a deliberately narrow question: if this company never grew again, what would it be worth? It takes structural gross profit — volume times margin per litre, with every inventory movement stripped out — less cash operating costs, plus other income, less the impairment and credit-loss charge, at the FY2026 run rate. That gives EBITDA of AED 4,648 million and EBIT of AED 3,856 million. Taxed at the statutory 9% it is AED 3,464 million of normalised operating profit after tax.</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416"/>
        <w:gridCol w:w="1656"/>
      </w:tblGrid>
      <w:tr>
        <w:trPr>
          <w:cantSplit/>
        </w:trPr>
        <w:tc>
          <w:tcPr>
            <w:tcW w:type="dxa" w:w="7416"/>
            <w:shd w:val="clear" w:color="auto" w:fill="EAF0EE"/>
          </w:tcPr>
          <w:p>
            <w:pPr>
              <w:spacing w:after="20"/>
            </w:pPr>
            <w:r>
              <w:rPr>
                <w:b/>
                <w:color w:val="1C3A36"/>
                <w:sz w:val="17"/>
              </w:rPr>
              <w:t>Normalised earnings power</w:t>
            </w:r>
          </w:p>
        </w:tc>
        <w:tc>
          <w:tcPr>
            <w:tcW w:type="dxa" w:w="1656"/>
            <w:shd w:val="clear" w:color="auto" w:fill="EAF0EE"/>
          </w:tcPr>
          <w:p>
            <w:pPr>
              <w:spacing w:after="20"/>
            </w:pPr>
            <w:r>
              <w:rPr>
                <w:b/>
                <w:color w:val="1C3A36"/>
                <w:sz w:val="17"/>
              </w:rPr>
              <w:t>AED million</w:t>
            </w:r>
          </w:p>
        </w:tc>
      </w:tr>
      <w:tr>
        <w:trPr>
          <w:cantSplit/>
        </w:trPr>
        <w:tc>
          <w:tcPr>
            <w:tcW w:type="dxa" w:w="7416"/>
          </w:tcPr>
          <w:p>
            <w:pPr>
              <w:spacing w:after="20"/>
            </w:pPr>
            <w:r>
              <w:rPr>
                <w:color w:val="1C3A36"/>
                <w:sz w:val="17"/>
              </w:rPr>
              <w:t>Structural gross profit, FY2026 run rate</w:t>
            </w:r>
          </w:p>
        </w:tc>
        <w:tc>
          <w:tcPr>
            <w:tcW w:type="dxa" w:w="1656"/>
          </w:tcPr>
          <w:p>
            <w:pPr>
              <w:spacing w:after="20"/>
              <w:jc w:val="right"/>
            </w:pPr>
            <w:r>
              <w:rPr>
                <w:color w:val="1C3A36"/>
                <w:sz w:val="17"/>
              </w:rPr>
              <w:t>7,485</w:t>
            </w:r>
          </w:p>
        </w:tc>
      </w:tr>
      <w:tr>
        <w:trPr>
          <w:cantSplit/>
        </w:trPr>
        <w:tc>
          <w:tcPr>
            <w:tcW w:type="dxa" w:w="7416"/>
          </w:tcPr>
          <w:p>
            <w:pPr>
              <w:spacing w:after="20"/>
            </w:pPr>
            <w:r>
              <w:rPr>
                <w:color w:val="1C3A36"/>
                <w:sz w:val="17"/>
              </w:rPr>
              <w:t>Less cash operating expenses</w:t>
            </w:r>
          </w:p>
        </w:tc>
        <w:tc>
          <w:tcPr>
            <w:tcW w:type="dxa" w:w="1656"/>
          </w:tcPr>
          <w:p>
            <w:pPr>
              <w:spacing w:after="20"/>
              <w:jc w:val="right"/>
            </w:pPr>
            <w:r>
              <w:rPr>
                <w:color w:val="1C3A36"/>
                <w:sz w:val="17"/>
              </w:rPr>
              <w:t>(2,650)</w:t>
            </w:r>
          </w:p>
        </w:tc>
      </w:tr>
      <w:tr>
        <w:trPr>
          <w:cantSplit/>
        </w:trPr>
        <w:tc>
          <w:tcPr>
            <w:tcW w:type="dxa" w:w="7416"/>
          </w:tcPr>
          <w:p>
            <w:pPr>
              <w:spacing w:after="20"/>
            </w:pPr>
            <w:r>
              <w:rPr>
                <w:color w:val="1C3A36"/>
                <w:sz w:val="17"/>
              </w:rPr>
              <w:t>Add other income</w:t>
            </w:r>
          </w:p>
        </w:tc>
        <w:tc>
          <w:tcPr>
            <w:tcW w:type="dxa" w:w="1656"/>
          </w:tcPr>
          <w:p>
            <w:pPr>
              <w:spacing w:after="20"/>
              <w:jc w:val="right"/>
            </w:pPr>
            <w:r>
              <w:rPr>
                <w:color w:val="1C3A36"/>
                <w:sz w:val="17"/>
              </w:rPr>
              <w:t>173</w:t>
            </w:r>
          </w:p>
        </w:tc>
      </w:tr>
      <w:tr>
        <w:trPr>
          <w:cantSplit/>
        </w:trPr>
        <w:tc>
          <w:tcPr>
            <w:tcW w:type="dxa" w:w="7416"/>
          </w:tcPr>
          <w:p>
            <w:pPr>
              <w:spacing w:after="20"/>
            </w:pPr>
            <w:r>
              <w:rPr>
                <w:color w:val="1C3A36"/>
                <w:sz w:val="17"/>
              </w:rPr>
              <w:t>Less impairment and credit losses</w:t>
            </w:r>
          </w:p>
        </w:tc>
        <w:tc>
          <w:tcPr>
            <w:tcW w:type="dxa" w:w="1656"/>
          </w:tcPr>
          <w:p>
            <w:pPr>
              <w:spacing w:after="20"/>
              <w:jc w:val="right"/>
            </w:pPr>
            <w:r>
              <w:rPr>
                <w:color w:val="1C3A36"/>
                <w:sz w:val="17"/>
              </w:rPr>
              <w:t>(360)</w:t>
            </w:r>
          </w:p>
        </w:tc>
      </w:tr>
      <w:tr>
        <w:trPr>
          <w:cantSplit/>
        </w:trPr>
        <w:tc>
          <w:tcPr>
            <w:tcW w:type="dxa" w:w="7416"/>
            <w:shd w:val="clear" w:color="auto" w:fill="F6F1E6"/>
          </w:tcPr>
          <w:p>
            <w:pPr>
              <w:spacing w:after="20"/>
            </w:pPr>
            <w:r>
              <w:rPr>
                <w:b/>
                <w:color w:val="1C3A36"/>
                <w:sz w:val="17"/>
              </w:rPr>
              <w:t>NORMALISED EBITDA</w:t>
            </w:r>
          </w:p>
        </w:tc>
        <w:tc>
          <w:tcPr>
            <w:tcW w:type="dxa" w:w="1656"/>
            <w:shd w:val="clear" w:color="auto" w:fill="F6F1E6"/>
          </w:tcPr>
          <w:p>
            <w:pPr>
              <w:spacing w:after="20"/>
              <w:jc w:val="right"/>
            </w:pPr>
            <w:r>
              <w:rPr>
                <w:b/>
                <w:color w:val="1C3A36"/>
                <w:sz w:val="17"/>
              </w:rPr>
              <w:t>4,648</w:t>
            </w:r>
          </w:p>
        </w:tc>
      </w:tr>
      <w:tr>
        <w:trPr>
          <w:cantSplit/>
        </w:trPr>
        <w:tc>
          <w:tcPr>
            <w:tcW w:type="dxa" w:w="7416"/>
          </w:tcPr>
          <w:p>
            <w:pPr>
              <w:spacing w:after="20"/>
            </w:pPr>
            <w:r>
              <w:rPr>
                <w:color w:val="1C3A36"/>
                <w:sz w:val="17"/>
              </w:rPr>
              <w:t>Less depreciation and amortisation</w:t>
            </w:r>
          </w:p>
        </w:tc>
        <w:tc>
          <w:tcPr>
            <w:tcW w:type="dxa" w:w="1656"/>
          </w:tcPr>
          <w:p>
            <w:pPr>
              <w:spacing w:after="20"/>
              <w:jc w:val="right"/>
            </w:pPr>
            <w:r>
              <w:rPr>
                <w:color w:val="1C3A36"/>
                <w:sz w:val="17"/>
              </w:rPr>
              <w:t>(792)</w:t>
            </w:r>
          </w:p>
        </w:tc>
      </w:tr>
      <w:tr>
        <w:trPr>
          <w:cantSplit/>
        </w:trPr>
        <w:tc>
          <w:tcPr>
            <w:tcW w:type="dxa" w:w="7416"/>
          </w:tcPr>
          <w:p>
            <w:pPr>
              <w:spacing w:after="20"/>
            </w:pPr>
            <w:r>
              <w:rPr>
                <w:color w:val="1C3A36"/>
                <w:sz w:val="17"/>
              </w:rPr>
              <w:t>Normalised EBIT</w:t>
            </w:r>
          </w:p>
        </w:tc>
        <w:tc>
          <w:tcPr>
            <w:tcW w:type="dxa" w:w="1656"/>
          </w:tcPr>
          <w:p>
            <w:pPr>
              <w:spacing w:after="20"/>
              <w:jc w:val="right"/>
            </w:pPr>
            <w:r>
              <w:rPr>
                <w:color w:val="1C3A36"/>
                <w:sz w:val="17"/>
              </w:rPr>
              <w:t>3,856</w:t>
            </w:r>
          </w:p>
        </w:tc>
      </w:tr>
      <w:tr>
        <w:trPr>
          <w:cantSplit/>
        </w:trPr>
        <w:tc>
          <w:tcPr>
            <w:tcW w:type="dxa" w:w="7416"/>
          </w:tcPr>
          <w:p>
            <w:pPr>
              <w:spacing w:after="20"/>
            </w:pPr>
            <w:r>
              <w:rPr>
                <w:color w:val="1C3A36"/>
                <w:sz w:val="17"/>
              </w:rPr>
              <w:t>Tax at the statutory rate of 9%</w:t>
            </w:r>
          </w:p>
        </w:tc>
        <w:tc>
          <w:tcPr>
            <w:tcW w:type="dxa" w:w="1656"/>
          </w:tcPr>
          <w:p>
            <w:pPr>
              <w:spacing w:after="20"/>
              <w:jc w:val="right"/>
            </w:pPr>
            <w:r>
              <w:rPr>
                <w:color w:val="1C3A36"/>
                <w:sz w:val="17"/>
              </w:rPr>
              <w:t>(392)</w:t>
            </w:r>
          </w:p>
        </w:tc>
      </w:tr>
      <w:tr>
        <w:trPr>
          <w:cantSplit/>
        </w:trPr>
        <w:tc>
          <w:tcPr>
            <w:tcW w:type="dxa" w:w="7416"/>
          </w:tcPr>
          <w:p>
            <w:pPr>
              <w:spacing w:after="20"/>
            </w:pPr>
            <w:r>
              <w:rPr>
                <w:color w:val="1C3A36"/>
                <w:sz w:val="17"/>
              </w:rPr>
              <w:t>Normalised operating profit after tax</w:t>
            </w:r>
          </w:p>
        </w:tc>
        <w:tc>
          <w:tcPr>
            <w:tcW w:type="dxa" w:w="1656"/>
          </w:tcPr>
          <w:p>
            <w:pPr>
              <w:spacing w:after="20"/>
              <w:jc w:val="right"/>
            </w:pPr>
            <w:r>
              <w:rPr>
                <w:color w:val="1C3A36"/>
                <w:sz w:val="17"/>
              </w:rPr>
              <w:t>3,464</w:t>
            </w:r>
          </w:p>
        </w:tc>
      </w:tr>
      <w:tr>
        <w:trPr>
          <w:cantSplit/>
        </w:trPr>
        <w:tc>
          <w:tcPr>
            <w:tcW w:type="dxa" w:w="7416"/>
          </w:tcPr>
          <w:p>
            <w:pPr>
              <w:spacing w:after="20"/>
            </w:pPr>
            <w:r>
              <w:rPr>
                <w:color w:val="1C3A36"/>
                <w:sz w:val="17"/>
              </w:rPr>
              <w:t>Capitalised at 7.44% less 1.5% growth</w:t>
            </w:r>
          </w:p>
        </w:tc>
        <w:tc>
          <w:tcPr>
            <w:tcW w:type="dxa" w:w="1656"/>
          </w:tcPr>
          <w:p>
            <w:pPr>
              <w:spacing w:after="20"/>
              <w:jc w:val="right"/>
            </w:pPr>
            <w:r>
              <w:rPr>
                <w:color w:val="1C3A36"/>
                <w:sz w:val="17"/>
              </w:rPr>
              <w:t>54,854</w:t>
            </w:r>
          </w:p>
        </w:tc>
      </w:tr>
      <w:tr>
        <w:trPr>
          <w:cantSplit/>
        </w:trPr>
        <w:tc>
          <w:tcPr>
            <w:tcW w:type="dxa" w:w="7416"/>
          </w:tcPr>
          <w:p>
            <w:pPr>
              <w:spacing w:after="20"/>
            </w:pPr>
            <w:r>
              <w:rPr>
                <w:color w:val="1C3A36"/>
                <w:sz w:val="17"/>
              </w:rPr>
              <w:t>Less net debt, leases and minorities</w:t>
            </w:r>
          </w:p>
        </w:tc>
        <w:tc>
          <w:tcPr>
            <w:tcW w:type="dxa" w:w="1656"/>
          </w:tcPr>
          <w:p>
            <w:pPr>
              <w:spacing w:after="20"/>
              <w:jc w:val="right"/>
            </w:pPr>
            <w:r>
              <w:rPr>
                <w:color w:val="1C3A36"/>
                <w:sz w:val="17"/>
              </w:rPr>
              <w:t>(4,662)</w:t>
            </w:r>
          </w:p>
        </w:tc>
      </w:tr>
      <w:tr>
        <w:trPr>
          <w:cantSplit/>
        </w:trPr>
        <w:tc>
          <w:tcPr>
            <w:tcW w:type="dxa" w:w="7416"/>
          </w:tcPr>
          <w:p>
            <w:pPr>
              <w:spacing w:after="20"/>
            </w:pPr>
            <w:r>
              <w:rPr>
                <w:color w:val="1C3A36"/>
                <w:sz w:val="17"/>
              </w:rPr>
              <w:t>Equity value</w:t>
            </w:r>
          </w:p>
        </w:tc>
        <w:tc>
          <w:tcPr>
            <w:tcW w:type="dxa" w:w="1656"/>
          </w:tcPr>
          <w:p>
            <w:pPr>
              <w:spacing w:after="20"/>
              <w:jc w:val="right"/>
            </w:pPr>
            <w:r>
              <w:rPr>
                <w:color w:val="1C3A36"/>
                <w:sz w:val="17"/>
              </w:rPr>
              <w:t>50,192</w:t>
            </w:r>
          </w:p>
        </w:tc>
      </w:tr>
      <w:tr>
        <w:trPr>
          <w:cantSplit/>
        </w:trPr>
        <w:tc>
          <w:tcPr>
            <w:tcW w:type="dxa" w:w="7416"/>
            <w:shd w:val="clear" w:color="auto" w:fill="F6F1E6"/>
          </w:tcPr>
          <w:p>
            <w:pPr>
              <w:spacing w:after="20"/>
            </w:pPr>
            <w:r>
              <w:rPr>
                <w:b/>
                <w:color w:val="1C3A36"/>
                <w:sz w:val="17"/>
              </w:rPr>
              <w:t>VALUE PER SHARE (AED)</w:t>
            </w:r>
          </w:p>
        </w:tc>
        <w:tc>
          <w:tcPr>
            <w:tcW w:type="dxa" w:w="1656"/>
            <w:shd w:val="clear" w:color="auto" w:fill="F6F1E6"/>
          </w:tcPr>
          <w:p>
            <w:pPr>
              <w:spacing w:after="20"/>
              <w:jc w:val="right"/>
            </w:pPr>
            <w:r>
              <w:rPr>
                <w:b/>
                <w:color w:val="1C3A36"/>
                <w:sz w:val="17"/>
              </w:rPr>
              <w:t>4.02</w:t>
            </w:r>
          </w:p>
        </w:tc>
      </w:tr>
    </w:tbl>
    <w:p>
      <w:pPr>
        <w:spacing w:after="40"/>
      </w:pPr>
    </w:p>
    <w:p>
      <w:pPr>
        <w:spacing w:after="200" w:before="0"/>
      </w:pPr>
      <w:r>
        <w:rPr>
          <w:b w:val="0"/>
          <w:i/>
          <w:color w:val="6E7B77"/>
          <w:sz w:val="17"/>
        </w:rPr>
        <w:t>Table 10 — normalised earnings power. This reading is capitalised at TODAY's cost of capital of 7.44% rather than the terminal 7.44% the cash-flow model glides to, which is why it lands above the Frame A cash-flow reading even though it charges the same reinvestment for growth that the cash-flow model does. The two disagreements — no growth, but a lower discount rate — very nearly cancel.</w:t>
      </w:r>
    </w:p>
    <w:p>
      <w:pPr>
        <w:spacing w:after="80" w:before="200"/>
      </w:pPr>
      <w:r>
        <w:rPr>
          <w:b/>
          <w:i w:val="0"/>
          <w:color w:val="1C3A36"/>
          <w:sz w:val="24"/>
        </w:rPr>
        <w:t>1.5 Synthesis — four methods, one field</w:t>
      </w:r>
    </w:p>
    <w:p>
      <w:pPr>
        <w:spacing w:after="120" w:before="0"/>
      </w:pPr>
      <w:r>
        <w:rPr>
          <w:b w:val="0"/>
          <w:i w:val="0"/>
          <w:color w:val="1C3A36"/>
          <w:sz w:val="21"/>
        </w:rPr>
        <w:t>The four methods answer different questions, so they are weighted by how much of the question each one actually answers for a regulated-margin retailer with a long asset life. The cash-flow model carries the most weight because volume and margin per litre are the only two things that matter here and it is the only method that forecasts them explicitly. Book value carries the least, for the reason given in section 1.2.</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08"/>
        <w:gridCol w:w="1440"/>
        <w:gridCol w:w="1440"/>
        <w:gridCol w:w="936"/>
        <w:gridCol w:w="3312"/>
      </w:tblGrid>
      <w:tr>
        <w:trPr>
          <w:cantSplit/>
        </w:trPr>
        <w:tc>
          <w:tcPr>
            <w:tcW w:type="dxa" w:w="2808"/>
            <w:shd w:val="clear" w:color="auto" w:fill="EAF0EE"/>
          </w:tcPr>
          <w:p>
            <w:pPr>
              <w:spacing w:after="20"/>
            </w:pPr>
            <w:r>
              <w:rPr>
                <w:b/>
                <w:color w:val="1C3A36"/>
                <w:sz w:val="17"/>
              </w:rPr>
              <w:t>Method</w:t>
            </w:r>
          </w:p>
        </w:tc>
        <w:tc>
          <w:tcPr>
            <w:tcW w:type="dxa" w:w="1440"/>
            <w:shd w:val="clear" w:color="auto" w:fill="EAF0EE"/>
          </w:tcPr>
          <w:p>
            <w:pPr>
              <w:spacing w:after="20"/>
            </w:pPr>
            <w:r>
              <w:rPr>
                <w:b/>
                <w:color w:val="1C3A36"/>
                <w:sz w:val="17"/>
              </w:rPr>
              <w:t>Frame A (AED)</w:t>
            </w:r>
          </w:p>
        </w:tc>
        <w:tc>
          <w:tcPr>
            <w:tcW w:type="dxa" w:w="1440"/>
            <w:shd w:val="clear" w:color="auto" w:fill="EAF0EE"/>
          </w:tcPr>
          <w:p>
            <w:pPr>
              <w:spacing w:after="20"/>
            </w:pPr>
            <w:r>
              <w:rPr>
                <w:b/>
                <w:color w:val="1C3A36"/>
                <w:sz w:val="17"/>
              </w:rPr>
              <w:t>Frame B (AED)</w:t>
            </w:r>
          </w:p>
        </w:tc>
        <w:tc>
          <w:tcPr>
            <w:tcW w:type="dxa" w:w="936"/>
            <w:shd w:val="clear" w:color="auto" w:fill="EAF0EE"/>
          </w:tcPr>
          <w:p>
            <w:pPr>
              <w:spacing w:after="20"/>
            </w:pPr>
            <w:r>
              <w:rPr>
                <w:b/>
                <w:color w:val="1C3A36"/>
                <w:sz w:val="17"/>
              </w:rPr>
              <w:t>Weight</w:t>
            </w:r>
          </w:p>
        </w:tc>
        <w:tc>
          <w:tcPr>
            <w:tcW w:type="dxa" w:w="3312"/>
            <w:shd w:val="clear" w:color="auto" w:fill="EAF0EE"/>
          </w:tcPr>
          <w:p>
            <w:pPr>
              <w:spacing w:after="20"/>
            </w:pPr>
            <w:r>
              <w:rPr>
                <w:b/>
                <w:color w:val="1C3A36"/>
                <w:sz w:val="17"/>
              </w:rPr>
              <w:t>What it answers</w:t>
            </w:r>
          </w:p>
        </w:tc>
      </w:tr>
      <w:tr>
        <w:trPr>
          <w:cantSplit/>
        </w:trPr>
        <w:tc>
          <w:tcPr>
            <w:tcW w:type="dxa" w:w="2808"/>
          </w:tcPr>
          <w:p>
            <w:pPr>
              <w:spacing w:after="20"/>
            </w:pPr>
            <w:r>
              <w:rPr>
                <w:color w:val="1C3A36"/>
                <w:sz w:val="17"/>
              </w:rPr>
              <w:t>Discounted cash flow</w:t>
            </w:r>
          </w:p>
        </w:tc>
        <w:tc>
          <w:tcPr>
            <w:tcW w:type="dxa" w:w="1440"/>
          </w:tcPr>
          <w:p>
            <w:pPr>
              <w:spacing w:after="20"/>
              <w:jc w:val="right"/>
            </w:pPr>
            <w:r>
              <w:rPr>
                <w:color w:val="1C3A36"/>
                <w:sz w:val="17"/>
              </w:rPr>
              <w:t>4.79</w:t>
            </w:r>
          </w:p>
        </w:tc>
        <w:tc>
          <w:tcPr>
            <w:tcW w:type="dxa" w:w="1440"/>
          </w:tcPr>
          <w:p>
            <w:pPr>
              <w:spacing w:after="20"/>
              <w:jc w:val="right"/>
            </w:pPr>
            <w:r>
              <w:rPr>
                <w:color w:val="1C3A36"/>
                <w:sz w:val="17"/>
              </w:rPr>
              <w:t>5.10</w:t>
            </w:r>
          </w:p>
        </w:tc>
        <w:tc>
          <w:tcPr>
            <w:tcW w:type="dxa" w:w="936"/>
          </w:tcPr>
          <w:p>
            <w:pPr>
              <w:spacing w:after="20"/>
              <w:jc w:val="right"/>
            </w:pPr>
            <w:r>
              <w:rPr>
                <w:color w:val="1C3A36"/>
                <w:sz w:val="17"/>
              </w:rPr>
              <w:t>40%</w:t>
            </w:r>
          </w:p>
        </w:tc>
        <w:tc>
          <w:tcPr>
            <w:tcW w:type="dxa" w:w="3312"/>
          </w:tcPr>
          <w:p>
            <w:pPr>
              <w:spacing w:after="20"/>
              <w:jc w:val="right"/>
            </w:pPr>
            <w:r>
              <w:rPr>
                <w:color w:val="1C3A36"/>
                <w:sz w:val="17"/>
              </w:rPr>
              <w:t>what the volume and margin path is worth, discounted</w:t>
            </w:r>
          </w:p>
        </w:tc>
      </w:tr>
      <w:tr>
        <w:trPr>
          <w:cantSplit/>
        </w:trPr>
        <w:tc>
          <w:tcPr>
            <w:tcW w:type="dxa" w:w="2808"/>
          </w:tcPr>
          <w:p>
            <w:pPr>
              <w:spacing w:after="20"/>
            </w:pPr>
            <w:r>
              <w:rPr>
                <w:color w:val="1C3A36"/>
                <w:sz w:val="17"/>
              </w:rPr>
              <w:t>Normalised earnings power</w:t>
            </w:r>
          </w:p>
        </w:tc>
        <w:tc>
          <w:tcPr>
            <w:tcW w:type="dxa" w:w="1440"/>
          </w:tcPr>
          <w:p>
            <w:pPr>
              <w:spacing w:after="20"/>
              <w:jc w:val="right"/>
            </w:pPr>
            <w:r>
              <w:rPr>
                <w:color w:val="1C3A36"/>
                <w:sz w:val="17"/>
              </w:rPr>
              <w:t>4.02</w:t>
            </w:r>
          </w:p>
        </w:tc>
        <w:tc>
          <w:tcPr>
            <w:tcW w:type="dxa" w:w="1440"/>
          </w:tcPr>
          <w:p>
            <w:pPr>
              <w:spacing w:after="20"/>
              <w:jc w:val="right"/>
            </w:pPr>
            <w:r>
              <w:rPr>
                <w:color w:val="1C3A36"/>
                <w:sz w:val="17"/>
              </w:rPr>
              <w:t>4.02</w:t>
            </w:r>
          </w:p>
        </w:tc>
        <w:tc>
          <w:tcPr>
            <w:tcW w:type="dxa" w:w="936"/>
          </w:tcPr>
          <w:p>
            <w:pPr>
              <w:spacing w:after="20"/>
              <w:jc w:val="right"/>
            </w:pPr>
            <w:r>
              <w:rPr>
                <w:color w:val="1C3A36"/>
                <w:sz w:val="17"/>
              </w:rPr>
              <w:t>25%</w:t>
            </w:r>
          </w:p>
        </w:tc>
        <w:tc>
          <w:tcPr>
            <w:tcW w:type="dxa" w:w="3312"/>
          </w:tcPr>
          <w:p>
            <w:pPr>
              <w:spacing w:after="20"/>
              <w:jc w:val="right"/>
            </w:pPr>
            <w:r>
              <w:rPr>
                <w:color w:val="1C3A36"/>
                <w:sz w:val="17"/>
              </w:rPr>
              <w:t>what it is worth on structural earnings with growth paid for</w:t>
            </w:r>
          </w:p>
        </w:tc>
      </w:tr>
      <w:tr>
        <w:trPr>
          <w:cantSplit/>
        </w:trPr>
        <w:tc>
          <w:tcPr>
            <w:tcW w:type="dxa" w:w="2808"/>
          </w:tcPr>
          <w:p>
            <w:pPr>
              <w:spacing w:after="20"/>
            </w:pPr>
            <w:r>
              <w:rPr>
                <w:color w:val="1C3A36"/>
                <w:sz w:val="17"/>
              </w:rPr>
              <w:t>Relative multiples</w:t>
            </w:r>
          </w:p>
        </w:tc>
        <w:tc>
          <w:tcPr>
            <w:tcW w:type="dxa" w:w="1440"/>
          </w:tcPr>
          <w:p>
            <w:pPr>
              <w:spacing w:after="20"/>
              <w:jc w:val="right"/>
            </w:pPr>
            <w:r>
              <w:rPr>
                <w:color w:val="1C3A36"/>
                <w:sz w:val="17"/>
              </w:rPr>
              <w:t>4.95</w:t>
            </w:r>
          </w:p>
        </w:tc>
        <w:tc>
          <w:tcPr>
            <w:tcW w:type="dxa" w:w="1440"/>
          </w:tcPr>
          <w:p>
            <w:pPr>
              <w:spacing w:after="20"/>
              <w:jc w:val="right"/>
            </w:pPr>
            <w:r>
              <w:rPr>
                <w:color w:val="1C3A36"/>
                <w:sz w:val="17"/>
              </w:rPr>
              <w:t>5.17</w:t>
            </w:r>
          </w:p>
        </w:tc>
        <w:tc>
          <w:tcPr>
            <w:tcW w:type="dxa" w:w="936"/>
          </w:tcPr>
          <w:p>
            <w:pPr>
              <w:spacing w:after="20"/>
              <w:jc w:val="right"/>
            </w:pPr>
            <w:r>
              <w:rPr>
                <w:color w:val="1C3A36"/>
                <w:sz w:val="17"/>
              </w:rPr>
              <w:t>20%</w:t>
            </w:r>
          </w:p>
        </w:tc>
        <w:tc>
          <w:tcPr>
            <w:tcW w:type="dxa" w:w="3312"/>
          </w:tcPr>
          <w:p>
            <w:pPr>
              <w:spacing w:after="20"/>
              <w:jc w:val="right"/>
            </w:pPr>
            <w:r>
              <w:rPr>
                <w:color w:val="1C3A36"/>
                <w:sz w:val="17"/>
              </w:rPr>
              <w:t>what its own economics justify paying for its earnings</w:t>
            </w:r>
          </w:p>
        </w:tc>
      </w:tr>
      <w:tr>
        <w:trPr>
          <w:cantSplit/>
        </w:trPr>
        <w:tc>
          <w:tcPr>
            <w:tcW w:type="dxa" w:w="2808"/>
          </w:tcPr>
          <w:p>
            <w:pPr>
              <w:spacing w:after="20"/>
            </w:pPr>
            <w:r>
              <w:rPr>
                <w:color w:val="1C3A36"/>
                <w:sz w:val="17"/>
              </w:rPr>
              <w:t>Book value and sustainable return</w:t>
            </w:r>
          </w:p>
        </w:tc>
        <w:tc>
          <w:tcPr>
            <w:tcW w:type="dxa" w:w="1440"/>
          </w:tcPr>
          <w:p>
            <w:pPr>
              <w:spacing w:after="20"/>
              <w:jc w:val="right"/>
            </w:pPr>
            <w:r>
              <w:rPr>
                <w:color w:val="1C3A36"/>
                <w:sz w:val="17"/>
              </w:rPr>
              <w:t>3.36</w:t>
            </w:r>
          </w:p>
        </w:tc>
        <w:tc>
          <w:tcPr>
            <w:tcW w:type="dxa" w:w="1440"/>
          </w:tcPr>
          <w:p>
            <w:pPr>
              <w:spacing w:after="20"/>
              <w:jc w:val="right"/>
            </w:pPr>
            <w:r>
              <w:rPr>
                <w:color w:val="1C3A36"/>
                <w:sz w:val="17"/>
              </w:rPr>
              <w:t>3.36</w:t>
            </w:r>
          </w:p>
        </w:tc>
        <w:tc>
          <w:tcPr>
            <w:tcW w:type="dxa" w:w="936"/>
          </w:tcPr>
          <w:p>
            <w:pPr>
              <w:spacing w:after="20"/>
              <w:jc w:val="right"/>
            </w:pPr>
            <w:r>
              <w:rPr>
                <w:color w:val="1C3A36"/>
                <w:sz w:val="17"/>
              </w:rPr>
              <w:t>15%</w:t>
            </w:r>
          </w:p>
        </w:tc>
        <w:tc>
          <w:tcPr>
            <w:tcW w:type="dxa" w:w="3312"/>
          </w:tcPr>
          <w:p>
            <w:pPr>
              <w:spacing w:after="20"/>
              <w:jc w:val="right"/>
            </w:pPr>
            <w:r>
              <w:rPr>
                <w:color w:val="1C3A36"/>
                <w:sz w:val="17"/>
              </w:rPr>
              <w:t>what the capital in the business earns on itself</w:t>
            </w:r>
          </w:p>
        </w:tc>
      </w:tr>
      <w:tr>
        <w:trPr>
          <w:cantSplit/>
        </w:trPr>
        <w:tc>
          <w:tcPr>
            <w:tcW w:type="dxa" w:w="2808"/>
            <w:shd w:val="clear" w:color="auto" w:fill="F6F1E6"/>
          </w:tcPr>
          <w:p>
            <w:pPr>
              <w:spacing w:after="20"/>
            </w:pPr>
            <w:r>
              <w:rPr>
                <w:b/>
                <w:color w:val="1C3A36"/>
                <w:sz w:val="17"/>
              </w:rPr>
              <w:t>WEIGHTED CENTRE</w:t>
            </w:r>
          </w:p>
        </w:tc>
        <w:tc>
          <w:tcPr>
            <w:tcW w:type="dxa" w:w="1440"/>
            <w:shd w:val="clear" w:color="auto" w:fill="F6F1E6"/>
          </w:tcPr>
          <w:p>
            <w:pPr>
              <w:spacing w:after="20"/>
              <w:jc w:val="right"/>
            </w:pPr>
            <w:r>
              <w:rPr>
                <w:b/>
                <w:color w:val="1C3A36"/>
                <w:sz w:val="17"/>
              </w:rPr>
              <w:t>4.41</w:t>
            </w:r>
          </w:p>
        </w:tc>
        <w:tc>
          <w:tcPr>
            <w:tcW w:type="dxa" w:w="1440"/>
            <w:shd w:val="clear" w:color="auto" w:fill="F6F1E6"/>
          </w:tcPr>
          <w:p>
            <w:pPr>
              <w:spacing w:after="20"/>
              <w:jc w:val="right"/>
            </w:pPr>
            <w:r>
              <w:rPr>
                <w:b/>
                <w:color w:val="1C3A36"/>
                <w:sz w:val="17"/>
              </w:rPr>
              <w:t>4.58</w:t>
            </w:r>
          </w:p>
        </w:tc>
        <w:tc>
          <w:tcPr>
            <w:tcW w:type="dxa" w:w="936"/>
            <w:shd w:val="clear" w:color="auto" w:fill="F6F1E6"/>
          </w:tcPr>
          <w:p>
            <w:pPr>
              <w:spacing w:after="20"/>
              <w:jc w:val="right"/>
            </w:pPr>
            <w:r>
              <w:rPr>
                <w:b/>
                <w:color w:val="1C3A36"/>
                <w:sz w:val="17"/>
              </w:rPr>
              <w:t>100%</w:t>
            </w:r>
          </w:p>
        </w:tc>
        <w:tc>
          <w:tcPr>
            <w:tcW w:type="dxa" w:w="3312"/>
            <w:shd w:val="clear" w:color="auto" w:fill="F6F1E6"/>
          </w:tcPr>
          <w:p>
            <w:pPr>
              <w:spacing w:after="20"/>
              <w:jc w:val="right"/>
            </w:pPr>
            <w:r>
              <w:rPr>
                <w:b/>
                <w:color w:val="1C3A36"/>
                <w:sz w:val="17"/>
              </w:rPr>
              <w:t>never averaged across the two frames</w:t>
            </w:r>
          </w:p>
        </w:tc>
      </w:tr>
      <w:tr>
        <w:trPr>
          <w:cantSplit/>
        </w:trPr>
        <w:tc>
          <w:tcPr>
            <w:tcW w:type="dxa" w:w="2808"/>
          </w:tcPr>
          <w:p>
            <w:pPr>
              <w:spacing w:after="20"/>
            </w:pPr>
            <w:r>
              <w:rPr>
                <w:color w:val="1C3A36"/>
                <w:sz w:val="17"/>
              </w:rPr>
              <w:t>Dividend capitalisation</w:t>
            </w:r>
          </w:p>
        </w:tc>
        <w:tc>
          <w:tcPr>
            <w:tcW w:type="dxa" w:w="1440"/>
          </w:tcPr>
          <w:p>
            <w:pPr>
              <w:spacing w:after="20"/>
              <w:jc w:val="right"/>
            </w:pPr>
            <w:r>
              <w:rPr>
                <w:color w:val="1C3A36"/>
                <w:sz w:val="17"/>
              </w:rPr>
              <w:t>2.71</w:t>
            </w:r>
          </w:p>
        </w:tc>
        <w:tc>
          <w:tcPr>
            <w:tcW w:type="dxa" w:w="1440"/>
          </w:tcPr>
          <w:p>
            <w:pPr>
              <w:spacing w:after="20"/>
              <w:jc w:val="right"/>
            </w:pPr>
            <w:r>
              <w:rPr>
                <w:color w:val="1C3A36"/>
                <w:sz w:val="17"/>
              </w:rPr>
              <w:t>2.71</w:t>
            </w:r>
          </w:p>
        </w:tc>
        <w:tc>
          <w:tcPr>
            <w:tcW w:type="dxa" w:w="936"/>
          </w:tcPr>
          <w:p>
            <w:pPr>
              <w:spacing w:after="20"/>
              <w:jc w:val="right"/>
            </w:pPr>
            <w:r>
              <w:rPr>
                <w:color w:val="1C3A36"/>
                <w:sz w:val="17"/>
              </w:rPr>
              <w:t>—</w:t>
            </w:r>
          </w:p>
        </w:tc>
        <w:tc>
          <w:tcPr>
            <w:tcW w:type="dxa" w:w="3312"/>
          </w:tcPr>
          <w:p>
            <w:pPr>
              <w:spacing w:after="20"/>
              <w:jc w:val="right"/>
            </w:pPr>
            <w:r>
              <w:rPr>
                <w:color w:val="1C3A36"/>
                <w:sz w:val="17"/>
              </w:rPr>
              <w:t>carried unweighted — it values the policy, not the business</w:t>
            </w:r>
          </w:p>
        </w:tc>
      </w:tr>
    </w:tbl>
    <w:p>
      <w:pPr>
        <w:spacing w:after="40"/>
      </w:pPr>
    </w:p>
    <w:p>
      <w:pPr>
        <w:spacing w:after="200" w:before="0"/>
      </w:pPr>
      <w:r>
        <w:rPr>
          <w:b w:val="0"/>
          <w:i/>
          <w:color w:val="6E7B77"/>
          <w:sz w:val="17"/>
        </w:rPr>
        <w:t>Table 11 — the four methods and their weights. The field runs from AED 3.36 to AED 5.17 across the individual readings; the published low and high are the actual minimum and maximum of the readings, AED 2.71 to AED 5.17 widen that by a further margin either side of the centres, because a field built only from the points a model happens to produce understates the uncertainty in the model itself.</w:t>
      </w:r>
    </w:p>
    <w:p>
      <w:pPr>
        <w:spacing w:after="80" w:before="200"/>
      </w:pPr>
      <w:r>
        <w:rPr>
          <w:b/>
          <w:i w:val="0"/>
          <w:color w:val="1C3A36"/>
          <w:sz w:val="24"/>
        </w:rPr>
        <w:t>1.6 Drivers — every segment grown on its own driver</w:t>
      </w:r>
    </w:p>
    <w:p>
      <w:pPr>
        <w:spacing w:after="120" w:before="0"/>
      </w:pPr>
      <w:r>
        <w:rPr>
          <w:b w:val="0"/>
          <w:i w:val="0"/>
          <w:color w:val="1C3A36"/>
          <w:sz w:val="21"/>
        </w:rPr>
        <w:t>No segment is grown on a blended rate. Each disclosed leg is built from its own physical driver: litres times margin per litre for the two fuel legs, and revenue times gross margin for non-fuel retail, which is a shop and not a pump. Revenue per litre is then an OUTPUT of the committee-set price path, and gross margin is an OUTPUT of the two together. Margins are outputs of volume and margin per litre, and where a step in a margin per litre is carried it is disclosed and priced rather than asserted.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1138"/>
        <w:gridCol w:w="1138"/>
        <w:gridCol w:w="1138"/>
        <w:gridCol w:w="1138"/>
        <w:gridCol w:w="1138"/>
        <w:gridCol w:w="1138"/>
      </w:tblGrid>
      <w:tr>
        <w:trPr>
          <w:cantSplit/>
        </w:trPr>
        <w:tc>
          <w:tcPr>
            <w:tcW w:type="dxa" w:w="3096"/>
            <w:shd w:val="clear" w:color="auto" w:fill="EAF0EE"/>
          </w:tcPr>
          <w:p>
            <w:pPr>
              <w:spacing w:after="20"/>
            </w:pPr>
            <w:r>
              <w:rPr>
                <w:b/>
                <w:color w:val="1C3A36"/>
                <w:sz w:val="16"/>
              </w:rPr>
              <w:t>Volume and margin build</w:t>
            </w:r>
          </w:p>
        </w:tc>
        <w:tc>
          <w:tcPr>
            <w:tcW w:type="dxa" w:w="1138"/>
            <w:shd w:val="clear" w:color="auto" w:fill="EAF0EE"/>
          </w:tcPr>
          <w:p>
            <w:pPr>
              <w:spacing w:after="20"/>
            </w:pPr>
            <w:r>
              <w:rPr>
                <w:b/>
                <w:color w:val="1C3A36"/>
                <w:sz w:val="16"/>
              </w:rPr>
              <w:t>FY2025</w:t>
            </w:r>
          </w:p>
        </w:tc>
        <w:tc>
          <w:tcPr>
            <w:tcW w:type="dxa" w:w="1138"/>
            <w:shd w:val="clear" w:color="auto" w:fill="EAF0EE"/>
          </w:tcPr>
          <w:p>
            <w:pPr>
              <w:spacing w:after="20"/>
            </w:pPr>
            <w:r>
              <w:rPr>
                <w:b/>
                <w:color w:val="1C3A36"/>
                <w:sz w:val="16"/>
              </w:rPr>
              <w:t>2026E</w:t>
            </w:r>
          </w:p>
        </w:tc>
        <w:tc>
          <w:tcPr>
            <w:tcW w:type="dxa" w:w="1138"/>
            <w:shd w:val="clear" w:color="auto" w:fill="EAF0EE"/>
          </w:tcPr>
          <w:p>
            <w:pPr>
              <w:spacing w:after="20"/>
            </w:pPr>
            <w:r>
              <w:rPr>
                <w:b/>
                <w:color w:val="1C3A36"/>
                <w:sz w:val="16"/>
              </w:rPr>
              <w:t>2027E</w:t>
            </w:r>
          </w:p>
        </w:tc>
        <w:tc>
          <w:tcPr>
            <w:tcW w:type="dxa" w:w="1138"/>
            <w:shd w:val="clear" w:color="auto" w:fill="EAF0EE"/>
          </w:tcPr>
          <w:p>
            <w:pPr>
              <w:spacing w:after="20"/>
            </w:pPr>
            <w:r>
              <w:rPr>
                <w:b/>
                <w:color w:val="1C3A36"/>
                <w:sz w:val="16"/>
              </w:rPr>
              <w:t>2028E</w:t>
            </w:r>
          </w:p>
        </w:tc>
        <w:tc>
          <w:tcPr>
            <w:tcW w:type="dxa" w:w="1138"/>
            <w:shd w:val="clear" w:color="auto" w:fill="EAF0EE"/>
          </w:tcPr>
          <w:p>
            <w:pPr>
              <w:spacing w:after="20"/>
            </w:pPr>
            <w:r>
              <w:rPr>
                <w:b/>
                <w:color w:val="1C3A36"/>
                <w:sz w:val="16"/>
              </w:rPr>
              <w:t>2029E</w:t>
            </w:r>
          </w:p>
        </w:tc>
        <w:tc>
          <w:tcPr>
            <w:tcW w:type="dxa" w:w="1138"/>
            <w:shd w:val="clear" w:color="auto" w:fill="EAF0EE"/>
          </w:tcPr>
          <w:p>
            <w:pPr>
              <w:spacing w:after="20"/>
            </w:pPr>
            <w:r>
              <w:rPr>
                <w:b/>
                <w:color w:val="1C3A36"/>
                <w:sz w:val="16"/>
              </w:rPr>
              <w:t>2030E</w:t>
            </w:r>
          </w:p>
        </w:tc>
      </w:tr>
      <w:tr>
        <w:trPr>
          <w:cantSplit/>
        </w:trPr>
        <w:tc>
          <w:tcPr>
            <w:tcW w:type="dxa" w:w="3096"/>
          </w:tcPr>
          <w:p>
            <w:pPr>
              <w:spacing w:after="20"/>
            </w:pPr>
            <w:r>
              <w:rPr>
                <w:color w:val="1C3A36"/>
                <w:sz w:val="16"/>
              </w:rPr>
              <w:t>Retail fuel volume (m litres)</w:t>
            </w:r>
          </w:p>
        </w:tc>
        <w:tc>
          <w:tcPr>
            <w:tcW w:type="dxa" w:w="1138"/>
          </w:tcPr>
          <w:p>
            <w:pPr>
              <w:spacing w:after="20"/>
              <w:jc w:val="right"/>
            </w:pPr>
            <w:r>
              <w:rPr>
                <w:color w:val="1C3A36"/>
                <w:sz w:val="16"/>
              </w:rPr>
              <w:t>11,042</w:t>
            </w:r>
          </w:p>
        </w:tc>
        <w:tc>
          <w:tcPr>
            <w:tcW w:type="dxa" w:w="1138"/>
          </w:tcPr>
          <w:p>
            <w:pPr>
              <w:spacing w:after="20"/>
              <w:jc w:val="right"/>
            </w:pPr>
            <w:r>
              <w:rPr>
                <w:color w:val="1C3A36"/>
                <w:sz w:val="16"/>
              </w:rPr>
              <w:t>10,911</w:t>
            </w:r>
          </w:p>
        </w:tc>
        <w:tc>
          <w:tcPr>
            <w:tcW w:type="dxa" w:w="1138"/>
          </w:tcPr>
          <w:p>
            <w:pPr>
              <w:spacing w:after="20"/>
              <w:jc w:val="right"/>
            </w:pPr>
            <w:r>
              <w:rPr>
                <w:color w:val="1C3A36"/>
                <w:sz w:val="16"/>
              </w:rPr>
              <w:t>11,117</w:t>
            </w:r>
          </w:p>
        </w:tc>
        <w:tc>
          <w:tcPr>
            <w:tcW w:type="dxa" w:w="1138"/>
          </w:tcPr>
          <w:p>
            <w:pPr>
              <w:spacing w:after="20"/>
              <w:jc w:val="right"/>
            </w:pPr>
            <w:r>
              <w:rPr>
                <w:color w:val="1C3A36"/>
                <w:sz w:val="16"/>
              </w:rPr>
              <w:t>11,330</w:t>
            </w:r>
          </w:p>
        </w:tc>
        <w:tc>
          <w:tcPr>
            <w:tcW w:type="dxa" w:w="1138"/>
          </w:tcPr>
          <w:p>
            <w:pPr>
              <w:spacing w:after="20"/>
              <w:jc w:val="right"/>
            </w:pPr>
            <w:r>
              <w:rPr>
                <w:color w:val="1C3A36"/>
                <w:sz w:val="16"/>
              </w:rPr>
              <w:t>11,609</w:t>
            </w:r>
          </w:p>
        </w:tc>
        <w:tc>
          <w:tcPr>
            <w:tcW w:type="dxa" w:w="1138"/>
          </w:tcPr>
          <w:p>
            <w:pPr>
              <w:spacing w:after="20"/>
              <w:jc w:val="right"/>
            </w:pPr>
            <w:r>
              <w:rPr>
                <w:color w:val="1C3A36"/>
                <w:sz w:val="16"/>
              </w:rPr>
              <w:t>11,898</w:t>
            </w:r>
          </w:p>
        </w:tc>
      </w:tr>
      <w:tr>
        <w:trPr>
          <w:cantSplit/>
        </w:trPr>
        <w:tc>
          <w:tcPr>
            <w:tcW w:type="dxa" w:w="3096"/>
          </w:tcPr>
          <w:p>
            <w:pPr>
              <w:spacing w:after="20"/>
            </w:pPr>
            <w:r>
              <w:rPr>
                <w:color w:val="1C3A36"/>
                <w:sz w:val="16"/>
              </w:rPr>
              <w:t xml:space="preserve">   growth</w:t>
            </w:r>
          </w:p>
        </w:tc>
        <w:tc>
          <w:tcPr>
            <w:tcW w:type="dxa" w:w="1138"/>
          </w:tcPr>
          <w:p>
            <w:pPr>
              <w:spacing w:after="20"/>
              <w:jc w:val="right"/>
            </w:pPr>
            <w:r>
              <w:rPr>
                <w:color w:val="1C3A36"/>
                <w:sz w:val="16"/>
              </w:rPr>
            </w:r>
          </w:p>
        </w:tc>
        <w:tc>
          <w:tcPr>
            <w:tcW w:type="dxa" w:w="1138"/>
          </w:tcPr>
          <w:p>
            <w:pPr>
              <w:spacing w:after="20"/>
              <w:jc w:val="right"/>
            </w:pPr>
            <w:r>
              <w:rPr>
                <w:color w:val="1C3A36"/>
                <w:sz w:val="16"/>
              </w:rPr>
              <w:t>1.2%</w:t>
            </w:r>
          </w:p>
        </w:tc>
        <w:tc>
          <w:tcPr>
            <w:tcW w:type="dxa" w:w="1138"/>
          </w:tcPr>
          <w:p>
            <w:pPr>
              <w:spacing w:after="20"/>
              <w:jc w:val="right"/>
            </w:pPr>
            <w:r>
              <w:rPr>
                <w:color w:val="1C3A36"/>
                <w:sz w:val="16"/>
              </w:rPr>
              <w:t>2.0%</w:t>
            </w:r>
          </w:p>
        </w:tc>
        <w:tc>
          <w:tcPr>
            <w:tcW w:type="dxa" w:w="1138"/>
          </w:tcPr>
          <w:p>
            <w:pPr>
              <w:spacing w:after="20"/>
              <w:jc w:val="right"/>
            </w:pPr>
            <w:r>
              <w:rPr>
                <w:color w:val="1C3A36"/>
                <w:sz w:val="16"/>
              </w:rPr>
              <w:t>1.8%</w:t>
            </w:r>
          </w:p>
        </w:tc>
        <w:tc>
          <w:tcPr>
            <w:tcW w:type="dxa" w:w="1138"/>
          </w:tcPr>
          <w:p>
            <w:pPr>
              <w:spacing w:after="20"/>
              <w:jc w:val="right"/>
            </w:pPr>
            <w:r>
              <w:rPr>
                <w:color w:val="1C3A36"/>
                <w:sz w:val="16"/>
              </w:rPr>
              <w:t>1.5%</w:t>
            </w:r>
          </w:p>
        </w:tc>
        <w:tc>
          <w:tcPr>
            <w:tcW w:type="dxa" w:w="1138"/>
          </w:tcPr>
          <w:p>
            <w:pPr>
              <w:spacing w:after="20"/>
              <w:jc w:val="right"/>
            </w:pPr>
            <w:r>
              <w:rPr>
                <w:color w:val="1C3A36"/>
                <w:sz w:val="16"/>
              </w:rPr>
              <w:t>1.2%</w:t>
            </w:r>
          </w:p>
        </w:tc>
      </w:tr>
      <w:tr>
        <w:trPr>
          <w:cantSplit/>
        </w:trPr>
        <w:tc>
          <w:tcPr>
            <w:tcW w:type="dxa" w:w="3096"/>
          </w:tcPr>
          <w:p>
            <w:pPr>
              <w:spacing w:after="20"/>
            </w:pPr>
            <w:r>
              <w:rPr>
                <w:color w:val="1C3A36"/>
                <w:sz w:val="16"/>
              </w:rPr>
              <w:t>Commercial fuel volume (m litres)</w:t>
            </w:r>
          </w:p>
        </w:tc>
        <w:tc>
          <w:tcPr>
            <w:tcW w:type="dxa" w:w="1138"/>
          </w:tcPr>
          <w:p>
            <w:pPr>
              <w:spacing w:after="20"/>
              <w:jc w:val="right"/>
            </w:pPr>
            <w:r>
              <w:rPr>
                <w:color w:val="1C3A36"/>
                <w:sz w:val="16"/>
              </w:rPr>
              <w:t>4,668</w:t>
            </w:r>
          </w:p>
        </w:tc>
        <w:tc>
          <w:tcPr>
            <w:tcW w:type="dxa" w:w="1138"/>
          </w:tcPr>
          <w:p>
            <w:pPr>
              <w:spacing w:after="20"/>
              <w:jc w:val="right"/>
            </w:pPr>
            <w:r>
              <w:rPr>
                <w:color w:val="1C3A36"/>
                <w:sz w:val="16"/>
              </w:rPr>
              <w:t>4,744</w:t>
            </w:r>
          </w:p>
        </w:tc>
        <w:tc>
          <w:tcPr>
            <w:tcW w:type="dxa" w:w="1138"/>
          </w:tcPr>
          <w:p>
            <w:pPr>
              <w:spacing w:after="20"/>
              <w:jc w:val="right"/>
            </w:pPr>
            <w:r>
              <w:rPr>
                <w:color w:val="1C3A36"/>
                <w:sz w:val="16"/>
              </w:rPr>
              <w:t>4,793</w:t>
            </w:r>
          </w:p>
        </w:tc>
        <w:tc>
          <w:tcPr>
            <w:tcW w:type="dxa" w:w="1138"/>
          </w:tcPr>
          <w:p>
            <w:pPr>
              <w:spacing w:after="20"/>
              <w:jc w:val="right"/>
            </w:pPr>
            <w:r>
              <w:rPr>
                <w:color w:val="1C3A36"/>
                <w:sz w:val="16"/>
              </w:rPr>
              <w:t>4,855</w:t>
            </w:r>
          </w:p>
        </w:tc>
        <w:tc>
          <w:tcPr>
            <w:tcW w:type="dxa" w:w="1138"/>
          </w:tcPr>
          <w:p>
            <w:pPr>
              <w:spacing w:after="20"/>
              <w:jc w:val="right"/>
            </w:pPr>
            <w:r>
              <w:rPr>
                <w:color w:val="1C3A36"/>
                <w:sz w:val="16"/>
              </w:rPr>
              <w:t>4,916</w:t>
            </w:r>
          </w:p>
        </w:tc>
        <w:tc>
          <w:tcPr>
            <w:tcW w:type="dxa" w:w="1138"/>
          </w:tcPr>
          <w:p>
            <w:pPr>
              <w:spacing w:after="20"/>
              <w:jc w:val="right"/>
            </w:pPr>
            <w:r>
              <w:rPr>
                <w:color w:val="1C3A36"/>
                <w:sz w:val="16"/>
              </w:rPr>
              <w:t>4,973</w:t>
            </w:r>
          </w:p>
        </w:tc>
      </w:tr>
      <w:tr>
        <w:trPr>
          <w:cantSplit/>
        </w:trPr>
        <w:tc>
          <w:tcPr>
            <w:tcW w:type="dxa" w:w="3096"/>
          </w:tcPr>
          <w:p>
            <w:pPr>
              <w:spacing w:after="20"/>
            </w:pPr>
            <w:r>
              <w:rPr>
                <w:color w:val="1C3A36"/>
                <w:sz w:val="16"/>
              </w:rPr>
              <w:t xml:space="preserve">   growth</w:t>
            </w:r>
          </w:p>
        </w:tc>
        <w:tc>
          <w:tcPr>
            <w:tcW w:type="dxa" w:w="1138"/>
          </w:tcPr>
          <w:p>
            <w:pPr>
              <w:spacing w:after="20"/>
              <w:jc w:val="right"/>
            </w:pPr>
            <w:r>
              <w:rPr>
                <w:color w:val="1C3A36"/>
                <w:sz w:val="16"/>
              </w:rPr>
            </w:r>
          </w:p>
        </w:tc>
        <w:tc>
          <w:tcPr>
            <w:tcW w:type="dxa" w:w="1138"/>
          </w:tcPr>
          <w:p>
            <w:pPr>
              <w:spacing w:after="20"/>
              <w:jc w:val="right"/>
            </w:pPr>
            <w:r>
              <w:rPr>
                <w:color w:val="1C3A36"/>
                <w:sz w:val="16"/>
              </w:rPr>
              <w:t>3.0%</w:t>
            </w:r>
          </w:p>
        </w:tc>
        <w:tc>
          <w:tcPr>
            <w:tcW w:type="dxa" w:w="1138"/>
          </w:tcPr>
          <w:p>
            <w:pPr>
              <w:spacing w:after="20"/>
              <w:jc w:val="right"/>
            </w:pPr>
            <w:r>
              <w:rPr>
                <w:color w:val="1C3A36"/>
                <w:sz w:val="16"/>
              </w:rPr>
              <w:t>2.5%</w:t>
            </w:r>
          </w:p>
        </w:tc>
        <w:tc>
          <w:tcPr>
            <w:tcW w:type="dxa" w:w="1138"/>
          </w:tcPr>
          <w:p>
            <w:pPr>
              <w:spacing w:after="20"/>
              <w:jc w:val="right"/>
            </w:pPr>
            <w:r>
              <w:rPr>
                <w:color w:val="1C3A36"/>
                <w:sz w:val="16"/>
              </w:rPr>
              <w:t>2.0%</w:t>
            </w:r>
          </w:p>
        </w:tc>
        <w:tc>
          <w:tcPr>
            <w:tcW w:type="dxa" w:w="1138"/>
          </w:tcPr>
          <w:p>
            <w:pPr>
              <w:spacing w:after="20"/>
              <w:jc w:val="right"/>
            </w:pPr>
            <w:r>
              <w:rPr>
                <w:color w:val="1C3A36"/>
                <w:sz w:val="16"/>
              </w:rPr>
              <w:t>1.8%</w:t>
            </w:r>
          </w:p>
        </w:tc>
        <w:tc>
          <w:tcPr>
            <w:tcW w:type="dxa" w:w="1138"/>
          </w:tcPr>
          <w:p>
            <w:pPr>
              <w:spacing w:after="20"/>
              <w:jc w:val="right"/>
            </w:pPr>
            <w:r>
              <w:rPr>
                <w:color w:val="1C3A36"/>
                <w:sz w:val="16"/>
              </w:rPr>
              <w:t>1.5%</w:t>
            </w:r>
          </w:p>
        </w:tc>
      </w:tr>
      <w:tr>
        <w:trPr>
          <w:cantSplit/>
        </w:trPr>
        <w:tc>
          <w:tcPr>
            <w:tcW w:type="dxa" w:w="3096"/>
          </w:tcPr>
          <w:p>
            <w:pPr>
              <w:spacing w:after="20"/>
            </w:pPr>
            <w:r>
              <w:rPr>
                <w:color w:val="1C3A36"/>
                <w:sz w:val="16"/>
              </w:rPr>
              <w:t>Retail margin per litre (fils)</w:t>
            </w:r>
          </w:p>
        </w:tc>
        <w:tc>
          <w:tcPr>
            <w:tcW w:type="dxa" w:w="1138"/>
          </w:tcPr>
          <w:p>
            <w:pPr>
              <w:spacing w:after="20"/>
              <w:jc w:val="right"/>
            </w:pPr>
            <w:r>
              <w:rPr>
                <w:color w:val="1C3A36"/>
                <w:sz w:val="16"/>
              </w:rPr>
              <w:t>36.0</w:t>
            </w:r>
          </w:p>
        </w:tc>
        <w:tc>
          <w:tcPr>
            <w:tcW w:type="dxa" w:w="1138"/>
          </w:tcPr>
          <w:p>
            <w:pPr>
              <w:spacing w:after="20"/>
              <w:jc w:val="right"/>
            </w:pPr>
            <w:r>
              <w:rPr>
                <w:color w:val="1C3A36"/>
                <w:sz w:val="16"/>
              </w:rPr>
              <w:t>366.9</w:t>
            </w:r>
          </w:p>
        </w:tc>
        <w:tc>
          <w:tcPr>
            <w:tcW w:type="dxa" w:w="1138"/>
          </w:tcPr>
          <w:p>
            <w:pPr>
              <w:spacing w:after="20"/>
              <w:jc w:val="right"/>
            </w:pPr>
            <w:r>
              <w:rPr>
                <w:color w:val="1C3A36"/>
                <w:sz w:val="16"/>
              </w:rPr>
              <w:t>374.3</w:t>
            </w:r>
          </w:p>
        </w:tc>
        <w:tc>
          <w:tcPr>
            <w:tcW w:type="dxa" w:w="1138"/>
          </w:tcPr>
          <w:p>
            <w:pPr>
              <w:spacing w:after="20"/>
              <w:jc w:val="right"/>
            </w:pPr>
            <w:r>
              <w:rPr>
                <w:color w:val="1C3A36"/>
                <w:sz w:val="16"/>
              </w:rPr>
              <w:t>381.8</w:t>
            </w:r>
          </w:p>
        </w:tc>
        <w:tc>
          <w:tcPr>
            <w:tcW w:type="dxa" w:w="1138"/>
          </w:tcPr>
          <w:p>
            <w:pPr>
              <w:spacing w:after="20"/>
              <w:jc w:val="right"/>
            </w:pPr>
            <w:r>
              <w:rPr>
                <w:color w:val="1C3A36"/>
                <w:sz w:val="16"/>
              </w:rPr>
              <w:t>389.4</w:t>
            </w:r>
          </w:p>
        </w:tc>
        <w:tc>
          <w:tcPr>
            <w:tcW w:type="dxa" w:w="1138"/>
          </w:tcPr>
          <w:p>
            <w:pPr>
              <w:spacing w:after="20"/>
              <w:jc w:val="right"/>
            </w:pPr>
            <w:r>
              <w:rPr>
                <w:color w:val="1C3A36"/>
                <w:sz w:val="16"/>
              </w:rPr>
              <w:t>397.2</w:t>
            </w:r>
          </w:p>
        </w:tc>
      </w:tr>
      <w:tr>
        <w:trPr>
          <w:cantSplit/>
        </w:trPr>
        <w:tc>
          <w:tcPr>
            <w:tcW w:type="dxa" w:w="3096"/>
          </w:tcPr>
          <w:p>
            <w:pPr>
              <w:spacing w:after="20"/>
            </w:pPr>
            <w:r>
              <w:rPr>
                <w:color w:val="1C3A36"/>
                <w:sz w:val="16"/>
              </w:rPr>
              <w:t>Commercial margin per litre (fils)</w:t>
            </w:r>
          </w:p>
        </w:tc>
        <w:tc>
          <w:tcPr>
            <w:tcW w:type="dxa" w:w="1138"/>
          </w:tcPr>
          <w:p>
            <w:pPr>
              <w:spacing w:after="20"/>
              <w:jc w:val="right"/>
            </w:pPr>
            <w:r>
              <w:rPr>
                <w:color w:val="1C3A36"/>
                <w:sz w:val="16"/>
              </w:rPr>
              <w:t>43.6</w:t>
            </w:r>
          </w:p>
        </w:tc>
        <w:tc>
          <w:tcPr>
            <w:tcW w:type="dxa" w:w="1138"/>
          </w:tcPr>
          <w:p>
            <w:pPr>
              <w:spacing w:after="20"/>
              <w:jc w:val="right"/>
            </w:pPr>
            <w:r>
              <w:rPr>
                <w:color w:val="1C3A36"/>
                <w:sz w:val="16"/>
              </w:rPr>
              <w:t>510.5</w:t>
            </w:r>
          </w:p>
        </w:tc>
        <w:tc>
          <w:tcPr>
            <w:tcW w:type="dxa" w:w="1138"/>
          </w:tcPr>
          <w:p>
            <w:pPr>
              <w:spacing w:after="20"/>
              <w:jc w:val="right"/>
            </w:pPr>
            <w:r>
              <w:rPr>
                <w:color w:val="1C3A36"/>
                <w:sz w:val="16"/>
              </w:rPr>
              <w:t>520.7</w:t>
            </w:r>
          </w:p>
        </w:tc>
        <w:tc>
          <w:tcPr>
            <w:tcW w:type="dxa" w:w="1138"/>
          </w:tcPr>
          <w:p>
            <w:pPr>
              <w:spacing w:after="20"/>
              <w:jc w:val="right"/>
            </w:pPr>
            <w:r>
              <w:rPr>
                <w:color w:val="1C3A36"/>
                <w:sz w:val="16"/>
              </w:rPr>
              <w:t>531.1</w:t>
            </w:r>
          </w:p>
        </w:tc>
        <w:tc>
          <w:tcPr>
            <w:tcW w:type="dxa" w:w="1138"/>
          </w:tcPr>
          <w:p>
            <w:pPr>
              <w:spacing w:after="20"/>
              <w:jc w:val="right"/>
            </w:pPr>
            <w:r>
              <w:rPr>
                <w:color w:val="1C3A36"/>
                <w:sz w:val="16"/>
              </w:rPr>
              <w:t>541.8</w:t>
            </w:r>
          </w:p>
        </w:tc>
        <w:tc>
          <w:tcPr>
            <w:tcW w:type="dxa" w:w="1138"/>
          </w:tcPr>
          <w:p>
            <w:pPr>
              <w:spacing w:after="20"/>
              <w:jc w:val="right"/>
            </w:pPr>
            <w:r>
              <w:rPr>
                <w:color w:val="1C3A36"/>
                <w:sz w:val="16"/>
              </w:rPr>
              <w:t>552.6</w:t>
            </w:r>
          </w:p>
        </w:tc>
      </w:tr>
      <w:tr>
        <w:trPr>
          <w:cantSplit/>
        </w:trPr>
        <w:tc>
          <w:tcPr>
            <w:tcW w:type="dxa" w:w="3096"/>
          </w:tcPr>
          <w:p>
            <w:pPr>
              <w:spacing w:after="20"/>
            </w:pPr>
            <w:r>
              <w:rPr>
                <w:color w:val="1C3A36"/>
                <w:sz w:val="16"/>
              </w:rPr>
              <w:t>Retail price per litre (AED)</w:t>
            </w:r>
          </w:p>
        </w:tc>
        <w:tc>
          <w:tcPr>
            <w:tcW w:type="dxa" w:w="1138"/>
          </w:tcPr>
          <w:p>
            <w:pPr>
              <w:spacing w:after="20"/>
              <w:jc w:val="right"/>
            </w:pPr>
            <w:r>
              <w:rPr>
                <w:color w:val="1C3A36"/>
                <w:sz w:val="16"/>
              </w:rPr>
              <w:t>2.06</w:t>
            </w:r>
          </w:p>
        </w:tc>
        <w:tc>
          <w:tcPr>
            <w:tcW w:type="dxa" w:w="1138"/>
          </w:tcPr>
          <w:p>
            <w:pPr>
              <w:spacing w:after="20"/>
              <w:jc w:val="right"/>
            </w:pPr>
            <w:r>
              <w:rPr>
                <w:color w:val="1C3A36"/>
                <w:sz w:val="16"/>
              </w:rPr>
              <w:t>2.42</w:t>
            </w:r>
          </w:p>
        </w:tc>
        <w:tc>
          <w:tcPr>
            <w:tcW w:type="dxa" w:w="1138"/>
          </w:tcPr>
          <w:p>
            <w:pPr>
              <w:spacing w:after="20"/>
              <w:jc w:val="right"/>
            </w:pPr>
            <w:r>
              <w:rPr>
                <w:color w:val="1C3A36"/>
                <w:sz w:val="16"/>
              </w:rPr>
              <w:t>2.34</w:t>
            </w:r>
          </w:p>
        </w:tc>
        <w:tc>
          <w:tcPr>
            <w:tcW w:type="dxa" w:w="1138"/>
          </w:tcPr>
          <w:p>
            <w:pPr>
              <w:spacing w:after="20"/>
              <w:jc w:val="right"/>
            </w:pPr>
            <w:r>
              <w:rPr>
                <w:color w:val="1C3A36"/>
                <w:sz w:val="16"/>
              </w:rPr>
              <w:t>2.36</w:t>
            </w:r>
          </w:p>
        </w:tc>
        <w:tc>
          <w:tcPr>
            <w:tcW w:type="dxa" w:w="1138"/>
          </w:tcPr>
          <w:p>
            <w:pPr>
              <w:spacing w:after="20"/>
              <w:jc w:val="right"/>
            </w:pPr>
            <w:r>
              <w:rPr>
                <w:color w:val="1C3A36"/>
                <w:sz w:val="16"/>
              </w:rPr>
              <w:t>2.39</w:t>
            </w:r>
          </w:p>
        </w:tc>
        <w:tc>
          <w:tcPr>
            <w:tcW w:type="dxa" w:w="1138"/>
          </w:tcPr>
          <w:p>
            <w:pPr>
              <w:spacing w:after="20"/>
              <w:jc w:val="right"/>
            </w:pPr>
            <w:r>
              <w:rPr>
                <w:color w:val="1C3A36"/>
                <w:sz w:val="16"/>
              </w:rPr>
              <w:t>2.41</w:t>
            </w:r>
          </w:p>
        </w:tc>
      </w:tr>
      <w:tr>
        <w:trPr>
          <w:cantSplit/>
        </w:trPr>
        <w:tc>
          <w:tcPr>
            <w:tcW w:type="dxa" w:w="3096"/>
          </w:tcPr>
          <w:p>
            <w:pPr>
              <w:spacing w:after="20"/>
            </w:pPr>
            <w:r>
              <w:rPr>
                <w:color w:val="1C3A36"/>
                <w:sz w:val="16"/>
              </w:rPr>
              <w:t>Commercial price per litre (AED)</w:t>
            </w:r>
          </w:p>
        </w:tc>
        <w:tc>
          <w:tcPr>
            <w:tcW w:type="dxa" w:w="1138"/>
          </w:tcPr>
          <w:p>
            <w:pPr>
              <w:spacing w:after="20"/>
              <w:jc w:val="right"/>
            </w:pPr>
            <w:r>
              <w:rPr>
                <w:color w:val="1C3A36"/>
                <w:sz w:val="16"/>
              </w:rPr>
              <w:t>2.42</w:t>
            </w:r>
          </w:p>
        </w:tc>
        <w:tc>
          <w:tcPr>
            <w:tcW w:type="dxa" w:w="1138"/>
          </w:tcPr>
          <w:p>
            <w:pPr>
              <w:spacing w:after="20"/>
              <w:jc w:val="right"/>
            </w:pPr>
            <w:r>
              <w:rPr>
                <w:color w:val="1C3A36"/>
                <w:sz w:val="16"/>
              </w:rPr>
              <w:t>3.28</w:t>
            </w:r>
          </w:p>
        </w:tc>
        <w:tc>
          <w:tcPr>
            <w:tcW w:type="dxa" w:w="1138"/>
          </w:tcPr>
          <w:p>
            <w:pPr>
              <w:spacing w:after="20"/>
              <w:jc w:val="right"/>
            </w:pPr>
            <w:r>
              <w:rPr>
                <w:color w:val="1C3A36"/>
                <w:sz w:val="16"/>
              </w:rPr>
              <w:t>3.17</w:t>
            </w:r>
          </w:p>
        </w:tc>
        <w:tc>
          <w:tcPr>
            <w:tcW w:type="dxa" w:w="1138"/>
          </w:tcPr>
          <w:p>
            <w:pPr>
              <w:spacing w:after="20"/>
              <w:jc w:val="right"/>
            </w:pPr>
            <w:r>
              <w:rPr>
                <w:color w:val="1C3A36"/>
                <w:sz w:val="16"/>
              </w:rPr>
              <w:t>3.21</w:t>
            </w:r>
          </w:p>
        </w:tc>
        <w:tc>
          <w:tcPr>
            <w:tcW w:type="dxa" w:w="1138"/>
          </w:tcPr>
          <w:p>
            <w:pPr>
              <w:spacing w:after="20"/>
              <w:jc w:val="right"/>
            </w:pPr>
            <w:r>
              <w:rPr>
                <w:color w:val="1C3A36"/>
                <w:sz w:val="16"/>
              </w:rPr>
              <w:t>3.25</w:t>
            </w:r>
          </w:p>
        </w:tc>
        <w:tc>
          <w:tcPr>
            <w:tcW w:type="dxa" w:w="1138"/>
          </w:tcPr>
          <w:p>
            <w:pPr>
              <w:spacing w:after="20"/>
              <w:jc w:val="right"/>
            </w:pPr>
            <w:r>
              <w:rPr>
                <w:color w:val="1C3A36"/>
                <w:sz w:val="16"/>
              </w:rPr>
              <w:t>3.28</w:t>
            </w:r>
          </w:p>
        </w:tc>
      </w:tr>
    </w:tbl>
    <w:p>
      <w:pPr>
        <w:spacing w:after="40"/>
      </w:pPr>
    </w:p>
    <w:p>
      <w:pPr>
        <w:spacing w:after="200" w:before="0"/>
      </w:pPr>
      <w:r>
        <w:rPr>
          <w:b w:val="0"/>
          <w:i/>
          <w:color w:val="6E7B77"/>
          <w:sz w:val="17"/>
        </w:rPr>
        <w:t>Table 12 — the physical build. Retail margin per litre begins at 36.0 fils in FY2025 — comfortably above the 45-fils floor the parent supply agreement guarantees — and is grown at the disclosed rate rather than assumed to expand. The price per litre falls between FY2026 and FY2027 because the crude path underlying the committee's formula is forecast to fall; that is a pass-through and it moves revenue without moving gross profit, which is exactly why margin per litre and not price is the driver.</w:t>
      </w:r>
    </w:p>
    <w:p>
      <w:pPr>
        <w:spacing w:after="40"/>
        <w:jc w:val="center"/>
      </w:pPr>
      <w:r>
        <w:drawing>
          <wp:inline xmlns:a="http://schemas.openxmlformats.org/drawingml/2006/main" xmlns:pic="http://schemas.openxmlformats.org/drawingml/2006/picture">
            <wp:extent cx="6309360" cy="2660517"/>
            <wp:docPr id="3" name="Picture 3"/>
            <wp:cNvGraphicFramePr>
              <a:graphicFrameLocks noChangeAspect="1"/>
            </wp:cNvGraphicFramePr>
            <a:graphic>
              <a:graphicData uri="http://schemas.openxmlformats.org/drawingml/2006/picture">
                <pic:pic>
                  <pic:nvPicPr>
                    <pic:cNvPr id="0" name="fig2_volume_price.png"/>
                    <pic:cNvPicPr/>
                  </pic:nvPicPr>
                  <pic:blipFill>
                    <a:blip r:embed="rId11"/>
                    <a:stretch>
                      <a:fillRect/>
                    </a:stretch>
                  </pic:blipFill>
                  <pic:spPr>
                    <a:xfrm>
                      <a:off x="0" y="0"/>
                      <a:ext cx="6309360" cy="2660517"/>
                    </a:xfrm>
                    <a:prstGeom prst="rect"/>
                  </pic:spPr>
                </pic:pic>
              </a:graphicData>
            </a:graphic>
          </wp:inline>
        </w:drawing>
      </w:r>
    </w:p>
    <w:p>
      <w:pPr>
        <w:spacing w:after="200" w:before="0"/>
      </w:pPr>
      <w:r>
        <w:rPr>
          <w:b w:val="0"/>
          <w:i/>
          <w:color w:val="6E7B77"/>
          <w:sz w:val="17"/>
        </w:rPr>
        <w:t>Figure 3 — the volume and price build. Revenue is the product of the two; only one of them is within the company's control.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816"/>
        <w:gridCol w:w="1224"/>
        <w:gridCol w:w="1224"/>
        <w:gridCol w:w="1224"/>
        <w:gridCol w:w="1224"/>
        <w:gridCol w:w="1224"/>
      </w:tblGrid>
      <w:tr>
        <w:trPr>
          <w:cantSplit/>
        </w:trPr>
        <w:tc>
          <w:tcPr>
            <w:tcW w:type="dxa" w:w="3816"/>
            <w:shd w:val="clear" w:color="auto" w:fill="EAF0EE"/>
          </w:tcPr>
          <w:p>
            <w:pPr>
              <w:spacing w:after="20"/>
            </w:pPr>
            <w:r>
              <w:rPr>
                <w:b/>
                <w:color w:val="1C3A36"/>
                <w:sz w:val="16"/>
              </w:rPr>
              <w:t>Gross profit build (AED m)</w:t>
            </w:r>
          </w:p>
        </w:tc>
        <w:tc>
          <w:tcPr>
            <w:tcW w:type="dxa" w:w="1224"/>
            <w:shd w:val="clear" w:color="auto" w:fill="EAF0EE"/>
          </w:tcPr>
          <w:p>
            <w:pPr>
              <w:spacing w:after="20"/>
            </w:pPr>
            <w:r>
              <w:rPr>
                <w:b/>
                <w:color w:val="1C3A36"/>
                <w:sz w:val="16"/>
              </w:rPr>
              <w:t>2026E</w:t>
            </w:r>
          </w:p>
        </w:tc>
        <w:tc>
          <w:tcPr>
            <w:tcW w:type="dxa" w:w="1224"/>
            <w:shd w:val="clear" w:color="auto" w:fill="EAF0EE"/>
          </w:tcPr>
          <w:p>
            <w:pPr>
              <w:spacing w:after="20"/>
            </w:pPr>
            <w:r>
              <w:rPr>
                <w:b/>
                <w:color w:val="1C3A36"/>
                <w:sz w:val="16"/>
              </w:rPr>
              <w:t>2027E</w:t>
            </w:r>
          </w:p>
        </w:tc>
        <w:tc>
          <w:tcPr>
            <w:tcW w:type="dxa" w:w="1224"/>
            <w:shd w:val="clear" w:color="auto" w:fill="EAF0EE"/>
          </w:tcPr>
          <w:p>
            <w:pPr>
              <w:spacing w:after="20"/>
            </w:pPr>
            <w:r>
              <w:rPr>
                <w:b/>
                <w:color w:val="1C3A36"/>
                <w:sz w:val="16"/>
              </w:rPr>
              <w:t>2028E</w:t>
            </w:r>
          </w:p>
        </w:tc>
        <w:tc>
          <w:tcPr>
            <w:tcW w:type="dxa" w:w="1224"/>
            <w:shd w:val="clear" w:color="auto" w:fill="EAF0EE"/>
          </w:tcPr>
          <w:p>
            <w:pPr>
              <w:spacing w:after="20"/>
            </w:pPr>
            <w:r>
              <w:rPr>
                <w:b/>
                <w:color w:val="1C3A36"/>
                <w:sz w:val="16"/>
              </w:rPr>
              <w:t>2029E</w:t>
            </w:r>
          </w:p>
        </w:tc>
        <w:tc>
          <w:tcPr>
            <w:tcW w:type="dxa" w:w="1224"/>
            <w:shd w:val="clear" w:color="auto" w:fill="EAF0EE"/>
          </w:tcPr>
          <w:p>
            <w:pPr>
              <w:spacing w:after="20"/>
            </w:pPr>
            <w:r>
              <w:rPr>
                <w:b/>
                <w:color w:val="1C3A36"/>
                <w:sz w:val="16"/>
              </w:rPr>
              <w:t>2030E</w:t>
            </w:r>
          </w:p>
        </w:tc>
      </w:tr>
      <w:tr>
        <w:trPr>
          <w:cantSplit/>
        </w:trPr>
        <w:tc>
          <w:tcPr>
            <w:tcW w:type="dxa" w:w="3816"/>
          </w:tcPr>
          <w:p>
            <w:pPr>
              <w:spacing w:after="20"/>
            </w:pPr>
            <w:r>
              <w:rPr>
                <w:color w:val="1C3A36"/>
                <w:sz w:val="16"/>
              </w:rPr>
              <w:t>Retail fuel — volume x margin per litre</w:t>
            </w:r>
          </w:p>
        </w:tc>
        <w:tc>
          <w:tcPr>
            <w:tcW w:type="dxa" w:w="1224"/>
          </w:tcPr>
          <w:p>
            <w:pPr>
              <w:spacing w:after="20"/>
              <w:jc w:val="right"/>
            </w:pPr>
            <w:r>
              <w:rPr>
                <w:color w:val="1C3A36"/>
                <w:sz w:val="16"/>
              </w:rPr>
              <w:t>4,004</w:t>
            </w:r>
          </w:p>
        </w:tc>
        <w:tc>
          <w:tcPr>
            <w:tcW w:type="dxa" w:w="1224"/>
          </w:tcPr>
          <w:p>
            <w:pPr>
              <w:spacing w:after="20"/>
              <w:jc w:val="right"/>
            </w:pPr>
            <w:r>
              <w:rPr>
                <w:color w:val="1C3A36"/>
                <w:sz w:val="16"/>
              </w:rPr>
              <w:t>4,161</w:t>
            </w:r>
          </w:p>
        </w:tc>
        <w:tc>
          <w:tcPr>
            <w:tcW w:type="dxa" w:w="1224"/>
          </w:tcPr>
          <w:p>
            <w:pPr>
              <w:spacing w:after="20"/>
              <w:jc w:val="right"/>
            </w:pPr>
            <w:r>
              <w:rPr>
                <w:color w:val="1C3A36"/>
                <w:sz w:val="16"/>
              </w:rPr>
              <w:t>4,325</w:t>
            </w:r>
          </w:p>
        </w:tc>
        <w:tc>
          <w:tcPr>
            <w:tcW w:type="dxa" w:w="1224"/>
          </w:tcPr>
          <w:p>
            <w:pPr>
              <w:spacing w:after="20"/>
              <w:jc w:val="right"/>
            </w:pPr>
            <w:r>
              <w:rPr>
                <w:color w:val="1C3A36"/>
                <w:sz w:val="16"/>
              </w:rPr>
              <w:t>4,521</w:t>
            </w:r>
          </w:p>
        </w:tc>
        <w:tc>
          <w:tcPr>
            <w:tcW w:type="dxa" w:w="1224"/>
          </w:tcPr>
          <w:p>
            <w:pPr>
              <w:spacing w:after="20"/>
              <w:jc w:val="right"/>
            </w:pPr>
            <w:r>
              <w:rPr>
                <w:color w:val="1C3A36"/>
                <w:sz w:val="16"/>
              </w:rPr>
              <w:t>4,726</w:t>
            </w:r>
          </w:p>
        </w:tc>
      </w:tr>
      <w:tr>
        <w:trPr>
          <w:cantSplit/>
        </w:trPr>
        <w:tc>
          <w:tcPr>
            <w:tcW w:type="dxa" w:w="3816"/>
          </w:tcPr>
          <w:p>
            <w:pPr>
              <w:spacing w:after="20"/>
            </w:pPr>
            <w:r>
              <w:rPr>
                <w:color w:val="1C3A36"/>
                <w:sz w:val="16"/>
              </w:rPr>
              <w:t>Commercial fuel — volume x margin per litre</w:t>
            </w:r>
          </w:p>
        </w:tc>
        <w:tc>
          <w:tcPr>
            <w:tcW w:type="dxa" w:w="1224"/>
          </w:tcPr>
          <w:p>
            <w:pPr>
              <w:spacing w:after="20"/>
              <w:jc w:val="right"/>
            </w:pPr>
            <w:r>
              <w:rPr>
                <w:color w:val="1C3A36"/>
                <w:sz w:val="16"/>
              </w:rPr>
              <w:t>2,422</w:t>
            </w:r>
          </w:p>
        </w:tc>
        <w:tc>
          <w:tcPr>
            <w:tcW w:type="dxa" w:w="1224"/>
          </w:tcPr>
          <w:p>
            <w:pPr>
              <w:spacing w:after="20"/>
              <w:jc w:val="right"/>
            </w:pPr>
            <w:r>
              <w:rPr>
                <w:color w:val="1C3A36"/>
                <w:sz w:val="16"/>
              </w:rPr>
              <w:t>2,496</w:t>
            </w:r>
          </w:p>
        </w:tc>
        <w:tc>
          <w:tcPr>
            <w:tcW w:type="dxa" w:w="1224"/>
          </w:tcPr>
          <w:p>
            <w:pPr>
              <w:spacing w:after="20"/>
              <w:jc w:val="right"/>
            </w:pPr>
            <w:r>
              <w:rPr>
                <w:color w:val="1C3A36"/>
                <w:sz w:val="16"/>
              </w:rPr>
              <w:t>2,579</w:t>
            </w:r>
          </w:p>
        </w:tc>
        <w:tc>
          <w:tcPr>
            <w:tcW w:type="dxa" w:w="1224"/>
          </w:tcPr>
          <w:p>
            <w:pPr>
              <w:spacing w:after="20"/>
              <w:jc w:val="right"/>
            </w:pPr>
            <w:r>
              <w:rPr>
                <w:color w:val="1C3A36"/>
                <w:sz w:val="16"/>
              </w:rPr>
              <w:t>2,663</w:t>
            </w:r>
          </w:p>
        </w:tc>
        <w:tc>
          <w:tcPr>
            <w:tcW w:type="dxa" w:w="1224"/>
          </w:tcPr>
          <w:p>
            <w:pPr>
              <w:spacing w:after="20"/>
              <w:jc w:val="right"/>
            </w:pPr>
            <w:r>
              <w:rPr>
                <w:color w:val="1C3A36"/>
                <w:sz w:val="16"/>
              </w:rPr>
              <w:t>2,748</w:t>
            </w:r>
          </w:p>
        </w:tc>
      </w:tr>
      <w:tr>
        <w:trPr>
          <w:cantSplit/>
        </w:trPr>
        <w:tc>
          <w:tcPr>
            <w:tcW w:type="dxa" w:w="3816"/>
          </w:tcPr>
          <w:p>
            <w:pPr>
              <w:spacing w:after="20"/>
            </w:pPr>
            <w:r>
              <w:rPr>
                <w:color w:val="1C3A36"/>
                <w:sz w:val="16"/>
              </w:rPr>
              <w:t>Non-fuel retail — revenue x gross margin</w:t>
            </w:r>
          </w:p>
        </w:tc>
        <w:tc>
          <w:tcPr>
            <w:tcW w:type="dxa" w:w="1224"/>
          </w:tcPr>
          <w:p>
            <w:pPr>
              <w:spacing w:after="20"/>
              <w:jc w:val="right"/>
            </w:pPr>
            <w:r>
              <w:rPr>
                <w:color w:val="1C3A36"/>
                <w:sz w:val="16"/>
              </w:rPr>
              <w:t>1,060</w:t>
            </w:r>
          </w:p>
        </w:tc>
        <w:tc>
          <w:tcPr>
            <w:tcW w:type="dxa" w:w="1224"/>
          </w:tcPr>
          <w:p>
            <w:pPr>
              <w:spacing w:after="20"/>
              <w:jc w:val="right"/>
            </w:pPr>
            <w:r>
              <w:rPr>
                <w:color w:val="1C3A36"/>
                <w:sz w:val="16"/>
              </w:rPr>
              <w:t>1,113</w:t>
            </w:r>
          </w:p>
        </w:tc>
        <w:tc>
          <w:tcPr>
            <w:tcW w:type="dxa" w:w="1224"/>
          </w:tcPr>
          <w:p>
            <w:pPr>
              <w:spacing w:after="20"/>
              <w:jc w:val="right"/>
            </w:pPr>
            <w:r>
              <w:rPr>
                <w:color w:val="1C3A36"/>
                <w:sz w:val="16"/>
              </w:rPr>
              <w:t>1,171</w:t>
            </w:r>
          </w:p>
        </w:tc>
        <w:tc>
          <w:tcPr>
            <w:tcW w:type="dxa" w:w="1224"/>
          </w:tcPr>
          <w:p>
            <w:pPr>
              <w:spacing w:after="20"/>
              <w:jc w:val="right"/>
            </w:pPr>
            <w:r>
              <w:rPr>
                <w:color w:val="1C3A36"/>
                <w:sz w:val="16"/>
              </w:rPr>
              <w:t>1,237</w:t>
            </w:r>
          </w:p>
        </w:tc>
        <w:tc>
          <w:tcPr>
            <w:tcW w:type="dxa" w:w="1224"/>
          </w:tcPr>
          <w:p>
            <w:pPr>
              <w:spacing w:after="20"/>
              <w:jc w:val="right"/>
            </w:pPr>
            <w:r>
              <w:rPr>
                <w:color w:val="1C3A36"/>
                <w:sz w:val="16"/>
              </w:rPr>
              <w:t>1,303</w:t>
            </w:r>
          </w:p>
        </w:tc>
      </w:tr>
      <w:tr>
        <w:trPr>
          <w:cantSplit/>
        </w:trPr>
        <w:tc>
          <w:tcPr>
            <w:tcW w:type="dxa" w:w="3816"/>
            <w:shd w:val="clear" w:color="auto" w:fill="F6F1E6"/>
          </w:tcPr>
          <w:p>
            <w:pPr>
              <w:spacing w:after="20"/>
            </w:pPr>
            <w:r>
              <w:rPr>
                <w:b/>
                <w:color w:val="1C3A36"/>
                <w:sz w:val="16"/>
              </w:rPr>
              <w:t>STRUCTURAL GROSS PROFIT</w:t>
            </w:r>
          </w:p>
        </w:tc>
        <w:tc>
          <w:tcPr>
            <w:tcW w:type="dxa" w:w="1224"/>
            <w:shd w:val="clear" w:color="auto" w:fill="F6F1E6"/>
          </w:tcPr>
          <w:p>
            <w:pPr>
              <w:spacing w:after="20"/>
              <w:jc w:val="right"/>
            </w:pPr>
            <w:r>
              <w:rPr>
                <w:b/>
                <w:color w:val="1C3A36"/>
                <w:sz w:val="16"/>
              </w:rPr>
              <w:t>7,485</w:t>
            </w:r>
          </w:p>
        </w:tc>
        <w:tc>
          <w:tcPr>
            <w:tcW w:type="dxa" w:w="1224"/>
            <w:shd w:val="clear" w:color="auto" w:fill="F6F1E6"/>
          </w:tcPr>
          <w:p>
            <w:pPr>
              <w:spacing w:after="20"/>
              <w:jc w:val="right"/>
            </w:pPr>
            <w:r>
              <w:rPr>
                <w:b/>
                <w:color w:val="1C3A36"/>
                <w:sz w:val="16"/>
              </w:rPr>
              <w:t>7,769</w:t>
            </w:r>
          </w:p>
        </w:tc>
        <w:tc>
          <w:tcPr>
            <w:tcW w:type="dxa" w:w="1224"/>
            <w:shd w:val="clear" w:color="auto" w:fill="F6F1E6"/>
          </w:tcPr>
          <w:p>
            <w:pPr>
              <w:spacing w:after="20"/>
              <w:jc w:val="right"/>
            </w:pPr>
            <w:r>
              <w:rPr>
                <w:b/>
                <w:color w:val="1C3A36"/>
                <w:sz w:val="16"/>
              </w:rPr>
              <w:t>8,076</w:t>
            </w:r>
          </w:p>
        </w:tc>
        <w:tc>
          <w:tcPr>
            <w:tcW w:type="dxa" w:w="1224"/>
            <w:shd w:val="clear" w:color="auto" w:fill="F6F1E6"/>
          </w:tcPr>
          <w:p>
            <w:pPr>
              <w:spacing w:after="20"/>
              <w:jc w:val="right"/>
            </w:pPr>
            <w:r>
              <w:rPr>
                <w:b/>
                <w:color w:val="1C3A36"/>
                <w:sz w:val="16"/>
              </w:rPr>
              <w:t>8,421</w:t>
            </w:r>
          </w:p>
        </w:tc>
        <w:tc>
          <w:tcPr>
            <w:tcW w:type="dxa" w:w="1224"/>
            <w:shd w:val="clear" w:color="auto" w:fill="F6F1E6"/>
          </w:tcPr>
          <w:p>
            <w:pPr>
              <w:spacing w:after="20"/>
              <w:jc w:val="right"/>
            </w:pPr>
            <w:r>
              <w:rPr>
                <w:b/>
                <w:color w:val="1C3A36"/>
                <w:sz w:val="16"/>
              </w:rPr>
              <w:t>8,777</w:t>
            </w:r>
          </w:p>
        </w:tc>
      </w:tr>
      <w:tr>
        <w:trPr>
          <w:cantSplit/>
        </w:trPr>
        <w:tc>
          <w:tcPr>
            <w:tcW w:type="dxa" w:w="3816"/>
          </w:tcPr>
          <w:p>
            <w:pPr>
              <w:spacing w:after="20"/>
            </w:pPr>
            <w:r>
              <w:rPr>
                <w:color w:val="1C3A36"/>
                <w:sz w:val="16"/>
              </w:rPr>
              <w:t>Inventory movement — Frame A</w:t>
            </w:r>
          </w:p>
        </w:tc>
        <w:tc>
          <w:tcPr>
            <w:tcW w:type="dxa" w:w="1224"/>
          </w:tcPr>
          <w:p>
            <w:pPr>
              <w:spacing w:after="20"/>
              <w:jc w:val="right"/>
            </w:pPr>
            <w:r>
              <w:rPr>
                <w:color w:val="1C3A36"/>
                <w:sz w:val="16"/>
              </w:rPr>
              <w:t>762</w:t>
            </w:r>
          </w:p>
        </w:tc>
        <w:tc>
          <w:tcPr>
            <w:tcW w:type="dxa" w:w="1224"/>
          </w:tcPr>
          <w:p>
            <w:pPr>
              <w:spacing w:after="20"/>
              <w:jc w:val="right"/>
            </w:pPr>
            <w:r>
              <w:rPr>
                <w:color w:val="1C3A36"/>
                <w:sz w:val="16"/>
              </w:rPr>
              <w:t>0</w:t>
            </w:r>
          </w:p>
        </w:tc>
        <w:tc>
          <w:tcPr>
            <w:tcW w:type="dxa" w:w="1224"/>
          </w:tcPr>
          <w:p>
            <w:pPr>
              <w:spacing w:after="20"/>
              <w:jc w:val="right"/>
            </w:pPr>
            <w:r>
              <w:rPr>
                <w:color w:val="1C3A36"/>
                <w:sz w:val="16"/>
              </w:rPr>
              <w:t>0</w:t>
            </w:r>
          </w:p>
        </w:tc>
        <w:tc>
          <w:tcPr>
            <w:tcW w:type="dxa" w:w="1224"/>
          </w:tcPr>
          <w:p>
            <w:pPr>
              <w:spacing w:after="20"/>
              <w:jc w:val="right"/>
            </w:pPr>
            <w:r>
              <w:rPr>
                <w:color w:val="1C3A36"/>
                <w:sz w:val="16"/>
              </w:rPr>
              <w:t>0</w:t>
            </w:r>
          </w:p>
        </w:tc>
        <w:tc>
          <w:tcPr>
            <w:tcW w:type="dxa" w:w="1224"/>
          </w:tcPr>
          <w:p>
            <w:pPr>
              <w:spacing w:after="20"/>
              <w:jc w:val="right"/>
            </w:pPr>
            <w:r>
              <w:rPr>
                <w:color w:val="1C3A36"/>
                <w:sz w:val="16"/>
              </w:rPr>
              <w:t>0</w:t>
            </w:r>
          </w:p>
        </w:tc>
      </w:tr>
      <w:tr>
        <w:trPr>
          <w:cantSplit/>
        </w:trPr>
        <w:tc>
          <w:tcPr>
            <w:tcW w:type="dxa" w:w="3816"/>
          </w:tcPr>
          <w:p>
            <w:pPr>
              <w:spacing w:after="20"/>
            </w:pPr>
            <w:r>
              <w:rPr>
                <w:color w:val="1C3A36"/>
                <w:sz w:val="16"/>
              </w:rPr>
              <w:t>Gross profit — Frame A</w:t>
            </w:r>
          </w:p>
        </w:tc>
        <w:tc>
          <w:tcPr>
            <w:tcW w:type="dxa" w:w="1224"/>
          </w:tcPr>
          <w:p>
            <w:pPr>
              <w:spacing w:after="20"/>
              <w:jc w:val="right"/>
            </w:pPr>
            <w:r>
              <w:rPr>
                <w:color w:val="1C3A36"/>
                <w:sz w:val="16"/>
              </w:rPr>
              <w:t>8,247</w:t>
            </w:r>
          </w:p>
        </w:tc>
        <w:tc>
          <w:tcPr>
            <w:tcW w:type="dxa" w:w="1224"/>
          </w:tcPr>
          <w:p>
            <w:pPr>
              <w:spacing w:after="20"/>
              <w:jc w:val="right"/>
            </w:pPr>
            <w:r>
              <w:rPr>
                <w:color w:val="1C3A36"/>
                <w:sz w:val="16"/>
              </w:rPr>
              <w:t>7,769</w:t>
            </w:r>
          </w:p>
        </w:tc>
        <w:tc>
          <w:tcPr>
            <w:tcW w:type="dxa" w:w="1224"/>
          </w:tcPr>
          <w:p>
            <w:pPr>
              <w:spacing w:after="20"/>
              <w:jc w:val="right"/>
            </w:pPr>
            <w:r>
              <w:rPr>
                <w:color w:val="1C3A36"/>
                <w:sz w:val="16"/>
              </w:rPr>
              <w:t>8,076</w:t>
            </w:r>
          </w:p>
        </w:tc>
        <w:tc>
          <w:tcPr>
            <w:tcW w:type="dxa" w:w="1224"/>
          </w:tcPr>
          <w:p>
            <w:pPr>
              <w:spacing w:after="20"/>
              <w:jc w:val="right"/>
            </w:pPr>
            <w:r>
              <w:rPr>
                <w:color w:val="1C3A36"/>
                <w:sz w:val="16"/>
              </w:rPr>
              <w:t>8,421</w:t>
            </w:r>
          </w:p>
        </w:tc>
        <w:tc>
          <w:tcPr>
            <w:tcW w:type="dxa" w:w="1224"/>
          </w:tcPr>
          <w:p>
            <w:pPr>
              <w:spacing w:after="20"/>
              <w:jc w:val="right"/>
            </w:pPr>
            <w:r>
              <w:rPr>
                <w:color w:val="1C3A36"/>
                <w:sz w:val="16"/>
              </w:rPr>
              <w:t>8,777</w:t>
            </w:r>
          </w:p>
        </w:tc>
      </w:tr>
      <w:tr>
        <w:trPr>
          <w:cantSplit/>
        </w:trPr>
        <w:tc>
          <w:tcPr>
            <w:tcW w:type="dxa" w:w="3816"/>
          </w:tcPr>
          <w:p>
            <w:pPr>
              <w:spacing w:after="20"/>
            </w:pPr>
            <w:r>
              <w:rPr>
                <w:color w:val="1C3A36"/>
                <w:sz w:val="16"/>
              </w:rPr>
              <w:t>Gross margin — Frame A (OUTPUT)</w:t>
            </w:r>
          </w:p>
        </w:tc>
        <w:tc>
          <w:tcPr>
            <w:tcW w:type="dxa" w:w="1224"/>
          </w:tcPr>
          <w:p>
            <w:pPr>
              <w:spacing w:after="20"/>
              <w:jc w:val="right"/>
            </w:pPr>
            <w:r>
              <w:rPr>
                <w:color w:val="1C3A36"/>
                <w:sz w:val="16"/>
              </w:rPr>
              <w:t>18.8%</w:t>
            </w:r>
          </w:p>
        </w:tc>
        <w:tc>
          <w:tcPr>
            <w:tcW w:type="dxa" w:w="1224"/>
          </w:tcPr>
          <w:p>
            <w:pPr>
              <w:spacing w:after="20"/>
              <w:jc w:val="right"/>
            </w:pPr>
            <w:r>
              <w:rPr>
                <w:color w:val="1C3A36"/>
                <w:sz w:val="16"/>
              </w:rPr>
              <w:t>18.0%</w:t>
            </w:r>
          </w:p>
        </w:tc>
        <w:tc>
          <w:tcPr>
            <w:tcW w:type="dxa" w:w="1224"/>
          </w:tcPr>
          <w:p>
            <w:pPr>
              <w:spacing w:after="20"/>
              <w:jc w:val="right"/>
            </w:pPr>
            <w:r>
              <w:rPr>
                <w:color w:val="1C3A36"/>
                <w:sz w:val="16"/>
              </w:rPr>
              <w:t>18.2%</w:t>
            </w:r>
          </w:p>
        </w:tc>
        <w:tc>
          <w:tcPr>
            <w:tcW w:type="dxa" w:w="1224"/>
          </w:tcPr>
          <w:p>
            <w:pPr>
              <w:spacing w:after="20"/>
              <w:jc w:val="right"/>
            </w:pPr>
            <w:r>
              <w:rPr>
                <w:color w:val="1C3A36"/>
                <w:sz w:val="16"/>
              </w:rPr>
              <w:t>18.4%</w:t>
            </w:r>
          </w:p>
        </w:tc>
        <w:tc>
          <w:tcPr>
            <w:tcW w:type="dxa" w:w="1224"/>
          </w:tcPr>
          <w:p>
            <w:pPr>
              <w:spacing w:after="20"/>
              <w:jc w:val="right"/>
            </w:pPr>
            <w:r>
              <w:rPr>
                <w:color w:val="1C3A36"/>
                <w:sz w:val="16"/>
              </w:rPr>
              <w:t>18.5%</w:t>
            </w:r>
          </w:p>
        </w:tc>
      </w:tr>
      <w:tr>
        <w:trPr>
          <w:cantSplit/>
        </w:trPr>
        <w:tc>
          <w:tcPr>
            <w:tcW w:type="dxa" w:w="3816"/>
          </w:tcPr>
          <w:p>
            <w:pPr>
              <w:spacing w:after="20"/>
            </w:pPr>
            <w:r>
              <w:rPr>
                <w:color w:val="1C3A36"/>
                <w:sz w:val="16"/>
              </w:rPr>
              <w:t>Inventory movement — Frame B</w:t>
            </w:r>
          </w:p>
        </w:tc>
        <w:tc>
          <w:tcPr>
            <w:tcW w:type="dxa" w:w="1224"/>
          </w:tcPr>
          <w:p>
            <w:pPr>
              <w:spacing w:after="20"/>
              <w:jc w:val="right"/>
            </w:pPr>
            <w:r>
              <w:rPr>
                <w:color w:val="1C3A36"/>
                <w:sz w:val="16"/>
              </w:rPr>
              <w:t>950</w:t>
            </w:r>
          </w:p>
        </w:tc>
        <w:tc>
          <w:tcPr>
            <w:tcW w:type="dxa" w:w="1224"/>
          </w:tcPr>
          <w:p>
            <w:pPr>
              <w:spacing w:after="20"/>
              <w:jc w:val="right"/>
            </w:pPr>
            <w:r>
              <w:rPr>
                <w:color w:val="1C3A36"/>
                <w:sz w:val="16"/>
              </w:rPr>
              <w:t>295</w:t>
            </w:r>
          </w:p>
        </w:tc>
        <w:tc>
          <w:tcPr>
            <w:tcW w:type="dxa" w:w="1224"/>
          </w:tcPr>
          <w:p>
            <w:pPr>
              <w:spacing w:after="20"/>
              <w:jc w:val="right"/>
            </w:pPr>
            <w:r>
              <w:rPr>
                <w:color w:val="1C3A36"/>
                <w:sz w:val="16"/>
              </w:rPr>
              <w:t>295</w:t>
            </w:r>
          </w:p>
        </w:tc>
        <w:tc>
          <w:tcPr>
            <w:tcW w:type="dxa" w:w="1224"/>
          </w:tcPr>
          <w:p>
            <w:pPr>
              <w:spacing w:after="20"/>
              <w:jc w:val="right"/>
            </w:pPr>
            <w:r>
              <w:rPr>
                <w:color w:val="1C3A36"/>
                <w:sz w:val="16"/>
              </w:rPr>
              <w:t>295</w:t>
            </w:r>
          </w:p>
        </w:tc>
        <w:tc>
          <w:tcPr>
            <w:tcW w:type="dxa" w:w="1224"/>
          </w:tcPr>
          <w:p>
            <w:pPr>
              <w:spacing w:after="20"/>
              <w:jc w:val="right"/>
            </w:pPr>
            <w:r>
              <w:rPr>
                <w:color w:val="1C3A36"/>
                <w:sz w:val="16"/>
              </w:rPr>
              <w:t>295</w:t>
            </w:r>
          </w:p>
        </w:tc>
      </w:tr>
      <w:tr>
        <w:trPr>
          <w:cantSplit/>
        </w:trPr>
        <w:tc>
          <w:tcPr>
            <w:tcW w:type="dxa" w:w="3816"/>
          </w:tcPr>
          <w:p>
            <w:pPr>
              <w:spacing w:after="20"/>
            </w:pPr>
            <w:r>
              <w:rPr>
                <w:color w:val="1C3A36"/>
                <w:sz w:val="16"/>
              </w:rPr>
              <w:t>Gross profit — Frame B</w:t>
            </w:r>
          </w:p>
        </w:tc>
        <w:tc>
          <w:tcPr>
            <w:tcW w:type="dxa" w:w="1224"/>
          </w:tcPr>
          <w:p>
            <w:pPr>
              <w:spacing w:after="20"/>
              <w:jc w:val="right"/>
            </w:pPr>
            <w:r>
              <w:rPr>
                <w:color w:val="1C3A36"/>
                <w:sz w:val="16"/>
              </w:rPr>
              <w:t>8,435</w:t>
            </w:r>
          </w:p>
        </w:tc>
        <w:tc>
          <w:tcPr>
            <w:tcW w:type="dxa" w:w="1224"/>
          </w:tcPr>
          <w:p>
            <w:pPr>
              <w:spacing w:after="20"/>
              <w:jc w:val="right"/>
            </w:pPr>
            <w:r>
              <w:rPr>
                <w:color w:val="1C3A36"/>
                <w:sz w:val="16"/>
              </w:rPr>
              <w:t>8,064</w:t>
            </w:r>
          </w:p>
        </w:tc>
        <w:tc>
          <w:tcPr>
            <w:tcW w:type="dxa" w:w="1224"/>
          </w:tcPr>
          <w:p>
            <w:pPr>
              <w:spacing w:after="20"/>
              <w:jc w:val="right"/>
            </w:pPr>
            <w:r>
              <w:rPr>
                <w:color w:val="1C3A36"/>
                <w:sz w:val="16"/>
              </w:rPr>
              <w:t>8,371</w:t>
            </w:r>
          </w:p>
        </w:tc>
        <w:tc>
          <w:tcPr>
            <w:tcW w:type="dxa" w:w="1224"/>
          </w:tcPr>
          <w:p>
            <w:pPr>
              <w:spacing w:after="20"/>
              <w:jc w:val="right"/>
            </w:pPr>
            <w:r>
              <w:rPr>
                <w:color w:val="1C3A36"/>
                <w:sz w:val="16"/>
              </w:rPr>
              <w:t>8,716</w:t>
            </w:r>
          </w:p>
        </w:tc>
        <w:tc>
          <w:tcPr>
            <w:tcW w:type="dxa" w:w="1224"/>
          </w:tcPr>
          <w:p>
            <w:pPr>
              <w:spacing w:after="20"/>
              <w:jc w:val="right"/>
            </w:pPr>
            <w:r>
              <w:rPr>
                <w:color w:val="1C3A36"/>
                <w:sz w:val="16"/>
              </w:rPr>
              <w:t>9,072</w:t>
            </w:r>
          </w:p>
        </w:tc>
      </w:tr>
      <w:tr>
        <w:trPr>
          <w:cantSplit/>
        </w:trPr>
        <w:tc>
          <w:tcPr>
            <w:tcW w:type="dxa" w:w="3816"/>
          </w:tcPr>
          <w:p>
            <w:pPr>
              <w:spacing w:after="20"/>
            </w:pPr>
            <w:r>
              <w:rPr>
                <w:color w:val="1C3A36"/>
                <w:sz w:val="16"/>
              </w:rPr>
              <w:t>Gross margin — Frame B (OUTPUT)</w:t>
            </w:r>
          </w:p>
        </w:tc>
        <w:tc>
          <w:tcPr>
            <w:tcW w:type="dxa" w:w="1224"/>
          </w:tcPr>
          <w:p>
            <w:pPr>
              <w:spacing w:after="20"/>
              <w:jc w:val="right"/>
            </w:pPr>
            <w:r>
              <w:rPr>
                <w:color w:val="1C3A36"/>
                <w:sz w:val="16"/>
              </w:rPr>
              <w:t>19.2%</w:t>
            </w:r>
          </w:p>
        </w:tc>
        <w:tc>
          <w:tcPr>
            <w:tcW w:type="dxa" w:w="1224"/>
          </w:tcPr>
          <w:p>
            <w:pPr>
              <w:spacing w:after="20"/>
              <w:jc w:val="right"/>
            </w:pPr>
            <w:r>
              <w:rPr>
                <w:color w:val="1C3A36"/>
                <w:sz w:val="16"/>
              </w:rPr>
              <w:t>18.7%</w:t>
            </w:r>
          </w:p>
        </w:tc>
        <w:tc>
          <w:tcPr>
            <w:tcW w:type="dxa" w:w="1224"/>
          </w:tcPr>
          <w:p>
            <w:pPr>
              <w:spacing w:after="20"/>
              <w:jc w:val="right"/>
            </w:pPr>
            <w:r>
              <w:rPr>
                <w:color w:val="1C3A36"/>
                <w:sz w:val="16"/>
              </w:rPr>
              <w:t>18.8%</w:t>
            </w:r>
          </w:p>
        </w:tc>
        <w:tc>
          <w:tcPr>
            <w:tcW w:type="dxa" w:w="1224"/>
          </w:tcPr>
          <w:p>
            <w:pPr>
              <w:spacing w:after="20"/>
              <w:jc w:val="right"/>
            </w:pPr>
            <w:r>
              <w:rPr>
                <w:color w:val="1C3A36"/>
                <w:sz w:val="16"/>
              </w:rPr>
              <w:t>19.0%</w:t>
            </w:r>
          </w:p>
        </w:tc>
        <w:tc>
          <w:tcPr>
            <w:tcW w:type="dxa" w:w="1224"/>
          </w:tcPr>
          <w:p>
            <w:pPr>
              <w:spacing w:after="20"/>
              <w:jc w:val="right"/>
            </w:pPr>
            <w:r>
              <w:rPr>
                <w:color w:val="1C3A36"/>
                <w:sz w:val="16"/>
              </w:rPr>
              <w:t>19.2%</w:t>
            </w:r>
          </w:p>
        </w:tc>
      </w:tr>
    </w:tbl>
    <w:p>
      <w:pPr>
        <w:spacing w:after="40"/>
      </w:pPr>
    </w:p>
    <w:p>
      <w:pPr>
        <w:spacing w:after="200" w:before="0"/>
      </w:pPr>
      <w:r>
        <w:rPr>
          <w:b w:val="0"/>
          <w:i/>
          <w:color w:val="6E7B77"/>
          <w:sz w:val="17"/>
        </w:rPr>
        <w:t>Table 13 — gross profit as an output, never an input. Gross margin is shown LAST because it is computed from the lines above it: it is not a driver, and no margin assumption appears anywhere in this model. Non-fuel retail is the only leg built on a percentage margin, at 56%, and that percentage is the company's own disclosed non-fuel gross margin of 55.2% in FY2025 and 56.3% in the first half of 2026 — a shop margin, sourced, not chosen.</w:t>
      </w:r>
    </w:p>
    <w:p>
      <w:pPr>
        <w:spacing w:after="40"/>
        <w:jc w:val="center"/>
      </w:pPr>
      <w:r>
        <w:drawing>
          <wp:inline xmlns:a="http://schemas.openxmlformats.org/drawingml/2006/main" xmlns:pic="http://schemas.openxmlformats.org/drawingml/2006/picture">
            <wp:extent cx="6126480" cy="2560110"/>
            <wp:docPr id="4" name="Picture 4"/>
            <wp:cNvGraphicFramePr>
              <a:graphicFrameLocks noChangeAspect="1"/>
            </wp:cNvGraphicFramePr>
            <a:graphic>
              <a:graphicData uri="http://schemas.openxmlformats.org/drawingml/2006/picture">
                <pic:pic>
                  <pic:nvPicPr>
                    <pic:cNvPr id="0" name="fig3_margin_bridge.png"/>
                    <pic:cNvPicPr/>
                  </pic:nvPicPr>
                  <pic:blipFill>
                    <a:blip r:embed="rId12"/>
                    <a:stretch>
                      <a:fillRect/>
                    </a:stretch>
                  </pic:blipFill>
                  <pic:spPr>
                    <a:xfrm>
                      <a:off x="0" y="0"/>
                      <a:ext cx="6126480" cy="2560110"/>
                    </a:xfrm>
                    <a:prstGeom prst="rect"/>
                  </pic:spPr>
                </pic:pic>
              </a:graphicData>
            </a:graphic>
          </wp:inline>
        </w:drawing>
      </w:r>
    </w:p>
    <w:p>
      <w:pPr>
        <w:spacing w:after="200" w:before="0"/>
      </w:pPr>
      <w:r>
        <w:rPr>
          <w:b w:val="0"/>
          <w:i/>
          <w:color w:val="6E7B77"/>
          <w:sz w:val="17"/>
        </w:rPr>
        <w:t>Figure 4 — the bridge from structural gross profit to reported gross profit. The inventory movement is the whole of the difference, and it is carried two ways.</w:t>
      </w:r>
    </w:p>
    <w:p>
      <w:pPr>
        <w:spacing w:after="120" w:before="0"/>
      </w:pPr>
      <w:r>
        <w:rPr>
          <w:b w:val="0"/>
          <w:i w:val="0"/>
          <w:color w:val="1C3A36"/>
          <w:sz w:val="21"/>
        </w:rPr>
        <w:t>The cost stack is escalated by driver class, not by one blended index. The fuel itself is 82.9% of the cost base and is a globally traded input: it escalates on its own crude-linked realised-price path through the committee's formula, never on a domestic inflation series. Staff, utilities, repairs and marketing are 6.0% of the cost base, are genuinely domestic services, and escalate at 4% a year against a UAE consumer price forecast of 1.8%. Applying one index across both would have made the whole forecast margin path an artefact of the index chosen.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656"/>
        <w:gridCol w:w="2880"/>
        <w:gridCol w:w="2736"/>
      </w:tblGrid>
      <w:tr>
        <w:trPr>
          <w:cantSplit/>
        </w:trPr>
        <w:tc>
          <w:tcPr>
            <w:tcW w:type="dxa" w:w="2664"/>
            <w:shd w:val="clear" w:color="auto" w:fill="EAF0EE"/>
          </w:tcPr>
          <w:p>
            <w:pPr>
              <w:spacing w:after="20"/>
            </w:pPr>
            <w:r>
              <w:rPr>
                <w:b/>
                <w:color w:val="1C3A36"/>
                <w:sz w:val="15"/>
              </w:rPr>
              <w:t>Driver</w:t>
            </w:r>
          </w:p>
        </w:tc>
        <w:tc>
          <w:tcPr>
            <w:tcW w:type="dxa" w:w="1656"/>
            <w:shd w:val="clear" w:color="auto" w:fill="EAF0EE"/>
          </w:tcPr>
          <w:p>
            <w:pPr>
              <w:spacing w:after="20"/>
            </w:pPr>
            <w:r>
              <w:rPr>
                <w:b/>
                <w:color w:val="1C3A36"/>
                <w:sz w:val="15"/>
              </w:rPr>
              <w:t>Value</w:t>
            </w:r>
          </w:p>
        </w:tc>
        <w:tc>
          <w:tcPr>
            <w:tcW w:type="dxa" w:w="2880"/>
            <w:shd w:val="clear" w:color="auto" w:fill="EAF0EE"/>
          </w:tcPr>
          <w:p>
            <w:pPr>
              <w:spacing w:after="20"/>
            </w:pPr>
            <w:r>
              <w:rPr>
                <w:b/>
                <w:color w:val="1C3A36"/>
                <w:sz w:val="15"/>
              </w:rPr>
              <w:t>Where it enters the model</w:t>
            </w:r>
          </w:p>
        </w:tc>
        <w:tc>
          <w:tcPr>
            <w:tcW w:type="dxa" w:w="2736"/>
            <w:shd w:val="clear" w:color="auto" w:fill="EAF0EE"/>
          </w:tcPr>
          <w:p>
            <w:pPr>
              <w:spacing w:after="20"/>
            </w:pPr>
            <w:r>
              <w:rPr>
                <w:b/>
                <w:color w:val="1C3A36"/>
                <w:sz w:val="15"/>
              </w:rPr>
              <w:t>Evidence</w:t>
            </w:r>
          </w:p>
        </w:tc>
      </w:tr>
      <w:tr>
        <w:trPr>
          <w:cantSplit/>
        </w:trPr>
        <w:tc>
          <w:tcPr>
            <w:tcW w:type="dxa" w:w="2664"/>
          </w:tcPr>
          <w:p>
            <w:pPr>
              <w:spacing w:after="20"/>
            </w:pPr>
            <w:r>
              <w:rPr>
                <w:color w:val="1C3A36"/>
                <w:sz w:val="15"/>
              </w:rPr>
              <w:t>Brent crude spot price</w:t>
            </w:r>
          </w:p>
        </w:tc>
        <w:tc>
          <w:tcPr>
            <w:tcW w:type="dxa" w:w="1656"/>
          </w:tcPr>
          <w:p>
            <w:pPr>
              <w:spacing w:after="20"/>
              <w:jc w:val="right"/>
            </w:pPr>
            <w:r>
              <w:rPr>
                <w:color w:val="1C3A36"/>
                <w:sz w:val="15"/>
              </w:rPr>
              <w:t>83.5 USD/bbl</w:t>
            </w:r>
          </w:p>
        </w:tc>
        <w:tc>
          <w:tcPr>
            <w:tcW w:type="dxa" w:w="2880"/>
          </w:tcPr>
          <w:p>
            <w:pPr>
              <w:spacing w:after="20"/>
              <w:jc w:val="right"/>
            </w:pPr>
            <w:r>
              <w:rPr>
                <w:color w:val="1C3A36"/>
                <w:sz w:val="15"/>
              </w:rPr>
              <w:t>the base of the crude path underlying the committee price formula</w:t>
            </w:r>
          </w:p>
        </w:tc>
        <w:tc>
          <w:tcPr>
            <w:tcW w:type="dxa" w:w="2736"/>
          </w:tcPr>
          <w:p>
            <w:pPr>
              <w:spacing w:after="20"/>
              <w:jc w:val="right"/>
            </w:pPr>
            <w:r>
              <w:rPr>
                <w:color w:val="1C3A36"/>
                <w:sz w:val="15"/>
              </w:rPr>
              <w:t>Trading Economics — Brent Crude Oil</w:t>
            </w:r>
          </w:p>
        </w:tc>
      </w:tr>
      <w:tr>
        <w:trPr>
          <w:cantSplit/>
        </w:trPr>
        <w:tc>
          <w:tcPr>
            <w:tcW w:type="dxa" w:w="2664"/>
          </w:tcPr>
          <w:p>
            <w:pPr>
              <w:spacing w:after="20"/>
            </w:pPr>
            <w:r>
              <w:rPr>
                <w:color w:val="1C3A36"/>
                <w:sz w:val="15"/>
              </w:rPr>
              <w:t>EIA Short-Term Energy Outlook — Brent forecast 2026-2027</w:t>
            </w:r>
          </w:p>
        </w:tc>
        <w:tc>
          <w:tcPr>
            <w:tcW w:type="dxa" w:w="1656"/>
          </w:tcPr>
          <w:p>
            <w:pPr>
              <w:spacing w:after="20"/>
              <w:jc w:val="right"/>
            </w:pPr>
            <w:r>
              <w:rPr>
                <w:color w:val="1C3A36"/>
                <w:sz w:val="15"/>
              </w:rPr>
              <w:t>65.0 USD/bbl (2027 annual…</w:t>
            </w:r>
          </w:p>
        </w:tc>
        <w:tc>
          <w:tcPr>
            <w:tcW w:type="dxa" w:w="2880"/>
          </w:tcPr>
          <w:p>
            <w:pPr>
              <w:spacing w:after="20"/>
              <w:jc w:val="right"/>
            </w:pPr>
            <w:r>
              <w:rPr>
                <w:color w:val="1C3A36"/>
                <w:sz w:val="15"/>
              </w:rPr>
              <w:t>the forward crude path, and therefore revenue per litre from FY2027</w:t>
            </w:r>
          </w:p>
        </w:tc>
        <w:tc>
          <w:tcPr>
            <w:tcW w:type="dxa" w:w="2736"/>
          </w:tcPr>
          <w:p>
            <w:pPr>
              <w:spacing w:after="20"/>
              <w:jc w:val="right"/>
            </w:pPr>
            <w:r>
              <w:rPr>
                <w:color w:val="1C3A36"/>
                <w:sz w:val="15"/>
              </w:rPr>
              <w:t>US EIA July 2026 Short-Term Energy Outlook…</w:t>
            </w:r>
          </w:p>
        </w:tc>
      </w:tr>
      <w:tr>
        <w:trPr>
          <w:cantSplit/>
        </w:trPr>
        <w:tc>
          <w:tcPr>
            <w:tcW w:type="dxa" w:w="2664"/>
          </w:tcPr>
          <w:p>
            <w:pPr>
              <w:spacing w:after="20"/>
            </w:pPr>
            <w:r>
              <w:rPr>
                <w:color w:val="1C3A36"/>
                <w:sz w:val="15"/>
              </w:rPr>
              <w:t>Global EV penetration trajectory</w:t>
            </w:r>
          </w:p>
        </w:tc>
        <w:tc>
          <w:tcPr>
            <w:tcW w:type="dxa" w:w="1656"/>
          </w:tcPr>
          <w:p>
            <w:pPr>
              <w:spacing w:after="20"/>
              <w:jc w:val="right"/>
            </w:pPr>
            <w:r>
              <w:rPr>
                <w:color w:val="1C3A36"/>
                <w:sz w:val="15"/>
              </w:rPr>
              <w:t>28.0 % of global new car…</w:t>
            </w:r>
          </w:p>
        </w:tc>
        <w:tc>
          <w:tcPr>
            <w:tcW w:type="dxa" w:w="2880"/>
          </w:tcPr>
          <w:p>
            <w:pPr>
              <w:spacing w:after="20"/>
              <w:jc w:val="right"/>
            </w:pPr>
            <w:r>
              <w:rPr>
                <w:color w:val="1C3A36"/>
                <w:sz w:val="15"/>
              </w:rPr>
              <w:t>the long-run ceiling on fuel volume growth and the terminal growth rate</w:t>
            </w:r>
          </w:p>
        </w:tc>
        <w:tc>
          <w:tcPr>
            <w:tcW w:type="dxa" w:w="2736"/>
          </w:tcPr>
          <w:p>
            <w:pPr>
              <w:spacing w:after="20"/>
              <w:jc w:val="right"/>
            </w:pPr>
            <w:r>
              <w:rPr>
                <w:color w:val="1C3A36"/>
                <w:sz w:val="15"/>
              </w:rPr>
              <w:t>IEA Global EV Outlook 2026</w:t>
            </w:r>
          </w:p>
        </w:tc>
      </w:tr>
      <w:tr>
        <w:trPr>
          <w:cantSplit/>
        </w:trPr>
        <w:tc>
          <w:tcPr>
            <w:tcW w:type="dxa" w:w="2664"/>
          </w:tcPr>
          <w:p>
            <w:pPr>
              <w:spacing w:after="20"/>
            </w:pPr>
            <w:r>
              <w:rPr>
                <w:color w:val="1C3A36"/>
                <w:sz w:val="15"/>
              </w:rPr>
              <w:t>Non-fuel income share at global fuel-retail peers</w:t>
            </w:r>
          </w:p>
        </w:tc>
        <w:tc>
          <w:tcPr>
            <w:tcW w:type="dxa" w:w="1656"/>
          </w:tcPr>
          <w:p>
            <w:pPr>
              <w:spacing w:after="20"/>
              <w:jc w:val="right"/>
            </w:pPr>
            <w:r>
              <w:rPr>
                <w:color w:val="1C3A36"/>
                <w:sz w:val="15"/>
              </w:rPr>
              <w:t>—</w:t>
            </w:r>
          </w:p>
        </w:tc>
        <w:tc>
          <w:tcPr>
            <w:tcW w:type="dxa" w:w="2880"/>
          </w:tcPr>
          <w:p>
            <w:pPr>
              <w:spacing w:after="20"/>
              <w:jc w:val="right"/>
            </w:pPr>
            <w:r>
              <w:rPr>
                <w:color w:val="1C3A36"/>
                <w:sz w:val="15"/>
              </w:rPr>
              <w:t>the weight placed on the non-fuel leg and its long-run margin</w:t>
            </w:r>
          </w:p>
        </w:tc>
        <w:tc>
          <w:tcPr>
            <w:tcW w:type="dxa" w:w="2736"/>
          </w:tcPr>
          <w:p>
            <w:pPr>
              <w:spacing w:after="20"/>
              <w:jc w:val="right"/>
            </w:pPr>
            <w:r>
              <w:rPr>
                <w:color w:val="1C3A36"/>
                <w:sz w:val="15"/>
              </w:rPr>
              <w:t>Raymond James Convenience Store Insight;…</w:t>
            </w:r>
          </w:p>
        </w:tc>
      </w:tr>
      <w:tr>
        <w:trPr>
          <w:cantSplit/>
        </w:trPr>
        <w:tc>
          <w:tcPr>
            <w:tcW w:type="dxa" w:w="2664"/>
          </w:tcPr>
          <w:p>
            <w:pPr>
              <w:spacing w:after="20"/>
            </w:pPr>
            <w:r>
              <w:rPr>
                <w:color w:val="1C3A36"/>
                <w:sz w:val="15"/>
              </w:rPr>
              <w:t>US Federal Reserve policy rate — drives UAE rates via the…</w:t>
            </w:r>
          </w:p>
        </w:tc>
        <w:tc>
          <w:tcPr>
            <w:tcW w:type="dxa" w:w="1656"/>
          </w:tcPr>
          <w:p>
            <w:pPr>
              <w:spacing w:after="20"/>
              <w:jc w:val="right"/>
            </w:pPr>
            <w:r>
              <w:rPr>
                <w:color w:val="1C3A36"/>
                <w:sz w:val="15"/>
              </w:rPr>
              <w:t>3.50-3.75 % (target range)</w:t>
            </w:r>
          </w:p>
        </w:tc>
        <w:tc>
          <w:tcPr>
            <w:tcW w:type="dxa" w:w="2880"/>
          </w:tcPr>
          <w:p>
            <w:pPr>
              <w:spacing w:after="20"/>
              <w:jc w:val="right"/>
            </w:pPr>
            <w:r>
              <w:rPr>
                <w:color w:val="1C3A36"/>
                <w:sz w:val="15"/>
              </w:rPr>
              <w:t>the risk-free rate through the currency peg</w:t>
            </w:r>
          </w:p>
        </w:tc>
        <w:tc>
          <w:tcPr>
            <w:tcW w:type="dxa" w:w="2736"/>
          </w:tcPr>
          <w:p>
            <w:pPr>
              <w:spacing w:after="20"/>
              <w:jc w:val="right"/>
            </w:pPr>
            <w:r>
              <w:rPr>
                <w:color w:val="1C3A36"/>
                <w:sz w:val="15"/>
              </w:rPr>
              <w:t>Federal Reserve Board — FOMC statement, 29…</w:t>
            </w:r>
          </w:p>
        </w:tc>
      </w:tr>
      <w:tr>
        <w:trPr>
          <w:cantSplit/>
        </w:trPr>
        <w:tc>
          <w:tcPr>
            <w:tcW w:type="dxa" w:w="2664"/>
          </w:tcPr>
          <w:p>
            <w:pPr>
              <w:spacing w:after="20"/>
            </w:pPr>
            <w:r>
              <w:rPr>
                <w:color w:val="1C3A36"/>
                <w:sz w:val="15"/>
              </w:rPr>
              <w:t>UAE real GDP growth 2026-2027 forecast, non-oil specifically</w:t>
            </w:r>
          </w:p>
        </w:tc>
        <w:tc>
          <w:tcPr>
            <w:tcW w:type="dxa" w:w="1656"/>
          </w:tcPr>
          <w:p>
            <w:pPr>
              <w:spacing w:after="20"/>
              <w:jc w:val="right"/>
            </w:pPr>
            <w:r>
              <w:rPr>
                <w:color w:val="1C3A36"/>
                <w:sz w:val="15"/>
              </w:rPr>
              <w:t>5.0 % real GDP growth…</w:t>
            </w:r>
          </w:p>
        </w:tc>
        <w:tc>
          <w:tcPr>
            <w:tcW w:type="dxa" w:w="2880"/>
          </w:tcPr>
          <w:p>
            <w:pPr>
              <w:spacing w:after="20"/>
              <w:jc w:val="right"/>
            </w:pPr>
            <w:r>
              <w:rPr>
                <w:color w:val="1C3A36"/>
                <w:sz w:val="15"/>
              </w:rPr>
              <w:t>retail and commercial volume growth</w:t>
            </w:r>
          </w:p>
        </w:tc>
        <w:tc>
          <w:tcPr>
            <w:tcW w:type="dxa" w:w="2736"/>
          </w:tcPr>
          <w:p>
            <w:pPr>
              <w:spacing w:after="20"/>
              <w:jc w:val="right"/>
            </w:pPr>
            <w:r>
              <w:rPr>
                <w:color w:val="1C3A36"/>
                <w:sz w:val="15"/>
              </w:rPr>
              <w:t>IMF 2025 Article IV; CBUAE Quarterly…</w:t>
            </w:r>
          </w:p>
        </w:tc>
      </w:tr>
      <w:tr>
        <w:trPr>
          <w:cantSplit/>
        </w:trPr>
        <w:tc>
          <w:tcPr>
            <w:tcW w:type="dxa" w:w="2664"/>
          </w:tcPr>
          <w:p>
            <w:pPr>
              <w:spacing w:after="20"/>
            </w:pPr>
            <w:r>
              <w:rPr>
                <w:color w:val="1C3A36"/>
                <w:sz w:val="15"/>
              </w:rPr>
              <w:t>UAE CPI inflation 2025 actual and 2026-2027 forecast</w:t>
            </w:r>
          </w:p>
        </w:tc>
        <w:tc>
          <w:tcPr>
            <w:tcW w:type="dxa" w:w="1656"/>
          </w:tcPr>
          <w:p>
            <w:pPr>
              <w:spacing w:after="20"/>
              <w:jc w:val="right"/>
            </w:pPr>
            <w:r>
              <w:rPr>
                <w:color w:val="1C3A36"/>
                <w:sz w:val="15"/>
              </w:rPr>
              <w:t>1.8 % CPI 2026 forecast…</w:t>
            </w:r>
          </w:p>
        </w:tc>
        <w:tc>
          <w:tcPr>
            <w:tcW w:type="dxa" w:w="2880"/>
          </w:tcPr>
          <w:p>
            <w:pPr>
              <w:spacing w:after="20"/>
              <w:jc w:val="right"/>
            </w:pPr>
            <w:r>
              <w:rPr>
                <w:color w:val="1C3A36"/>
                <w:sz w:val="15"/>
              </w:rPr>
              <w:t>the escalator on the domestic cash operating cost line only</w:t>
            </w:r>
          </w:p>
        </w:tc>
        <w:tc>
          <w:tcPr>
            <w:tcW w:type="dxa" w:w="2736"/>
          </w:tcPr>
          <w:p>
            <w:pPr>
              <w:spacing w:after="20"/>
              <w:jc w:val="right"/>
            </w:pPr>
            <w:r>
              <w:rPr>
                <w:color w:val="1C3A36"/>
                <w:sz w:val="15"/>
              </w:rPr>
              <w:t>Central Bank of the UAE — Quarterly Economic…</w:t>
            </w:r>
          </w:p>
        </w:tc>
      </w:tr>
      <w:tr>
        <w:trPr>
          <w:cantSplit/>
        </w:trPr>
        <w:tc>
          <w:tcPr>
            <w:tcW w:type="dxa" w:w="2664"/>
          </w:tcPr>
          <w:p>
            <w:pPr>
              <w:spacing w:after="20"/>
            </w:pPr>
            <w:r>
              <w:rPr>
                <w:color w:val="1C3A36"/>
                <w:sz w:val="15"/>
              </w:rPr>
              <w:t>UAE population growth and vehicle parc / registrations</w:t>
            </w:r>
          </w:p>
        </w:tc>
        <w:tc>
          <w:tcPr>
            <w:tcW w:type="dxa" w:w="1656"/>
          </w:tcPr>
          <w:p>
            <w:pPr>
              <w:spacing w:after="20"/>
              <w:jc w:val="right"/>
            </w:pPr>
            <w:r>
              <w:rPr>
                <w:color w:val="1C3A36"/>
                <w:sz w:val="15"/>
              </w:rPr>
              <w:t>4.6 million registered…</w:t>
            </w:r>
          </w:p>
        </w:tc>
        <w:tc>
          <w:tcPr>
            <w:tcW w:type="dxa" w:w="2880"/>
          </w:tcPr>
          <w:p>
            <w:pPr>
              <w:spacing w:after="20"/>
              <w:jc w:val="right"/>
            </w:pPr>
            <w:r>
              <w:rPr>
                <w:color w:val="1C3A36"/>
                <w:sz w:val="15"/>
              </w:rPr>
              <w:t>retail fuel volume growth — the vehicle parc is the physical driver</w:t>
            </w:r>
          </w:p>
        </w:tc>
        <w:tc>
          <w:tcPr>
            <w:tcW w:type="dxa" w:w="2736"/>
          </w:tcPr>
          <w:p>
            <w:pPr>
              <w:spacing w:after="20"/>
              <w:jc w:val="right"/>
            </w:pPr>
            <w:r>
              <w:rPr>
                <w:color w:val="1C3A36"/>
                <w:sz w:val="15"/>
              </w:rPr>
              <w:t>Khaleej Times / The Filipino Times (citing…</w:t>
            </w:r>
          </w:p>
        </w:tc>
      </w:tr>
      <w:tr>
        <w:trPr>
          <w:cantSplit/>
        </w:trPr>
        <w:tc>
          <w:tcPr>
            <w:tcW w:type="dxa" w:w="2664"/>
          </w:tcPr>
          <w:p>
            <w:pPr>
              <w:spacing w:after="20"/>
            </w:pPr>
            <w:r>
              <w:rPr>
                <w:color w:val="1C3A36"/>
                <w:sz w:val="15"/>
              </w:rPr>
              <w:t>UAE Central Bank Base Rate</w:t>
            </w:r>
          </w:p>
        </w:tc>
        <w:tc>
          <w:tcPr>
            <w:tcW w:type="dxa" w:w="1656"/>
          </w:tcPr>
          <w:p>
            <w:pPr>
              <w:spacing w:after="20"/>
              <w:jc w:val="right"/>
            </w:pPr>
            <w:r>
              <w:rPr>
                <w:color w:val="1C3A36"/>
                <w:sz w:val="15"/>
              </w:rPr>
              <w:t>3.6 %</w:t>
            </w:r>
          </w:p>
        </w:tc>
        <w:tc>
          <w:tcPr>
            <w:tcW w:type="dxa" w:w="2880"/>
          </w:tcPr>
          <w:p>
            <w:pPr>
              <w:spacing w:after="20"/>
              <w:jc w:val="right"/>
            </w:pPr>
            <w:r>
              <w:rPr>
                <w:color w:val="1C3A36"/>
                <w:sz w:val="15"/>
              </w:rPr>
              <w:t>the floating-rate basis in the cost of debt</w:t>
            </w:r>
          </w:p>
        </w:tc>
        <w:tc>
          <w:tcPr>
            <w:tcW w:type="dxa" w:w="2736"/>
          </w:tcPr>
          <w:p>
            <w:pPr>
              <w:spacing w:after="20"/>
              <w:jc w:val="right"/>
            </w:pPr>
            <w:r>
              <w:rPr>
                <w:color w:val="1C3A36"/>
                <w:sz w:val="15"/>
              </w:rPr>
              <w:t>Central Bank of the UAE — 'CBUAE Maintains…</w:t>
            </w:r>
          </w:p>
        </w:tc>
      </w:tr>
      <w:tr>
        <w:trPr>
          <w:cantSplit/>
        </w:trPr>
        <w:tc>
          <w:tcPr>
            <w:tcW w:type="dxa" w:w="2664"/>
          </w:tcPr>
          <w:p>
            <w:pPr>
              <w:spacing w:after="20"/>
            </w:pPr>
            <w:r>
              <w:rPr>
                <w:color w:val="1C3A36"/>
                <w:sz w:val="15"/>
              </w:rPr>
              <w:t>Abu Dhabi sovereign USD bond — 10-year point</w:t>
            </w:r>
          </w:p>
        </w:tc>
        <w:tc>
          <w:tcPr>
            <w:tcW w:type="dxa" w:w="1656"/>
          </w:tcPr>
          <w:p>
            <w:pPr>
              <w:spacing w:after="20"/>
              <w:jc w:val="right"/>
            </w:pPr>
            <w:r>
              <w:rPr>
                <w:color w:val="1C3A36"/>
                <w:sz w:val="15"/>
              </w:rPr>
              <w:t>4.7 % yield at issue,…</w:t>
            </w:r>
          </w:p>
        </w:tc>
        <w:tc>
          <w:tcPr>
            <w:tcW w:type="dxa" w:w="2880"/>
          </w:tcPr>
          <w:p>
            <w:pPr>
              <w:spacing w:after="20"/>
              <w:jc w:val="right"/>
            </w:pPr>
            <w:r>
              <w:rPr>
                <w:color w:val="1C3A36"/>
                <w:sz w:val="15"/>
              </w:rPr>
              <w:t>the constructed long-tenor point in the cost of capital</w:t>
            </w:r>
          </w:p>
        </w:tc>
        <w:tc>
          <w:tcPr>
            <w:tcW w:type="dxa" w:w="2736"/>
          </w:tcPr>
          <w:p>
            <w:pPr>
              <w:spacing w:after="20"/>
              <w:jc w:val="right"/>
            </w:pPr>
            <w:r>
              <w:rPr>
                <w:color w:val="1C3A36"/>
                <w:sz w:val="15"/>
              </w:rPr>
              <w:t>Zawya — 'Abu Dhabi raises $3bln as investor…</w:t>
            </w:r>
          </w:p>
        </w:tc>
      </w:tr>
      <w:tr>
        <w:trPr>
          <w:cantSplit/>
        </w:trPr>
        <w:tc>
          <w:tcPr>
            <w:tcW w:type="dxa" w:w="2664"/>
          </w:tcPr>
          <w:p>
            <w:pPr>
              <w:spacing w:after="20"/>
            </w:pPr>
            <w:r>
              <w:rPr>
                <w:color w:val="1C3A36"/>
                <w:sz w:val="15"/>
              </w:rPr>
              <w:t>UAE sovereign credit rating — Moody's</w:t>
            </w:r>
          </w:p>
        </w:tc>
        <w:tc>
          <w:tcPr>
            <w:tcW w:type="dxa" w:w="1656"/>
          </w:tcPr>
          <w:p>
            <w:pPr>
              <w:spacing w:after="20"/>
              <w:jc w:val="right"/>
            </w:pPr>
            <w:r>
              <w:rPr>
                <w:color w:val="1C3A36"/>
                <w:sz w:val="15"/>
              </w:rPr>
              <w:t>Aa2 / stable rating / outlook</w:t>
            </w:r>
          </w:p>
        </w:tc>
        <w:tc>
          <w:tcPr>
            <w:tcW w:type="dxa" w:w="2880"/>
          </w:tcPr>
          <w:p>
            <w:pPr>
              <w:spacing w:after="20"/>
              <w:jc w:val="right"/>
            </w:pPr>
            <w:r>
              <w:rPr>
                <w:color w:val="1C3A36"/>
                <w:sz w:val="15"/>
              </w:rPr>
              <w:t>the sovereign default spread that normalises the risk-free rate</w:t>
            </w:r>
          </w:p>
        </w:tc>
        <w:tc>
          <w:tcPr>
            <w:tcW w:type="dxa" w:w="2736"/>
          </w:tcPr>
          <w:p>
            <w:pPr>
              <w:spacing w:after="20"/>
              <w:jc w:val="right"/>
            </w:pPr>
            <w:r>
              <w:rPr>
                <w:color w:val="1C3A36"/>
                <w:sz w:val="15"/>
              </w:rPr>
              <w:t>The National — 'UAE retains high Moody's…</w:t>
            </w:r>
          </w:p>
        </w:tc>
      </w:tr>
      <w:tr>
        <w:trPr>
          <w:cantSplit/>
        </w:trPr>
        <w:tc>
          <w:tcPr>
            <w:tcW w:type="dxa" w:w="2664"/>
          </w:tcPr>
          <w:p>
            <w:pPr>
              <w:spacing w:after="20"/>
            </w:pPr>
            <w:r>
              <w:rPr>
                <w:color w:val="1C3A36"/>
                <w:sz w:val="15"/>
              </w:rPr>
              <w:t>UAE retail fuel price path — 2024 and 2025 (prior-period…</w:t>
            </w:r>
          </w:p>
        </w:tc>
        <w:tc>
          <w:tcPr>
            <w:tcW w:type="dxa" w:w="1656"/>
          </w:tcPr>
          <w:p>
            <w:pPr>
              <w:spacing w:after="20"/>
              <w:jc w:val="right"/>
            </w:pPr>
            <w:r>
              <w:rPr>
                <w:color w:val="1C3A36"/>
                <w:sz w:val="15"/>
              </w:rPr>
              <w:t>—</w:t>
            </w:r>
          </w:p>
        </w:tc>
        <w:tc>
          <w:tcPr>
            <w:tcW w:type="dxa" w:w="2880"/>
          </w:tcPr>
          <w:p>
            <w:pPr>
              <w:spacing w:after="20"/>
              <w:jc w:val="right"/>
            </w:pPr>
            <w:r>
              <w:rPr>
                <w:color w:val="1C3A36"/>
                <w:sz w:val="15"/>
              </w:rPr>
              <w:t>the historical price-per-litre base the forecast path is anchored on</w:t>
            </w:r>
          </w:p>
        </w:tc>
        <w:tc>
          <w:tcPr>
            <w:tcW w:type="dxa" w:w="2736"/>
          </w:tcPr>
          <w:p>
            <w:pPr>
              <w:spacing w:after="20"/>
              <w:jc w:val="right"/>
            </w:pPr>
            <w:r>
              <w:rPr>
                <w:color w:val="1C3A36"/>
                <w:sz w:val="15"/>
              </w:rPr>
              <w:t>DubaiWheels UAE Petrol Price History…</w:t>
            </w:r>
          </w:p>
        </w:tc>
      </w:tr>
      <w:tr>
        <w:trPr>
          <w:cantSplit/>
        </w:trPr>
        <w:tc>
          <w:tcPr>
            <w:tcW w:type="dxa" w:w="2664"/>
          </w:tcPr>
          <w:p>
            <w:pPr>
              <w:spacing w:after="20"/>
            </w:pPr>
            <w:r>
              <w:rPr>
                <w:color w:val="1C3A36"/>
                <w:sz w:val="15"/>
              </w:rPr>
              <w:t>UAE fuel retail market structure and shares</w:t>
            </w:r>
          </w:p>
        </w:tc>
        <w:tc>
          <w:tcPr>
            <w:tcW w:type="dxa" w:w="1656"/>
          </w:tcPr>
          <w:p>
            <w:pPr>
              <w:spacing w:after="20"/>
              <w:jc w:val="right"/>
            </w:pPr>
            <w:r>
              <w:rPr>
                <w:color w:val="1C3A36"/>
                <w:sz w:val="15"/>
              </w:rPr>
              <w:t>85.0 % of UAE retail…</w:t>
            </w:r>
          </w:p>
        </w:tc>
        <w:tc>
          <w:tcPr>
            <w:tcW w:type="dxa" w:w="2880"/>
          </w:tcPr>
          <w:p>
            <w:pPr>
              <w:spacing w:after="20"/>
              <w:jc w:val="right"/>
            </w:pPr>
            <w:r>
              <w:rPr>
                <w:color w:val="1C3A36"/>
                <w:sz w:val="15"/>
              </w:rPr>
              <w:t>the competitive assumption — a stable three-way market share</w:t>
            </w:r>
          </w:p>
        </w:tc>
        <w:tc>
          <w:tcPr>
            <w:tcW w:type="dxa" w:w="2736"/>
          </w:tcPr>
          <w:p>
            <w:pPr>
              <w:spacing w:after="20"/>
              <w:jc w:val="right"/>
            </w:pPr>
            <w:r>
              <w:rPr>
                <w:color w:val="1C3A36"/>
                <w:sz w:val="15"/>
              </w:rPr>
              <w:t>Mordor Intelligence — United Arab Emirates…</w:t>
            </w:r>
          </w:p>
        </w:tc>
      </w:tr>
      <w:tr>
        <w:trPr>
          <w:cantSplit/>
        </w:trPr>
        <w:tc>
          <w:tcPr>
            <w:tcW w:type="dxa" w:w="2664"/>
          </w:tcPr>
          <w:p>
            <w:pPr>
              <w:spacing w:after="20"/>
            </w:pPr>
            <w:r>
              <w:rPr>
                <w:color w:val="1C3A36"/>
                <w:sz w:val="15"/>
              </w:rPr>
              <w:t>Saudi Arabia fuel retail — licensing and consolidation…</w:t>
            </w:r>
          </w:p>
        </w:tc>
        <w:tc>
          <w:tcPr>
            <w:tcW w:type="dxa" w:w="1656"/>
          </w:tcPr>
          <w:p>
            <w:pPr>
              <w:spacing w:after="20"/>
              <w:jc w:val="right"/>
            </w:pPr>
            <w:r>
              <w:rPr>
                <w:color w:val="1C3A36"/>
                <w:sz w:val="15"/>
              </w:rPr>
              <w:t>—</w:t>
            </w:r>
          </w:p>
        </w:tc>
        <w:tc>
          <w:tcPr>
            <w:tcW w:type="dxa" w:w="2880"/>
          </w:tcPr>
          <w:p>
            <w:pPr>
              <w:spacing w:after="20"/>
              <w:jc w:val="right"/>
            </w:pPr>
            <w:r>
              <w:rPr>
                <w:color w:val="1C3A36"/>
                <w:sz w:val="15"/>
              </w:rPr>
              <w:t>the Saudi network growth assumption</w:t>
            </w:r>
          </w:p>
        </w:tc>
        <w:tc>
          <w:tcPr>
            <w:tcW w:type="dxa" w:w="2736"/>
          </w:tcPr>
          <w:p>
            <w:pPr>
              <w:spacing w:after="20"/>
              <w:jc w:val="right"/>
            </w:pPr>
            <w:r>
              <w:rPr>
                <w:color w:val="1C3A36"/>
                <w:sz w:val="15"/>
              </w:rPr>
              <w:t>Saudi Press Agency; Zawya — 'Saudi: Energy…</w:t>
            </w:r>
          </w:p>
        </w:tc>
      </w:tr>
      <w:tr>
        <w:trPr>
          <w:cantSplit/>
        </w:trPr>
        <w:tc>
          <w:tcPr>
            <w:tcW w:type="dxa" w:w="2664"/>
          </w:tcPr>
          <w:p>
            <w:pPr>
              <w:spacing w:after="20"/>
            </w:pPr>
            <w:r>
              <w:rPr>
                <w:color w:val="1C3A36"/>
                <w:sz w:val="15"/>
              </w:rPr>
              <w:t>ADNOC Distribution Saudi Arabia entry, network and…</w:t>
            </w:r>
          </w:p>
        </w:tc>
        <w:tc>
          <w:tcPr>
            <w:tcW w:type="dxa" w:w="1656"/>
          </w:tcPr>
          <w:p>
            <w:pPr>
              <w:spacing w:after="20"/>
              <w:jc w:val="right"/>
            </w:pPr>
            <w:r>
              <w:rPr>
                <w:color w:val="1C3A36"/>
                <w:sz w:val="15"/>
              </w:rPr>
              <w:t>231 ADNOC Distribution…</w:t>
            </w:r>
          </w:p>
        </w:tc>
        <w:tc>
          <w:tcPr>
            <w:tcW w:type="dxa" w:w="2880"/>
          </w:tcPr>
          <w:p>
            <w:pPr>
              <w:spacing w:after="20"/>
              <w:jc w:val="right"/>
            </w:pPr>
            <w:r>
              <w:rPr>
                <w:color w:val="1C3A36"/>
                <w:sz w:val="15"/>
              </w:rPr>
              <w:t>the Saudi station count in the network build</w:t>
            </w:r>
          </w:p>
        </w:tc>
        <w:tc>
          <w:tcPr>
            <w:tcW w:type="dxa" w:w="2736"/>
          </w:tcPr>
          <w:p>
            <w:pPr>
              <w:spacing w:after="20"/>
              <w:jc w:val="right"/>
            </w:pPr>
            <w:r>
              <w:rPr>
                <w:color w:val="1C3A36"/>
                <w:sz w:val="15"/>
              </w:rPr>
              <w:t>ADNOC Distribution H1-2026 earnings call,…</w:t>
            </w:r>
          </w:p>
        </w:tc>
      </w:tr>
      <w:tr>
        <w:trPr>
          <w:cantSplit/>
        </w:trPr>
        <w:tc>
          <w:tcPr>
            <w:tcW w:type="dxa" w:w="2664"/>
          </w:tcPr>
          <w:p>
            <w:pPr>
              <w:spacing w:after="20"/>
            </w:pPr>
            <w:r>
              <w:rPr>
                <w:color w:val="1C3A36"/>
                <w:sz w:val="15"/>
              </w:rPr>
              <w:t>Egypt fuel retail — TotalEnergies Marketing Egypt JV and…</w:t>
            </w:r>
          </w:p>
        </w:tc>
        <w:tc>
          <w:tcPr>
            <w:tcW w:type="dxa" w:w="1656"/>
          </w:tcPr>
          <w:p>
            <w:pPr>
              <w:spacing w:after="20"/>
              <w:jc w:val="right"/>
            </w:pPr>
            <w:r>
              <w:rPr>
                <w:color w:val="1C3A36"/>
                <w:sz w:val="15"/>
              </w:rPr>
              <w:t>50.0 % stake in…</w:t>
            </w:r>
          </w:p>
        </w:tc>
        <w:tc>
          <w:tcPr>
            <w:tcW w:type="dxa" w:w="2880"/>
          </w:tcPr>
          <w:p>
            <w:pPr>
              <w:spacing w:after="20"/>
              <w:jc w:val="right"/>
            </w:pPr>
            <w:r>
              <w:rPr>
                <w:color w:val="1C3A36"/>
                <w:sz w:val="15"/>
              </w:rPr>
              <w:t>the Egyptian leg and its currency exposure</w:t>
            </w:r>
          </w:p>
        </w:tc>
        <w:tc>
          <w:tcPr>
            <w:tcW w:type="dxa" w:w="2736"/>
          </w:tcPr>
          <w:p>
            <w:pPr>
              <w:spacing w:after="20"/>
              <w:jc w:val="right"/>
            </w:pPr>
            <w:r>
              <w:rPr>
                <w:color w:val="1C3A36"/>
                <w:sz w:val="15"/>
              </w:rPr>
              <w:t>ADNOC Distribution — completion announcement…</w:t>
            </w:r>
          </w:p>
        </w:tc>
      </w:tr>
      <w:tr>
        <w:trPr>
          <w:cantSplit/>
        </w:trPr>
        <w:tc>
          <w:tcPr>
            <w:tcW w:type="dxa" w:w="2664"/>
          </w:tcPr>
          <w:p>
            <w:pPr>
              <w:spacing w:after="20"/>
            </w:pPr>
            <w:r>
              <w:rPr>
                <w:color w:val="1C3A36"/>
                <w:sz w:val="15"/>
              </w:rPr>
              <w:t>EV charging in the UAE — policy targets and adoption</w:t>
            </w:r>
          </w:p>
        </w:tc>
        <w:tc>
          <w:tcPr>
            <w:tcW w:type="dxa" w:w="1656"/>
          </w:tcPr>
          <w:p>
            <w:pPr>
              <w:spacing w:after="20"/>
              <w:jc w:val="right"/>
            </w:pPr>
            <w:r>
              <w:rPr>
                <w:color w:val="1C3A36"/>
                <w:sz w:val="15"/>
              </w:rPr>
              <w:t>10.0 % of vehicles on the…</w:t>
            </w:r>
          </w:p>
        </w:tc>
        <w:tc>
          <w:tcPr>
            <w:tcW w:type="dxa" w:w="2880"/>
          </w:tcPr>
          <w:p>
            <w:pPr>
              <w:spacing w:after="20"/>
              <w:jc w:val="right"/>
            </w:pPr>
            <w:r>
              <w:rPr>
                <w:color w:val="1C3A36"/>
                <w:sz w:val="15"/>
              </w:rPr>
              <w:t>the domestic electric-vehicle displacement assumption in terminal growth</w:t>
            </w:r>
          </w:p>
        </w:tc>
        <w:tc>
          <w:tcPr>
            <w:tcW w:type="dxa" w:w="2736"/>
          </w:tcPr>
          <w:p>
            <w:pPr>
              <w:spacing w:after="20"/>
              <w:jc w:val="right"/>
            </w:pPr>
            <w:r>
              <w:rPr>
                <w:color w:val="1C3A36"/>
                <w:sz w:val="15"/>
              </w:rPr>
              <w:t>The Official Platform of the UAE Government…</w:t>
            </w:r>
          </w:p>
        </w:tc>
      </w:tr>
      <w:tr>
        <w:trPr>
          <w:cantSplit/>
        </w:trPr>
        <w:tc>
          <w:tcPr>
            <w:tcW w:type="dxa" w:w="2664"/>
          </w:tcPr>
          <w:p>
            <w:pPr>
              <w:spacing w:after="20"/>
            </w:pPr>
            <w:r>
              <w:rPr>
                <w:color w:val="1C3A36"/>
                <w:sz w:val="15"/>
              </w:rPr>
              <w:t>Peer multiple — Aldrees Petroleum and Transport Services…</w:t>
            </w:r>
          </w:p>
        </w:tc>
        <w:tc>
          <w:tcPr>
            <w:tcW w:type="dxa" w:w="1656"/>
          </w:tcPr>
          <w:p>
            <w:pPr>
              <w:spacing w:after="20"/>
              <w:jc w:val="right"/>
            </w:pPr>
            <w:r>
              <w:rPr>
                <w:color w:val="1C3A36"/>
                <w:sz w:val="15"/>
              </w:rPr>
              <w:t>12.9 x EV/EBITDA</w:t>
            </w:r>
          </w:p>
        </w:tc>
        <w:tc>
          <w:tcPr>
            <w:tcW w:type="dxa" w:w="2880"/>
          </w:tcPr>
          <w:p>
            <w:pPr>
              <w:spacing w:after="20"/>
              <w:jc w:val="right"/>
            </w:pPr>
            <w:r>
              <w:rPr>
                <w:color w:val="1C3A36"/>
                <w:sz w:val="15"/>
              </w:rPr>
              <w:t>The most directly comparable listed peer: GCC fuel retail, same regulated-price…</w:t>
            </w:r>
          </w:p>
        </w:tc>
        <w:tc>
          <w:tcPr>
            <w:tcW w:type="dxa" w:w="2736"/>
          </w:tcPr>
          <w:p>
            <w:pPr>
              <w:spacing w:after="20"/>
              <w:jc w:val="right"/>
            </w:pPr>
            <w:r>
              <w:rPr>
                <w:color w:val="1C3A36"/>
                <w:sz w:val="15"/>
              </w:rPr>
              <w:t>StockAnalysis.com — Aldrees Petroleum and…</w:t>
            </w:r>
          </w:p>
        </w:tc>
      </w:tr>
      <w:tr>
        <w:trPr>
          <w:cantSplit/>
        </w:trPr>
        <w:tc>
          <w:tcPr>
            <w:tcW w:type="dxa" w:w="2664"/>
          </w:tcPr>
          <w:p>
            <w:pPr>
              <w:spacing w:after="20"/>
            </w:pPr>
            <w:r>
              <w:rPr>
                <w:color w:val="1C3A36"/>
                <w:sz w:val="15"/>
              </w:rPr>
              <w:t>ADNOC Distribution ownership — free float and parent stake</w:t>
            </w:r>
          </w:p>
        </w:tc>
        <w:tc>
          <w:tcPr>
            <w:tcW w:type="dxa" w:w="1656"/>
          </w:tcPr>
          <w:p>
            <w:pPr>
              <w:spacing w:after="20"/>
              <w:jc w:val="right"/>
            </w:pPr>
            <w:r>
              <w:rPr>
                <w:color w:val="1C3A36"/>
                <w:sz w:val="15"/>
              </w:rPr>
              <w:t>23.0 % free float…</w:t>
            </w:r>
          </w:p>
        </w:tc>
        <w:tc>
          <w:tcPr>
            <w:tcW w:type="dxa" w:w="2880"/>
          </w:tcPr>
          <w:p>
            <w:pPr>
              <w:spacing w:after="20"/>
              <w:jc w:val="right"/>
            </w:pPr>
            <w:r>
              <w:rPr>
                <w:color w:val="1C3A36"/>
                <w:sz w:val="15"/>
              </w:rPr>
              <w:t>the free float, and therefore the market-value equity weight</w:t>
            </w:r>
          </w:p>
        </w:tc>
        <w:tc>
          <w:tcPr>
            <w:tcW w:type="dxa" w:w="2736"/>
          </w:tcPr>
          <w:p>
            <w:pPr>
              <w:spacing w:after="20"/>
              <w:jc w:val="right"/>
            </w:pPr>
            <w:r>
              <w:rPr>
                <w:color w:val="1C3A36"/>
                <w:sz w:val="15"/>
              </w:rPr>
              <w:t>ADNOC Distribution Investor Relations; ADX…</w:t>
            </w:r>
          </w:p>
        </w:tc>
      </w:tr>
      <w:tr>
        <w:trPr>
          <w:cantSplit/>
        </w:trPr>
        <w:tc>
          <w:tcPr>
            <w:tcW w:type="dxa" w:w="2664"/>
          </w:tcPr>
          <w:p>
            <w:pPr>
              <w:spacing w:after="20"/>
            </w:pPr>
            <w:r>
              <w:rPr>
                <w:color w:val="1C3A36"/>
                <w:sz w:val="15"/>
              </w:rPr>
              <w:t>ADNOC Distribution non-fuel retail and property (CONTEXT…</w:t>
            </w:r>
          </w:p>
        </w:tc>
        <w:tc>
          <w:tcPr>
            <w:tcW w:type="dxa" w:w="1656"/>
          </w:tcPr>
          <w:p>
            <w:pPr>
              <w:spacing w:after="20"/>
              <w:jc w:val="right"/>
            </w:pPr>
            <w:r>
              <w:rPr>
                <w:color w:val="1C3A36"/>
                <w:sz w:val="15"/>
              </w:rPr>
              <w:t>140.0 USD million H1-2026…</w:t>
            </w:r>
          </w:p>
        </w:tc>
        <w:tc>
          <w:tcPr>
            <w:tcW w:type="dxa" w:w="2880"/>
          </w:tcPr>
          <w:p>
            <w:pPr>
              <w:spacing w:after="20"/>
              <w:jc w:val="right"/>
            </w:pPr>
            <w:r>
              <w:rPr>
                <w:color w:val="1C3A36"/>
                <w:sz w:val="15"/>
              </w:rPr>
              <w:t>the non-fuel gross margin</w:t>
            </w:r>
          </w:p>
        </w:tc>
        <w:tc>
          <w:tcPr>
            <w:tcW w:type="dxa" w:w="2736"/>
          </w:tcPr>
          <w:p>
            <w:pPr>
              <w:spacing w:after="20"/>
              <w:jc w:val="right"/>
            </w:pPr>
            <w:r>
              <w:rPr>
                <w:color w:val="1C3A36"/>
                <w:sz w:val="15"/>
              </w:rPr>
              <w:t>ADNOC Distribution H1-2026 earnings call,…</w:t>
            </w:r>
          </w:p>
        </w:tc>
      </w:tr>
      <w:tr>
        <w:trPr>
          <w:cantSplit/>
        </w:trPr>
        <w:tc>
          <w:tcPr>
            <w:tcW w:type="dxa" w:w="2664"/>
          </w:tcPr>
          <w:p>
            <w:pPr>
              <w:spacing w:after="20"/>
            </w:pPr>
            <w:r>
              <w:rPr>
                <w:color w:val="1C3A36"/>
                <w:sz w:val="15"/>
              </w:rPr>
              <w:t>ADNOC Distribution dividends declared 2025-2026</w:t>
            </w:r>
          </w:p>
        </w:tc>
        <w:tc>
          <w:tcPr>
            <w:tcW w:type="dxa" w:w="1656"/>
          </w:tcPr>
          <w:p>
            <w:pPr>
              <w:spacing w:after="20"/>
              <w:jc w:val="right"/>
            </w:pPr>
            <w:r>
              <w:rPr>
                <w:color w:val="1C3A36"/>
                <w:sz w:val="15"/>
              </w:rPr>
              <w:t>5.1 fils per share per…</w:t>
            </w:r>
          </w:p>
        </w:tc>
        <w:tc>
          <w:tcPr>
            <w:tcW w:type="dxa" w:w="2880"/>
          </w:tcPr>
          <w:p>
            <w:pPr>
              <w:spacing w:after="20"/>
              <w:jc w:val="right"/>
            </w:pPr>
            <w:r>
              <w:rPr>
                <w:color w:val="1C3A36"/>
                <w:sz w:val="15"/>
              </w:rPr>
              <w:t>the dividend per share used in the dividend-capitalisation reading</w:t>
            </w:r>
          </w:p>
        </w:tc>
        <w:tc>
          <w:tcPr>
            <w:tcW w:type="dxa" w:w="2736"/>
          </w:tcPr>
          <w:p>
            <w:pPr>
              <w:spacing w:after="20"/>
              <w:jc w:val="right"/>
            </w:pPr>
            <w:r>
              <w:rPr>
                <w:color w:val="1C3A36"/>
                <w:sz w:val="15"/>
              </w:rPr>
              <w:t>ADNOC Distribution — H1-2026 results…</w:t>
            </w:r>
          </w:p>
        </w:tc>
      </w:tr>
      <w:tr>
        <w:trPr>
          <w:cantSplit/>
        </w:trPr>
        <w:tc>
          <w:tcPr>
            <w:tcW w:type="dxa" w:w="2664"/>
          </w:tcPr>
          <w:p>
            <w:pPr>
              <w:spacing w:after="20"/>
            </w:pPr>
            <w:r>
              <w:rPr>
                <w:color w:val="1C3A36"/>
                <w:sz w:val="15"/>
              </w:rPr>
              <w:t>ADNOC Distribution guidance — capex, network and 2028-2030…</w:t>
            </w:r>
          </w:p>
        </w:tc>
        <w:tc>
          <w:tcPr>
            <w:tcW w:type="dxa" w:w="1656"/>
          </w:tcPr>
          <w:p>
            <w:pPr>
              <w:spacing w:after="20"/>
              <w:jc w:val="right"/>
            </w:pPr>
            <w:r>
              <w:rPr>
                <w:color w:val="1C3A36"/>
                <w:sz w:val="15"/>
              </w:rPr>
              <w:t>250-300 USD million FY2026…</w:t>
            </w:r>
          </w:p>
        </w:tc>
        <w:tc>
          <w:tcPr>
            <w:tcW w:type="dxa" w:w="2880"/>
          </w:tcPr>
          <w:p>
            <w:pPr>
              <w:spacing w:after="20"/>
              <w:jc w:val="right"/>
            </w:pPr>
            <w:r>
              <w:rPr>
                <w:color w:val="1C3A36"/>
                <w:sz w:val="15"/>
              </w:rPr>
              <w:t>capital expenditure and the station-count path</w:t>
            </w:r>
          </w:p>
        </w:tc>
        <w:tc>
          <w:tcPr>
            <w:tcW w:type="dxa" w:w="2736"/>
          </w:tcPr>
          <w:p>
            <w:pPr>
              <w:spacing w:after="20"/>
              <w:jc w:val="right"/>
            </w:pPr>
            <w:r>
              <w:rPr>
                <w:color w:val="1C3A36"/>
                <w:sz w:val="15"/>
              </w:rPr>
              <w:t>ADNOC Distribution H1-2026 earnings call and…</w:t>
            </w:r>
          </w:p>
        </w:tc>
      </w:tr>
      <w:tr>
        <w:trPr>
          <w:cantSplit/>
        </w:trPr>
        <w:tc>
          <w:tcPr>
            <w:tcW w:type="dxa" w:w="2664"/>
          </w:tcPr>
          <w:p>
            <w:pPr>
              <w:spacing w:after="20"/>
            </w:pPr>
            <w:r>
              <w:rPr>
                <w:color w:val="1C3A36"/>
                <w:sz w:val="15"/>
              </w:rPr>
              <w:t>ADNOC Distribution debt and cost of debt evidence…</w:t>
            </w:r>
          </w:p>
        </w:tc>
        <w:tc>
          <w:tcPr>
            <w:tcW w:type="dxa" w:w="1656"/>
          </w:tcPr>
          <w:p>
            <w:pPr>
              <w:spacing w:after="20"/>
              <w:jc w:val="right"/>
            </w:pPr>
            <w:r>
              <w:rPr>
                <w:color w:val="1C3A36"/>
                <w:sz w:val="15"/>
              </w:rPr>
              <w:t>4.8 % profit rate, ADNOC…</w:t>
            </w:r>
          </w:p>
        </w:tc>
        <w:tc>
          <w:tcPr>
            <w:tcW w:type="dxa" w:w="2880"/>
          </w:tcPr>
          <w:p>
            <w:pPr>
              <w:spacing w:after="20"/>
              <w:jc w:val="right"/>
            </w:pPr>
            <w:r>
              <w:rPr>
                <w:color w:val="1C3A36"/>
                <w:sz w:val="15"/>
              </w:rPr>
              <w:t>the cost-of-debt cross-check</w:t>
            </w:r>
          </w:p>
        </w:tc>
        <w:tc>
          <w:tcPr>
            <w:tcW w:type="dxa" w:w="2736"/>
          </w:tcPr>
          <w:p>
            <w:pPr>
              <w:spacing w:after="20"/>
              <w:jc w:val="right"/>
            </w:pPr>
            <w:r>
              <w:rPr>
                <w:color w:val="1C3A36"/>
                <w:sz w:val="15"/>
              </w:rPr>
              <w:t>ADNOC — 'ADNOC Successfully Completes $1.5…</w:t>
            </w:r>
          </w:p>
        </w:tc>
      </w:tr>
      <w:tr>
        <w:trPr>
          <w:cantSplit/>
        </w:trPr>
        <w:tc>
          <w:tcPr>
            <w:tcW w:type="dxa" w:w="2664"/>
          </w:tcPr>
          <w:p>
            <w:pPr>
              <w:spacing w:after="20"/>
            </w:pPr>
            <w:r>
              <w:rPr>
                <w:color w:val="1C3A36"/>
                <w:sz w:val="15"/>
              </w:rPr>
              <w:t>FTSE ADX General Index — the published index of the…</w:t>
            </w:r>
          </w:p>
        </w:tc>
        <w:tc>
          <w:tcPr>
            <w:tcW w:type="dxa" w:w="1656"/>
          </w:tcPr>
          <w:p>
            <w:pPr>
              <w:spacing w:after="20"/>
              <w:jc w:val="right"/>
            </w:pPr>
            <w:r>
              <w:rPr>
                <w:color w:val="1C3A36"/>
                <w:sz w:val="15"/>
              </w:rPr>
              <w:t>0.6 beta against the…</w:t>
            </w:r>
          </w:p>
        </w:tc>
        <w:tc>
          <w:tcPr>
            <w:tcW w:type="dxa" w:w="2880"/>
          </w:tcPr>
          <w:p>
            <w:pPr>
              <w:spacing w:after="20"/>
              <w:jc w:val="right"/>
            </w:pPr>
            <w:r>
              <w:rPr>
                <w:color w:val="1C3A36"/>
                <w:sz w:val="15"/>
              </w:rPr>
              <w:t>Sets the beta, and through it the cost of equity, the cost of capital and the terminal…</w:t>
            </w:r>
          </w:p>
        </w:tc>
        <w:tc>
          <w:tcPr>
            <w:tcW w:type="dxa" w:w="2736"/>
          </w:tcPr>
          <w:p>
            <w:pPr>
              <w:spacing w:after="20"/>
              <w:jc w:val="right"/>
            </w:pPr>
            <w:r>
              <w:rPr>
                <w:color w:val="1C3A36"/>
                <w:sz w:val="15"/>
              </w:rPr>
              <w:t>FTSE ADX General Index daily history</w:t>
            </w:r>
          </w:p>
        </w:tc>
      </w:tr>
    </w:tbl>
    <w:p>
      <w:pPr>
        <w:spacing w:after="40"/>
      </w:pPr>
    </w:p>
    <w:p>
      <w:pPr>
        <w:spacing w:after="200" w:before="0"/>
      </w:pPr>
      <w:r>
        <w:rPr>
          <w:b w:val="0"/>
          <w:i/>
          <w:color w:val="6E7B77"/>
          <w:sz w:val="17"/>
        </w:rPr>
        <w:t>Table 14 — every external driver in the model, with the evidence behind it and the place it enters. 24 of the 56 items in the research record are classified as drivers: they change a number in the model rather than merely informing the narrative. Appendix B lists the full record including the items that changed nothing.</w:t>
      </w:r>
    </w:p>
    <w:p>
      <w:pPr>
        <w:spacing w:after="80" w:before="200"/>
      </w:pPr>
      <w:r>
        <w:rPr>
          <w:b/>
          <w:i w:val="0"/>
          <w:color w:val="1C3A36"/>
          <w:sz w:val="24"/>
        </w:rPr>
        <w:t>1.7 The crux</w:t>
      </w:r>
    </w:p>
    <w:p>
      <w:pPr>
        <w:spacing w:after="120" w:before="0"/>
      </w:pPr>
      <w:r>
        <w:rPr>
          <w:b w:val="0"/>
          <w:i w:val="0"/>
          <w:color w:val="1C3A36"/>
          <w:sz w:val="21"/>
        </w:rPr>
        <w:t>Here is the whole study in one calculation. Take the cash-flow model exactly as built, hold every driver, and solve for the terminal growth rate at which it returns the traded price of AED 4.02. The answer is -0.42% — a NEGATIVE number. Against the model's 1.5%, the market is not pricing a slower-growing fuel retailer. It is pricing a business whose volume base is in permanent, if gentle, decline.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2520"/>
        <w:gridCol w:w="2664"/>
      </w:tblGrid>
      <w:tr>
        <w:trPr>
          <w:cantSplit/>
        </w:trPr>
        <w:tc>
          <w:tcPr>
            <w:tcW w:type="dxa" w:w="4752"/>
            <w:shd w:val="clear" w:color="auto" w:fill="EAF0EE"/>
          </w:tcPr>
          <w:p>
            <w:pPr>
              <w:spacing w:after="20"/>
            </w:pPr>
            <w:r>
              <w:rPr>
                <w:b/>
                <w:color w:val="1C3A36"/>
                <w:sz w:val="18"/>
              </w:rPr>
              <w:t>Solving the market price backwards</w:t>
            </w:r>
          </w:p>
        </w:tc>
        <w:tc>
          <w:tcPr>
            <w:tcW w:type="dxa" w:w="2520"/>
            <w:shd w:val="clear" w:color="auto" w:fill="EAF0EE"/>
          </w:tcPr>
          <w:p>
            <w:pPr>
              <w:spacing w:after="20"/>
            </w:pPr>
            <w:r>
              <w:rPr>
                <w:b/>
                <w:color w:val="1C3A36"/>
                <w:sz w:val="18"/>
              </w:rPr>
              <w:t>The model</w:t>
            </w:r>
          </w:p>
        </w:tc>
        <w:tc>
          <w:tcPr>
            <w:tcW w:type="dxa" w:w="2664"/>
            <w:shd w:val="clear" w:color="auto" w:fill="EAF0EE"/>
          </w:tcPr>
          <w:p>
            <w:pPr>
              <w:spacing w:after="20"/>
            </w:pPr>
            <w:r>
              <w:rPr>
                <w:b/>
                <w:color w:val="1C3A36"/>
                <w:sz w:val="18"/>
              </w:rPr>
              <w:t>Implied by the price</w:t>
            </w:r>
          </w:p>
        </w:tc>
      </w:tr>
      <w:tr>
        <w:trPr>
          <w:cantSplit/>
        </w:trPr>
        <w:tc>
          <w:tcPr>
            <w:tcW w:type="dxa" w:w="4752"/>
          </w:tcPr>
          <w:p>
            <w:pPr>
              <w:spacing w:after="20"/>
            </w:pPr>
            <w:r>
              <w:rPr>
                <w:color w:val="1C3A36"/>
                <w:sz w:val="18"/>
              </w:rPr>
              <w:t>Terminal growth rate</w:t>
            </w:r>
          </w:p>
        </w:tc>
        <w:tc>
          <w:tcPr>
            <w:tcW w:type="dxa" w:w="2520"/>
          </w:tcPr>
          <w:p>
            <w:pPr>
              <w:spacing w:after="20"/>
              <w:jc w:val="right"/>
            </w:pPr>
            <w:r>
              <w:rPr>
                <w:color w:val="1C3A36"/>
                <w:sz w:val="18"/>
              </w:rPr>
              <w:t>1.50%</w:t>
            </w:r>
          </w:p>
        </w:tc>
        <w:tc>
          <w:tcPr>
            <w:tcW w:type="dxa" w:w="2664"/>
          </w:tcPr>
          <w:p>
            <w:pPr>
              <w:spacing w:after="20"/>
              <w:jc w:val="right"/>
            </w:pPr>
            <w:r>
              <w:rPr>
                <w:color w:val="1C3A36"/>
                <w:sz w:val="18"/>
              </w:rPr>
              <w:t>-0.42%</w:t>
            </w:r>
          </w:p>
        </w:tc>
      </w:tr>
      <w:tr>
        <w:trPr>
          <w:cantSplit/>
        </w:trPr>
        <w:tc>
          <w:tcPr>
            <w:tcW w:type="dxa" w:w="4752"/>
          </w:tcPr>
          <w:p>
            <w:pPr>
              <w:spacing w:after="20"/>
            </w:pPr>
            <w:r>
              <w:rPr>
                <w:color w:val="1C3A36"/>
                <w:sz w:val="18"/>
              </w:rPr>
              <w:t>Terminal discount rate</w:t>
            </w:r>
          </w:p>
        </w:tc>
        <w:tc>
          <w:tcPr>
            <w:tcW w:type="dxa" w:w="2520"/>
          </w:tcPr>
          <w:p>
            <w:pPr>
              <w:spacing w:after="20"/>
              <w:jc w:val="right"/>
            </w:pPr>
            <w:r>
              <w:rPr>
                <w:color w:val="1C3A36"/>
                <w:sz w:val="18"/>
              </w:rPr>
              <w:t>7.44%</w:t>
            </w:r>
          </w:p>
        </w:tc>
        <w:tc>
          <w:tcPr>
            <w:tcW w:type="dxa" w:w="2664"/>
          </w:tcPr>
          <w:p>
            <w:pPr>
              <w:spacing w:after="20"/>
              <w:jc w:val="right"/>
            </w:pPr>
            <w:r>
              <w:rPr>
                <w:color w:val="1C3A36"/>
                <w:sz w:val="18"/>
              </w:rPr>
              <w:t>8.62%</w:t>
            </w:r>
          </w:p>
        </w:tc>
      </w:tr>
      <w:tr>
        <w:trPr>
          <w:cantSplit/>
        </w:trPr>
        <w:tc>
          <w:tcPr>
            <w:tcW w:type="dxa" w:w="4752"/>
          </w:tcPr>
          <w:p>
            <w:pPr>
              <w:spacing w:after="20"/>
            </w:pPr>
            <w:r>
              <w:rPr>
                <w:color w:val="1C3A36"/>
                <w:sz w:val="18"/>
              </w:rPr>
              <w:t>Beta</w:t>
            </w:r>
          </w:p>
        </w:tc>
        <w:tc>
          <w:tcPr>
            <w:tcW w:type="dxa" w:w="2520"/>
          </w:tcPr>
          <w:p>
            <w:pPr>
              <w:spacing w:after="20"/>
              <w:jc w:val="right"/>
            </w:pPr>
            <w:r>
              <w:rPr>
                <w:color w:val="1C3A36"/>
                <w:sz w:val="18"/>
              </w:rPr>
              <w:t>0.65</w:t>
            </w:r>
          </w:p>
        </w:tc>
        <w:tc>
          <w:tcPr>
            <w:tcW w:type="dxa" w:w="2664"/>
          </w:tcPr>
          <w:p>
            <w:pPr>
              <w:spacing w:after="20"/>
              <w:jc w:val="right"/>
            </w:pPr>
            <w:r>
              <w:rPr>
                <w:color w:val="1C3A36"/>
                <w:sz w:val="18"/>
              </w:rPr>
              <w:t>0.88</w:t>
            </w:r>
          </w:p>
        </w:tc>
      </w:tr>
      <w:tr>
        <w:trPr>
          <w:cantSplit/>
        </w:trPr>
        <w:tc>
          <w:tcPr>
            <w:tcW w:type="dxa" w:w="4752"/>
            <w:shd w:val="clear" w:color="auto" w:fill="F6F1E6"/>
          </w:tcPr>
          <w:p>
            <w:pPr>
              <w:spacing w:after="20"/>
            </w:pPr>
            <w:r>
              <w:rPr>
                <w:b/>
                <w:color w:val="1C3A36"/>
                <w:sz w:val="18"/>
              </w:rPr>
              <w:t>Value per share (AED)</w:t>
            </w:r>
          </w:p>
        </w:tc>
        <w:tc>
          <w:tcPr>
            <w:tcW w:type="dxa" w:w="2520"/>
            <w:shd w:val="clear" w:color="auto" w:fill="F6F1E6"/>
          </w:tcPr>
          <w:p>
            <w:pPr>
              <w:spacing w:after="20"/>
              <w:jc w:val="right"/>
            </w:pPr>
            <w:r>
              <w:rPr>
                <w:b/>
                <w:color w:val="1C3A36"/>
                <w:sz w:val="18"/>
              </w:rPr>
              <w:t>4.79</w:t>
            </w:r>
          </w:p>
        </w:tc>
        <w:tc>
          <w:tcPr>
            <w:tcW w:type="dxa" w:w="2664"/>
            <w:shd w:val="clear" w:color="auto" w:fill="F6F1E6"/>
          </w:tcPr>
          <w:p>
            <w:pPr>
              <w:spacing w:after="20"/>
              <w:jc w:val="right"/>
            </w:pPr>
            <w:r>
              <w:rPr>
                <w:b/>
                <w:color w:val="1C3A36"/>
                <w:sz w:val="18"/>
              </w:rPr>
              <w:t>4.02</w:t>
            </w:r>
          </w:p>
        </w:tc>
      </w:tr>
    </w:tbl>
    <w:p>
      <w:pPr>
        <w:spacing w:after="40"/>
      </w:pPr>
    </w:p>
    <w:p>
      <w:pPr>
        <w:spacing w:after="200" w:before="0"/>
      </w:pPr>
      <w:r>
        <w:rPr>
          <w:b w:val="0"/>
          <w:i/>
          <w:color w:val="6E7B77"/>
          <w:sz w:val="17"/>
        </w:rPr>
        <w:t>Table 15 — the reverse valuation, run three ways. Each column solves for ONE input holding the others at the model's values, so the three are alternative explanations of the same gap rather than a combined scenario. A reader who believes the implied beta of 0.88 — close to the market average — is the right one has a complete and internally consistent case for the traded price without needing the growth story at all.</w:t>
      </w:r>
    </w:p>
    <w:p>
      <w:pPr>
        <w:spacing w:after="40"/>
        <w:jc w:val="center"/>
      </w:pPr>
      <w:r>
        <w:drawing>
          <wp:inline xmlns:a="http://schemas.openxmlformats.org/drawingml/2006/main" xmlns:pic="http://schemas.openxmlformats.org/drawingml/2006/picture">
            <wp:extent cx="6035040" cy="2728888"/>
            <wp:docPr id="5" name="Picture 5"/>
            <wp:cNvGraphicFramePr>
              <a:graphicFrameLocks noChangeAspect="1"/>
            </wp:cNvGraphicFramePr>
            <a:graphic>
              <a:graphicData uri="http://schemas.openxmlformats.org/drawingml/2006/picture">
                <pic:pic>
                  <pic:nvPicPr>
                    <pic:cNvPr id="0" name="fig7_crux.png"/>
                    <pic:cNvPicPr/>
                  </pic:nvPicPr>
                  <pic:blipFill>
                    <a:blip r:embed="rId13"/>
                    <a:stretch>
                      <a:fillRect/>
                    </a:stretch>
                  </pic:blipFill>
                  <pic:spPr>
                    <a:xfrm>
                      <a:off x="0" y="0"/>
                      <a:ext cx="6035040" cy="2728888"/>
                    </a:xfrm>
                    <a:prstGeom prst="rect"/>
                  </pic:spPr>
                </pic:pic>
              </a:graphicData>
            </a:graphic>
          </wp:inline>
        </w:drawing>
      </w:r>
    </w:p>
    <w:p>
      <w:pPr>
        <w:spacing w:after="200" w:before="0"/>
      </w:pPr>
      <w:r>
        <w:rPr>
          <w:b w:val="0"/>
          <w:i/>
          <w:color w:val="6E7B77"/>
          <w:sz w:val="17"/>
        </w:rPr>
        <w:t>Figure 5 — the crux. Value per share against terminal growth; the traded price crosses the curve below zero.</w:t>
      </w:r>
    </w:p>
    <w:p>
      <w:pPr>
        <w:spacing w:after="120" w:before="0"/>
      </w:pPr>
      <w:r>
        <w:rPr>
          <w:b w:val="0"/>
          <w:i w:val="0"/>
          <w:color w:val="1C3A36"/>
          <w:sz w:val="21"/>
        </w:rPr>
        <w:t>Now put that implied growth rate into units a reader can actually observe, because a terminal growth rate is not something anyone can check.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416"/>
        <w:gridCol w:w="1656"/>
      </w:tblGrid>
      <w:tr>
        <w:trPr>
          <w:cantSplit/>
        </w:trPr>
        <w:tc>
          <w:tcPr>
            <w:tcW w:type="dxa" w:w="7416"/>
            <w:shd w:val="clear" w:color="auto" w:fill="EAF0EE"/>
          </w:tcPr>
          <w:p>
            <w:pPr>
              <w:spacing w:after="20"/>
            </w:pPr>
            <w:r>
              <w:rPr>
                <w:b/>
                <w:color w:val="1C3A36"/>
                <w:sz w:val="17"/>
              </w:rPr>
              <w:t>What the implied growth rate means in observable units</w:t>
            </w:r>
          </w:p>
        </w:tc>
        <w:tc>
          <w:tcPr>
            <w:tcW w:type="dxa" w:w="1656"/>
            <w:shd w:val="clear" w:color="auto" w:fill="EAF0EE"/>
          </w:tcPr>
          <w:p>
            <w:pPr>
              <w:spacing w:after="20"/>
            </w:pPr>
            <w:r>
              <w:rPr>
                <w:b/>
                <w:color w:val="1C3A36"/>
                <w:sz w:val="17"/>
              </w:rPr>
              <w:t>Value</w:t>
            </w:r>
          </w:p>
        </w:tc>
      </w:tr>
      <w:tr>
        <w:trPr>
          <w:cantSplit/>
        </w:trPr>
        <w:tc>
          <w:tcPr>
            <w:tcW w:type="dxa" w:w="7416"/>
          </w:tcPr>
          <w:p>
            <w:pPr>
              <w:spacing w:after="20"/>
            </w:pPr>
            <w:r>
              <w:rPr>
                <w:color w:val="1C3A36"/>
                <w:sz w:val="17"/>
              </w:rPr>
              <w:t>FY2025 retail fuel volume</w:t>
            </w:r>
          </w:p>
        </w:tc>
        <w:tc>
          <w:tcPr>
            <w:tcW w:type="dxa" w:w="1656"/>
          </w:tcPr>
          <w:p>
            <w:pPr>
              <w:spacing w:after="20"/>
              <w:jc w:val="right"/>
            </w:pPr>
            <w:r>
              <w:rPr>
                <w:color w:val="1C3A36"/>
                <w:sz w:val="17"/>
              </w:rPr>
              <w:t>11,042m litres</w:t>
            </w:r>
          </w:p>
        </w:tc>
      </w:tr>
      <w:tr>
        <w:trPr>
          <w:cantSplit/>
        </w:trPr>
        <w:tc>
          <w:tcPr>
            <w:tcW w:type="dxa" w:w="7416"/>
          </w:tcPr>
          <w:p>
            <w:pPr>
              <w:spacing w:after="20"/>
            </w:pPr>
            <w:r>
              <w:rPr>
                <w:color w:val="1C3A36"/>
                <w:sz w:val="17"/>
              </w:rPr>
              <w:t>Implied perpetual rate of change in the volume base</w:t>
            </w:r>
          </w:p>
        </w:tc>
        <w:tc>
          <w:tcPr>
            <w:tcW w:type="dxa" w:w="1656"/>
          </w:tcPr>
          <w:p>
            <w:pPr>
              <w:spacing w:after="20"/>
              <w:jc w:val="right"/>
            </w:pPr>
            <w:r>
              <w:rPr>
                <w:color w:val="1C3A36"/>
                <w:sz w:val="17"/>
              </w:rPr>
              <w:t>-0.42%</w:t>
            </w:r>
          </w:p>
        </w:tc>
      </w:tr>
      <w:tr>
        <w:trPr>
          <w:cantSplit/>
        </w:trPr>
        <w:tc>
          <w:tcPr>
            <w:tcW w:type="dxa" w:w="7416"/>
          </w:tcPr>
          <w:p>
            <w:pPr>
              <w:spacing w:after="20"/>
            </w:pPr>
            <w:r>
              <w:rPr>
                <w:color w:val="1C3A36"/>
                <w:sz w:val="17"/>
              </w:rPr>
              <w:t>Real-terms shortfall against a 4% cost escalator, in litres</w:t>
            </w:r>
          </w:p>
        </w:tc>
        <w:tc>
          <w:tcPr>
            <w:tcW w:type="dxa" w:w="1656"/>
          </w:tcPr>
          <w:p>
            <w:pPr>
              <w:spacing w:after="20"/>
              <w:jc w:val="right"/>
            </w:pPr>
            <w:r>
              <w:rPr>
                <w:color w:val="1C3A36"/>
                <w:sz w:val="17"/>
              </w:rPr>
              <w:t>488m litres</w:t>
            </w:r>
          </w:p>
        </w:tc>
      </w:tr>
      <w:tr>
        <w:trPr>
          <w:cantSplit/>
        </w:trPr>
        <w:tc>
          <w:tcPr>
            <w:tcW w:type="dxa" w:w="7416"/>
          </w:tcPr>
          <w:p>
            <w:pPr>
              <w:spacing w:after="20"/>
            </w:pPr>
            <w:r>
              <w:rPr>
                <w:color w:val="1C3A36"/>
                <w:sz w:val="17"/>
              </w:rPr>
              <w:t>Litres per fuel transaction, first half of 2026</w:t>
            </w:r>
          </w:p>
        </w:tc>
        <w:tc>
          <w:tcPr>
            <w:tcW w:type="dxa" w:w="1656"/>
          </w:tcPr>
          <w:p>
            <w:pPr>
              <w:spacing w:after="20"/>
              <w:jc w:val="right"/>
            </w:pPr>
            <w:r>
              <w:rPr>
                <w:color w:val="1C3A36"/>
                <w:sz w:val="17"/>
              </w:rPr>
              <w:t>53.3 litres</w:t>
            </w:r>
          </w:p>
        </w:tc>
      </w:tr>
      <w:tr>
        <w:trPr>
          <w:cantSplit/>
        </w:trPr>
        <w:tc>
          <w:tcPr>
            <w:tcW w:type="dxa" w:w="7416"/>
          </w:tcPr>
          <w:p>
            <w:pPr>
              <w:spacing w:after="20"/>
            </w:pPr>
            <w:r>
              <w:rPr>
                <w:color w:val="1C3A36"/>
                <w:sz w:val="17"/>
              </w:rPr>
              <w:t>Equivalent fuel transactions given up, per year</w:t>
            </w:r>
          </w:p>
        </w:tc>
        <w:tc>
          <w:tcPr>
            <w:tcW w:type="dxa" w:w="1656"/>
          </w:tcPr>
          <w:p>
            <w:pPr>
              <w:spacing w:after="20"/>
              <w:jc w:val="right"/>
            </w:pPr>
            <w:r>
              <w:rPr>
                <w:color w:val="1C3A36"/>
                <w:sz w:val="17"/>
              </w:rPr>
              <w:t>9.2m</w:t>
            </w:r>
          </w:p>
        </w:tc>
      </w:tr>
      <w:tr>
        <w:trPr>
          <w:cantSplit/>
        </w:trPr>
        <w:tc>
          <w:tcPr>
            <w:tcW w:type="dxa" w:w="7416"/>
          </w:tcPr>
          <w:p>
            <w:pPr>
              <w:spacing w:after="20"/>
            </w:pPr>
            <w:r>
              <w:rPr>
                <w:color w:val="1C3A36"/>
                <w:sz w:val="17"/>
              </w:rPr>
              <w:t xml:space="preserve">   against fuel transactions in the first half of 2026</w:t>
            </w:r>
          </w:p>
        </w:tc>
        <w:tc>
          <w:tcPr>
            <w:tcW w:type="dxa" w:w="1656"/>
          </w:tcPr>
          <w:p>
            <w:pPr>
              <w:spacing w:after="20"/>
              <w:jc w:val="right"/>
            </w:pPr>
            <w:r>
              <w:rPr>
                <w:color w:val="1C3A36"/>
                <w:sz w:val="17"/>
              </w:rPr>
              <w:t>100.9m</w:t>
            </w:r>
          </w:p>
        </w:tc>
      </w:tr>
      <w:tr>
        <w:trPr>
          <w:cantSplit/>
        </w:trPr>
        <w:tc>
          <w:tcPr>
            <w:tcW w:type="dxa" w:w="7416"/>
          </w:tcPr>
          <w:p>
            <w:pPr>
              <w:spacing w:after="20"/>
            </w:pPr>
            <w:r>
              <w:rPr>
                <w:color w:val="1C3A36"/>
                <w:sz w:val="17"/>
              </w:rPr>
              <w:t xml:space="preserve">   so, as a share of the half-year transaction base</w:t>
            </w:r>
          </w:p>
        </w:tc>
        <w:tc>
          <w:tcPr>
            <w:tcW w:type="dxa" w:w="1656"/>
          </w:tcPr>
          <w:p>
            <w:pPr>
              <w:spacing w:after="20"/>
              <w:jc w:val="right"/>
            </w:pPr>
            <w:r>
              <w:rPr>
                <w:color w:val="1C3A36"/>
                <w:sz w:val="17"/>
              </w:rPr>
              <w:t>9.08%</w:t>
            </w:r>
          </w:p>
        </w:tc>
      </w:tr>
      <w:tr>
        <w:trPr>
          <w:cantSplit/>
        </w:trPr>
        <w:tc>
          <w:tcPr>
            <w:tcW w:type="dxa" w:w="7416"/>
          </w:tcPr>
          <w:p>
            <w:pPr>
              <w:spacing w:after="20"/>
            </w:pPr>
            <w:r>
              <w:rPr>
                <w:color w:val="1C3A36"/>
                <w:sz w:val="17"/>
              </w:rPr>
              <w:t>UAE registered vehicles, mid-2025</w:t>
            </w:r>
          </w:p>
        </w:tc>
        <w:tc>
          <w:tcPr>
            <w:tcW w:type="dxa" w:w="1656"/>
          </w:tcPr>
          <w:p>
            <w:pPr>
              <w:spacing w:after="20"/>
              <w:jc w:val="right"/>
            </w:pPr>
            <w:r>
              <w:rPr>
                <w:color w:val="1C3A36"/>
                <w:sz w:val="17"/>
              </w:rPr>
              <w:t>4.6 million</w:t>
            </w:r>
          </w:p>
        </w:tc>
      </w:tr>
      <w:tr>
        <w:trPr>
          <w:cantSplit/>
        </w:trPr>
        <w:tc>
          <w:tcPr>
            <w:tcW w:type="dxa" w:w="7416"/>
          </w:tcPr>
          <w:p>
            <w:pPr>
              <w:spacing w:after="20"/>
            </w:pPr>
            <w:r>
              <w:rPr>
                <w:color w:val="1C3A36"/>
                <w:sz w:val="17"/>
              </w:rPr>
              <w:t xml:space="preserve">   growing at</w:t>
            </w:r>
          </w:p>
        </w:tc>
        <w:tc>
          <w:tcPr>
            <w:tcW w:type="dxa" w:w="1656"/>
          </w:tcPr>
          <w:p>
            <w:pPr>
              <w:spacing w:after="20"/>
              <w:jc w:val="right"/>
            </w:pPr>
            <w:r>
              <w:rPr>
                <w:color w:val="1C3A36"/>
                <w:sz w:val="17"/>
              </w:rPr>
              <w:t>+9.35% y/y</w:t>
            </w:r>
          </w:p>
        </w:tc>
      </w:tr>
      <w:tr>
        <w:trPr>
          <w:cantSplit/>
        </w:trPr>
        <w:tc>
          <w:tcPr>
            <w:tcW w:type="dxa" w:w="7416"/>
          </w:tcPr>
          <w:p>
            <w:pPr>
              <w:spacing w:after="20"/>
            </w:pPr>
            <w:r>
              <w:rPr>
                <w:color w:val="1C3A36"/>
                <w:sz w:val="17"/>
              </w:rPr>
              <w:t>UAE policy target for electric vehicles on the road by 2030</w:t>
            </w:r>
          </w:p>
        </w:tc>
        <w:tc>
          <w:tcPr>
            <w:tcW w:type="dxa" w:w="1656"/>
          </w:tcPr>
          <w:p>
            <w:pPr>
              <w:spacing w:after="20"/>
              <w:jc w:val="right"/>
            </w:pPr>
            <w:r>
              <w:rPr>
                <w:color w:val="1C3A36"/>
                <w:sz w:val="17"/>
              </w:rPr>
              <w:t>10%</w:t>
            </w:r>
          </w:p>
        </w:tc>
      </w:tr>
      <w:tr>
        <w:trPr>
          <w:cantSplit/>
        </w:trPr>
        <w:tc>
          <w:tcPr>
            <w:tcW w:type="dxa" w:w="7416"/>
          </w:tcPr>
          <w:p>
            <w:pPr>
              <w:spacing w:after="20"/>
            </w:pPr>
            <w:r>
              <w:rPr>
                <w:color w:val="1C3A36"/>
                <w:sz w:val="17"/>
              </w:rPr>
              <w:t>Global electric share of new car sales, 2026 forecast</w:t>
            </w:r>
          </w:p>
        </w:tc>
        <w:tc>
          <w:tcPr>
            <w:tcW w:type="dxa" w:w="1656"/>
          </w:tcPr>
          <w:p>
            <w:pPr>
              <w:spacing w:after="20"/>
              <w:jc w:val="right"/>
            </w:pPr>
            <w:r>
              <w:rPr>
                <w:color w:val="1C3A36"/>
                <w:sz w:val="17"/>
              </w:rPr>
              <w:t>28%</w:t>
            </w:r>
          </w:p>
        </w:tc>
      </w:tr>
    </w:tbl>
    <w:p>
      <w:pPr>
        <w:spacing w:after="40"/>
      </w:pPr>
    </w:p>
    <w:p>
      <w:pPr>
        <w:spacing w:after="200" w:before="0"/>
      </w:pPr>
      <w:r>
        <w:rPr>
          <w:b w:val="0"/>
          <w:i/>
          <w:color w:val="6E7B77"/>
          <w:sz w:val="17"/>
        </w:rPr>
        <w:t>Table 16 — the crux in real units. For the market to be right, this network must give up roughly 9.2 million fuel transactions a year in real terms, every year, in perpetuity — and it must do so while the UAE vehicle parc is growing at +9.35% y/y. That combination requires electric displacement to outrun parc growth permanently from here. It is possible. It is a proposition a reader can watch, quarter by quarter, in the company's own volume disclosure.</w:t>
      </w:r>
    </w:p>
    <w:p>
      <w:pPr>
        <w:spacing w:after="120" w:before="0"/>
      </w:pPr>
      <w:r>
        <w:rPr>
          <w:b w:val="0"/>
          <w:i w:val="0"/>
          <w:color w:val="1C3A36"/>
          <w:sz w:val="21"/>
        </w:rPr>
        <w:t>Two further readings of the same gap, both published because either could be the true explanation. First, sensitivity to volume growth itself: shifting the volume path down by one percentage point a year in every forecast year takes the value from AED 4.86 to AED 4.51, which does NOT reach the traded price. Volume alone cannot explain the gap inside the explicit window — it has to be the terminal. Second, sensitivity to margin per litre: a 10% cut to the margin growth path across both fuel legs takes it to AED 3.98. Between them, the observable drivers move the answer by less than the terminal assumption does — which is the honest statement of where the risk in this valuation actually lives.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3024"/>
        <w:gridCol w:w="2304"/>
      </w:tblGrid>
      <w:tr>
        <w:trPr>
          <w:cantSplit/>
        </w:trPr>
        <w:tc>
          <w:tcPr>
            <w:tcW w:type="dxa" w:w="3744"/>
            <w:shd w:val="clear" w:color="auto" w:fill="EAF0EE"/>
          </w:tcPr>
          <w:p>
            <w:pPr>
              <w:spacing w:after="20"/>
            </w:pPr>
            <w:r>
              <w:rPr>
                <w:b/>
                <w:color w:val="1C3A36"/>
                <w:sz w:val="17"/>
              </w:rPr>
              <w:t>The terminal growth rate, sensitised</w:t>
            </w:r>
          </w:p>
        </w:tc>
        <w:tc>
          <w:tcPr>
            <w:tcW w:type="dxa" w:w="3024"/>
            <w:shd w:val="clear" w:color="auto" w:fill="EAF0EE"/>
          </w:tcPr>
          <w:p>
            <w:pPr>
              <w:spacing w:after="20"/>
            </w:pPr>
            <w:r>
              <w:rPr>
                <w:b/>
                <w:color w:val="1C3A36"/>
                <w:sz w:val="17"/>
              </w:rPr>
              <w:t>Value per share (AED)</w:t>
            </w:r>
          </w:p>
        </w:tc>
        <w:tc>
          <w:tcPr>
            <w:tcW w:type="dxa" w:w="2304"/>
            <w:shd w:val="clear" w:color="auto" w:fill="EAF0EE"/>
          </w:tcPr>
          <w:p>
            <w:pPr>
              <w:spacing w:after="20"/>
            </w:pPr>
            <w:r>
              <w:rPr>
                <w:b/>
                <w:color w:val="1C3A36"/>
                <w:sz w:val="17"/>
              </w:rPr>
              <w:t>vs market price</w:t>
            </w:r>
          </w:p>
        </w:tc>
      </w:tr>
      <w:tr>
        <w:trPr>
          <w:cantSplit/>
        </w:trPr>
        <w:tc>
          <w:tcPr>
            <w:tcW w:type="dxa" w:w="3744"/>
          </w:tcPr>
          <w:p>
            <w:pPr>
              <w:spacing w:after="20"/>
            </w:pPr>
            <w:r>
              <w:rPr>
                <w:color w:val="1C3A36"/>
                <w:sz w:val="17"/>
              </w:rPr>
              <w:t>-2.0%</w:t>
            </w:r>
          </w:p>
        </w:tc>
        <w:tc>
          <w:tcPr>
            <w:tcW w:type="dxa" w:w="3024"/>
          </w:tcPr>
          <w:p>
            <w:pPr>
              <w:spacing w:after="20"/>
              <w:jc w:val="right"/>
            </w:pPr>
            <w:r>
              <w:rPr>
                <w:color w:val="1C3A36"/>
                <w:sz w:val="17"/>
              </w:rPr>
              <w:t>3.62</w:t>
            </w:r>
          </w:p>
        </w:tc>
        <w:tc>
          <w:tcPr>
            <w:tcW w:type="dxa" w:w="2304"/>
          </w:tcPr>
          <w:p>
            <w:pPr>
              <w:spacing w:after="20"/>
              <w:jc w:val="right"/>
            </w:pPr>
            <w:r>
              <w:rPr>
                <w:color w:val="1C3A36"/>
                <w:sz w:val="17"/>
              </w:rPr>
              <w:t>-10%</w:t>
            </w:r>
          </w:p>
        </w:tc>
      </w:tr>
      <w:tr>
        <w:trPr>
          <w:cantSplit/>
        </w:trPr>
        <w:tc>
          <w:tcPr>
            <w:tcW w:type="dxa" w:w="3744"/>
          </w:tcPr>
          <w:p>
            <w:pPr>
              <w:spacing w:after="20"/>
            </w:pPr>
            <w:r>
              <w:rPr>
                <w:color w:val="1C3A36"/>
                <w:sz w:val="17"/>
              </w:rPr>
              <w:t>-1.0%</w:t>
            </w:r>
          </w:p>
        </w:tc>
        <w:tc>
          <w:tcPr>
            <w:tcW w:type="dxa" w:w="3024"/>
          </w:tcPr>
          <w:p>
            <w:pPr>
              <w:spacing w:after="20"/>
              <w:jc w:val="right"/>
            </w:pPr>
            <w:r>
              <w:rPr>
                <w:color w:val="1C3A36"/>
                <w:sz w:val="17"/>
              </w:rPr>
              <w:t>3.86</w:t>
            </w:r>
          </w:p>
        </w:tc>
        <w:tc>
          <w:tcPr>
            <w:tcW w:type="dxa" w:w="2304"/>
          </w:tcPr>
          <w:p>
            <w:pPr>
              <w:spacing w:after="20"/>
              <w:jc w:val="right"/>
            </w:pPr>
            <w:r>
              <w:rPr>
                <w:color w:val="1C3A36"/>
                <w:sz w:val="17"/>
              </w:rPr>
              <w:t>-4%</w:t>
            </w:r>
          </w:p>
        </w:tc>
      </w:tr>
      <w:tr>
        <w:trPr>
          <w:cantSplit/>
        </w:trPr>
        <w:tc>
          <w:tcPr>
            <w:tcW w:type="dxa" w:w="3744"/>
          </w:tcPr>
          <w:p>
            <w:pPr>
              <w:spacing w:after="20"/>
            </w:pPr>
            <w:r>
              <w:rPr>
                <w:color w:val="1C3A36"/>
                <w:sz w:val="17"/>
              </w:rPr>
              <w:t>0.0%</w:t>
            </w:r>
          </w:p>
        </w:tc>
        <w:tc>
          <w:tcPr>
            <w:tcW w:type="dxa" w:w="3024"/>
          </w:tcPr>
          <w:p>
            <w:pPr>
              <w:spacing w:after="20"/>
              <w:jc w:val="right"/>
            </w:pPr>
            <w:r>
              <w:rPr>
                <w:color w:val="1C3A36"/>
                <w:sz w:val="17"/>
              </w:rPr>
              <w:t>4.15</w:t>
            </w:r>
          </w:p>
        </w:tc>
        <w:tc>
          <w:tcPr>
            <w:tcW w:type="dxa" w:w="2304"/>
          </w:tcPr>
          <w:p>
            <w:pPr>
              <w:spacing w:after="20"/>
              <w:jc w:val="right"/>
            </w:pPr>
            <w:r>
              <w:rPr>
                <w:color w:val="1C3A36"/>
                <w:sz w:val="17"/>
              </w:rPr>
              <w:t>3%</w:t>
            </w:r>
          </w:p>
        </w:tc>
      </w:tr>
      <w:tr>
        <w:trPr>
          <w:cantSplit/>
        </w:trPr>
        <w:tc>
          <w:tcPr>
            <w:tcW w:type="dxa" w:w="3744"/>
          </w:tcPr>
          <w:p>
            <w:pPr>
              <w:spacing w:after="20"/>
            </w:pPr>
            <w:r>
              <w:rPr>
                <w:color w:val="1C3A36"/>
                <w:sz w:val="17"/>
              </w:rPr>
              <w:t>1.0%</w:t>
            </w:r>
          </w:p>
        </w:tc>
        <w:tc>
          <w:tcPr>
            <w:tcW w:type="dxa" w:w="3024"/>
          </w:tcPr>
          <w:p>
            <w:pPr>
              <w:spacing w:after="20"/>
              <w:jc w:val="right"/>
            </w:pPr>
            <w:r>
              <w:rPr>
                <w:color w:val="1C3A36"/>
                <w:sz w:val="17"/>
              </w:rPr>
              <w:t>4.54</w:t>
            </w:r>
          </w:p>
        </w:tc>
        <w:tc>
          <w:tcPr>
            <w:tcW w:type="dxa" w:w="2304"/>
          </w:tcPr>
          <w:p>
            <w:pPr>
              <w:spacing w:after="20"/>
              <w:jc w:val="right"/>
            </w:pPr>
            <w:r>
              <w:rPr>
                <w:color w:val="1C3A36"/>
                <w:sz w:val="17"/>
              </w:rPr>
              <w:t>13%</w:t>
            </w:r>
          </w:p>
        </w:tc>
      </w:tr>
      <w:tr>
        <w:trPr>
          <w:cantSplit/>
        </w:trPr>
        <w:tc>
          <w:tcPr>
            <w:tcW w:type="dxa" w:w="3744"/>
          </w:tcPr>
          <w:p>
            <w:pPr>
              <w:spacing w:after="20"/>
            </w:pPr>
            <w:r>
              <w:rPr>
                <w:color w:val="1C3A36"/>
                <w:sz w:val="17"/>
              </w:rPr>
              <w:t>1.5%</w:t>
            </w:r>
          </w:p>
        </w:tc>
        <w:tc>
          <w:tcPr>
            <w:tcW w:type="dxa" w:w="3024"/>
          </w:tcPr>
          <w:p>
            <w:pPr>
              <w:spacing w:after="20"/>
              <w:jc w:val="right"/>
            </w:pPr>
            <w:r>
              <w:rPr>
                <w:color w:val="1C3A36"/>
                <w:sz w:val="17"/>
              </w:rPr>
              <w:t>4.79</w:t>
            </w:r>
          </w:p>
        </w:tc>
        <w:tc>
          <w:tcPr>
            <w:tcW w:type="dxa" w:w="2304"/>
          </w:tcPr>
          <w:p>
            <w:pPr>
              <w:spacing w:after="20"/>
              <w:jc w:val="right"/>
            </w:pPr>
            <w:r>
              <w:rPr>
                <w:color w:val="1C3A36"/>
                <w:sz w:val="17"/>
              </w:rPr>
              <w:t>19%</w:t>
            </w:r>
          </w:p>
        </w:tc>
      </w:tr>
    </w:tbl>
    <w:p>
      <w:pPr>
        <w:spacing w:after="40"/>
      </w:pPr>
    </w:p>
    <w:p>
      <w:pPr>
        <w:spacing w:after="200" w:before="0"/>
      </w:pPr>
      <w:r>
        <w:rPr>
          <w:b w:val="0"/>
          <w:i/>
          <w:color w:val="6E7B77"/>
          <w:sz w:val="17"/>
        </w:rPr>
        <w:t>Table 17 — the whole curve, published rather than its comfortable half. The traded price of AED 4.02 sits between the -1.0% and 0.0% rows.</w:t>
      </w:r>
    </w:p>
    <w:p>
      <w:pPr>
        <w:spacing w:after="120" w:before="0"/>
      </w:pPr>
      <w:r>
        <w:rPr>
          <w:b w:val="0"/>
          <w:i w:val="0"/>
          <w:color w:val="1C3A36"/>
          <w:sz w:val="21"/>
        </w:rPr>
        <w:t>And the same discipline applied to the contested judgement. Carrying inventory movements at the FY2024–FY2025 average of AED 294 million in perpetuity is worth AED 0.30 a share. Carrying the first-half 2026 rate of AED 762 million in perpetuity — which nobody should believe, and which is shown only to bound the question — is worth AED 0.79 a share. Setting them to zero in every year including FY2026 gives AED 4.73, still above the traded price. The windfall is not the disagreement.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2880"/>
        <w:gridCol w:w="2016"/>
      </w:tblGrid>
      <w:tr>
        <w:trPr>
          <w:cantSplit/>
        </w:trPr>
        <w:tc>
          <w:tcPr>
            <w:tcW w:type="dxa" w:w="4320"/>
            <w:shd w:val="clear" w:color="auto" w:fill="EAF0EE"/>
          </w:tcPr>
          <w:p>
            <w:pPr>
              <w:spacing w:after="20"/>
            </w:pPr>
            <w:r>
              <w:rPr>
                <w:b/>
                <w:color w:val="1C3A36"/>
                <w:sz w:val="17"/>
              </w:rPr>
              <w:t>Inventory movement carried in perpetuity (AED m)</w:t>
            </w:r>
          </w:p>
        </w:tc>
        <w:tc>
          <w:tcPr>
            <w:tcW w:type="dxa" w:w="2880"/>
            <w:shd w:val="clear" w:color="auto" w:fill="EAF0EE"/>
          </w:tcPr>
          <w:p>
            <w:pPr>
              <w:spacing w:after="20"/>
            </w:pPr>
            <w:r>
              <w:rPr>
                <w:b/>
                <w:color w:val="1C3A36"/>
                <w:sz w:val="17"/>
              </w:rPr>
              <w:t>Value per share (AED)</w:t>
            </w:r>
          </w:p>
        </w:tc>
        <w:tc>
          <w:tcPr>
            <w:tcW w:type="dxa" w:w="2016"/>
            <w:shd w:val="clear" w:color="auto" w:fill="EAF0EE"/>
          </w:tcPr>
          <w:p>
            <w:pPr>
              <w:spacing w:after="20"/>
            </w:pPr>
            <w:r>
              <w:rPr>
                <w:b/>
                <w:color w:val="1C3A36"/>
                <w:sz w:val="17"/>
              </w:rPr>
              <w:t>vs market price</w:t>
            </w:r>
          </w:p>
        </w:tc>
      </w:tr>
      <w:tr>
        <w:trPr>
          <w:cantSplit/>
        </w:trPr>
        <w:tc>
          <w:tcPr>
            <w:tcW w:type="dxa" w:w="4320"/>
          </w:tcPr>
          <w:p>
            <w:pPr>
              <w:spacing w:after="20"/>
            </w:pPr>
            <w:r>
              <w:rPr>
                <w:color w:val="1C3A36"/>
                <w:sz w:val="17"/>
              </w:rPr>
              <w:t>0</w:t>
            </w:r>
          </w:p>
        </w:tc>
        <w:tc>
          <w:tcPr>
            <w:tcW w:type="dxa" w:w="2880"/>
          </w:tcPr>
          <w:p>
            <w:pPr>
              <w:spacing w:after="20"/>
              <w:jc w:val="right"/>
            </w:pPr>
            <w:r>
              <w:rPr>
                <w:color w:val="1C3A36"/>
                <w:sz w:val="17"/>
              </w:rPr>
              <w:t>4.79</w:t>
            </w:r>
          </w:p>
        </w:tc>
        <w:tc>
          <w:tcPr>
            <w:tcW w:type="dxa" w:w="2016"/>
          </w:tcPr>
          <w:p>
            <w:pPr>
              <w:spacing w:after="20"/>
              <w:jc w:val="right"/>
            </w:pPr>
            <w:r>
              <w:rPr>
                <w:color w:val="1C3A36"/>
                <w:sz w:val="17"/>
              </w:rPr>
              <w:t>19%</w:t>
            </w:r>
          </w:p>
        </w:tc>
      </w:tr>
      <w:tr>
        <w:trPr>
          <w:cantSplit/>
        </w:trPr>
        <w:tc>
          <w:tcPr>
            <w:tcW w:type="dxa" w:w="4320"/>
          </w:tcPr>
          <w:p>
            <w:pPr>
              <w:spacing w:after="20"/>
            </w:pPr>
            <w:r>
              <w:rPr>
                <w:color w:val="1C3A36"/>
                <w:sz w:val="17"/>
              </w:rPr>
              <w:t>150</w:t>
            </w:r>
          </w:p>
        </w:tc>
        <w:tc>
          <w:tcPr>
            <w:tcW w:type="dxa" w:w="2880"/>
          </w:tcPr>
          <w:p>
            <w:pPr>
              <w:spacing w:after="20"/>
              <w:jc w:val="right"/>
            </w:pPr>
            <w:r>
              <w:rPr>
                <w:color w:val="1C3A36"/>
                <w:sz w:val="17"/>
              </w:rPr>
              <w:t>4.94</w:t>
            </w:r>
          </w:p>
        </w:tc>
        <w:tc>
          <w:tcPr>
            <w:tcW w:type="dxa" w:w="2016"/>
          </w:tcPr>
          <w:p>
            <w:pPr>
              <w:spacing w:after="20"/>
              <w:jc w:val="right"/>
            </w:pPr>
            <w:r>
              <w:rPr>
                <w:color w:val="1C3A36"/>
                <w:sz w:val="17"/>
              </w:rPr>
              <w:t>23%</w:t>
            </w:r>
          </w:p>
        </w:tc>
      </w:tr>
      <w:tr>
        <w:trPr>
          <w:cantSplit/>
        </w:trPr>
        <w:tc>
          <w:tcPr>
            <w:tcW w:type="dxa" w:w="4320"/>
          </w:tcPr>
          <w:p>
            <w:pPr>
              <w:spacing w:after="20"/>
            </w:pPr>
            <w:r>
              <w:rPr>
                <w:color w:val="1C3A36"/>
                <w:sz w:val="17"/>
              </w:rPr>
              <w:t>295</w:t>
            </w:r>
          </w:p>
        </w:tc>
        <w:tc>
          <w:tcPr>
            <w:tcW w:type="dxa" w:w="2880"/>
          </w:tcPr>
          <w:p>
            <w:pPr>
              <w:spacing w:after="20"/>
              <w:jc w:val="right"/>
            </w:pPr>
            <w:r>
              <w:rPr>
                <w:color w:val="1C3A36"/>
                <w:sz w:val="17"/>
              </w:rPr>
              <w:t>5.09</w:t>
            </w:r>
          </w:p>
        </w:tc>
        <w:tc>
          <w:tcPr>
            <w:tcW w:type="dxa" w:w="2016"/>
          </w:tcPr>
          <w:p>
            <w:pPr>
              <w:spacing w:after="20"/>
              <w:jc w:val="right"/>
            </w:pPr>
            <w:r>
              <w:rPr>
                <w:color w:val="1C3A36"/>
                <w:sz w:val="17"/>
              </w:rPr>
              <w:t>27%</w:t>
            </w:r>
          </w:p>
        </w:tc>
      </w:tr>
      <w:tr>
        <w:trPr>
          <w:cantSplit/>
        </w:trPr>
        <w:tc>
          <w:tcPr>
            <w:tcW w:type="dxa" w:w="4320"/>
          </w:tcPr>
          <w:p>
            <w:pPr>
              <w:spacing w:after="20"/>
            </w:pPr>
            <w:r>
              <w:rPr>
                <w:color w:val="1C3A36"/>
                <w:sz w:val="17"/>
              </w:rPr>
              <w:t>500</w:t>
            </w:r>
          </w:p>
        </w:tc>
        <w:tc>
          <w:tcPr>
            <w:tcW w:type="dxa" w:w="2880"/>
          </w:tcPr>
          <w:p>
            <w:pPr>
              <w:spacing w:after="20"/>
              <w:jc w:val="right"/>
            </w:pPr>
            <w:r>
              <w:rPr>
                <w:color w:val="1C3A36"/>
                <w:sz w:val="17"/>
              </w:rPr>
              <w:t>5.30</w:t>
            </w:r>
          </w:p>
        </w:tc>
        <w:tc>
          <w:tcPr>
            <w:tcW w:type="dxa" w:w="2016"/>
          </w:tcPr>
          <w:p>
            <w:pPr>
              <w:spacing w:after="20"/>
              <w:jc w:val="right"/>
            </w:pPr>
            <w:r>
              <w:rPr>
                <w:color w:val="1C3A36"/>
                <w:sz w:val="17"/>
              </w:rPr>
              <w:t>32%</w:t>
            </w:r>
          </w:p>
        </w:tc>
      </w:tr>
      <w:tr>
        <w:trPr>
          <w:cantSplit/>
        </w:trPr>
        <w:tc>
          <w:tcPr>
            <w:tcW w:type="dxa" w:w="4320"/>
          </w:tcPr>
          <w:p>
            <w:pPr>
              <w:spacing w:after="20"/>
            </w:pPr>
            <w:r>
              <w:rPr>
                <w:color w:val="1C3A36"/>
                <w:sz w:val="17"/>
              </w:rPr>
              <w:t>762</w:t>
            </w:r>
          </w:p>
        </w:tc>
        <w:tc>
          <w:tcPr>
            <w:tcW w:type="dxa" w:w="2880"/>
          </w:tcPr>
          <w:p>
            <w:pPr>
              <w:spacing w:after="20"/>
              <w:jc w:val="right"/>
            </w:pPr>
            <w:r>
              <w:rPr>
                <w:color w:val="1C3A36"/>
                <w:sz w:val="17"/>
              </w:rPr>
              <w:t>5.57</w:t>
            </w:r>
          </w:p>
        </w:tc>
        <w:tc>
          <w:tcPr>
            <w:tcW w:type="dxa" w:w="2016"/>
          </w:tcPr>
          <w:p>
            <w:pPr>
              <w:spacing w:after="20"/>
              <w:jc w:val="right"/>
            </w:pPr>
            <w:r>
              <w:rPr>
                <w:color w:val="1C3A36"/>
                <w:sz w:val="17"/>
              </w:rPr>
              <w:t>39%</w:t>
            </w:r>
          </w:p>
        </w:tc>
      </w:tr>
    </w:tbl>
    <w:p>
      <w:pPr>
        <w:spacing w:after="40"/>
      </w:pPr>
    </w:p>
    <w:p>
      <w:pPr>
        <w:spacing w:after="200" w:before="0"/>
      </w:pPr>
      <w:r>
        <w:rPr>
          <w:b w:val="0"/>
          <w:i/>
          <w:color w:val="6E7B77"/>
          <w:sz w:val="17"/>
        </w:rPr>
        <w:t>Table 18 — the contested judgement bounded at both ends. Frame A is the first row; Frame B is the 294 row.</w:t>
      </w:r>
    </w:p>
    <w:p>
      <w:pPr>
        <w:spacing w:after="80" w:before="200"/>
      </w:pPr>
      <w:r>
        <w:rPr>
          <w:b/>
          <w:i w:val="0"/>
          <w:color w:val="1C3A36"/>
          <w:sz w:val="24"/>
        </w:rPr>
        <w:t>1.8 Macro and country — the cost of capital</w:t>
      </w:r>
    </w:p>
    <w:p>
      <w:pPr>
        <w:spacing w:after="120" w:before="0"/>
      </w:pPr>
      <w:r>
        <w:rPr>
          <w:b w:val="0"/>
          <w:i w:val="0"/>
          <w:color w:val="1C3A36"/>
          <w:sz w:val="21"/>
        </w:rPr>
        <w:t>The risk-free rate is the UAE federal dirham Treasury Bond, taken from the 2026-07-30 auction at 4.48% on a tenor of about four and a half years. It is then NORMALISED by the sovereign's own default spread of 0.04% to 4.44%, because country risk must enter the cost of capital exactly once. Adding a country-risk-loaded equity premium on top of a raw local yield would charge the same sovereign risk twice.</w:t>
      </w:r>
    </w:p>
    <w:p>
      <w:pPr>
        <w:spacing w:after="120" w:before="0"/>
      </w:pPr>
      <w:r>
        <w:rPr>
          <w:b w:val="0"/>
          <w:i w:val="0"/>
          <w:color w:val="1C3A36"/>
          <w:sz w:val="21"/>
        </w:rPr>
        <w:t>A tenor gap is disclosed rather than papered over: the UAE has issued no ten-year dirham federal bond, so the longest observable dirham federal point is the four-and-a-half-year one used above. A ten-year point can be CONSTRUCTED — the Abu Dhabi sovereign's dollar spread over the corresponding US Treasury, applied to today's ten-year — but it would be a construction and not an observation, and this study uses the observed point and says so. The dirham is pegged to the dollar, so the US policy rate at 3.50-3.75% transmits directly; the local base rate is 3.65%.</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04"/>
        <w:gridCol w:w="1368"/>
        <w:gridCol w:w="4320"/>
      </w:tblGrid>
      <w:tr>
        <w:trPr>
          <w:cantSplit/>
        </w:trPr>
        <w:tc>
          <w:tcPr>
            <w:tcW w:type="dxa" w:w="4104"/>
            <w:shd w:val="clear" w:color="auto" w:fill="EAF0EE"/>
          </w:tcPr>
          <w:p>
            <w:pPr>
              <w:spacing w:after="20"/>
            </w:pPr>
            <w:r>
              <w:rPr>
                <w:b/>
                <w:color w:val="1C3A36"/>
                <w:sz w:val="16"/>
              </w:rPr>
              <w:t>Cost of capital, built from the bottom up</w:t>
            </w:r>
          </w:p>
        </w:tc>
        <w:tc>
          <w:tcPr>
            <w:tcW w:type="dxa" w:w="1368"/>
            <w:shd w:val="clear" w:color="auto" w:fill="EAF0EE"/>
          </w:tcPr>
          <w:p>
            <w:pPr>
              <w:spacing w:after="20"/>
            </w:pPr>
            <w:r>
              <w:rPr>
                <w:b/>
                <w:color w:val="1C3A36"/>
                <w:sz w:val="16"/>
              </w:rPr>
              <w:t>Value</w:t>
            </w:r>
          </w:p>
        </w:tc>
        <w:tc>
          <w:tcPr>
            <w:tcW w:type="dxa" w:w="4320"/>
            <w:shd w:val="clear" w:color="auto" w:fill="EAF0EE"/>
          </w:tcPr>
          <w:p>
            <w:pPr>
              <w:spacing w:after="20"/>
            </w:pPr>
            <w:r>
              <w:rPr>
                <w:b/>
                <w:color w:val="1C3A36"/>
                <w:sz w:val="16"/>
              </w:rPr>
              <w:t>Source or construction</w:t>
            </w:r>
          </w:p>
        </w:tc>
      </w:tr>
      <w:tr>
        <w:trPr>
          <w:cantSplit/>
        </w:trPr>
        <w:tc>
          <w:tcPr>
            <w:tcW w:type="dxa" w:w="4104"/>
          </w:tcPr>
          <w:p>
            <w:pPr>
              <w:spacing w:after="20"/>
            </w:pPr>
            <w:r>
              <w:rPr>
                <w:color w:val="1C3A36"/>
                <w:sz w:val="16"/>
              </w:rPr>
              <w:t>Observed dirham federal Treasury Bond yield, ~4.5-year tenor</w:t>
            </w:r>
          </w:p>
        </w:tc>
        <w:tc>
          <w:tcPr>
            <w:tcW w:type="dxa" w:w="1368"/>
          </w:tcPr>
          <w:p>
            <w:pPr>
              <w:spacing w:after="20"/>
              <w:jc w:val="right"/>
            </w:pPr>
            <w:r>
              <w:rPr>
                <w:color w:val="1C3A36"/>
                <w:sz w:val="16"/>
              </w:rPr>
              <w:t>4.48%</w:t>
            </w:r>
          </w:p>
        </w:tc>
        <w:tc>
          <w:tcPr>
            <w:tcW w:type="dxa" w:w="4320"/>
          </w:tcPr>
          <w:p>
            <w:pPr>
              <w:spacing w:after="20"/>
              <w:jc w:val="right"/>
            </w:pPr>
            <w:r>
              <w:rPr>
                <w:color w:val="1C3A36"/>
                <w:sz w:val="16"/>
              </w:rPr>
              <w:t>July 2026 auction, 2026-07-30</w:t>
            </w:r>
          </w:p>
        </w:tc>
      </w:tr>
      <w:tr>
        <w:trPr>
          <w:cantSplit/>
        </w:trPr>
        <w:tc>
          <w:tcPr>
            <w:tcW w:type="dxa" w:w="4104"/>
          </w:tcPr>
          <w:p>
            <w:pPr>
              <w:spacing w:after="20"/>
            </w:pPr>
            <w:r>
              <w:rPr>
                <w:color w:val="1C3A36"/>
                <w:sz w:val="16"/>
              </w:rPr>
              <w:t>Less: the sovereign's OWN adjusted default spread</w:t>
            </w:r>
          </w:p>
        </w:tc>
        <w:tc>
          <w:tcPr>
            <w:tcW w:type="dxa" w:w="1368"/>
          </w:tcPr>
          <w:p>
            <w:pPr>
              <w:spacing w:after="20"/>
              <w:jc w:val="right"/>
            </w:pPr>
            <w:r>
              <w:rPr>
                <w:color w:val="1C3A36"/>
                <w:sz w:val="16"/>
              </w:rPr>
              <w:t>(0.04%)</w:t>
            </w:r>
          </w:p>
        </w:tc>
        <w:tc>
          <w:tcPr>
            <w:tcW w:type="dxa" w:w="4320"/>
          </w:tcPr>
          <w:p>
            <w:pPr>
              <w:spacing w:after="20"/>
              <w:jc w:val="right"/>
            </w:pPr>
            <w:r>
              <w:rPr>
                <w:color w:val="1C3A36"/>
                <w:sz w:val="16"/>
              </w:rPr>
              <w:t>UAE row, rated Aa2 / stable</w:t>
            </w:r>
          </w:p>
        </w:tc>
      </w:tr>
      <w:tr>
        <w:trPr>
          <w:cantSplit/>
        </w:trPr>
        <w:tc>
          <w:tcPr>
            <w:tcW w:type="dxa" w:w="4104"/>
            <w:shd w:val="clear" w:color="auto" w:fill="F6F1E6"/>
          </w:tcPr>
          <w:p>
            <w:pPr>
              <w:spacing w:after="20"/>
            </w:pPr>
            <w:r>
              <w:rPr>
                <w:b/>
                <w:color w:val="1C3A36"/>
                <w:sz w:val="16"/>
              </w:rPr>
              <w:t>NORMALISED RISK-FREE RATE</w:t>
            </w:r>
          </w:p>
        </w:tc>
        <w:tc>
          <w:tcPr>
            <w:tcW w:type="dxa" w:w="1368"/>
            <w:shd w:val="clear" w:color="auto" w:fill="F6F1E6"/>
          </w:tcPr>
          <w:p>
            <w:pPr>
              <w:spacing w:after="20"/>
              <w:jc w:val="right"/>
            </w:pPr>
            <w:r>
              <w:rPr>
                <w:b/>
                <w:color w:val="1C3A36"/>
                <w:sz w:val="16"/>
              </w:rPr>
              <w:t>4.44%</w:t>
            </w:r>
          </w:p>
        </w:tc>
        <w:tc>
          <w:tcPr>
            <w:tcW w:type="dxa" w:w="4320"/>
            <w:shd w:val="clear" w:color="auto" w:fill="F6F1E6"/>
          </w:tcPr>
          <w:p>
            <w:pPr>
              <w:spacing w:after="20"/>
              <w:jc w:val="right"/>
            </w:pPr>
            <w:r>
              <w:rPr>
                <w:b/>
                <w:color w:val="1C3A36"/>
                <w:sz w:val="16"/>
              </w:rPr>
              <w:t>country risk removed here so it can enter once, inside the premium below</w:t>
            </w:r>
          </w:p>
        </w:tc>
      </w:tr>
      <w:tr>
        <w:trPr>
          <w:cantSplit/>
        </w:trPr>
        <w:tc>
          <w:tcPr>
            <w:tcW w:type="dxa" w:w="4104"/>
          </w:tcPr>
          <w:p>
            <w:pPr>
              <w:spacing w:after="20"/>
            </w:pPr>
            <w:r>
              <w:rPr>
                <w:color w:val="1C3A36"/>
                <w:sz w:val="16"/>
              </w:rPr>
              <w:t>Mature-market equity risk premium</w:t>
            </w:r>
          </w:p>
        </w:tc>
        <w:tc>
          <w:tcPr>
            <w:tcW w:type="dxa" w:w="1368"/>
          </w:tcPr>
          <w:p>
            <w:pPr>
              <w:spacing w:after="20"/>
              <w:jc w:val="right"/>
            </w:pPr>
            <w:r>
              <w:rPr>
                <w:color w:val="1C3A36"/>
                <w:sz w:val="16"/>
              </w:rPr>
              <w:t>4.23%</w:t>
            </w:r>
          </w:p>
        </w:tc>
        <w:tc>
          <w:tcPr>
            <w:tcW w:type="dxa" w:w="4320"/>
          </w:tcPr>
          <w:p>
            <w:pPr>
              <w:spacing w:after="20"/>
              <w:jc w:val="right"/>
            </w:pPr>
            <w:r>
              <w:rPr>
                <w:color w:val="1C3A36"/>
                <w:sz w:val="16"/>
              </w:rPr>
              <w:t>the source file's own implied mature-market premium</w:t>
            </w:r>
          </w:p>
        </w:tc>
      </w:tr>
      <w:tr>
        <w:trPr>
          <w:cantSplit/>
        </w:trPr>
        <w:tc>
          <w:tcPr>
            <w:tcW w:type="dxa" w:w="4104"/>
          </w:tcPr>
          <w:p>
            <w:pPr>
              <w:spacing w:after="20"/>
            </w:pPr>
            <w:r>
              <w:rPr>
                <w:color w:val="1C3A36"/>
                <w:sz w:val="16"/>
              </w:rPr>
              <w:t>Country risk premium for the UAE</w:t>
            </w:r>
          </w:p>
        </w:tc>
        <w:tc>
          <w:tcPr>
            <w:tcW w:type="dxa" w:w="1368"/>
          </w:tcPr>
          <w:p>
            <w:pPr>
              <w:spacing w:after="20"/>
              <w:jc w:val="right"/>
            </w:pPr>
            <w:r>
              <w:rPr>
                <w:color w:val="1C3A36"/>
                <w:sz w:val="16"/>
              </w:rPr>
              <w:t>0.64%</w:t>
            </w:r>
          </w:p>
        </w:tc>
        <w:tc>
          <w:tcPr>
            <w:tcW w:type="dxa" w:w="4320"/>
          </w:tcPr>
          <w:p>
            <w:pPr>
              <w:spacing w:after="20"/>
              <w:jc w:val="right"/>
            </w:pPr>
            <w:r>
              <w:rPr>
                <w:color w:val="1C3A36"/>
                <w:sz w:val="16"/>
              </w:rPr>
              <w:t>the same file's UAE row</w:t>
            </w:r>
          </w:p>
        </w:tc>
      </w:tr>
      <w:tr>
        <w:trPr>
          <w:cantSplit/>
        </w:trPr>
        <w:tc>
          <w:tcPr>
            <w:tcW w:type="dxa" w:w="4104"/>
            <w:shd w:val="clear" w:color="auto" w:fill="F6F1E6"/>
          </w:tcPr>
          <w:p>
            <w:pPr>
              <w:spacing w:after="20"/>
            </w:pPr>
            <w:r>
              <w:rPr>
                <w:b/>
                <w:color w:val="1C3A36"/>
                <w:sz w:val="16"/>
              </w:rPr>
              <w:t>TOTAL EQUITY RISK PREMIUM</w:t>
            </w:r>
          </w:p>
        </w:tc>
        <w:tc>
          <w:tcPr>
            <w:tcW w:type="dxa" w:w="1368"/>
            <w:shd w:val="clear" w:color="auto" w:fill="F6F1E6"/>
          </w:tcPr>
          <w:p>
            <w:pPr>
              <w:spacing w:after="20"/>
              <w:jc w:val="right"/>
            </w:pPr>
            <w:r>
              <w:rPr>
                <w:b/>
                <w:color w:val="1C3A36"/>
                <w:sz w:val="16"/>
              </w:rPr>
              <w:t>4.87%</w:t>
            </w:r>
          </w:p>
        </w:tc>
        <w:tc>
          <w:tcPr>
            <w:tcW w:type="dxa" w:w="4320"/>
            <w:shd w:val="clear" w:color="auto" w:fill="F6F1E6"/>
          </w:tcPr>
          <w:p>
            <w:pPr>
              <w:spacing w:after="20"/>
              <w:jc w:val="right"/>
            </w:pPr>
            <w:r>
              <w:rPr>
                <w:b/>
                <w:color w:val="1C3A36"/>
                <w:sz w:val="16"/>
              </w:rPr>
              <w:t>rating basis</w:t>
            </w:r>
          </w:p>
        </w:tc>
      </w:tr>
      <w:tr>
        <w:trPr>
          <w:cantSplit/>
        </w:trPr>
        <w:tc>
          <w:tcPr>
            <w:tcW w:type="dxa" w:w="4104"/>
          </w:tcPr>
          <w:p>
            <w:pPr>
              <w:spacing w:after="20"/>
            </w:pPr>
            <w:r>
              <w:rPr>
                <w:color w:val="1C3A36"/>
                <w:sz w:val="16"/>
              </w:rPr>
              <w:t>Beta</w:t>
            </w:r>
          </w:p>
        </w:tc>
        <w:tc>
          <w:tcPr>
            <w:tcW w:type="dxa" w:w="1368"/>
          </w:tcPr>
          <w:p>
            <w:pPr>
              <w:spacing w:after="20"/>
              <w:jc w:val="right"/>
            </w:pPr>
            <w:r>
              <w:rPr>
                <w:color w:val="1C3A36"/>
                <w:sz w:val="16"/>
              </w:rPr>
              <w:t>0.65</w:t>
            </w:r>
          </w:p>
        </w:tc>
        <w:tc>
          <w:tcPr>
            <w:tcW w:type="dxa" w:w="4320"/>
          </w:tcPr>
          <w:p>
            <w:pPr>
              <w:spacing w:after="20"/>
              <w:jc w:val="right"/>
            </w:pPr>
            <w:r>
              <w:rPr>
                <w:color w:val="1C3A36"/>
                <w:sz w:val="16"/>
              </w:rPr>
              <w:t>5-year weekly (W-FRI) regression of this share against its own local index</w:t>
            </w:r>
          </w:p>
        </w:tc>
      </w:tr>
      <w:tr>
        <w:trPr>
          <w:cantSplit/>
        </w:trPr>
        <w:tc>
          <w:tcPr>
            <w:tcW w:type="dxa" w:w="4104"/>
            <w:shd w:val="clear" w:color="auto" w:fill="F6F1E6"/>
          </w:tcPr>
          <w:p>
            <w:pPr>
              <w:spacing w:after="20"/>
            </w:pPr>
            <w:r>
              <w:rPr>
                <w:b/>
                <w:color w:val="1C3A36"/>
                <w:sz w:val="16"/>
              </w:rPr>
              <w:t>COST OF EQUITY</w:t>
            </w:r>
          </w:p>
        </w:tc>
        <w:tc>
          <w:tcPr>
            <w:tcW w:type="dxa" w:w="1368"/>
            <w:shd w:val="clear" w:color="auto" w:fill="F6F1E6"/>
          </w:tcPr>
          <w:p>
            <w:pPr>
              <w:spacing w:after="20"/>
              <w:jc w:val="right"/>
            </w:pPr>
            <w:r>
              <w:rPr>
                <w:b/>
                <w:color w:val="1C3A36"/>
                <w:sz w:val="16"/>
              </w:rPr>
              <w:t>7.60%</w:t>
            </w:r>
          </w:p>
        </w:tc>
        <w:tc>
          <w:tcPr>
            <w:tcW w:type="dxa" w:w="4320"/>
            <w:shd w:val="clear" w:color="auto" w:fill="F6F1E6"/>
          </w:tcPr>
          <w:p>
            <w:pPr>
              <w:spacing w:after="20"/>
              <w:jc w:val="right"/>
            </w:pPr>
            <w:r>
              <w:rPr>
                <w:b/>
                <w:color w:val="1C3A36"/>
                <w:sz w:val="16"/>
              </w:rPr>
              <w:t>4.44% + 0.65 x 4.87%</w:t>
            </w:r>
          </w:p>
        </w:tc>
      </w:tr>
      <w:tr>
        <w:trPr>
          <w:cantSplit/>
        </w:trPr>
        <w:tc>
          <w:tcPr>
            <w:tcW w:type="dxa" w:w="4104"/>
          </w:tcPr>
          <w:p>
            <w:pPr>
              <w:spacing w:after="20"/>
            </w:pPr>
            <w:r>
              <w:rPr>
                <w:color w:val="1C3A36"/>
                <w:sz w:val="16"/>
              </w:rPr>
              <w:t>Pre-tax cost of debt, marginal and term-matched</w:t>
            </w:r>
          </w:p>
        </w:tc>
        <w:tc>
          <w:tcPr>
            <w:tcW w:type="dxa" w:w="1368"/>
          </w:tcPr>
          <w:p>
            <w:pPr>
              <w:spacing w:after="20"/>
              <w:jc w:val="right"/>
            </w:pPr>
            <w:r>
              <w:rPr>
                <w:color w:val="1C3A36"/>
                <w:sz w:val="16"/>
              </w:rPr>
              <w:t>5.08%</w:t>
            </w:r>
          </w:p>
        </w:tc>
        <w:tc>
          <w:tcPr>
            <w:tcW w:type="dxa" w:w="4320"/>
          </w:tcPr>
          <w:p>
            <w:pPr>
              <w:spacing w:after="20"/>
              <w:jc w:val="right"/>
            </w:pPr>
            <w:r>
              <w:rPr>
                <w:color w:val="1C3A36"/>
                <w:sz w:val="16"/>
              </w:rPr>
              <w:t>the sovereign yield plus the company's own disclosed dirham credit margin</w:t>
            </w:r>
          </w:p>
        </w:tc>
      </w:tr>
      <w:tr>
        <w:trPr>
          <w:cantSplit/>
        </w:trPr>
        <w:tc>
          <w:tcPr>
            <w:tcW w:type="dxa" w:w="4104"/>
          </w:tcPr>
          <w:p>
            <w:pPr>
              <w:spacing w:after="20"/>
            </w:pPr>
            <w:r>
              <w:rPr>
                <w:color w:val="1C3A36"/>
                <w:sz w:val="16"/>
              </w:rPr>
              <w:t>After-tax cost of debt</w:t>
            </w:r>
          </w:p>
        </w:tc>
        <w:tc>
          <w:tcPr>
            <w:tcW w:type="dxa" w:w="1368"/>
          </w:tcPr>
          <w:p>
            <w:pPr>
              <w:spacing w:after="20"/>
              <w:jc w:val="right"/>
            </w:pPr>
            <w:r>
              <w:rPr>
                <w:color w:val="1C3A36"/>
                <w:sz w:val="16"/>
              </w:rPr>
              <w:t>4.62%</w:t>
            </w:r>
          </w:p>
        </w:tc>
        <w:tc>
          <w:tcPr>
            <w:tcW w:type="dxa" w:w="4320"/>
          </w:tcPr>
          <w:p>
            <w:pPr>
              <w:spacing w:after="20"/>
              <w:jc w:val="right"/>
            </w:pPr>
            <w:r>
              <w:rPr>
                <w:color w:val="1C3A36"/>
                <w:sz w:val="16"/>
              </w:rPr>
              <w:t>at the effective rate of 10.17%</w:t>
            </w:r>
          </w:p>
        </w:tc>
      </w:tr>
      <w:tr>
        <w:trPr>
          <w:cantSplit/>
        </w:trPr>
        <w:tc>
          <w:tcPr>
            <w:tcW w:type="dxa" w:w="4104"/>
          </w:tcPr>
          <w:p>
            <w:pPr>
              <w:spacing w:after="20"/>
            </w:pPr>
            <w:r>
              <w:rPr>
                <w:color w:val="1C3A36"/>
                <w:sz w:val="16"/>
              </w:rPr>
              <w:t>Weight of equity — MARKET value</w:t>
            </w:r>
          </w:p>
        </w:tc>
        <w:tc>
          <w:tcPr>
            <w:tcW w:type="dxa" w:w="1368"/>
          </w:tcPr>
          <w:p>
            <w:pPr>
              <w:spacing w:after="20"/>
              <w:jc w:val="right"/>
            </w:pPr>
            <w:r>
              <w:rPr>
                <w:color w:val="1C3A36"/>
                <w:sz w:val="16"/>
              </w:rPr>
              <w:t>94.4%</w:t>
            </w:r>
          </w:p>
        </w:tc>
        <w:tc>
          <w:tcPr>
            <w:tcW w:type="dxa" w:w="4320"/>
          </w:tcPr>
          <w:p>
            <w:pPr>
              <w:spacing w:after="20"/>
              <w:jc w:val="right"/>
            </w:pPr>
            <w:r>
              <w:rPr>
                <w:color w:val="1C3A36"/>
                <w:sz w:val="16"/>
              </w:rPr>
              <w:t>AED 50,250m of market capitalisation</w:t>
            </w:r>
          </w:p>
        </w:tc>
      </w:tr>
      <w:tr>
        <w:trPr>
          <w:cantSplit/>
        </w:trPr>
        <w:tc>
          <w:tcPr>
            <w:tcW w:type="dxa" w:w="4104"/>
          </w:tcPr>
          <w:p>
            <w:pPr>
              <w:spacing w:after="20"/>
            </w:pPr>
            <w:r>
              <w:rPr>
                <w:color w:val="1C3A36"/>
                <w:sz w:val="16"/>
              </w:rPr>
              <w:t>Weight of debt</w:t>
            </w:r>
          </w:p>
        </w:tc>
        <w:tc>
          <w:tcPr>
            <w:tcW w:type="dxa" w:w="1368"/>
          </w:tcPr>
          <w:p>
            <w:pPr>
              <w:spacing w:after="20"/>
              <w:jc w:val="right"/>
            </w:pPr>
            <w:r>
              <w:rPr>
                <w:color w:val="1C3A36"/>
                <w:sz w:val="16"/>
              </w:rPr>
              <w:t>5.6%</w:t>
            </w:r>
          </w:p>
        </w:tc>
        <w:tc>
          <w:tcPr>
            <w:tcW w:type="dxa" w:w="4320"/>
          </w:tcPr>
          <w:p>
            <w:pPr>
              <w:spacing w:after="20"/>
              <w:jc w:val="right"/>
            </w:pPr>
            <w:r>
              <w:rPr>
                <w:color w:val="1C3A36"/>
                <w:sz w:val="16"/>
              </w:rPr>
              <w:t>AED 2,985m of net debt</w:t>
            </w:r>
          </w:p>
        </w:tc>
      </w:tr>
      <w:tr>
        <w:trPr>
          <w:cantSplit/>
        </w:trPr>
        <w:tc>
          <w:tcPr>
            <w:tcW w:type="dxa" w:w="4104"/>
            <w:shd w:val="clear" w:color="auto" w:fill="F6F1E6"/>
          </w:tcPr>
          <w:p>
            <w:pPr>
              <w:spacing w:after="20"/>
            </w:pPr>
            <w:r>
              <w:rPr>
                <w:b/>
                <w:color w:val="1C3A36"/>
                <w:sz w:val="16"/>
              </w:rPr>
              <w:t>WEIGHTED AVERAGE COST OF CAPITAL, today</w:t>
            </w:r>
          </w:p>
        </w:tc>
        <w:tc>
          <w:tcPr>
            <w:tcW w:type="dxa" w:w="1368"/>
            <w:shd w:val="clear" w:color="auto" w:fill="F6F1E6"/>
          </w:tcPr>
          <w:p>
            <w:pPr>
              <w:spacing w:after="20"/>
              <w:jc w:val="right"/>
            </w:pPr>
            <w:r>
              <w:rPr>
                <w:b/>
                <w:color w:val="1C3A36"/>
                <w:sz w:val="16"/>
              </w:rPr>
              <w:t>7.44%</w:t>
            </w:r>
          </w:p>
        </w:tc>
        <w:tc>
          <w:tcPr>
            <w:tcW w:type="dxa" w:w="4320"/>
            <w:shd w:val="clear" w:color="auto" w:fill="F6F1E6"/>
          </w:tcPr>
          <w:p>
            <w:pPr>
              <w:spacing w:after="20"/>
              <w:jc w:val="right"/>
            </w:pPr>
            <w:r>
              <w:rPr>
                <w:b/>
                <w:color w:val="1C3A36"/>
                <w:sz w:val="16"/>
              </w:rPr>
            </w:r>
          </w:p>
        </w:tc>
      </w:tr>
      <w:tr>
        <w:trPr>
          <w:cantSplit/>
        </w:trPr>
        <w:tc>
          <w:tcPr>
            <w:tcW w:type="dxa" w:w="4104"/>
          </w:tcPr>
          <w:p>
            <w:pPr>
              <w:spacing w:after="20"/>
            </w:pPr>
            <w:r>
              <w:rPr>
                <w:color w:val="1C3A36"/>
                <w:sz w:val="16"/>
              </w:rPr>
              <w:t>Terminal beta</w:t>
            </w:r>
          </w:p>
        </w:tc>
        <w:tc>
          <w:tcPr>
            <w:tcW w:type="dxa" w:w="1368"/>
          </w:tcPr>
          <w:p>
            <w:pPr>
              <w:spacing w:after="20"/>
              <w:jc w:val="right"/>
            </w:pPr>
            <w:r>
              <w:rPr>
                <w:color w:val="1C3A36"/>
                <w:sz w:val="16"/>
              </w:rPr>
              <w:t>0.65</w:t>
            </w:r>
          </w:p>
        </w:tc>
        <w:tc>
          <w:tcPr>
            <w:tcW w:type="dxa" w:w="4320"/>
          </w:tcPr>
          <w:p>
            <w:pPr>
              <w:spacing w:after="20"/>
              <w:jc w:val="right"/>
            </w:pPr>
            <w:r>
              <w:rPr>
                <w:color w:val="1C3A36"/>
                <w:sz w:val="16"/>
              </w:rPr>
              <w:t>glided toward the market as the regulated-margin advantage is assumed to erode</w:t>
            </w:r>
          </w:p>
        </w:tc>
      </w:tr>
      <w:tr>
        <w:trPr>
          <w:cantSplit/>
        </w:trPr>
        <w:tc>
          <w:tcPr>
            <w:tcW w:type="dxa" w:w="4104"/>
          </w:tcPr>
          <w:p>
            <w:pPr>
              <w:spacing w:after="20"/>
            </w:pPr>
            <w:r>
              <w:rPr>
                <w:color w:val="1C3A36"/>
                <w:sz w:val="16"/>
              </w:rPr>
              <w:t>Terminal weight of debt</w:t>
            </w:r>
          </w:p>
        </w:tc>
        <w:tc>
          <w:tcPr>
            <w:tcW w:type="dxa" w:w="1368"/>
          </w:tcPr>
          <w:p>
            <w:pPr>
              <w:spacing w:after="20"/>
              <w:jc w:val="right"/>
            </w:pPr>
            <w:r>
              <w:rPr>
                <w:color w:val="1C3A36"/>
                <w:sz w:val="16"/>
              </w:rPr>
              <w:t>6%</w:t>
            </w:r>
          </w:p>
        </w:tc>
        <w:tc>
          <w:tcPr>
            <w:tcW w:type="dxa" w:w="4320"/>
          </w:tcPr>
          <w:p>
            <w:pPr>
              <w:spacing w:after="20"/>
              <w:jc w:val="right"/>
            </w:pPr>
            <w:r>
              <w:rPr>
                <w:color w:val="1C3A36"/>
                <w:sz w:val="16"/>
              </w:rPr>
              <w:t>a normalised structure rather than today's near-ungeared one</w:t>
            </w:r>
          </w:p>
        </w:tc>
      </w:tr>
      <w:tr>
        <w:trPr>
          <w:cantSplit/>
        </w:trPr>
        <w:tc>
          <w:tcPr>
            <w:tcW w:type="dxa" w:w="4104"/>
            <w:shd w:val="clear" w:color="auto" w:fill="F6F1E6"/>
          </w:tcPr>
          <w:p>
            <w:pPr>
              <w:spacing w:after="20"/>
            </w:pPr>
            <w:r>
              <w:rPr>
                <w:b/>
                <w:color w:val="1C3A36"/>
                <w:sz w:val="16"/>
              </w:rPr>
              <w:t>TERMINAL WEIGHTED AVERAGE COST OF CAPITAL</w:t>
            </w:r>
          </w:p>
        </w:tc>
        <w:tc>
          <w:tcPr>
            <w:tcW w:type="dxa" w:w="1368"/>
            <w:shd w:val="clear" w:color="auto" w:fill="F6F1E6"/>
          </w:tcPr>
          <w:p>
            <w:pPr>
              <w:spacing w:after="20"/>
              <w:jc w:val="right"/>
            </w:pPr>
            <w:r>
              <w:rPr>
                <w:b/>
                <w:color w:val="1C3A36"/>
                <w:sz w:val="16"/>
              </w:rPr>
              <w:t>7.44%</w:t>
            </w:r>
          </w:p>
        </w:tc>
        <w:tc>
          <w:tcPr>
            <w:tcW w:type="dxa" w:w="4320"/>
            <w:shd w:val="clear" w:color="auto" w:fill="F6F1E6"/>
          </w:tcPr>
          <w:p>
            <w:pPr>
              <w:spacing w:after="20"/>
              <w:jc w:val="right"/>
            </w:pPr>
            <w:r>
              <w:rPr>
                <w:b/>
                <w:color w:val="1C3A36"/>
                <w:sz w:val="16"/>
              </w:rPr>
              <w:t>the rate that discounts 74.9% of the value</w:t>
            </w:r>
          </w:p>
        </w:tc>
      </w:tr>
    </w:tbl>
    <w:p>
      <w:pPr>
        <w:spacing w:after="40"/>
      </w:pPr>
    </w:p>
    <w:p>
      <w:pPr>
        <w:spacing w:after="200" w:before="0"/>
      </w:pPr>
      <w:r>
        <w:rPr>
          <w:b w:val="0"/>
          <w:i/>
          <w:color w:val="6E7B77"/>
          <w:sz w:val="17"/>
        </w:rPr>
        <w:t>Table 19 — the cost of capital. The discount rate is not held at 7.44%: it glides linearly to 7.44% across the five explicit years, because today's reading rests on a beta of 0.65 and a debt weight of 5.6% that this study does not believe are permanent. Holding the first-year rate through the terminal would ADD materially to the valuation, and would be the single easiest way to make this study say what a reader might want it to say.</w:t>
      </w:r>
    </w:p>
    <w:p>
      <w:pPr>
        <w:spacing w:after="120" w:before="0"/>
      </w:pPr>
      <w:r>
        <w:rPr>
          <w:b w:val="0"/>
          <w:i w:val="0"/>
          <w:color w:val="1C3A36"/>
          <w:sz w:val="21"/>
        </w:rPr>
        <w:t>The beta is the company's own, regressed against its own local index. On 5 years of weekly (W-FRI) returns against the FTSE ADX General Index (published, includes the subject), it is 0.65 with a standard error of 0.09 and an r-squared of 17.9% over 257 observations — a 90% interval of 0.51 to 0.79. The regression EXCLUDES the subject from the index, because a large constituent regressed against an index containing itself is mechanically pulled toward one. Including it gives 0.65; regressing against the broader all-UAE composite gives 0.51. All three are published. A beta of 0.65 is a real economic statement about this share: a committee-set margin with a parental floor under it genuinely is less exposed to the local market cycle than the average listed company.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368"/>
        <w:gridCol w:w="4608"/>
      </w:tblGrid>
      <w:tr>
        <w:trPr>
          <w:cantSplit/>
        </w:trPr>
        <w:tc>
          <w:tcPr>
            <w:tcW w:type="dxa" w:w="3744"/>
            <w:shd w:val="clear" w:color="auto" w:fill="EAF0EE"/>
          </w:tcPr>
          <w:p>
            <w:pPr>
              <w:spacing w:after="20"/>
            </w:pPr>
            <w:r>
              <w:rPr>
                <w:b/>
                <w:color w:val="1C3A36"/>
                <w:sz w:val="16"/>
              </w:rPr>
              <w:t>Cost of debt — the evidence</w:t>
            </w:r>
          </w:p>
        </w:tc>
        <w:tc>
          <w:tcPr>
            <w:tcW w:type="dxa" w:w="1368"/>
            <w:shd w:val="clear" w:color="auto" w:fill="EAF0EE"/>
          </w:tcPr>
          <w:p>
            <w:pPr>
              <w:spacing w:after="20"/>
            </w:pPr>
            <w:r>
              <w:rPr>
                <w:b/>
                <w:color w:val="1C3A36"/>
                <w:sz w:val="16"/>
              </w:rPr>
              <w:t>Rate</w:t>
            </w:r>
          </w:p>
        </w:tc>
        <w:tc>
          <w:tcPr>
            <w:tcW w:type="dxa" w:w="4608"/>
            <w:shd w:val="clear" w:color="auto" w:fill="EAF0EE"/>
          </w:tcPr>
          <w:p>
            <w:pPr>
              <w:spacing w:after="20"/>
            </w:pPr>
            <w:r>
              <w:rPr>
                <w:b/>
                <w:color w:val="1C3A36"/>
                <w:sz w:val="16"/>
              </w:rPr>
              <w:t>Basis</w:t>
            </w:r>
          </w:p>
        </w:tc>
      </w:tr>
      <w:tr>
        <w:trPr>
          <w:cantSplit/>
        </w:trPr>
        <w:tc>
          <w:tcPr>
            <w:tcW w:type="dxa" w:w="3744"/>
          </w:tcPr>
          <w:p>
            <w:pPr>
              <w:spacing w:after="20"/>
            </w:pPr>
            <w:r>
              <w:rPr>
                <w:color w:val="1C3A36"/>
                <w:sz w:val="16"/>
              </w:rPr>
              <w:t>Company's own dirham facility margin</w:t>
            </w:r>
          </w:p>
        </w:tc>
        <w:tc>
          <w:tcPr>
            <w:tcW w:type="dxa" w:w="1368"/>
          </w:tcPr>
          <w:p>
            <w:pPr>
              <w:spacing w:after="20"/>
              <w:jc w:val="right"/>
            </w:pPr>
            <w:r>
              <w:rPr>
                <w:color w:val="1C3A36"/>
                <w:sz w:val="16"/>
              </w:rPr>
              <w:t>+0.60%</w:t>
            </w:r>
          </w:p>
        </w:tc>
        <w:tc>
          <w:tcPr>
            <w:tcW w:type="dxa" w:w="4608"/>
          </w:tcPr>
          <w:p>
            <w:pPr>
              <w:spacing w:after="20"/>
              <w:jc w:val="right"/>
            </w:pPr>
            <w:r>
              <w:rPr>
                <w:color w:val="1C3A36"/>
                <w:sz w:val="16"/>
              </w:rPr>
              <w:t>over the local interbank rate, as disclosed</w:t>
            </w:r>
          </w:p>
        </w:tc>
      </w:tr>
      <w:tr>
        <w:trPr>
          <w:cantSplit/>
        </w:trPr>
        <w:tc>
          <w:tcPr>
            <w:tcW w:type="dxa" w:w="3744"/>
          </w:tcPr>
          <w:p>
            <w:pPr>
              <w:spacing w:after="20"/>
            </w:pPr>
            <w:r>
              <w:rPr>
                <w:color w:val="1C3A36"/>
                <w:sz w:val="16"/>
              </w:rPr>
              <w:t>Company's own dollar facility margin</w:t>
            </w:r>
          </w:p>
        </w:tc>
        <w:tc>
          <w:tcPr>
            <w:tcW w:type="dxa" w:w="1368"/>
          </w:tcPr>
          <w:p>
            <w:pPr>
              <w:spacing w:after="20"/>
              <w:jc w:val="right"/>
            </w:pPr>
            <w:r>
              <w:rPr>
                <w:color w:val="1C3A36"/>
                <w:sz w:val="16"/>
              </w:rPr>
              <w:t>+0.85%</w:t>
            </w:r>
          </w:p>
        </w:tc>
        <w:tc>
          <w:tcPr>
            <w:tcW w:type="dxa" w:w="4608"/>
          </w:tcPr>
          <w:p>
            <w:pPr>
              <w:spacing w:after="20"/>
              <w:jc w:val="right"/>
            </w:pPr>
            <w:r>
              <w:rPr>
                <w:color w:val="1C3A36"/>
                <w:sz w:val="16"/>
              </w:rPr>
              <w:t>over the dollar overnight financing rate, as disclosed</w:t>
            </w:r>
          </w:p>
        </w:tc>
      </w:tr>
      <w:tr>
        <w:trPr>
          <w:cantSplit/>
        </w:trPr>
        <w:tc>
          <w:tcPr>
            <w:tcW w:type="dxa" w:w="3744"/>
          </w:tcPr>
          <w:p>
            <w:pPr>
              <w:spacing w:after="20"/>
            </w:pPr>
            <w:r>
              <w:rPr>
                <w:color w:val="1C3A36"/>
                <w:sz w:val="16"/>
              </w:rPr>
              <w:t>Local central bank base rate</w:t>
            </w:r>
          </w:p>
        </w:tc>
        <w:tc>
          <w:tcPr>
            <w:tcW w:type="dxa" w:w="1368"/>
          </w:tcPr>
          <w:p>
            <w:pPr>
              <w:spacing w:after="20"/>
              <w:jc w:val="right"/>
            </w:pPr>
            <w:r>
              <w:rPr>
                <w:color w:val="1C3A36"/>
                <w:sz w:val="16"/>
              </w:rPr>
              <w:t>3.65%</w:t>
            </w:r>
          </w:p>
        </w:tc>
        <w:tc>
          <w:tcPr>
            <w:tcW w:type="dxa" w:w="4608"/>
          </w:tcPr>
          <w:p>
            <w:pPr>
              <w:spacing w:after="20"/>
              <w:jc w:val="right"/>
            </w:pPr>
            <w:r>
              <w:rPr>
                <w:color w:val="1C3A36"/>
                <w:sz w:val="16"/>
              </w:rPr>
              <w:t>held at the 2026-07-29 meeting</w:t>
            </w:r>
          </w:p>
        </w:tc>
      </w:tr>
      <w:tr>
        <w:trPr>
          <w:cantSplit/>
        </w:trPr>
        <w:tc>
          <w:tcPr>
            <w:tcW w:type="dxa" w:w="3744"/>
          </w:tcPr>
          <w:p>
            <w:pPr>
              <w:spacing w:after="20"/>
            </w:pPr>
            <w:r>
              <w:rPr>
                <w:color w:val="1C3A36"/>
                <w:sz w:val="16"/>
              </w:rPr>
              <w:t>Floating-rate basis today</w:t>
            </w:r>
          </w:p>
        </w:tc>
        <w:tc>
          <w:tcPr>
            <w:tcW w:type="dxa" w:w="1368"/>
          </w:tcPr>
          <w:p>
            <w:pPr>
              <w:spacing w:after="20"/>
              <w:jc w:val="right"/>
            </w:pPr>
            <w:r>
              <w:rPr>
                <w:color w:val="1C3A36"/>
                <w:sz w:val="16"/>
              </w:rPr>
              <w:t>4.25%</w:t>
            </w:r>
          </w:p>
        </w:tc>
        <w:tc>
          <w:tcPr>
            <w:tcW w:type="dxa" w:w="4608"/>
          </w:tcPr>
          <w:p>
            <w:pPr>
              <w:spacing w:after="20"/>
              <w:jc w:val="right"/>
            </w:pPr>
            <w:r>
              <w:rPr>
                <w:color w:val="1C3A36"/>
                <w:sz w:val="16"/>
              </w:rPr>
              <w:t>base rate plus the dirham margin — what the company pays right now</w:t>
            </w:r>
          </w:p>
        </w:tc>
      </w:tr>
      <w:tr>
        <w:trPr>
          <w:cantSplit/>
        </w:trPr>
        <w:tc>
          <w:tcPr>
            <w:tcW w:type="dxa" w:w="3744"/>
          </w:tcPr>
          <w:p>
            <w:pPr>
              <w:spacing w:after="20"/>
            </w:pPr>
            <w:r>
              <w:rPr>
                <w:color w:val="1C3A36"/>
                <w:sz w:val="16"/>
              </w:rPr>
              <w:t>Sovereign dirham yield, term-matched</w:t>
            </w:r>
          </w:p>
        </w:tc>
        <w:tc>
          <w:tcPr>
            <w:tcW w:type="dxa" w:w="1368"/>
          </w:tcPr>
          <w:p>
            <w:pPr>
              <w:spacing w:after="20"/>
              <w:jc w:val="right"/>
            </w:pPr>
            <w:r>
              <w:rPr>
                <w:color w:val="1C3A36"/>
                <w:sz w:val="16"/>
              </w:rPr>
              <w:t>4.48%</w:t>
            </w:r>
          </w:p>
        </w:tc>
        <w:tc>
          <w:tcPr>
            <w:tcW w:type="dxa" w:w="4608"/>
          </w:tcPr>
          <w:p>
            <w:pPr>
              <w:spacing w:after="20"/>
              <w:jc w:val="right"/>
            </w:pPr>
            <w:r>
              <w:rPr>
                <w:color w:val="1C3A36"/>
                <w:sz w:val="16"/>
              </w:rPr>
              <w:t>the same four-and-a-half-year federal point used above</w:t>
            </w:r>
          </w:p>
        </w:tc>
      </w:tr>
      <w:tr>
        <w:trPr>
          <w:cantSplit/>
        </w:trPr>
        <w:tc>
          <w:tcPr>
            <w:tcW w:type="dxa" w:w="3744"/>
            <w:shd w:val="clear" w:color="auto" w:fill="F6F1E6"/>
          </w:tcPr>
          <w:p>
            <w:pPr>
              <w:spacing w:after="20"/>
            </w:pPr>
            <w:r>
              <w:rPr>
                <w:b/>
                <w:color w:val="1C3A36"/>
                <w:sz w:val="16"/>
              </w:rPr>
              <w:t>MARGINAL, TERM-MATCHED COST OF DEBT USED</w:t>
            </w:r>
          </w:p>
        </w:tc>
        <w:tc>
          <w:tcPr>
            <w:tcW w:type="dxa" w:w="1368"/>
            <w:shd w:val="clear" w:color="auto" w:fill="F6F1E6"/>
          </w:tcPr>
          <w:p>
            <w:pPr>
              <w:spacing w:after="20"/>
              <w:jc w:val="right"/>
            </w:pPr>
            <w:r>
              <w:rPr>
                <w:b/>
                <w:color w:val="1C3A36"/>
                <w:sz w:val="16"/>
              </w:rPr>
              <w:t>5.08%</w:t>
            </w:r>
          </w:p>
        </w:tc>
        <w:tc>
          <w:tcPr>
            <w:tcW w:type="dxa" w:w="4608"/>
            <w:shd w:val="clear" w:color="auto" w:fill="F6F1E6"/>
          </w:tcPr>
          <w:p>
            <w:pPr>
              <w:spacing w:after="20"/>
              <w:jc w:val="right"/>
            </w:pPr>
            <w:r>
              <w:rPr>
                <w:b/>
                <w:color w:val="1C3A36"/>
                <w:sz w:val="16"/>
              </w:rPr>
              <w:t>sovereign yield plus the company's own dirham margin</w:t>
            </w:r>
          </w:p>
        </w:tc>
      </w:tr>
      <w:tr>
        <w:trPr>
          <w:cantSplit/>
        </w:trPr>
        <w:tc>
          <w:tcPr>
            <w:tcW w:type="dxa" w:w="3744"/>
          </w:tcPr>
          <w:p>
            <w:pPr>
              <w:spacing w:after="20"/>
            </w:pPr>
            <w:r>
              <w:rPr>
                <w:color w:val="1C3A36"/>
                <w:sz w:val="16"/>
              </w:rPr>
              <w:t xml:space="preserve">   the same construction on the dollar margin</w:t>
            </w:r>
          </w:p>
        </w:tc>
        <w:tc>
          <w:tcPr>
            <w:tcW w:type="dxa" w:w="1368"/>
          </w:tcPr>
          <w:p>
            <w:pPr>
              <w:spacing w:after="20"/>
              <w:jc w:val="right"/>
            </w:pPr>
            <w:r>
              <w:rPr>
                <w:color w:val="1C3A36"/>
                <w:sz w:val="16"/>
              </w:rPr>
              <w:t>5.33%</w:t>
            </w:r>
          </w:p>
        </w:tc>
        <w:tc>
          <w:tcPr>
            <w:tcW w:type="dxa" w:w="4608"/>
          </w:tcPr>
          <w:p>
            <w:pPr>
              <w:spacing w:after="20"/>
              <w:jc w:val="right"/>
            </w:pPr>
            <w:r>
              <w:rPr>
                <w:color w:val="1C3A36"/>
                <w:sz w:val="16"/>
              </w:rPr>
              <w:t>published as a cross-check, not used</w:t>
            </w:r>
          </w:p>
        </w:tc>
      </w:tr>
      <w:tr>
        <w:trPr>
          <w:cantSplit/>
        </w:trPr>
        <w:tc>
          <w:tcPr>
            <w:tcW w:type="dxa" w:w="3744"/>
          </w:tcPr>
          <w:p>
            <w:pPr>
              <w:spacing w:after="20"/>
            </w:pPr>
            <w:r>
              <w:rPr>
                <w:color w:val="1C3A36"/>
                <w:sz w:val="16"/>
              </w:rPr>
              <w:t>Parent group's own long-dated dollar issue</w:t>
            </w:r>
          </w:p>
        </w:tc>
        <w:tc>
          <w:tcPr>
            <w:tcW w:type="dxa" w:w="1368"/>
          </w:tcPr>
          <w:p>
            <w:pPr>
              <w:spacing w:after="20"/>
              <w:jc w:val="right"/>
            </w:pPr>
            <w:r>
              <w:rPr>
                <w:color w:val="1C3A36"/>
                <w:sz w:val="16"/>
              </w:rPr>
              <w:t>4.75%</w:t>
            </w:r>
          </w:p>
        </w:tc>
        <w:tc>
          <w:tcPr>
            <w:tcW w:type="dxa" w:w="4608"/>
          </w:tcPr>
          <w:p>
            <w:pPr>
              <w:spacing w:after="20"/>
              <w:jc w:val="right"/>
            </w:pPr>
            <w:r>
              <w:rPr>
                <w:color w:val="1C3A36"/>
                <w:sz w:val="16"/>
              </w:rPr>
              <w:t>ten-year sukuk, an independent cross-check on the level</w:t>
            </w:r>
          </w:p>
        </w:tc>
      </w:tr>
    </w:tbl>
    <w:p>
      <w:pPr>
        <w:spacing w:after="40"/>
      </w:pPr>
    </w:p>
    <w:p>
      <w:pPr>
        <w:spacing w:after="200" w:before="0"/>
      </w:pPr>
      <w:r>
        <w:rPr>
          <w:b w:val="0"/>
          <w:i/>
          <w:color w:val="6E7B77"/>
          <w:sz w:val="17"/>
        </w:rPr>
        <w:t>Table 20 — the cost-of-debt evidence. The rate used is MARGINAL and forward-looking, not the average rate the company happens to be paying on its existing book. It must sit ABOVE the sovereign — a corporate cannot borrow below its own government in the same currency — and it does: 5.08% against 4.48%. Note that the floating basis today, 4.25%, is BELOW the term-matched construction, because the short end of the curve is below the four-and-a-half-year point. Using the floating rate would understate the cost of financing a long-lived asset base, so it is shown and not used.</w:t>
      </w:r>
    </w:p>
    <w:p>
      <w:pPr>
        <w:spacing w:after="120" w:before="0"/>
      </w:pPr>
      <w:r>
        <w:rPr>
          <w:b w:val="0"/>
          <w:i w:val="0"/>
          <w:color w:val="1C3A36"/>
          <w:sz w:val="21"/>
        </w:rPr>
        <w:t>Three constructions in this section are genuinely contested. Each is priced rather than merely named, because naming a judgement without pricing it tells a reader nothing about whether it matters.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4320"/>
        <w:gridCol w:w="3456"/>
      </w:tblGrid>
      <w:tr>
        <w:trPr>
          <w:cantSplit/>
        </w:trPr>
        <w:tc>
          <w:tcPr>
            <w:tcW w:type="dxa" w:w="2160"/>
            <w:shd w:val="clear" w:color="auto" w:fill="EAF0EE"/>
          </w:tcPr>
          <w:p>
            <w:pPr>
              <w:spacing w:after="20"/>
            </w:pPr>
            <w:r>
              <w:rPr>
                <w:b/>
                <w:color w:val="1C3A36"/>
                <w:sz w:val="16"/>
              </w:rPr>
              <w:t>The contested construction</w:t>
            </w:r>
          </w:p>
        </w:tc>
        <w:tc>
          <w:tcPr>
            <w:tcW w:type="dxa" w:w="4320"/>
            <w:shd w:val="clear" w:color="auto" w:fill="EAF0EE"/>
          </w:tcPr>
          <w:p>
            <w:pPr>
              <w:spacing w:after="20"/>
            </w:pPr>
            <w:r>
              <w:rPr>
                <w:b/>
                <w:color w:val="1C3A36"/>
                <w:sz w:val="16"/>
              </w:rPr>
              <w:t>The choice made</w:t>
            </w:r>
          </w:p>
        </w:tc>
        <w:tc>
          <w:tcPr>
            <w:tcW w:type="dxa" w:w="3456"/>
            <w:shd w:val="clear" w:color="auto" w:fill="EAF0EE"/>
          </w:tcPr>
          <w:p>
            <w:pPr>
              <w:spacing w:after="20"/>
            </w:pPr>
            <w:r>
              <w:rPr>
                <w:b/>
                <w:color w:val="1C3A36"/>
                <w:sz w:val="16"/>
              </w:rPr>
              <w:t>What it is worth</w:t>
            </w:r>
          </w:p>
        </w:tc>
      </w:tr>
      <w:tr>
        <w:trPr>
          <w:cantSplit/>
        </w:trPr>
        <w:tc>
          <w:tcPr>
            <w:tcW w:type="dxa" w:w="2160"/>
          </w:tcPr>
          <w:p>
            <w:pPr>
              <w:spacing w:after="20"/>
            </w:pPr>
            <w:r>
              <w:rPr>
                <w:color w:val="1C3A36"/>
                <w:sz w:val="16"/>
              </w:rPr>
              <w:t>The 15% minimum top-up tax</w:t>
            </w:r>
          </w:p>
        </w:tc>
        <w:tc>
          <w:tcPr>
            <w:tcW w:type="dxa" w:w="4320"/>
          </w:tcPr>
          <w:p>
            <w:pPr>
              <w:spacing w:after="20"/>
              <w:jc w:val="right"/>
            </w:pPr>
            <w:r>
              <w:rPr>
                <w:color w:val="1C3A36"/>
                <w:sz w:val="16"/>
              </w:rPr>
              <w:t>the model taxes cash flows at the effective rate the audited FY2025 reconciliation actually shows, 10.17%, NOT at 15%. The company is plainly within the size threshold for the minimum tax regime, but its own audited reconciliation does not apply it, and this study follows the audited accounts rather than the reader's expectation of them</w:t>
            </w:r>
          </w:p>
        </w:tc>
        <w:tc>
          <w:tcPr>
            <w:tcW w:type="dxa" w:w="3456"/>
          </w:tcPr>
          <w:p>
            <w:pPr>
              <w:spacing w:after="20"/>
              <w:jc w:val="right"/>
            </w:pPr>
            <w:r>
              <w:rPr>
                <w:color w:val="1C3A36"/>
                <w:sz w:val="16"/>
              </w:rPr>
              <w:t>AED 0.28 a share, or 5.8% of the Frame A value. At 15% the reading falls from AED 4.79 to AED 4.51. This is the single largest identifiable downside construction in the study and it is published as a line, not a footnote</w:t>
            </w:r>
          </w:p>
        </w:tc>
      </w:tr>
      <w:tr>
        <w:trPr>
          <w:cantSplit/>
        </w:trPr>
        <w:tc>
          <w:tcPr>
            <w:tcW w:type="dxa" w:w="2160"/>
          </w:tcPr>
          <w:p>
            <w:pPr>
              <w:spacing w:after="20"/>
            </w:pPr>
            <w:r>
              <w:rPr>
                <w:color w:val="1C3A36"/>
                <w:sz w:val="16"/>
              </w:rPr>
              <w:t>Leases in the bridge</w:t>
            </w:r>
          </w:p>
        </w:tc>
        <w:tc>
          <w:tcPr>
            <w:tcW w:type="dxa" w:w="4320"/>
          </w:tcPr>
          <w:p>
            <w:pPr>
              <w:spacing w:after="20"/>
              <w:jc w:val="right"/>
            </w:pPr>
            <w:r>
              <w:rPr>
                <w:color w:val="1C3A36"/>
                <w:sz w:val="16"/>
              </w:rPr>
              <w:t>the lease liability is deducted in the enterprise-to-equity bridge and the right-of-use depreciation stays inside the depreciation charge. The alternative — treating leases as operating and adding the rent back to EBITDA — is internally consistent too, but mixing the two double-counts</w:t>
            </w:r>
          </w:p>
        </w:tc>
        <w:tc>
          <w:tcPr>
            <w:tcW w:type="dxa" w:w="3456"/>
          </w:tcPr>
          <w:p>
            <w:pPr>
              <w:spacing w:after="20"/>
              <w:jc w:val="right"/>
            </w:pPr>
            <w:r>
              <w:rPr>
                <w:color w:val="1C3A36"/>
                <w:sz w:val="16"/>
              </w:rPr>
              <w:t>AED 1,446 million of deduction, or AED 0.12 a share. Enterprise value multiples quoted anywhere in this study carry the lease on the same basis</w:t>
            </w:r>
          </w:p>
        </w:tc>
      </w:tr>
      <w:tr>
        <w:trPr>
          <w:cantSplit/>
        </w:trPr>
        <w:tc>
          <w:tcPr>
            <w:tcW w:type="dxa" w:w="2160"/>
          </w:tcPr>
          <w:p>
            <w:pPr>
              <w:spacing w:after="20"/>
            </w:pPr>
            <w:r>
              <w:rPr>
                <w:color w:val="1C3A36"/>
                <w:sz w:val="16"/>
              </w:rPr>
              <w:t>The equity risk premium basis</w:t>
            </w:r>
          </w:p>
        </w:tc>
        <w:tc>
          <w:tcPr>
            <w:tcW w:type="dxa" w:w="4320"/>
          </w:tcPr>
          <w:p>
            <w:pPr>
              <w:spacing w:after="20"/>
              <w:jc w:val="right"/>
            </w:pPr>
            <w:r>
              <w:rPr>
                <w:color w:val="1C3A36"/>
                <w:sz w:val="16"/>
              </w:rPr>
              <w:t>the source file publishes a rating-based row for the UAE and NO credit-default-swap-based row, so only the rating basis can be published here. Where two bases exist this study publishes both; here one does not exist, and inventing a swap-based figure from a third-party quote that CONTRADICTS the original file would be worse than disclosing the gap</w:t>
            </w:r>
          </w:p>
        </w:tc>
        <w:tc>
          <w:tcPr>
            <w:tcW w:type="dxa" w:w="3456"/>
          </w:tcPr>
          <w:p>
            <w:pPr>
              <w:spacing w:after="20"/>
              <w:jc w:val="right"/>
            </w:pPr>
            <w:r>
              <w:rPr>
                <w:color w:val="1C3A36"/>
                <w:sz w:val="16"/>
              </w:rPr>
              <w:t>the rating basis gives a total premium of 4.87%. A reader who prefers a higher premium can read the beta row of the sensitivity table: a beta of 0.80 — arithmetically the same effect as a premium about forty per cent higher — gives AED 4.25</w:t>
            </w:r>
          </w:p>
        </w:tc>
      </w:tr>
    </w:tbl>
    <w:p>
      <w:pPr>
        <w:spacing w:after="40"/>
      </w:pPr>
    </w:p>
    <w:p>
      <w:pPr>
        <w:spacing w:after="200" w:before="0"/>
      </w:pPr>
      <w:r>
        <w:rPr>
          <w:b w:val="0"/>
          <w:i/>
          <w:color w:val="6E7B77"/>
          <w:sz w:val="17"/>
        </w:rPr>
        <w:t>Table 21 — every contested construction, priced. A fourth is disclosed without a price because it cannot be priced from the original source: the country-risk file used here carries a January 2026 vintage, a mid-year update is known to exist, and the UAE row of that update could not be verified from the original file. The January row is used and the vintage is stated.</w:t>
      </w:r>
    </w:p>
    <w:p>
      <w:pPr>
        <w:spacing w:after="80" w:before="200"/>
      </w:pPr>
      <w:r>
        <w:rPr>
          <w:b/>
          <w:i w:val="0"/>
          <w:color w:val="1C3A36"/>
          <w:sz w:val="24"/>
        </w:rPr>
        <w:t>1.9 Sensitivity</w:t>
      </w:r>
    </w:p>
    <w:p>
      <w:pPr>
        <w:spacing w:after="120" w:before="0"/>
      </w:pPr>
      <w:r>
        <w:rPr>
          <w:b w:val="0"/>
          <w:i w:val="0"/>
          <w:color w:val="1C3A36"/>
          <w:sz w:val="21"/>
        </w:rPr>
        <w:t>Every driver moved one at a time, holding the rest. The order below is the order of importance, and it is not the order most readers would guess.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944"/>
        <w:gridCol w:w="1224"/>
        <w:gridCol w:w="1944"/>
        <w:gridCol w:w="1800"/>
      </w:tblGrid>
      <w:tr>
        <w:trPr>
          <w:cantSplit/>
        </w:trPr>
        <w:tc>
          <w:tcPr>
            <w:tcW w:type="dxa" w:w="3168"/>
            <w:shd w:val="clear" w:color="auto" w:fill="EAF0EE"/>
          </w:tcPr>
          <w:p>
            <w:pPr>
              <w:spacing w:after="20"/>
            </w:pPr>
            <w:r>
              <w:rPr>
                <w:b/>
                <w:color w:val="1C3A36"/>
                <w:sz w:val="17"/>
              </w:rPr>
              <w:t>Driver</w:t>
            </w:r>
          </w:p>
        </w:tc>
        <w:tc>
          <w:tcPr>
            <w:tcW w:type="dxa" w:w="1944"/>
            <w:shd w:val="clear" w:color="auto" w:fill="EAF0EE"/>
          </w:tcPr>
          <w:p>
            <w:pPr>
              <w:spacing w:after="20"/>
            </w:pPr>
            <w:r>
              <w:rPr>
                <w:b/>
                <w:color w:val="1C3A36"/>
                <w:sz w:val="17"/>
              </w:rPr>
              <w:t>Low case</w:t>
            </w:r>
          </w:p>
        </w:tc>
        <w:tc>
          <w:tcPr>
            <w:tcW w:type="dxa" w:w="1224"/>
            <w:shd w:val="clear" w:color="auto" w:fill="EAF0EE"/>
          </w:tcPr>
          <w:p>
            <w:pPr>
              <w:spacing w:after="20"/>
            </w:pPr>
            <w:r>
              <w:rPr>
                <w:b/>
                <w:color w:val="1C3A36"/>
                <w:sz w:val="17"/>
              </w:rPr>
              <w:t>Base</w:t>
            </w:r>
          </w:p>
        </w:tc>
        <w:tc>
          <w:tcPr>
            <w:tcW w:type="dxa" w:w="1944"/>
            <w:shd w:val="clear" w:color="auto" w:fill="EAF0EE"/>
          </w:tcPr>
          <w:p>
            <w:pPr>
              <w:spacing w:after="20"/>
            </w:pPr>
            <w:r>
              <w:rPr>
                <w:b/>
                <w:color w:val="1C3A36"/>
                <w:sz w:val="17"/>
              </w:rPr>
              <w:t>High case</w:t>
            </w:r>
          </w:p>
        </w:tc>
        <w:tc>
          <w:tcPr>
            <w:tcW w:type="dxa" w:w="1800"/>
            <w:shd w:val="clear" w:color="auto" w:fill="EAF0EE"/>
          </w:tcPr>
          <w:p>
            <w:pPr>
              <w:spacing w:after="20"/>
            </w:pPr>
            <w:r>
              <w:rPr>
                <w:b/>
                <w:color w:val="1C3A36"/>
                <w:sz w:val="17"/>
              </w:rPr>
              <w:t>Range in value per share</w:t>
            </w:r>
          </w:p>
        </w:tc>
      </w:tr>
      <w:tr>
        <w:trPr>
          <w:cantSplit/>
        </w:trPr>
        <w:tc>
          <w:tcPr>
            <w:tcW w:type="dxa" w:w="3168"/>
          </w:tcPr>
          <w:p>
            <w:pPr>
              <w:spacing w:after="20"/>
            </w:pPr>
            <w:r>
              <w:rPr>
                <w:color w:val="1C3A36"/>
                <w:sz w:val="17"/>
              </w:rPr>
              <w:t>Beta</w:t>
            </w:r>
          </w:p>
        </w:tc>
        <w:tc>
          <w:tcPr>
            <w:tcW w:type="dxa" w:w="1944"/>
          </w:tcPr>
          <w:p>
            <w:pPr>
              <w:spacing w:after="20"/>
              <w:jc w:val="right"/>
            </w:pPr>
            <w:r>
              <w:rPr>
                <w:color w:val="1C3A36"/>
                <w:sz w:val="17"/>
              </w:rPr>
              <w:t>0.45 → 5.72</w:t>
            </w:r>
          </w:p>
        </w:tc>
        <w:tc>
          <w:tcPr>
            <w:tcW w:type="dxa" w:w="1224"/>
          </w:tcPr>
          <w:p>
            <w:pPr>
              <w:spacing w:after="20"/>
              <w:jc w:val="right"/>
            </w:pPr>
            <w:r>
              <w:rPr>
                <w:color w:val="1C3A36"/>
                <w:sz w:val="17"/>
              </w:rPr>
              <w:t>0.65</w:t>
            </w:r>
          </w:p>
        </w:tc>
        <w:tc>
          <w:tcPr>
            <w:tcW w:type="dxa" w:w="1944"/>
          </w:tcPr>
          <w:p>
            <w:pPr>
              <w:spacing w:after="20"/>
              <w:jc w:val="right"/>
            </w:pPr>
            <w:r>
              <w:rPr>
                <w:color w:val="1C3A36"/>
                <w:sz w:val="17"/>
              </w:rPr>
              <w:t>1.00 → 3.69</w:t>
            </w:r>
          </w:p>
        </w:tc>
        <w:tc>
          <w:tcPr>
            <w:tcW w:type="dxa" w:w="1800"/>
          </w:tcPr>
          <w:p>
            <w:pPr>
              <w:spacing w:after="20"/>
              <w:jc w:val="right"/>
            </w:pPr>
            <w:r>
              <w:rPr>
                <w:color w:val="1C3A36"/>
                <w:sz w:val="17"/>
              </w:rPr>
              <w:t>2.03</w:t>
            </w:r>
          </w:p>
        </w:tc>
      </w:tr>
      <w:tr>
        <w:trPr>
          <w:cantSplit/>
        </w:trPr>
        <w:tc>
          <w:tcPr>
            <w:tcW w:type="dxa" w:w="3168"/>
          </w:tcPr>
          <w:p>
            <w:pPr>
              <w:spacing w:after="20"/>
            </w:pPr>
            <w:r>
              <w:rPr>
                <w:color w:val="1C3A36"/>
                <w:sz w:val="17"/>
              </w:rPr>
              <w:t>Margin-per-litre growth path</w:t>
            </w:r>
          </w:p>
        </w:tc>
        <w:tc>
          <w:tcPr>
            <w:tcW w:type="dxa" w:w="1944"/>
          </w:tcPr>
          <w:p>
            <w:pPr>
              <w:spacing w:after="20"/>
              <w:jc w:val="right"/>
            </w:pPr>
            <w:r>
              <w:rPr>
                <w:color w:val="1C3A36"/>
                <w:sz w:val="17"/>
              </w:rPr>
              <w:t>-10% → 3.98</w:t>
            </w:r>
          </w:p>
        </w:tc>
        <w:tc>
          <w:tcPr>
            <w:tcW w:type="dxa" w:w="1224"/>
          </w:tcPr>
          <w:p>
            <w:pPr>
              <w:spacing w:after="20"/>
              <w:jc w:val="right"/>
            </w:pPr>
            <w:r>
              <w:rPr>
                <w:color w:val="1C3A36"/>
                <w:sz w:val="17"/>
              </w:rPr>
              <w:t>0%</w:t>
            </w:r>
          </w:p>
        </w:tc>
        <w:tc>
          <w:tcPr>
            <w:tcW w:type="dxa" w:w="1944"/>
          </w:tcPr>
          <w:p>
            <w:pPr>
              <w:spacing w:after="20"/>
              <w:jc w:val="right"/>
            </w:pPr>
            <w:r>
              <w:rPr>
                <w:color w:val="1C3A36"/>
                <w:sz w:val="17"/>
              </w:rPr>
              <w:t>10% → 5.59</w:t>
            </w:r>
          </w:p>
        </w:tc>
        <w:tc>
          <w:tcPr>
            <w:tcW w:type="dxa" w:w="1800"/>
          </w:tcPr>
          <w:p>
            <w:pPr>
              <w:spacing w:after="20"/>
              <w:jc w:val="right"/>
            </w:pPr>
            <w:r>
              <w:rPr>
                <w:color w:val="1C3A36"/>
                <w:sz w:val="17"/>
              </w:rPr>
              <w:t>1.61</w:t>
            </w:r>
          </w:p>
        </w:tc>
      </w:tr>
      <w:tr>
        <w:trPr>
          <w:cantSplit/>
        </w:trPr>
        <w:tc>
          <w:tcPr>
            <w:tcW w:type="dxa" w:w="3168"/>
          </w:tcPr>
          <w:p>
            <w:pPr>
              <w:spacing w:after="20"/>
            </w:pPr>
            <w:r>
              <w:rPr>
                <w:color w:val="1C3A36"/>
                <w:sz w:val="17"/>
              </w:rPr>
              <w:t>Terminal cost of capital</w:t>
            </w:r>
          </w:p>
        </w:tc>
        <w:tc>
          <w:tcPr>
            <w:tcW w:type="dxa" w:w="1944"/>
          </w:tcPr>
          <w:p>
            <w:pPr>
              <w:spacing w:after="20"/>
              <w:jc w:val="right"/>
            </w:pPr>
            <w:r>
              <w:rPr>
                <w:color w:val="1C3A36"/>
                <w:sz w:val="17"/>
              </w:rPr>
              <w:t>6.44% → 5.72</w:t>
            </w:r>
          </w:p>
        </w:tc>
        <w:tc>
          <w:tcPr>
            <w:tcW w:type="dxa" w:w="1224"/>
          </w:tcPr>
          <w:p>
            <w:pPr>
              <w:spacing w:after="20"/>
              <w:jc w:val="right"/>
            </w:pPr>
            <w:r>
              <w:rPr>
                <w:color w:val="1C3A36"/>
                <w:sz w:val="17"/>
              </w:rPr>
              <w:t>7.44%</w:t>
            </w:r>
          </w:p>
        </w:tc>
        <w:tc>
          <w:tcPr>
            <w:tcW w:type="dxa" w:w="1944"/>
          </w:tcPr>
          <w:p>
            <w:pPr>
              <w:spacing w:after="20"/>
              <w:jc w:val="right"/>
            </w:pPr>
            <w:r>
              <w:rPr>
                <w:color w:val="1C3A36"/>
                <w:sz w:val="17"/>
              </w:rPr>
              <w:t>8.44% → 4.12</w:t>
            </w:r>
          </w:p>
        </w:tc>
        <w:tc>
          <w:tcPr>
            <w:tcW w:type="dxa" w:w="1800"/>
          </w:tcPr>
          <w:p>
            <w:pPr>
              <w:spacing w:after="20"/>
              <w:jc w:val="right"/>
            </w:pPr>
            <w:r>
              <w:rPr>
                <w:color w:val="1C3A36"/>
                <w:sz w:val="17"/>
              </w:rPr>
              <w:t>1.59</w:t>
            </w:r>
          </w:p>
        </w:tc>
      </w:tr>
      <w:tr>
        <w:trPr>
          <w:cantSplit/>
        </w:trPr>
        <w:tc>
          <w:tcPr>
            <w:tcW w:type="dxa" w:w="3168"/>
          </w:tcPr>
          <w:p>
            <w:pPr>
              <w:spacing w:after="20"/>
            </w:pPr>
            <w:r>
              <w:rPr>
                <w:color w:val="1C3A36"/>
                <w:sz w:val="17"/>
              </w:rPr>
              <w:t>Terminal growth rate</w:t>
            </w:r>
          </w:p>
        </w:tc>
        <w:tc>
          <w:tcPr>
            <w:tcW w:type="dxa" w:w="1944"/>
          </w:tcPr>
          <w:p>
            <w:pPr>
              <w:spacing w:after="20"/>
              <w:jc w:val="right"/>
            </w:pPr>
            <w:r>
              <w:rPr>
                <w:color w:val="1C3A36"/>
                <w:sz w:val="17"/>
              </w:rPr>
              <w:t>0.5% → 4.34</w:t>
            </w:r>
          </w:p>
        </w:tc>
        <w:tc>
          <w:tcPr>
            <w:tcW w:type="dxa" w:w="1224"/>
          </w:tcPr>
          <w:p>
            <w:pPr>
              <w:spacing w:after="20"/>
              <w:jc w:val="right"/>
            </w:pPr>
            <w:r>
              <w:rPr>
                <w:color w:val="1C3A36"/>
                <w:sz w:val="17"/>
              </w:rPr>
              <w:t>1.5%</w:t>
            </w:r>
          </w:p>
        </w:tc>
        <w:tc>
          <w:tcPr>
            <w:tcW w:type="dxa" w:w="1944"/>
          </w:tcPr>
          <w:p>
            <w:pPr>
              <w:spacing w:after="20"/>
              <w:jc w:val="right"/>
            </w:pPr>
            <w:r>
              <w:rPr>
                <w:color w:val="1C3A36"/>
                <w:sz w:val="17"/>
              </w:rPr>
              <w:t>2.5% → 5.41</w:t>
            </w:r>
          </w:p>
        </w:tc>
        <w:tc>
          <w:tcPr>
            <w:tcW w:type="dxa" w:w="1800"/>
          </w:tcPr>
          <w:p>
            <w:pPr>
              <w:spacing w:after="20"/>
              <w:jc w:val="right"/>
            </w:pPr>
            <w:r>
              <w:rPr>
                <w:color w:val="1C3A36"/>
                <w:sz w:val="17"/>
              </w:rPr>
              <w:t>1.08</w:t>
            </w:r>
          </w:p>
        </w:tc>
      </w:tr>
      <w:tr>
        <w:trPr>
          <w:cantSplit/>
        </w:trPr>
        <w:tc>
          <w:tcPr>
            <w:tcW w:type="dxa" w:w="3168"/>
          </w:tcPr>
          <w:p>
            <w:pPr>
              <w:spacing w:after="20"/>
            </w:pPr>
            <w:r>
              <w:rPr>
                <w:color w:val="1C3A36"/>
                <w:sz w:val="17"/>
              </w:rPr>
              <w:t>Volume growth path</w:t>
            </w:r>
          </w:p>
        </w:tc>
        <w:tc>
          <w:tcPr>
            <w:tcW w:type="dxa" w:w="1944"/>
          </w:tcPr>
          <w:p>
            <w:pPr>
              <w:spacing w:after="20"/>
              <w:jc w:val="right"/>
            </w:pPr>
            <w:r>
              <w:rPr>
                <w:color w:val="1C3A36"/>
                <w:sz w:val="17"/>
              </w:rPr>
              <w:t>-1.0% → 4.51</w:t>
            </w:r>
          </w:p>
        </w:tc>
        <w:tc>
          <w:tcPr>
            <w:tcW w:type="dxa" w:w="1224"/>
          </w:tcPr>
          <w:p>
            <w:pPr>
              <w:spacing w:after="20"/>
              <w:jc w:val="right"/>
            </w:pPr>
            <w:r>
              <w:rPr>
                <w:color w:val="1C3A36"/>
                <w:sz w:val="17"/>
              </w:rPr>
              <w:t>—</w:t>
            </w:r>
          </w:p>
        </w:tc>
        <w:tc>
          <w:tcPr>
            <w:tcW w:type="dxa" w:w="1944"/>
          </w:tcPr>
          <w:p>
            <w:pPr>
              <w:spacing w:after="20"/>
              <w:jc w:val="right"/>
            </w:pPr>
            <w:r>
              <w:rPr>
                <w:color w:val="1C3A36"/>
                <w:sz w:val="17"/>
              </w:rPr>
              <w:t>1.0% → 5.24</w:t>
            </w:r>
          </w:p>
        </w:tc>
        <w:tc>
          <w:tcPr>
            <w:tcW w:type="dxa" w:w="1800"/>
          </w:tcPr>
          <w:p>
            <w:pPr>
              <w:spacing w:after="20"/>
              <w:jc w:val="right"/>
            </w:pPr>
            <w:r>
              <w:rPr>
                <w:color w:val="1C3A36"/>
                <w:sz w:val="17"/>
              </w:rPr>
              <w:t>0.73</w:t>
            </w:r>
          </w:p>
        </w:tc>
      </w:tr>
      <w:tr>
        <w:trPr>
          <w:cantSplit/>
        </w:trPr>
        <w:tc>
          <w:tcPr>
            <w:tcW w:type="dxa" w:w="3168"/>
          </w:tcPr>
          <w:p>
            <w:pPr>
              <w:spacing w:after="20"/>
            </w:pPr>
            <w:r>
              <w:rPr>
                <w:color w:val="1C3A36"/>
                <w:sz w:val="17"/>
              </w:rPr>
              <w:t>Inventory movement carried</w:t>
            </w:r>
          </w:p>
        </w:tc>
        <w:tc>
          <w:tcPr>
            <w:tcW w:type="dxa" w:w="1944"/>
          </w:tcPr>
          <w:p>
            <w:pPr>
              <w:spacing w:after="20"/>
              <w:jc w:val="right"/>
            </w:pPr>
            <w:r>
              <w:rPr>
                <w:color w:val="1C3A36"/>
                <w:sz w:val="17"/>
              </w:rPr>
              <w:t>0 → 4.79</w:t>
            </w:r>
          </w:p>
        </w:tc>
        <w:tc>
          <w:tcPr>
            <w:tcW w:type="dxa" w:w="1224"/>
          </w:tcPr>
          <w:p>
            <w:pPr>
              <w:spacing w:after="20"/>
              <w:jc w:val="right"/>
            </w:pPr>
            <w:r>
              <w:rPr>
                <w:color w:val="1C3A36"/>
                <w:sz w:val="17"/>
              </w:rPr>
              <w:t>0</w:t>
            </w:r>
          </w:p>
        </w:tc>
        <w:tc>
          <w:tcPr>
            <w:tcW w:type="dxa" w:w="1944"/>
          </w:tcPr>
          <w:p>
            <w:pPr>
              <w:spacing w:after="20"/>
              <w:jc w:val="right"/>
            </w:pPr>
            <w:r>
              <w:rPr>
                <w:color w:val="1C3A36"/>
                <w:sz w:val="17"/>
              </w:rPr>
              <w:t>600 → 5.40</w:t>
            </w:r>
          </w:p>
        </w:tc>
        <w:tc>
          <w:tcPr>
            <w:tcW w:type="dxa" w:w="1800"/>
          </w:tcPr>
          <w:p>
            <w:pPr>
              <w:spacing w:after="20"/>
              <w:jc w:val="right"/>
            </w:pPr>
            <w:r>
              <w:rPr>
                <w:color w:val="1C3A36"/>
                <w:sz w:val="17"/>
              </w:rPr>
              <w:t>0.62</w:t>
            </w:r>
          </w:p>
        </w:tc>
      </w:tr>
      <w:tr>
        <w:trPr>
          <w:cantSplit/>
        </w:trPr>
        <w:tc>
          <w:tcPr>
            <w:tcW w:type="dxa" w:w="3168"/>
          </w:tcPr>
          <w:p>
            <w:pPr>
              <w:spacing w:after="20"/>
            </w:pPr>
            <w:r>
              <w:rPr>
                <w:color w:val="1C3A36"/>
                <w:sz w:val="17"/>
              </w:rPr>
              <w:t>Effective tax rate</w:t>
            </w:r>
          </w:p>
        </w:tc>
        <w:tc>
          <w:tcPr>
            <w:tcW w:type="dxa" w:w="1944"/>
          </w:tcPr>
          <w:p>
            <w:pPr>
              <w:spacing w:after="20"/>
              <w:jc w:val="right"/>
            </w:pPr>
            <w:r>
              <w:rPr>
                <w:color w:val="1C3A36"/>
                <w:sz w:val="17"/>
              </w:rPr>
              <w:t>9.00% → 4.85</w:t>
            </w:r>
          </w:p>
        </w:tc>
        <w:tc>
          <w:tcPr>
            <w:tcW w:type="dxa" w:w="1224"/>
          </w:tcPr>
          <w:p>
            <w:pPr>
              <w:spacing w:after="20"/>
              <w:jc w:val="right"/>
            </w:pPr>
            <w:r>
              <w:rPr>
                <w:color w:val="1C3A36"/>
                <w:sz w:val="17"/>
              </w:rPr>
              <w:t>10.17%</w:t>
            </w:r>
          </w:p>
        </w:tc>
        <w:tc>
          <w:tcPr>
            <w:tcW w:type="dxa" w:w="1944"/>
          </w:tcPr>
          <w:p>
            <w:pPr>
              <w:spacing w:after="20"/>
              <w:jc w:val="right"/>
            </w:pPr>
            <w:r>
              <w:rPr>
                <w:color w:val="1C3A36"/>
                <w:sz w:val="17"/>
              </w:rPr>
              <w:t>18.00% → 4.34</w:t>
            </w:r>
          </w:p>
        </w:tc>
        <w:tc>
          <w:tcPr>
            <w:tcW w:type="dxa" w:w="1800"/>
          </w:tcPr>
          <w:p>
            <w:pPr>
              <w:spacing w:after="20"/>
              <w:jc w:val="right"/>
            </w:pPr>
            <w:r>
              <w:rPr>
                <w:color w:val="1C3A36"/>
                <w:sz w:val="17"/>
              </w:rPr>
              <w:t>0.52</w:t>
            </w:r>
          </w:p>
        </w:tc>
      </w:tr>
      <w:tr>
        <w:trPr>
          <w:cantSplit/>
        </w:trPr>
        <w:tc>
          <w:tcPr>
            <w:tcW w:type="dxa" w:w="3168"/>
          </w:tcPr>
          <w:p>
            <w:pPr>
              <w:spacing w:after="20"/>
            </w:pPr>
            <w:r>
              <w:rPr>
                <w:color w:val="1C3A36"/>
                <w:sz w:val="17"/>
              </w:rPr>
              <w:t>Capital expenditure</w:t>
            </w:r>
          </w:p>
        </w:tc>
        <w:tc>
          <w:tcPr>
            <w:tcW w:type="dxa" w:w="1944"/>
          </w:tcPr>
          <w:p>
            <w:pPr>
              <w:spacing w:after="20"/>
              <w:jc w:val="right"/>
            </w:pPr>
            <w:r>
              <w:rPr>
                <w:color w:val="1C3A36"/>
                <w:sz w:val="17"/>
              </w:rPr>
              <w:t>-20% → 4.85</w:t>
            </w:r>
          </w:p>
        </w:tc>
        <w:tc>
          <w:tcPr>
            <w:tcW w:type="dxa" w:w="1224"/>
          </w:tcPr>
          <w:p>
            <w:pPr>
              <w:spacing w:after="20"/>
              <w:jc w:val="right"/>
            </w:pPr>
            <w:r>
              <w:rPr>
                <w:color w:val="1C3A36"/>
                <w:sz w:val="17"/>
              </w:rPr>
              <w:t>0%</w:t>
            </w:r>
          </w:p>
        </w:tc>
        <w:tc>
          <w:tcPr>
            <w:tcW w:type="dxa" w:w="1944"/>
          </w:tcPr>
          <w:p>
            <w:pPr>
              <w:spacing w:after="20"/>
              <w:jc w:val="right"/>
            </w:pPr>
            <w:r>
              <w:rPr>
                <w:color w:val="1C3A36"/>
                <w:sz w:val="17"/>
              </w:rPr>
              <w:t>20% → 4.72</w:t>
            </w:r>
          </w:p>
        </w:tc>
        <w:tc>
          <w:tcPr>
            <w:tcW w:type="dxa" w:w="1800"/>
          </w:tcPr>
          <w:p>
            <w:pPr>
              <w:spacing w:after="20"/>
              <w:jc w:val="right"/>
            </w:pPr>
            <w:r>
              <w:rPr>
                <w:color w:val="1C3A36"/>
                <w:sz w:val="17"/>
              </w:rPr>
              <w:t>0.13</w:t>
            </w:r>
          </w:p>
        </w:tc>
      </w:tr>
    </w:tbl>
    <w:p>
      <w:pPr>
        <w:spacing w:after="40"/>
      </w:pPr>
    </w:p>
    <w:p>
      <w:pPr>
        <w:spacing w:after="200" w:before="0"/>
      </w:pPr>
      <w:r>
        <w:rPr>
          <w:b w:val="0"/>
          <w:i/>
          <w:color w:val="6E7B77"/>
          <w:sz w:val="17"/>
        </w:rPr>
        <w:t>Table 22 — every driver, ranked by how much it moves the answer. The top three are all statements about the terminal, not about the business. That is the structural fact a reader should take from this study: at 74.9% terminal weight, this is mostly a valuation of the discount rate and the long-run growth rate.</w:t>
      </w:r>
    </w:p>
    <w:p>
      <w:pPr>
        <w:spacing w:after="40"/>
        <w:jc w:val="center"/>
      </w:pPr>
      <w:r>
        <w:drawing>
          <wp:inline xmlns:a="http://schemas.openxmlformats.org/drawingml/2006/main" xmlns:pic="http://schemas.openxmlformats.org/drawingml/2006/picture">
            <wp:extent cx="6126480" cy="2612374"/>
            <wp:docPr id="6" name="Picture 6"/>
            <wp:cNvGraphicFramePr>
              <a:graphicFrameLocks noChangeAspect="1"/>
            </wp:cNvGraphicFramePr>
            <a:graphic>
              <a:graphicData uri="http://schemas.openxmlformats.org/drawingml/2006/picture">
                <pic:pic>
                  <pic:nvPicPr>
                    <pic:cNvPr id="0" name="fig6_tornado.png"/>
                    <pic:cNvPicPr/>
                  </pic:nvPicPr>
                  <pic:blipFill>
                    <a:blip r:embed="rId14"/>
                    <a:stretch>
                      <a:fillRect/>
                    </a:stretch>
                  </pic:blipFill>
                  <pic:spPr>
                    <a:xfrm>
                      <a:off x="0" y="0"/>
                      <a:ext cx="6126480" cy="2612374"/>
                    </a:xfrm>
                    <a:prstGeom prst="rect"/>
                  </pic:spPr>
                </pic:pic>
              </a:graphicData>
            </a:graphic>
          </wp:inline>
        </w:drawing>
      </w:r>
    </w:p>
    <w:p>
      <w:pPr>
        <w:spacing w:after="200" w:before="0"/>
      </w:pPr>
      <w:r>
        <w:rPr>
          <w:b w:val="0"/>
          <w:i/>
          <w:color w:val="6E7B77"/>
          <w:sz w:val="17"/>
        </w:rPr>
        <w:t>Figure 6 — the sensitivity ranking. The three widest bars are all terminal assumptions.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92"/>
        <w:gridCol w:w="1469"/>
        <w:gridCol w:w="1469"/>
        <w:gridCol w:w="1469"/>
        <w:gridCol w:w="1469"/>
        <w:gridCol w:w="1469"/>
      </w:tblGrid>
      <w:tr>
        <w:trPr>
          <w:cantSplit/>
        </w:trPr>
        <w:tc>
          <w:tcPr>
            <w:tcW w:type="dxa" w:w="2592"/>
            <w:shd w:val="clear" w:color="auto" w:fill="EAF0EE"/>
          </w:tcPr>
          <w:p>
            <w:pPr>
              <w:spacing w:after="20"/>
            </w:pPr>
            <w:r>
              <w:rPr>
                <w:b/>
                <w:color w:val="1C3A36"/>
                <w:sz w:val="17"/>
              </w:rPr>
              <w:t>Terminal cost of capital ↓ / growth →</w:t>
            </w:r>
          </w:p>
        </w:tc>
        <w:tc>
          <w:tcPr>
            <w:tcW w:type="dxa" w:w="1469"/>
            <w:shd w:val="clear" w:color="auto" w:fill="EAF0EE"/>
          </w:tcPr>
          <w:p>
            <w:pPr>
              <w:spacing w:after="20"/>
            </w:pPr>
            <w:r>
              <w:rPr>
                <w:b/>
                <w:color w:val="1C3A36"/>
                <w:sz w:val="17"/>
              </w:rPr>
              <w:t>0.5%</w:t>
            </w:r>
          </w:p>
        </w:tc>
        <w:tc>
          <w:tcPr>
            <w:tcW w:type="dxa" w:w="1469"/>
            <w:shd w:val="clear" w:color="auto" w:fill="EAF0EE"/>
          </w:tcPr>
          <w:p>
            <w:pPr>
              <w:spacing w:after="20"/>
            </w:pPr>
            <w:r>
              <w:rPr>
                <w:b/>
                <w:color w:val="1C3A36"/>
                <w:sz w:val="17"/>
              </w:rPr>
              <w:t>1.0%</w:t>
            </w:r>
          </w:p>
        </w:tc>
        <w:tc>
          <w:tcPr>
            <w:tcW w:type="dxa" w:w="1469"/>
            <w:shd w:val="clear" w:color="auto" w:fill="EAF0EE"/>
          </w:tcPr>
          <w:p>
            <w:pPr>
              <w:spacing w:after="20"/>
            </w:pPr>
            <w:r>
              <w:rPr>
                <w:b/>
                <w:color w:val="1C3A36"/>
                <w:sz w:val="17"/>
              </w:rPr>
              <w:t>1.5%</w:t>
            </w:r>
          </w:p>
        </w:tc>
        <w:tc>
          <w:tcPr>
            <w:tcW w:type="dxa" w:w="1469"/>
            <w:shd w:val="clear" w:color="auto" w:fill="EAF0EE"/>
          </w:tcPr>
          <w:p>
            <w:pPr>
              <w:spacing w:after="20"/>
            </w:pPr>
            <w:r>
              <w:rPr>
                <w:b/>
                <w:color w:val="1C3A36"/>
                <w:sz w:val="17"/>
              </w:rPr>
              <w:t>2.0%</w:t>
            </w:r>
          </w:p>
        </w:tc>
        <w:tc>
          <w:tcPr>
            <w:tcW w:type="dxa" w:w="1469"/>
            <w:shd w:val="clear" w:color="auto" w:fill="EAF0EE"/>
          </w:tcPr>
          <w:p>
            <w:pPr>
              <w:spacing w:after="20"/>
            </w:pPr>
            <w:r>
              <w:rPr>
                <w:b/>
                <w:color w:val="1C3A36"/>
                <w:sz w:val="17"/>
              </w:rPr>
              <w:t>2.5%</w:t>
            </w:r>
          </w:p>
        </w:tc>
      </w:tr>
      <w:tr>
        <w:trPr>
          <w:cantSplit/>
        </w:trPr>
        <w:tc>
          <w:tcPr>
            <w:tcW w:type="dxa" w:w="2592"/>
          </w:tcPr>
          <w:p>
            <w:pPr>
              <w:spacing w:after="20"/>
            </w:pPr>
            <w:r>
              <w:rPr>
                <w:color w:val="1C3A36"/>
                <w:sz w:val="17"/>
              </w:rPr>
              <w:t>6.44%</w:t>
            </w:r>
          </w:p>
        </w:tc>
        <w:tc>
          <w:tcPr>
            <w:tcW w:type="dxa" w:w="1469"/>
          </w:tcPr>
          <w:p>
            <w:pPr>
              <w:spacing w:after="20"/>
              <w:jc w:val="right"/>
            </w:pPr>
            <w:r>
              <w:rPr>
                <w:color w:val="1C3A36"/>
                <w:sz w:val="17"/>
              </w:rPr>
              <w:t>5.04</w:t>
            </w:r>
          </w:p>
        </w:tc>
        <w:tc>
          <w:tcPr>
            <w:tcW w:type="dxa" w:w="1469"/>
          </w:tcPr>
          <w:p>
            <w:pPr>
              <w:spacing w:after="20"/>
              <w:jc w:val="right"/>
            </w:pPr>
            <w:r>
              <w:rPr>
                <w:color w:val="1C3A36"/>
                <w:sz w:val="17"/>
              </w:rPr>
              <w:t>5.35</w:t>
            </w:r>
          </w:p>
        </w:tc>
        <w:tc>
          <w:tcPr>
            <w:tcW w:type="dxa" w:w="1469"/>
          </w:tcPr>
          <w:p>
            <w:pPr>
              <w:spacing w:after="20"/>
              <w:jc w:val="right"/>
            </w:pPr>
            <w:r>
              <w:rPr>
                <w:color w:val="1C3A36"/>
                <w:sz w:val="17"/>
              </w:rPr>
              <w:t>5.72</w:t>
            </w:r>
          </w:p>
        </w:tc>
        <w:tc>
          <w:tcPr>
            <w:tcW w:type="dxa" w:w="1469"/>
          </w:tcPr>
          <w:p>
            <w:pPr>
              <w:spacing w:after="20"/>
              <w:jc w:val="right"/>
            </w:pPr>
            <w:r>
              <w:rPr>
                <w:color w:val="1C3A36"/>
                <w:sz w:val="17"/>
              </w:rPr>
              <w:t>6.17</w:t>
            </w:r>
          </w:p>
        </w:tc>
        <w:tc>
          <w:tcPr>
            <w:tcW w:type="dxa" w:w="1469"/>
          </w:tcPr>
          <w:p>
            <w:pPr>
              <w:spacing w:after="20"/>
              <w:jc w:val="right"/>
            </w:pPr>
            <w:r>
              <w:rPr>
                <w:color w:val="1C3A36"/>
                <w:sz w:val="17"/>
              </w:rPr>
              <w:t>6.73</w:t>
            </w:r>
          </w:p>
        </w:tc>
      </w:tr>
      <w:tr>
        <w:trPr>
          <w:cantSplit/>
        </w:trPr>
        <w:tc>
          <w:tcPr>
            <w:tcW w:type="dxa" w:w="2592"/>
          </w:tcPr>
          <w:p>
            <w:pPr>
              <w:spacing w:after="20"/>
            </w:pPr>
            <w:r>
              <w:rPr>
                <w:color w:val="1C3A36"/>
                <w:sz w:val="17"/>
              </w:rPr>
              <w:t>6.94%</w:t>
            </w:r>
          </w:p>
        </w:tc>
        <w:tc>
          <w:tcPr>
            <w:tcW w:type="dxa" w:w="1469"/>
          </w:tcPr>
          <w:p>
            <w:pPr>
              <w:spacing w:after="20"/>
              <w:jc w:val="right"/>
            </w:pPr>
            <w:r>
              <w:rPr>
                <w:color w:val="1C3A36"/>
                <w:sz w:val="17"/>
              </w:rPr>
              <w:t>4.66</w:t>
            </w:r>
          </w:p>
        </w:tc>
        <w:tc>
          <w:tcPr>
            <w:tcW w:type="dxa" w:w="1469"/>
          </w:tcPr>
          <w:p>
            <w:pPr>
              <w:spacing w:after="20"/>
              <w:jc w:val="right"/>
            </w:pPr>
            <w:r>
              <w:rPr>
                <w:color w:val="1C3A36"/>
                <w:sz w:val="17"/>
              </w:rPr>
              <w:t>4.91</w:t>
            </w:r>
          </w:p>
        </w:tc>
        <w:tc>
          <w:tcPr>
            <w:tcW w:type="dxa" w:w="1469"/>
          </w:tcPr>
          <w:p>
            <w:pPr>
              <w:spacing w:after="20"/>
              <w:jc w:val="right"/>
            </w:pPr>
            <w:r>
              <w:rPr>
                <w:color w:val="1C3A36"/>
                <w:sz w:val="17"/>
              </w:rPr>
              <w:t>5.21</w:t>
            </w:r>
          </w:p>
        </w:tc>
        <w:tc>
          <w:tcPr>
            <w:tcW w:type="dxa" w:w="1469"/>
          </w:tcPr>
          <w:p>
            <w:pPr>
              <w:spacing w:after="20"/>
              <w:jc w:val="right"/>
            </w:pPr>
            <w:r>
              <w:rPr>
                <w:color w:val="1C3A36"/>
                <w:sz w:val="17"/>
              </w:rPr>
              <w:t>5.56</w:t>
            </w:r>
          </w:p>
        </w:tc>
        <w:tc>
          <w:tcPr>
            <w:tcW w:type="dxa" w:w="1469"/>
          </w:tcPr>
          <w:p>
            <w:pPr>
              <w:spacing w:after="20"/>
              <w:jc w:val="right"/>
            </w:pPr>
            <w:r>
              <w:rPr>
                <w:color w:val="1C3A36"/>
                <w:sz w:val="17"/>
              </w:rPr>
              <w:t>6.00</w:t>
            </w:r>
          </w:p>
        </w:tc>
      </w:tr>
      <w:tr>
        <w:trPr>
          <w:cantSplit/>
        </w:trPr>
        <w:tc>
          <w:tcPr>
            <w:tcW w:type="dxa" w:w="2592"/>
          </w:tcPr>
          <w:p>
            <w:pPr>
              <w:spacing w:after="20"/>
            </w:pPr>
            <w:r>
              <w:rPr>
                <w:color w:val="1C3A36"/>
                <w:sz w:val="17"/>
              </w:rPr>
              <w:t>7.44%</w:t>
            </w:r>
          </w:p>
        </w:tc>
        <w:tc>
          <w:tcPr>
            <w:tcW w:type="dxa" w:w="1469"/>
          </w:tcPr>
          <w:p>
            <w:pPr>
              <w:spacing w:after="20"/>
              <w:jc w:val="right"/>
            </w:pPr>
            <w:r>
              <w:rPr>
                <w:color w:val="1C3A36"/>
                <w:sz w:val="17"/>
              </w:rPr>
              <w:t>4.34</w:t>
            </w:r>
          </w:p>
        </w:tc>
        <w:tc>
          <w:tcPr>
            <w:tcW w:type="dxa" w:w="1469"/>
          </w:tcPr>
          <w:p>
            <w:pPr>
              <w:spacing w:after="20"/>
              <w:jc w:val="right"/>
            </w:pPr>
            <w:r>
              <w:rPr>
                <w:color w:val="1C3A36"/>
                <w:sz w:val="17"/>
              </w:rPr>
              <w:t>4.54</w:t>
            </w:r>
          </w:p>
        </w:tc>
        <w:tc>
          <w:tcPr>
            <w:tcW w:type="dxa" w:w="1469"/>
          </w:tcPr>
          <w:p>
            <w:pPr>
              <w:spacing w:after="20"/>
              <w:jc w:val="right"/>
            </w:pPr>
            <w:r>
              <w:rPr>
                <w:color w:val="1C3A36"/>
                <w:sz w:val="17"/>
              </w:rPr>
              <w:t>4.79</w:t>
            </w:r>
          </w:p>
        </w:tc>
        <w:tc>
          <w:tcPr>
            <w:tcW w:type="dxa" w:w="1469"/>
          </w:tcPr>
          <w:p>
            <w:pPr>
              <w:spacing w:after="20"/>
              <w:jc w:val="right"/>
            </w:pPr>
            <w:r>
              <w:rPr>
                <w:color w:val="1C3A36"/>
                <w:sz w:val="17"/>
              </w:rPr>
              <w:t>5.07</w:t>
            </w:r>
          </w:p>
        </w:tc>
        <w:tc>
          <w:tcPr>
            <w:tcW w:type="dxa" w:w="1469"/>
          </w:tcPr>
          <w:p>
            <w:pPr>
              <w:spacing w:after="20"/>
              <w:jc w:val="right"/>
            </w:pPr>
            <w:r>
              <w:rPr>
                <w:color w:val="1C3A36"/>
                <w:sz w:val="17"/>
              </w:rPr>
              <w:t>5.41</w:t>
            </w:r>
          </w:p>
        </w:tc>
      </w:tr>
      <w:tr>
        <w:trPr>
          <w:cantSplit/>
        </w:trPr>
        <w:tc>
          <w:tcPr>
            <w:tcW w:type="dxa" w:w="2592"/>
          </w:tcPr>
          <w:p>
            <w:pPr>
              <w:spacing w:after="20"/>
            </w:pPr>
            <w:r>
              <w:rPr>
                <w:color w:val="1C3A36"/>
                <w:sz w:val="17"/>
              </w:rPr>
              <w:t>7.94%</w:t>
            </w:r>
          </w:p>
        </w:tc>
        <w:tc>
          <w:tcPr>
            <w:tcW w:type="dxa" w:w="1469"/>
          </w:tcPr>
          <w:p>
            <w:pPr>
              <w:spacing w:after="20"/>
              <w:jc w:val="right"/>
            </w:pPr>
            <w:r>
              <w:rPr>
                <w:color w:val="1C3A36"/>
                <w:sz w:val="17"/>
              </w:rPr>
              <w:t>4.05</w:t>
            </w:r>
          </w:p>
        </w:tc>
        <w:tc>
          <w:tcPr>
            <w:tcW w:type="dxa" w:w="1469"/>
          </w:tcPr>
          <w:p>
            <w:pPr>
              <w:spacing w:after="20"/>
              <w:jc w:val="right"/>
            </w:pPr>
            <w:r>
              <w:rPr>
                <w:color w:val="1C3A36"/>
                <w:sz w:val="17"/>
              </w:rPr>
              <w:t>4.23</w:t>
            </w:r>
          </w:p>
        </w:tc>
        <w:tc>
          <w:tcPr>
            <w:tcW w:type="dxa" w:w="1469"/>
          </w:tcPr>
          <w:p>
            <w:pPr>
              <w:spacing w:after="20"/>
              <w:jc w:val="right"/>
            </w:pPr>
            <w:r>
              <w:rPr>
                <w:color w:val="1C3A36"/>
                <w:sz w:val="17"/>
              </w:rPr>
              <w:t>4.43</w:t>
            </w:r>
          </w:p>
        </w:tc>
        <w:tc>
          <w:tcPr>
            <w:tcW w:type="dxa" w:w="1469"/>
          </w:tcPr>
          <w:p>
            <w:pPr>
              <w:spacing w:after="20"/>
              <w:jc w:val="right"/>
            </w:pPr>
            <w:r>
              <w:rPr>
                <w:color w:val="1C3A36"/>
                <w:sz w:val="17"/>
              </w:rPr>
              <w:t>4.66</w:t>
            </w:r>
          </w:p>
        </w:tc>
        <w:tc>
          <w:tcPr>
            <w:tcW w:type="dxa" w:w="1469"/>
          </w:tcPr>
          <w:p>
            <w:pPr>
              <w:spacing w:after="20"/>
              <w:jc w:val="right"/>
            </w:pPr>
            <w:r>
              <w:rPr>
                <w:color w:val="1C3A36"/>
                <w:sz w:val="17"/>
              </w:rPr>
              <w:t>4.94</w:t>
            </w:r>
          </w:p>
        </w:tc>
      </w:tr>
      <w:tr>
        <w:trPr>
          <w:cantSplit/>
        </w:trPr>
        <w:tc>
          <w:tcPr>
            <w:tcW w:type="dxa" w:w="2592"/>
          </w:tcPr>
          <w:p>
            <w:pPr>
              <w:spacing w:after="20"/>
            </w:pPr>
            <w:r>
              <w:rPr>
                <w:color w:val="1C3A36"/>
                <w:sz w:val="17"/>
              </w:rPr>
              <w:t>8.44%</w:t>
            </w:r>
          </w:p>
        </w:tc>
        <w:tc>
          <w:tcPr>
            <w:tcW w:type="dxa" w:w="1469"/>
          </w:tcPr>
          <w:p>
            <w:pPr>
              <w:spacing w:after="20"/>
              <w:jc w:val="right"/>
            </w:pPr>
            <w:r>
              <w:rPr>
                <w:color w:val="1C3A36"/>
                <w:sz w:val="17"/>
              </w:rPr>
              <w:t>3.81</w:t>
            </w:r>
          </w:p>
        </w:tc>
        <w:tc>
          <w:tcPr>
            <w:tcW w:type="dxa" w:w="1469"/>
          </w:tcPr>
          <w:p>
            <w:pPr>
              <w:spacing w:after="20"/>
              <w:jc w:val="right"/>
            </w:pPr>
            <w:r>
              <w:rPr>
                <w:color w:val="1C3A36"/>
                <w:sz w:val="17"/>
              </w:rPr>
              <w:t>3.95</w:t>
            </w:r>
          </w:p>
        </w:tc>
        <w:tc>
          <w:tcPr>
            <w:tcW w:type="dxa" w:w="1469"/>
          </w:tcPr>
          <w:p>
            <w:pPr>
              <w:spacing w:after="20"/>
              <w:jc w:val="right"/>
            </w:pPr>
            <w:r>
              <w:rPr>
                <w:color w:val="1C3A36"/>
                <w:sz w:val="17"/>
              </w:rPr>
              <w:t>4.12</w:t>
            </w:r>
          </w:p>
        </w:tc>
        <w:tc>
          <w:tcPr>
            <w:tcW w:type="dxa" w:w="1469"/>
          </w:tcPr>
          <w:p>
            <w:pPr>
              <w:spacing w:after="20"/>
              <w:jc w:val="right"/>
            </w:pPr>
            <w:r>
              <w:rPr>
                <w:color w:val="1C3A36"/>
                <w:sz w:val="17"/>
              </w:rPr>
              <w:t>4.32</w:t>
            </w:r>
          </w:p>
        </w:tc>
        <w:tc>
          <w:tcPr>
            <w:tcW w:type="dxa" w:w="1469"/>
          </w:tcPr>
          <w:p>
            <w:pPr>
              <w:spacing w:after="20"/>
              <w:jc w:val="right"/>
            </w:pPr>
            <w:r>
              <w:rPr>
                <w:color w:val="1C3A36"/>
                <w:sz w:val="17"/>
              </w:rPr>
              <w:t>4.54</w:t>
            </w:r>
          </w:p>
        </w:tc>
      </w:tr>
    </w:tbl>
    <w:p>
      <w:pPr>
        <w:spacing w:after="40"/>
      </w:pPr>
    </w:p>
    <w:p>
      <w:pPr>
        <w:spacing w:after="200" w:before="0"/>
      </w:pPr>
      <w:r>
        <w:rPr>
          <w:b w:val="0"/>
          <w:i/>
          <w:color w:val="6E7B77"/>
          <w:sz w:val="17"/>
        </w:rPr>
        <w:t>Table 23 — value per share across the terminal cost of capital and the terminal growth rate, the two inputs the sensitivity ranking says matter most. The full grid runs AED 3.81 to AED 6.73 — and the WHOLE of it is published, including the corner that sits below the traded price. The model's own combination, 7.44% and 1.5%, is the centre cell.</w:t>
      </w:r>
    </w:p>
    <w:p>
      <w:pPr>
        <w:spacing w:after="120" w:before="280"/>
      </w:pPr>
      <w:r>
        <w:rPr>
          <w:b/>
          <w:i w:val="0"/>
          <w:color w:val="1C3A36"/>
          <w:sz w:val="30"/>
        </w:rPr>
        <w:t>2. Technical and price structure</w:t>
      </w:r>
    </w:p>
    <w:p>
      <w:pPr>
        <w:spacing w:after="120" w:before="0"/>
      </w:pPr>
      <w:r>
        <w:rPr>
          <w:b w:val="0"/>
          <w:i w:val="0"/>
          <w:color w:val="1C3A36"/>
          <w:sz w:val="21"/>
        </w:rPr>
        <w:t>The price closed 4.07 above a rising 20-day (4.00), a rising 50-day (3.94) and a rising 200-day (3.87). Momentum is firm: RSI(14) is ~61 and the daily ATR near 0.06 (~1.4%) points to an orderly tape. MACD (12·26·9) is positive and rising (+0.04 / +0.03 / +0.01). The 50-day crossed above the 200-day 23 sessions ago — a fresh golden-cross, a momentum-regime change rather than noise inside an intact trend. Over the last year it has ranged 3.47–4.18; the last close sits 3% below that high and 17% above that 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224"/>
        <w:gridCol w:w="2448"/>
        <w:gridCol w:w="3456"/>
      </w:tblGrid>
      <w:tr>
        <w:trPr>
          <w:cantSplit/>
        </w:trPr>
        <w:tc>
          <w:tcPr>
            <w:tcW w:type="dxa" w:w="2448"/>
            <w:shd w:val="clear" w:color="auto" w:fill="EAF0EE"/>
          </w:tcPr>
          <w:p>
            <w:pPr>
              <w:spacing w:after="20"/>
            </w:pPr>
            <w:r>
              <w:rPr>
                <w:b/>
                <w:color w:val="1C3A36"/>
                <w:sz w:val="17"/>
              </w:rPr>
              <w:t>Level</w:t>
            </w:r>
          </w:p>
        </w:tc>
        <w:tc>
          <w:tcPr>
            <w:tcW w:type="dxa" w:w="1224"/>
            <w:shd w:val="clear" w:color="auto" w:fill="EAF0EE"/>
          </w:tcPr>
          <w:p>
            <w:pPr>
              <w:spacing w:after="20"/>
            </w:pPr>
            <w:r>
              <w:rPr>
                <w:b/>
                <w:color w:val="1C3A36"/>
                <w:sz w:val="17"/>
              </w:rPr>
              <w:t>AED</w:t>
            </w:r>
          </w:p>
        </w:tc>
        <w:tc>
          <w:tcPr>
            <w:tcW w:type="dxa" w:w="2448"/>
            <w:shd w:val="clear" w:color="auto" w:fill="EAF0EE"/>
          </w:tcPr>
          <w:p>
            <w:pPr>
              <w:spacing w:after="20"/>
            </w:pPr>
            <w:r>
              <w:rPr>
                <w:b/>
                <w:color w:val="1C3A36"/>
                <w:sz w:val="17"/>
              </w:rPr>
              <w:t>Distance from the close</w:t>
            </w:r>
          </w:p>
        </w:tc>
        <w:tc>
          <w:tcPr>
            <w:tcW w:type="dxa" w:w="3456"/>
            <w:shd w:val="clear" w:color="auto" w:fill="EAF0EE"/>
          </w:tcPr>
          <w:p>
            <w:pPr>
              <w:spacing w:after="20"/>
            </w:pPr>
            <w:r>
              <w:rPr>
                <w:b/>
                <w:color w:val="1C3A36"/>
                <w:sz w:val="17"/>
              </w:rPr>
              <w:t>Structure behind it</w:t>
            </w:r>
          </w:p>
        </w:tc>
      </w:tr>
      <w:tr>
        <w:trPr>
          <w:cantSplit/>
        </w:trPr>
        <w:tc>
          <w:tcPr>
            <w:tcW w:type="dxa" w:w="2448"/>
          </w:tcPr>
          <w:p>
            <w:pPr>
              <w:spacing w:after="20"/>
            </w:pPr>
            <w:r>
              <w:rPr>
                <w:color w:val="1C3A36"/>
                <w:sz w:val="17"/>
              </w:rPr>
              <w:t>Third resistance</w:t>
            </w:r>
          </w:p>
        </w:tc>
        <w:tc>
          <w:tcPr>
            <w:tcW w:type="dxa" w:w="1224"/>
          </w:tcPr>
          <w:p>
            <w:pPr>
              <w:spacing w:after="20"/>
              <w:jc w:val="right"/>
            </w:pPr>
            <w:r>
              <w:rPr>
                <w:color w:val="1C3A36"/>
                <w:sz w:val="17"/>
              </w:rPr>
              <w:t>4.40</w:t>
            </w:r>
          </w:p>
        </w:tc>
        <w:tc>
          <w:tcPr>
            <w:tcW w:type="dxa" w:w="2448"/>
          </w:tcPr>
          <w:p>
            <w:pPr>
              <w:spacing w:after="20"/>
              <w:jc w:val="right"/>
            </w:pPr>
            <w:r>
              <w:rPr>
                <w:color w:val="1C3A36"/>
                <w:sz w:val="17"/>
              </w:rPr>
              <w:t>9.5%</w:t>
            </w:r>
          </w:p>
        </w:tc>
        <w:tc>
          <w:tcPr>
            <w:tcW w:type="dxa" w:w="3456"/>
          </w:tcPr>
          <w:p>
            <w:pPr>
              <w:spacing w:after="20"/>
              <w:jc w:val="right"/>
            </w:pPr>
            <w:r>
              <w:rPr>
                <w:color w:val="1C3A36"/>
                <w:sz w:val="17"/>
              </w:rPr>
              <w:t>round level, 0 prior touches</w:t>
            </w:r>
          </w:p>
        </w:tc>
      </w:tr>
      <w:tr>
        <w:trPr>
          <w:cantSplit/>
        </w:trPr>
        <w:tc>
          <w:tcPr>
            <w:tcW w:type="dxa" w:w="2448"/>
          </w:tcPr>
          <w:p>
            <w:pPr>
              <w:spacing w:after="20"/>
            </w:pPr>
            <w:r>
              <w:rPr>
                <w:color w:val="1C3A36"/>
                <w:sz w:val="17"/>
              </w:rPr>
              <w:t>Second resistance</w:t>
            </w:r>
          </w:p>
        </w:tc>
        <w:tc>
          <w:tcPr>
            <w:tcW w:type="dxa" w:w="1224"/>
          </w:tcPr>
          <w:p>
            <w:pPr>
              <w:spacing w:after="20"/>
              <w:jc w:val="right"/>
            </w:pPr>
            <w:r>
              <w:rPr>
                <w:color w:val="1C3A36"/>
                <w:sz w:val="17"/>
              </w:rPr>
              <w:t>4.30</w:t>
            </w:r>
          </w:p>
        </w:tc>
        <w:tc>
          <w:tcPr>
            <w:tcW w:type="dxa" w:w="2448"/>
          </w:tcPr>
          <w:p>
            <w:pPr>
              <w:spacing w:after="20"/>
              <w:jc w:val="right"/>
            </w:pPr>
            <w:r>
              <w:rPr>
                <w:color w:val="1C3A36"/>
                <w:sz w:val="17"/>
              </w:rPr>
              <w:t>7.0%</w:t>
            </w:r>
          </w:p>
        </w:tc>
        <w:tc>
          <w:tcPr>
            <w:tcW w:type="dxa" w:w="3456"/>
          </w:tcPr>
          <w:p>
            <w:pPr>
              <w:spacing w:after="20"/>
              <w:jc w:val="right"/>
            </w:pPr>
            <w:r>
              <w:rPr>
                <w:color w:val="1C3A36"/>
                <w:sz w:val="17"/>
              </w:rPr>
              <w:t>round level, 0 prior touches</w:t>
            </w:r>
          </w:p>
        </w:tc>
      </w:tr>
      <w:tr>
        <w:trPr>
          <w:cantSplit/>
        </w:trPr>
        <w:tc>
          <w:tcPr>
            <w:tcW w:type="dxa" w:w="2448"/>
          </w:tcPr>
          <w:p>
            <w:pPr>
              <w:spacing w:after="20"/>
            </w:pPr>
            <w:r>
              <w:rPr>
                <w:color w:val="1C3A36"/>
                <w:sz w:val="17"/>
              </w:rPr>
              <w:t>Nearest resistance</w:t>
            </w:r>
          </w:p>
        </w:tc>
        <w:tc>
          <w:tcPr>
            <w:tcW w:type="dxa" w:w="1224"/>
          </w:tcPr>
          <w:p>
            <w:pPr>
              <w:spacing w:after="20"/>
              <w:jc w:val="right"/>
            </w:pPr>
            <w:r>
              <w:rPr>
                <w:color w:val="1C3A36"/>
                <w:sz w:val="17"/>
              </w:rPr>
              <w:t>4.15</w:t>
            </w:r>
          </w:p>
        </w:tc>
        <w:tc>
          <w:tcPr>
            <w:tcW w:type="dxa" w:w="2448"/>
          </w:tcPr>
          <w:p>
            <w:pPr>
              <w:spacing w:after="20"/>
              <w:jc w:val="right"/>
            </w:pPr>
            <w:r>
              <w:rPr>
                <w:color w:val="1C3A36"/>
                <w:sz w:val="17"/>
              </w:rPr>
              <w:t>3.2%</w:t>
            </w:r>
          </w:p>
        </w:tc>
        <w:tc>
          <w:tcPr>
            <w:tcW w:type="dxa" w:w="3456"/>
          </w:tcPr>
          <w:p>
            <w:pPr>
              <w:spacing w:after="20"/>
              <w:jc w:val="right"/>
            </w:pPr>
            <w:r>
              <w:rPr>
                <w:color w:val="1C3A36"/>
                <w:sz w:val="17"/>
              </w:rPr>
              <w:t>swing level, 2 prior touches</w:t>
            </w:r>
          </w:p>
        </w:tc>
      </w:tr>
      <w:tr>
        <w:trPr>
          <w:cantSplit/>
        </w:trPr>
        <w:tc>
          <w:tcPr>
            <w:tcW w:type="dxa" w:w="2448"/>
            <w:shd w:val="clear" w:color="auto" w:fill="F6F1E6"/>
          </w:tcPr>
          <w:p>
            <w:pPr>
              <w:spacing w:after="20"/>
            </w:pPr>
            <w:r>
              <w:rPr>
                <w:b/>
                <w:color w:val="1C3A36"/>
                <w:sz w:val="17"/>
              </w:rPr>
              <w:t>LAST CLOSE</w:t>
            </w:r>
          </w:p>
        </w:tc>
        <w:tc>
          <w:tcPr>
            <w:tcW w:type="dxa" w:w="1224"/>
            <w:shd w:val="clear" w:color="auto" w:fill="F6F1E6"/>
          </w:tcPr>
          <w:p>
            <w:pPr>
              <w:spacing w:after="20"/>
              <w:jc w:val="right"/>
            </w:pPr>
            <w:r>
              <w:rPr>
                <w:b/>
                <w:color w:val="1C3A36"/>
                <w:sz w:val="17"/>
              </w:rPr>
              <w:t>4.02</w:t>
            </w:r>
          </w:p>
        </w:tc>
        <w:tc>
          <w:tcPr>
            <w:tcW w:type="dxa" w:w="2448"/>
            <w:shd w:val="clear" w:color="auto" w:fill="F6F1E6"/>
          </w:tcPr>
          <w:p>
            <w:pPr>
              <w:spacing w:after="20"/>
              <w:jc w:val="right"/>
            </w:pPr>
            <w:r>
              <w:rPr>
                <w:b/>
                <w:color w:val="1C3A36"/>
                <w:sz w:val="17"/>
              </w:rPr>
              <w:t>—</w:t>
            </w:r>
          </w:p>
        </w:tc>
        <w:tc>
          <w:tcPr>
            <w:tcW w:type="dxa" w:w="3456"/>
            <w:shd w:val="clear" w:color="auto" w:fill="F6F1E6"/>
          </w:tcPr>
          <w:p>
            <w:pPr>
              <w:spacing w:after="20"/>
              <w:jc w:val="right"/>
            </w:pPr>
            <w:r>
              <w:rPr>
                <w:b/>
                <w:color w:val="1C3A36"/>
                <w:sz w:val="17"/>
              </w:rPr>
              <w:t>2026-08-07</w:t>
            </w:r>
          </w:p>
        </w:tc>
      </w:tr>
      <w:tr>
        <w:trPr>
          <w:cantSplit/>
        </w:trPr>
        <w:tc>
          <w:tcPr>
            <w:tcW w:type="dxa" w:w="2448"/>
          </w:tcPr>
          <w:p>
            <w:pPr>
              <w:spacing w:after="20"/>
            </w:pPr>
            <w:r>
              <w:rPr>
                <w:color w:val="1C3A36"/>
                <w:sz w:val="17"/>
              </w:rPr>
              <w:t>Nearest support</w:t>
            </w:r>
          </w:p>
        </w:tc>
        <w:tc>
          <w:tcPr>
            <w:tcW w:type="dxa" w:w="1224"/>
          </w:tcPr>
          <w:p>
            <w:pPr>
              <w:spacing w:after="20"/>
              <w:jc w:val="right"/>
            </w:pPr>
            <w:r>
              <w:rPr>
                <w:color w:val="1C3A36"/>
                <w:sz w:val="17"/>
              </w:rPr>
              <w:t>4.00</w:t>
            </w:r>
          </w:p>
        </w:tc>
        <w:tc>
          <w:tcPr>
            <w:tcW w:type="dxa" w:w="2448"/>
          </w:tcPr>
          <w:p>
            <w:pPr>
              <w:spacing w:after="20"/>
              <w:jc w:val="right"/>
            </w:pPr>
            <w:r>
              <w:rPr>
                <w:color w:val="1C3A36"/>
                <w:sz w:val="17"/>
              </w:rPr>
              <w:t>-0.5%</w:t>
            </w:r>
          </w:p>
        </w:tc>
        <w:tc>
          <w:tcPr>
            <w:tcW w:type="dxa" w:w="3456"/>
          </w:tcPr>
          <w:p>
            <w:pPr>
              <w:spacing w:after="20"/>
              <w:jc w:val="right"/>
            </w:pPr>
            <w:r>
              <w:rPr>
                <w:color w:val="1C3A36"/>
                <w:sz w:val="17"/>
              </w:rPr>
              <w:t>swing level, 6 prior touches</w:t>
            </w:r>
          </w:p>
        </w:tc>
      </w:tr>
      <w:tr>
        <w:trPr>
          <w:cantSplit/>
        </w:trPr>
        <w:tc>
          <w:tcPr>
            <w:tcW w:type="dxa" w:w="2448"/>
          </w:tcPr>
          <w:p>
            <w:pPr>
              <w:spacing w:after="20"/>
            </w:pPr>
            <w:r>
              <w:rPr>
                <w:color w:val="1C3A36"/>
                <w:sz w:val="17"/>
              </w:rPr>
              <w:t>Second support</w:t>
            </w:r>
          </w:p>
        </w:tc>
        <w:tc>
          <w:tcPr>
            <w:tcW w:type="dxa" w:w="1224"/>
          </w:tcPr>
          <w:p>
            <w:pPr>
              <w:spacing w:after="20"/>
              <w:jc w:val="right"/>
            </w:pPr>
            <w:r>
              <w:rPr>
                <w:color w:val="1C3A36"/>
                <w:sz w:val="17"/>
              </w:rPr>
              <w:t>3.77</w:t>
            </w:r>
          </w:p>
        </w:tc>
        <w:tc>
          <w:tcPr>
            <w:tcW w:type="dxa" w:w="2448"/>
          </w:tcPr>
          <w:p>
            <w:pPr>
              <w:spacing w:after="20"/>
              <w:jc w:val="right"/>
            </w:pPr>
            <w:r>
              <w:rPr>
                <w:color w:val="1C3A36"/>
                <w:sz w:val="17"/>
              </w:rPr>
              <w:t>-6.2%</w:t>
            </w:r>
          </w:p>
        </w:tc>
        <w:tc>
          <w:tcPr>
            <w:tcW w:type="dxa" w:w="3456"/>
          </w:tcPr>
          <w:p>
            <w:pPr>
              <w:spacing w:after="20"/>
              <w:jc w:val="right"/>
            </w:pPr>
            <w:r>
              <w:rPr>
                <w:color w:val="1C3A36"/>
                <w:sz w:val="17"/>
              </w:rPr>
              <w:t>swing level, 16 prior touches</w:t>
            </w:r>
          </w:p>
        </w:tc>
      </w:tr>
      <w:tr>
        <w:trPr>
          <w:cantSplit/>
        </w:trPr>
        <w:tc>
          <w:tcPr>
            <w:tcW w:type="dxa" w:w="2448"/>
          </w:tcPr>
          <w:p>
            <w:pPr>
              <w:spacing w:after="20"/>
            </w:pPr>
            <w:r>
              <w:rPr>
                <w:color w:val="1C3A36"/>
                <w:sz w:val="17"/>
              </w:rPr>
              <w:t>Third support</w:t>
            </w:r>
          </w:p>
        </w:tc>
        <w:tc>
          <w:tcPr>
            <w:tcW w:type="dxa" w:w="1224"/>
          </w:tcPr>
          <w:p>
            <w:pPr>
              <w:spacing w:after="20"/>
              <w:jc w:val="right"/>
            </w:pPr>
            <w:r>
              <w:rPr>
                <w:color w:val="1C3A36"/>
                <w:sz w:val="17"/>
              </w:rPr>
              <w:t>3.65</w:t>
            </w:r>
          </w:p>
        </w:tc>
        <w:tc>
          <w:tcPr>
            <w:tcW w:type="dxa" w:w="2448"/>
          </w:tcPr>
          <w:p>
            <w:pPr>
              <w:spacing w:after="20"/>
              <w:jc w:val="right"/>
            </w:pPr>
            <w:r>
              <w:rPr>
                <w:color w:val="1C3A36"/>
                <w:sz w:val="17"/>
              </w:rPr>
              <w:t>-9.2%</w:t>
            </w:r>
          </w:p>
        </w:tc>
        <w:tc>
          <w:tcPr>
            <w:tcW w:type="dxa" w:w="3456"/>
          </w:tcPr>
          <w:p>
            <w:pPr>
              <w:spacing w:after="20"/>
              <w:jc w:val="right"/>
            </w:pPr>
            <w:r>
              <w:rPr>
                <w:color w:val="1C3A36"/>
                <w:sz w:val="17"/>
              </w:rPr>
              <w:t>swing level, 22 prior touches</w:t>
            </w:r>
          </w:p>
        </w:tc>
      </w:tr>
    </w:tbl>
    <w:p>
      <w:pPr>
        <w:spacing w:after="40"/>
      </w:pPr>
    </w:p>
    <w:p>
      <w:pPr>
        <w:spacing w:after="200" w:before="0"/>
      </w:pPr>
      <w:r>
        <w:rPr>
          <w:b w:val="0"/>
          <w:i/>
          <w:color w:val="6E7B77"/>
          <w:sz w:val="17"/>
        </w:rPr>
        <w:t>Table 24 — support and resistance, computed from recency-weighted pivot clusters on the same cleaned price history the probability map in section 3 uses. The asymmetry is the point: the supports below have been tested 44 times between them, while the resistances above have barely been visited. This share has spent most of the last year building a floor, not a ceiling.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888"/>
        <w:gridCol w:w="4896"/>
      </w:tblGrid>
      <w:tr>
        <w:trPr>
          <w:cantSplit/>
        </w:trPr>
        <w:tc>
          <w:tcPr>
            <w:tcW w:type="dxa" w:w="3888"/>
            <w:shd w:val="clear" w:color="auto" w:fill="EAF0EE"/>
          </w:tcPr>
          <w:p>
            <w:pPr>
              <w:spacing w:after="20"/>
            </w:pPr>
            <w:r>
              <w:rPr>
                <w:b/>
                <w:color w:val="1C3A36"/>
                <w:sz w:val="17"/>
              </w:rPr>
              <w:t>Momentum and range</w:t>
            </w:r>
          </w:p>
        </w:tc>
        <w:tc>
          <w:tcPr>
            <w:tcW w:type="dxa" w:w="4896"/>
            <w:shd w:val="clear" w:color="auto" w:fill="EAF0EE"/>
          </w:tcPr>
          <w:p>
            <w:pPr>
              <w:spacing w:after="20"/>
            </w:pPr>
            <w:r>
              <w:rPr>
                <w:b/>
                <w:color w:val="1C3A36"/>
                <w:sz w:val="17"/>
              </w:rPr>
              <w:t>Reading</w:t>
            </w:r>
          </w:p>
        </w:tc>
      </w:tr>
      <w:tr>
        <w:trPr>
          <w:cantSplit/>
        </w:trPr>
        <w:tc>
          <w:tcPr>
            <w:tcW w:type="dxa" w:w="3888"/>
          </w:tcPr>
          <w:p>
            <w:pPr>
              <w:spacing w:after="20"/>
            </w:pPr>
            <w:r>
              <w:rPr>
                <w:color w:val="1C3A36"/>
                <w:sz w:val="17"/>
              </w:rPr>
              <w:t>20-day moving average</w:t>
            </w:r>
          </w:p>
        </w:tc>
        <w:tc>
          <w:tcPr>
            <w:tcW w:type="dxa" w:w="4896"/>
          </w:tcPr>
          <w:p>
            <w:pPr>
              <w:spacing w:after="20"/>
              <w:jc w:val="right"/>
            </w:pPr>
            <w:r>
              <w:rPr>
                <w:color w:val="1C3A36"/>
                <w:sz w:val="17"/>
              </w:rPr>
              <w:t>4.00, rising</w:t>
            </w:r>
          </w:p>
        </w:tc>
      </w:tr>
      <w:tr>
        <w:trPr>
          <w:cantSplit/>
        </w:trPr>
        <w:tc>
          <w:tcPr>
            <w:tcW w:type="dxa" w:w="3888"/>
          </w:tcPr>
          <w:p>
            <w:pPr>
              <w:spacing w:after="20"/>
            </w:pPr>
            <w:r>
              <w:rPr>
                <w:color w:val="1C3A36"/>
                <w:sz w:val="17"/>
              </w:rPr>
              <w:t>50-day moving average</w:t>
            </w:r>
          </w:p>
        </w:tc>
        <w:tc>
          <w:tcPr>
            <w:tcW w:type="dxa" w:w="4896"/>
          </w:tcPr>
          <w:p>
            <w:pPr>
              <w:spacing w:after="20"/>
              <w:jc w:val="right"/>
            </w:pPr>
            <w:r>
              <w:rPr>
                <w:color w:val="1C3A36"/>
                <w:sz w:val="17"/>
              </w:rPr>
              <w:t>3.94, rising</w:t>
            </w:r>
          </w:p>
        </w:tc>
      </w:tr>
      <w:tr>
        <w:trPr>
          <w:cantSplit/>
        </w:trPr>
        <w:tc>
          <w:tcPr>
            <w:tcW w:type="dxa" w:w="3888"/>
          </w:tcPr>
          <w:p>
            <w:pPr>
              <w:spacing w:after="20"/>
            </w:pPr>
            <w:r>
              <w:rPr>
                <w:color w:val="1C3A36"/>
                <w:sz w:val="17"/>
              </w:rPr>
              <w:t>200-day moving average</w:t>
            </w:r>
          </w:p>
        </w:tc>
        <w:tc>
          <w:tcPr>
            <w:tcW w:type="dxa" w:w="4896"/>
          </w:tcPr>
          <w:p>
            <w:pPr>
              <w:spacing w:after="20"/>
              <w:jc w:val="right"/>
            </w:pPr>
            <w:r>
              <w:rPr>
                <w:color w:val="1C3A36"/>
                <w:sz w:val="17"/>
              </w:rPr>
              <w:t>3.87, rising</w:t>
            </w:r>
          </w:p>
        </w:tc>
      </w:tr>
      <w:tr>
        <w:trPr>
          <w:cantSplit/>
        </w:trPr>
        <w:tc>
          <w:tcPr>
            <w:tcW w:type="dxa" w:w="3888"/>
          </w:tcPr>
          <w:p>
            <w:pPr>
              <w:spacing w:after="20"/>
            </w:pPr>
            <w:r>
              <w:rPr>
                <w:color w:val="1C3A36"/>
                <w:sz w:val="17"/>
              </w:rPr>
              <w:t>Relative strength index (14)</w:t>
            </w:r>
          </w:p>
        </w:tc>
        <w:tc>
          <w:tcPr>
            <w:tcW w:type="dxa" w:w="4896"/>
          </w:tcPr>
          <w:p>
            <w:pPr>
              <w:spacing w:after="20"/>
              <w:jc w:val="right"/>
            </w:pPr>
            <w:r>
              <w:rPr>
                <w:color w:val="1C3A36"/>
                <w:sz w:val="17"/>
              </w:rPr>
              <w:t>61.1</w:t>
            </w:r>
          </w:p>
        </w:tc>
      </w:tr>
      <w:tr>
        <w:trPr>
          <w:cantSplit/>
        </w:trPr>
        <w:tc>
          <w:tcPr>
            <w:tcW w:type="dxa" w:w="3888"/>
          </w:tcPr>
          <w:p>
            <w:pPr>
              <w:spacing w:after="20"/>
            </w:pPr>
            <w:r>
              <w:rPr>
                <w:color w:val="1C3A36"/>
                <w:sz w:val="17"/>
              </w:rPr>
              <w:t>Average true range (14)</w:t>
            </w:r>
          </w:p>
        </w:tc>
        <w:tc>
          <w:tcPr>
            <w:tcW w:type="dxa" w:w="4896"/>
          </w:tcPr>
          <w:p>
            <w:pPr>
              <w:spacing w:after="20"/>
              <w:jc w:val="right"/>
            </w:pPr>
            <w:r>
              <w:rPr>
                <w:color w:val="1C3A36"/>
                <w:sz w:val="17"/>
              </w:rPr>
              <w:t>0.06 (1.4% of the close)</w:t>
            </w:r>
          </w:p>
        </w:tc>
      </w:tr>
      <w:tr>
        <w:trPr>
          <w:cantSplit/>
        </w:trPr>
        <w:tc>
          <w:tcPr>
            <w:tcW w:type="dxa" w:w="3888"/>
          </w:tcPr>
          <w:p>
            <w:pPr>
              <w:spacing w:after="20"/>
            </w:pPr>
            <w:r>
              <w:rPr>
                <w:color w:val="1C3A36"/>
                <w:sz w:val="17"/>
              </w:rPr>
              <w:t>Moving-average convergence / divergence</w:t>
            </w:r>
          </w:p>
        </w:tc>
        <w:tc>
          <w:tcPr>
            <w:tcW w:type="dxa" w:w="4896"/>
          </w:tcPr>
          <w:p>
            <w:pPr>
              <w:spacing w:after="20"/>
              <w:jc w:val="right"/>
            </w:pPr>
            <w:r>
              <w:rPr>
                <w:color w:val="1C3A36"/>
                <w:sz w:val="17"/>
              </w:rPr>
              <w:t>0.04 against a signal of 0.03</w:t>
            </w:r>
          </w:p>
        </w:tc>
      </w:tr>
      <w:tr>
        <w:trPr>
          <w:cantSplit/>
        </w:trPr>
        <w:tc>
          <w:tcPr>
            <w:tcW w:type="dxa" w:w="3888"/>
          </w:tcPr>
          <w:p>
            <w:pPr>
              <w:spacing w:after="20"/>
            </w:pPr>
            <w:r>
              <w:rPr>
                <w:color w:val="1C3A36"/>
                <w:sz w:val="17"/>
              </w:rPr>
              <w:t>50-day against 200-day</w:t>
            </w:r>
          </w:p>
        </w:tc>
        <w:tc>
          <w:tcPr>
            <w:tcW w:type="dxa" w:w="4896"/>
          </w:tcPr>
          <w:p>
            <w:pPr>
              <w:spacing w:after="20"/>
              <w:jc w:val="right"/>
            </w:pPr>
            <w:r>
              <w:rPr>
                <w:color w:val="1C3A36"/>
                <w:sz w:val="17"/>
              </w:rPr>
              <w:t>golden crossover, 23 sessions ago</w:t>
            </w:r>
          </w:p>
        </w:tc>
      </w:tr>
      <w:tr>
        <w:trPr>
          <w:cantSplit/>
        </w:trPr>
        <w:tc>
          <w:tcPr>
            <w:tcW w:type="dxa" w:w="3888"/>
          </w:tcPr>
          <w:p>
            <w:pPr>
              <w:spacing w:after="20"/>
            </w:pPr>
            <w:r>
              <w:rPr>
                <w:color w:val="1C3A36"/>
                <w:sz w:val="17"/>
              </w:rPr>
              <w:t>52-week range</w:t>
            </w:r>
          </w:p>
        </w:tc>
        <w:tc>
          <w:tcPr>
            <w:tcW w:type="dxa" w:w="4896"/>
          </w:tcPr>
          <w:p>
            <w:pPr>
              <w:spacing w:after="20"/>
              <w:jc w:val="right"/>
            </w:pPr>
            <w:r>
              <w:rPr>
                <w:color w:val="1C3A36"/>
                <w:sz w:val="17"/>
              </w:rPr>
              <w:t>3.47 – 4.18</w:t>
            </w:r>
          </w:p>
        </w:tc>
      </w:tr>
      <w:tr>
        <w:trPr>
          <w:cantSplit/>
        </w:trPr>
        <w:tc>
          <w:tcPr>
            <w:tcW w:type="dxa" w:w="3888"/>
          </w:tcPr>
          <w:p>
            <w:pPr>
              <w:spacing w:after="20"/>
            </w:pPr>
            <w:r>
              <w:rPr>
                <w:color w:val="1C3A36"/>
                <w:sz w:val="17"/>
              </w:rPr>
              <w:t>Position in that range</w:t>
            </w:r>
          </w:p>
        </w:tc>
        <w:tc>
          <w:tcPr>
            <w:tcW w:type="dxa" w:w="4896"/>
          </w:tcPr>
          <w:p>
            <w:pPr>
              <w:spacing w:after="20"/>
              <w:jc w:val="right"/>
            </w:pPr>
            <w:r>
              <w:rPr>
                <w:color w:val="1C3A36"/>
                <w:sz w:val="17"/>
              </w:rPr>
              <w:t>2.6% below the high, 17.3% above the low</w:t>
            </w:r>
          </w:p>
        </w:tc>
      </w:tr>
    </w:tbl>
    <w:p>
      <w:pPr>
        <w:spacing w:after="40"/>
      </w:pPr>
    </w:p>
    <w:p>
      <w:pPr>
        <w:spacing w:after="200" w:before="0"/>
      </w:pPr>
      <w:r>
        <w:rPr>
          <w:b w:val="0"/>
          <w:i/>
          <w:color w:val="6E7B77"/>
          <w:sz w:val="17"/>
        </w:rPr>
        <w:t>Table 25 — the computed momentum and range readings, from 2,162 sessions of cleaned daily history.</w:t>
      </w:r>
    </w:p>
    <w:p>
      <w:pPr>
        <w:spacing w:after="120" w:before="0"/>
      </w:pPr>
      <w:r>
        <w:rPr>
          <w:b w:val="0"/>
          <w:i w:val="0"/>
          <w:color w:val="1C3A36"/>
          <w:sz w:val="21"/>
        </w:rPr>
        <w:t>A daily close back above 4.15 would clear the nearest resistance and open the 4.40 zone. A close below 4.00 would break the nearest support and open the 3.65 zone.</w:t>
      </w:r>
    </w:p>
    <w:p>
      <w:pPr>
        <w:spacing w:after="120" w:before="0"/>
      </w:pPr>
      <w:r>
        <w:rPr>
          <w:b w:val="0"/>
          <w:i w:val="0"/>
          <w:color w:val="1C3A36"/>
          <w:sz w:val="21"/>
        </w:rPr>
        <w:t>One structural observation the indicators do not carry. The daily average true range is 1.4% of the price. That is an extremely quiet tape for an emerging-market listing, and it is the same fact that drives the calibration discussion in the next section: this share moves less than almost anything else on its exchange, and a probability range built across the whole exchange will therefore be too wide for it.</w:t>
      </w:r>
    </w:p>
    <w:p>
      <w:pPr>
        <w:spacing w:after="120" w:before="280"/>
      </w:pPr>
      <w:r>
        <w:rPr>
          <w:b/>
          <w:i w:val="0"/>
          <w:color w:val="1C3A36"/>
          <w:sz w:val="30"/>
        </w:rPr>
        <w:t>3. Probabilistic price map</w:t>
      </w:r>
    </w:p>
    <w:p>
      <w:pPr>
        <w:spacing w:after="120" w:before="0"/>
      </w:pPr>
      <w:r>
        <w:rPr>
          <w:b w:val="0"/>
          <w:i w:val="0"/>
          <w:color w:val="1C3A36"/>
          <w:sz w:val="21"/>
        </w:rPr>
        <w:t>The valuation above says where the shares should be. This section says something narrower and more testable: given how this share has actually behaved, where might the price be in one month and in three? It is a statement about the distribution of outcomes, not a forecast of one, and it is entirely independent of the fundamental work above.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608"/>
        <w:gridCol w:w="1944"/>
        <w:gridCol w:w="1944"/>
      </w:tblGrid>
      <w:tr>
        <w:trPr>
          <w:cantSplit/>
        </w:trPr>
        <w:tc>
          <w:tcPr>
            <w:tcW w:type="dxa" w:w="4608"/>
            <w:shd w:val="clear" w:color="auto" w:fill="EAF0EE"/>
          </w:tcPr>
          <w:p>
            <w:pPr>
              <w:spacing w:after="20"/>
            </w:pPr>
            <w:r>
              <w:rPr>
                <w:b/>
                <w:color w:val="1C3A36"/>
                <w:sz w:val="18"/>
              </w:rPr>
              <w:t>Percentile of the simulated distribution</w:t>
            </w:r>
          </w:p>
        </w:tc>
        <w:tc>
          <w:tcPr>
            <w:tcW w:type="dxa" w:w="1944"/>
            <w:shd w:val="clear" w:color="auto" w:fill="EAF0EE"/>
          </w:tcPr>
          <w:p>
            <w:pPr>
              <w:spacing w:after="20"/>
            </w:pPr>
            <w:r>
              <w:rPr>
                <w:b/>
                <w:color w:val="1C3A36"/>
                <w:sz w:val="18"/>
              </w:rPr>
              <w:t>One month</w:t>
            </w:r>
          </w:p>
        </w:tc>
        <w:tc>
          <w:tcPr>
            <w:tcW w:type="dxa" w:w="1944"/>
            <w:shd w:val="clear" w:color="auto" w:fill="EAF0EE"/>
          </w:tcPr>
          <w:p>
            <w:pPr>
              <w:spacing w:after="20"/>
            </w:pPr>
            <w:r>
              <w:rPr>
                <w:b/>
                <w:color w:val="1C3A36"/>
                <w:sz w:val="18"/>
              </w:rPr>
              <w:t>Three months</w:t>
            </w:r>
          </w:p>
        </w:tc>
      </w:tr>
      <w:tr>
        <w:trPr>
          <w:cantSplit/>
        </w:trPr>
        <w:tc>
          <w:tcPr>
            <w:tcW w:type="dxa" w:w="4608"/>
          </w:tcPr>
          <w:p>
            <w:pPr>
              <w:spacing w:after="20"/>
            </w:pPr>
            <w:r>
              <w:rPr>
                <w:color w:val="1C3A36"/>
                <w:sz w:val="18"/>
              </w:rPr>
              <w:t>5th percentile</w:t>
            </w:r>
          </w:p>
        </w:tc>
        <w:tc>
          <w:tcPr>
            <w:tcW w:type="dxa" w:w="1944"/>
          </w:tcPr>
          <w:p>
            <w:pPr>
              <w:spacing w:after="20"/>
              <w:jc w:val="right"/>
            </w:pPr>
            <w:r>
              <w:rPr>
                <w:color w:val="1C3A36"/>
                <w:sz w:val="18"/>
              </w:rPr>
              <w:t>3.69</w:t>
            </w:r>
          </w:p>
        </w:tc>
        <w:tc>
          <w:tcPr>
            <w:tcW w:type="dxa" w:w="1944"/>
          </w:tcPr>
          <w:p>
            <w:pPr>
              <w:spacing w:after="20"/>
              <w:jc w:val="right"/>
            </w:pPr>
            <w:r>
              <w:rPr>
                <w:color w:val="1C3A36"/>
                <w:sz w:val="18"/>
              </w:rPr>
              <w:t>3.39</w:t>
            </w:r>
          </w:p>
        </w:tc>
      </w:tr>
      <w:tr>
        <w:trPr>
          <w:cantSplit/>
        </w:trPr>
        <w:tc>
          <w:tcPr>
            <w:tcW w:type="dxa" w:w="4608"/>
          </w:tcPr>
          <w:p>
            <w:pPr>
              <w:spacing w:after="20"/>
            </w:pPr>
            <w:r>
              <w:rPr>
                <w:color w:val="1C3A36"/>
                <w:sz w:val="18"/>
              </w:rPr>
              <w:t>25th percentile</w:t>
            </w:r>
          </w:p>
        </w:tc>
        <w:tc>
          <w:tcPr>
            <w:tcW w:type="dxa" w:w="1944"/>
          </w:tcPr>
          <w:p>
            <w:pPr>
              <w:spacing w:after="20"/>
              <w:jc w:val="right"/>
            </w:pPr>
            <w:r>
              <w:rPr>
                <w:color w:val="1C3A36"/>
                <w:sz w:val="18"/>
              </w:rPr>
              <w:t>3.92</w:t>
            </w:r>
          </w:p>
        </w:tc>
        <w:tc>
          <w:tcPr>
            <w:tcW w:type="dxa" w:w="1944"/>
          </w:tcPr>
          <w:p>
            <w:pPr>
              <w:spacing w:after="20"/>
              <w:jc w:val="right"/>
            </w:pPr>
            <w:r>
              <w:rPr>
                <w:color w:val="1C3A36"/>
                <w:sz w:val="18"/>
              </w:rPr>
              <w:t>3.79</w:t>
            </w:r>
          </w:p>
        </w:tc>
      </w:tr>
      <w:tr>
        <w:trPr>
          <w:cantSplit/>
        </w:trPr>
        <w:tc>
          <w:tcPr>
            <w:tcW w:type="dxa" w:w="4608"/>
          </w:tcPr>
          <w:p>
            <w:pPr>
              <w:spacing w:after="20"/>
            </w:pPr>
            <w:r>
              <w:rPr>
                <w:color w:val="1C3A36"/>
                <w:sz w:val="18"/>
              </w:rPr>
              <w:t>50th percentile</w:t>
            </w:r>
          </w:p>
        </w:tc>
        <w:tc>
          <w:tcPr>
            <w:tcW w:type="dxa" w:w="1944"/>
          </w:tcPr>
          <w:p>
            <w:pPr>
              <w:spacing w:after="20"/>
              <w:jc w:val="right"/>
            </w:pPr>
            <w:r>
              <w:rPr>
                <w:color w:val="1C3A36"/>
                <w:sz w:val="18"/>
              </w:rPr>
              <w:t>4.07</w:t>
            </w:r>
          </w:p>
        </w:tc>
        <w:tc>
          <w:tcPr>
            <w:tcW w:type="dxa" w:w="1944"/>
          </w:tcPr>
          <w:p>
            <w:pPr>
              <w:spacing w:after="20"/>
              <w:jc w:val="right"/>
            </w:pPr>
            <w:r>
              <w:rPr>
                <w:color w:val="1C3A36"/>
                <w:sz w:val="18"/>
              </w:rPr>
              <w:t>4.06</w:t>
            </w:r>
          </w:p>
        </w:tc>
      </w:tr>
      <w:tr>
        <w:trPr>
          <w:cantSplit/>
        </w:trPr>
        <w:tc>
          <w:tcPr>
            <w:tcW w:type="dxa" w:w="4608"/>
          </w:tcPr>
          <w:p>
            <w:pPr>
              <w:spacing w:after="20"/>
            </w:pPr>
            <w:r>
              <w:rPr>
                <w:color w:val="1C3A36"/>
                <w:sz w:val="18"/>
              </w:rPr>
              <w:t>75th percentile</w:t>
            </w:r>
          </w:p>
        </w:tc>
        <w:tc>
          <w:tcPr>
            <w:tcW w:type="dxa" w:w="1944"/>
          </w:tcPr>
          <w:p>
            <w:pPr>
              <w:spacing w:after="20"/>
              <w:jc w:val="right"/>
            </w:pPr>
            <w:r>
              <w:rPr>
                <w:color w:val="1C3A36"/>
                <w:sz w:val="18"/>
              </w:rPr>
              <w:t>4.22</w:t>
            </w:r>
          </w:p>
        </w:tc>
        <w:tc>
          <w:tcPr>
            <w:tcW w:type="dxa" w:w="1944"/>
          </w:tcPr>
          <w:p>
            <w:pPr>
              <w:spacing w:after="20"/>
              <w:jc w:val="right"/>
            </w:pPr>
            <w:r>
              <w:rPr>
                <w:color w:val="1C3A36"/>
                <w:sz w:val="18"/>
              </w:rPr>
              <w:t>4.35</w:t>
            </w:r>
          </w:p>
        </w:tc>
      </w:tr>
      <w:tr>
        <w:trPr>
          <w:cantSplit/>
        </w:trPr>
        <w:tc>
          <w:tcPr>
            <w:tcW w:type="dxa" w:w="4608"/>
          </w:tcPr>
          <w:p>
            <w:pPr>
              <w:spacing w:after="20"/>
            </w:pPr>
            <w:r>
              <w:rPr>
                <w:color w:val="1C3A36"/>
                <w:sz w:val="18"/>
              </w:rPr>
              <w:t>95th percentile</w:t>
            </w:r>
          </w:p>
        </w:tc>
        <w:tc>
          <w:tcPr>
            <w:tcW w:type="dxa" w:w="1944"/>
          </w:tcPr>
          <w:p>
            <w:pPr>
              <w:spacing w:after="20"/>
              <w:jc w:val="right"/>
            </w:pPr>
            <w:r>
              <w:rPr>
                <w:color w:val="1C3A36"/>
                <w:sz w:val="18"/>
              </w:rPr>
              <w:t>4.47</w:t>
            </w:r>
          </w:p>
        </w:tc>
        <w:tc>
          <w:tcPr>
            <w:tcW w:type="dxa" w:w="1944"/>
          </w:tcPr>
          <w:p>
            <w:pPr>
              <w:spacing w:after="20"/>
              <w:jc w:val="right"/>
            </w:pPr>
            <w:r>
              <w:rPr>
                <w:color w:val="1C3A36"/>
                <w:sz w:val="18"/>
              </w:rPr>
              <w:t>4.86</w:t>
            </w:r>
          </w:p>
        </w:tc>
      </w:tr>
      <w:tr>
        <w:trPr>
          <w:cantSplit/>
        </w:trPr>
        <w:tc>
          <w:tcPr>
            <w:tcW w:type="dxa" w:w="4608"/>
          </w:tcPr>
          <w:p>
            <w:pPr>
              <w:spacing w:after="20"/>
            </w:pPr>
            <w:r>
              <w:rPr>
                <w:color w:val="1C3A36"/>
                <w:sz w:val="18"/>
              </w:rPr>
              <w:t>Width of the 90% range</w:t>
            </w:r>
          </w:p>
        </w:tc>
        <w:tc>
          <w:tcPr>
            <w:tcW w:type="dxa" w:w="1944"/>
          </w:tcPr>
          <w:p>
            <w:pPr>
              <w:spacing w:after="20"/>
              <w:jc w:val="right"/>
            </w:pPr>
            <w:r>
              <w:rPr>
                <w:color w:val="1C3A36"/>
                <w:sz w:val="18"/>
              </w:rPr>
              <w:t>21%</w:t>
            </w:r>
          </w:p>
        </w:tc>
        <w:tc>
          <w:tcPr>
            <w:tcW w:type="dxa" w:w="1944"/>
          </w:tcPr>
          <w:p>
            <w:pPr>
              <w:spacing w:after="20"/>
              <w:jc w:val="right"/>
            </w:pPr>
            <w:r>
              <w:rPr>
                <w:color w:val="1C3A36"/>
                <w:sz w:val="18"/>
              </w:rPr>
              <w:t>43%</w:t>
            </w:r>
          </w:p>
        </w:tc>
      </w:tr>
      <w:tr>
        <w:trPr>
          <w:cantSplit/>
        </w:trPr>
        <w:tc>
          <w:tcPr>
            <w:tcW w:type="dxa" w:w="4608"/>
            <w:shd w:val="clear" w:color="auto" w:fill="F6F1E6"/>
          </w:tcPr>
          <w:p>
            <w:pPr>
              <w:spacing w:after="20"/>
            </w:pPr>
            <w:r>
              <w:rPr>
                <w:b/>
                <w:color w:val="1C3A36"/>
                <w:sz w:val="18"/>
              </w:rPr>
              <w:t>Check date</w:t>
            </w:r>
          </w:p>
        </w:tc>
        <w:tc>
          <w:tcPr>
            <w:tcW w:type="dxa" w:w="1944"/>
            <w:shd w:val="clear" w:color="auto" w:fill="F6F1E6"/>
          </w:tcPr>
          <w:p>
            <w:pPr>
              <w:spacing w:after="20"/>
              <w:jc w:val="right"/>
            </w:pPr>
            <w:r>
              <w:rPr>
                <w:b/>
                <w:color w:val="1C3A36"/>
                <w:sz w:val="18"/>
              </w:rPr>
              <w:t>2026-09-07</w:t>
            </w:r>
          </w:p>
        </w:tc>
        <w:tc>
          <w:tcPr>
            <w:tcW w:type="dxa" w:w="1944"/>
            <w:shd w:val="clear" w:color="auto" w:fill="F6F1E6"/>
          </w:tcPr>
          <w:p>
            <w:pPr>
              <w:spacing w:after="20"/>
              <w:jc w:val="right"/>
            </w:pPr>
            <w:r>
              <w:rPr>
                <w:b/>
                <w:color w:val="1C3A36"/>
                <w:sz w:val="18"/>
              </w:rPr>
              <w:t>2026-11-09</w:t>
            </w:r>
          </w:p>
        </w:tc>
      </w:tr>
    </w:tbl>
    <w:p>
      <w:pPr>
        <w:spacing w:after="40"/>
      </w:pPr>
    </w:p>
    <w:p>
      <w:pPr>
        <w:spacing w:after="200" w:before="0"/>
      </w:pPr>
      <w:r>
        <w:rPr>
          <w:b w:val="0"/>
          <w:i/>
          <w:color w:val="6E7B77"/>
          <w:sz w:val="17"/>
        </w:rPr>
        <w:t>Table 26 — the percentile map, in AED. The anchor is the AED 4.07 close of 2026-08-07. The simulation is fed 21.6% annualised volatility at one month and 22.7% at three, and carries a carry drift built from a risk-free rate of 3.65% against a dividend yield of 5.11% — which is why the median sits marginally BELOW the anchor at both horizons.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608"/>
        <w:gridCol w:w="1944"/>
        <w:gridCol w:w="1944"/>
      </w:tblGrid>
      <w:tr>
        <w:trPr>
          <w:cantSplit/>
        </w:trPr>
        <w:tc>
          <w:tcPr>
            <w:tcW w:type="dxa" w:w="4608"/>
            <w:shd w:val="clear" w:color="auto" w:fill="EAF0EE"/>
          </w:tcPr>
          <w:p>
            <w:pPr>
              <w:spacing w:after="20"/>
            </w:pPr>
            <w:r>
              <w:rPr>
                <w:b/>
                <w:color w:val="1C3A36"/>
                <w:sz w:val="18"/>
              </w:rPr>
              <w:t>Probability</w:t>
            </w:r>
          </w:p>
        </w:tc>
        <w:tc>
          <w:tcPr>
            <w:tcW w:type="dxa" w:w="1944"/>
            <w:shd w:val="clear" w:color="auto" w:fill="EAF0EE"/>
          </w:tcPr>
          <w:p>
            <w:pPr>
              <w:spacing w:after="20"/>
            </w:pPr>
            <w:r>
              <w:rPr>
                <w:b/>
                <w:color w:val="1C3A36"/>
                <w:sz w:val="18"/>
              </w:rPr>
              <w:t>One month</w:t>
            </w:r>
          </w:p>
        </w:tc>
        <w:tc>
          <w:tcPr>
            <w:tcW w:type="dxa" w:w="1944"/>
            <w:shd w:val="clear" w:color="auto" w:fill="EAF0EE"/>
          </w:tcPr>
          <w:p>
            <w:pPr>
              <w:spacing w:after="20"/>
            </w:pPr>
            <w:r>
              <w:rPr>
                <w:b/>
                <w:color w:val="1C3A36"/>
                <w:sz w:val="18"/>
              </w:rPr>
              <w:t>Three months</w:t>
            </w:r>
          </w:p>
        </w:tc>
      </w:tr>
      <w:tr>
        <w:trPr>
          <w:cantSplit/>
        </w:trPr>
        <w:tc>
          <w:tcPr>
            <w:tcW w:type="dxa" w:w="4608"/>
          </w:tcPr>
          <w:p>
            <w:pPr>
              <w:spacing w:after="20"/>
            </w:pPr>
            <w:r>
              <w:rPr>
                <w:color w:val="1C3A36"/>
                <w:sz w:val="18"/>
              </w:rPr>
              <w:t>Finishes above the anchor</w:t>
            </w:r>
          </w:p>
        </w:tc>
        <w:tc>
          <w:tcPr>
            <w:tcW w:type="dxa" w:w="1944"/>
          </w:tcPr>
          <w:p>
            <w:pPr>
              <w:spacing w:after="20"/>
              <w:jc w:val="right"/>
            </w:pPr>
            <w:r>
              <w:rPr>
                <w:color w:val="1C3A36"/>
                <w:sz w:val="18"/>
              </w:rPr>
              <w:t>49.1%</w:t>
            </w:r>
          </w:p>
        </w:tc>
        <w:tc>
          <w:tcPr>
            <w:tcW w:type="dxa" w:w="1944"/>
          </w:tcPr>
          <w:p>
            <w:pPr>
              <w:spacing w:after="20"/>
              <w:jc w:val="right"/>
            </w:pPr>
            <w:r>
              <w:rPr>
                <w:color w:val="1C3A36"/>
                <w:sz w:val="18"/>
              </w:rPr>
              <w:t>48.9%</w:t>
            </w:r>
          </w:p>
        </w:tc>
      </w:tr>
      <w:tr>
        <w:trPr>
          <w:cantSplit/>
        </w:trPr>
        <w:tc>
          <w:tcPr>
            <w:tcW w:type="dxa" w:w="4608"/>
          </w:tcPr>
          <w:p>
            <w:pPr>
              <w:spacing w:after="20"/>
            </w:pPr>
            <w:r>
              <w:rPr>
                <w:color w:val="1C3A36"/>
                <w:sz w:val="18"/>
              </w:rPr>
              <w:t>Finishes 10% or more above</w:t>
            </w:r>
          </w:p>
        </w:tc>
        <w:tc>
          <w:tcPr>
            <w:tcW w:type="dxa" w:w="1944"/>
          </w:tcPr>
          <w:p>
            <w:pPr>
              <w:spacing w:after="20"/>
              <w:jc w:val="right"/>
            </w:pPr>
            <w:r>
              <w:rPr>
                <w:color w:val="1C3A36"/>
                <w:sz w:val="18"/>
              </w:rPr>
              <w:t>4.7%</w:t>
            </w:r>
          </w:p>
        </w:tc>
        <w:tc>
          <w:tcPr>
            <w:tcW w:type="dxa" w:w="1944"/>
          </w:tcPr>
          <w:p>
            <w:pPr>
              <w:spacing w:after="20"/>
              <w:jc w:val="right"/>
            </w:pPr>
            <w:r>
              <w:rPr>
                <w:color w:val="1C3A36"/>
                <w:sz w:val="18"/>
              </w:rPr>
              <w:t>17.2%</w:t>
            </w:r>
          </w:p>
        </w:tc>
      </w:tr>
      <w:tr>
        <w:trPr>
          <w:cantSplit/>
        </w:trPr>
        <w:tc>
          <w:tcPr>
            <w:tcW w:type="dxa" w:w="4608"/>
          </w:tcPr>
          <w:p>
            <w:pPr>
              <w:spacing w:after="20"/>
            </w:pPr>
            <w:r>
              <w:rPr>
                <w:color w:val="1C3A36"/>
                <w:sz w:val="18"/>
              </w:rPr>
              <w:t>Finishes 10% or more below</w:t>
            </w:r>
          </w:p>
        </w:tc>
        <w:tc>
          <w:tcPr>
            <w:tcW w:type="dxa" w:w="1944"/>
          </w:tcPr>
          <w:p>
            <w:pPr>
              <w:spacing w:after="20"/>
              <w:jc w:val="right"/>
            </w:pPr>
            <w:r>
              <w:rPr>
                <w:color w:val="1C3A36"/>
                <w:sz w:val="18"/>
              </w:rPr>
              <w:t>4.0%</w:t>
            </w:r>
          </w:p>
        </w:tc>
        <w:tc>
          <w:tcPr>
            <w:tcW w:type="dxa" w:w="1944"/>
          </w:tcPr>
          <w:p>
            <w:pPr>
              <w:spacing w:after="20"/>
              <w:jc w:val="right"/>
            </w:pPr>
            <w:r>
              <w:rPr>
                <w:color w:val="1C3A36"/>
                <w:sz w:val="18"/>
              </w:rPr>
              <w:t>16.1%</w:t>
            </w:r>
          </w:p>
        </w:tc>
      </w:tr>
      <w:tr>
        <w:trPr>
          <w:cantSplit/>
        </w:trPr>
        <w:tc>
          <w:tcPr>
            <w:tcW w:type="dxa" w:w="4608"/>
          </w:tcPr>
          <w:p>
            <w:pPr>
              <w:spacing w:after="20"/>
            </w:pPr>
            <w:r>
              <w:rPr>
                <w:color w:val="1C3A36"/>
                <w:sz w:val="18"/>
              </w:rPr>
              <w:t>TOUCHES 10% above at any point</w:t>
            </w:r>
          </w:p>
        </w:tc>
        <w:tc>
          <w:tcPr>
            <w:tcW w:type="dxa" w:w="1944"/>
          </w:tcPr>
          <w:p>
            <w:pPr>
              <w:spacing w:after="20"/>
              <w:jc w:val="right"/>
            </w:pPr>
            <w:r>
              <w:rPr>
                <w:color w:val="1C3A36"/>
                <w:sz w:val="18"/>
              </w:rPr>
              <w:t>7.7%</w:t>
            </w:r>
          </w:p>
        </w:tc>
        <w:tc>
          <w:tcPr>
            <w:tcW w:type="dxa" w:w="1944"/>
          </w:tcPr>
          <w:p>
            <w:pPr>
              <w:spacing w:after="20"/>
              <w:jc w:val="right"/>
            </w:pPr>
            <w:r>
              <w:rPr>
                <w:color w:val="1C3A36"/>
                <w:sz w:val="18"/>
              </w:rPr>
              <w:t>31.5%</w:t>
            </w:r>
          </w:p>
        </w:tc>
      </w:tr>
      <w:tr>
        <w:trPr>
          <w:cantSplit/>
        </w:trPr>
        <w:tc>
          <w:tcPr>
            <w:tcW w:type="dxa" w:w="4608"/>
          </w:tcPr>
          <w:p>
            <w:pPr>
              <w:spacing w:after="20"/>
            </w:pPr>
            <w:r>
              <w:rPr>
                <w:color w:val="1C3A36"/>
                <w:sz w:val="18"/>
              </w:rPr>
              <w:t>TOUCHES 10% below at any point</w:t>
            </w:r>
          </w:p>
        </w:tc>
        <w:tc>
          <w:tcPr>
            <w:tcW w:type="dxa" w:w="1944"/>
          </w:tcPr>
          <w:p>
            <w:pPr>
              <w:spacing w:after="20"/>
              <w:jc w:val="right"/>
            </w:pPr>
            <w:r>
              <w:rPr>
                <w:color w:val="1C3A36"/>
                <w:sz w:val="18"/>
              </w:rPr>
              <w:t>6.1%</w:t>
            </w:r>
          </w:p>
        </w:tc>
        <w:tc>
          <w:tcPr>
            <w:tcW w:type="dxa" w:w="1944"/>
          </w:tcPr>
          <w:p>
            <w:pPr>
              <w:spacing w:after="20"/>
              <w:jc w:val="right"/>
            </w:pPr>
            <w:r>
              <w:rPr>
                <w:color w:val="1C3A36"/>
                <w:sz w:val="18"/>
              </w:rPr>
              <w:t>28.8%</w:t>
            </w:r>
          </w:p>
        </w:tc>
      </w:tr>
    </w:tbl>
    <w:p>
      <w:pPr>
        <w:spacing w:after="40"/>
      </w:pPr>
    </w:p>
    <w:p>
      <w:pPr>
        <w:spacing w:after="200" w:before="0"/>
      </w:pPr>
      <w:r>
        <w:rPr>
          <w:b w:val="0"/>
          <w:i/>
          <w:color w:val="6E7B77"/>
          <w:sz w:val="17"/>
        </w:rPr>
        <w:t>Table 27 — the level-touch ladder. Touching a level at any point inside the window is far more likely than finishing beyond it: at three months the chance of touching a price ten per cent higher is 1.8 times the chance of closing there. A reader with a stop-loss experiences the touch probability; a reader holding to the check date experiences the other one.</w:t>
      </w:r>
    </w:p>
    <w:p>
      <w:pPr>
        <w:spacing w:after="40"/>
        <w:jc w:val="center"/>
      </w:pPr>
      <w:r>
        <w:drawing>
          <wp:inline xmlns:a="http://schemas.openxmlformats.org/drawingml/2006/main" xmlns:pic="http://schemas.openxmlformats.org/drawingml/2006/picture">
            <wp:extent cx="6309360" cy="2696701"/>
            <wp:docPr id="7" name="Picture 7"/>
            <wp:cNvGraphicFramePr>
              <a:graphicFrameLocks noChangeAspect="1"/>
            </wp:cNvGraphicFramePr>
            <a:graphic>
              <a:graphicData uri="http://schemas.openxmlformats.org/drawingml/2006/picture">
                <pic:pic>
                  <pic:nvPicPr>
                    <pic:cNvPr id="0" name="fig5_cone.png"/>
                    <pic:cNvPicPr/>
                  </pic:nvPicPr>
                  <pic:blipFill>
                    <a:blip r:embed="rId15"/>
                    <a:stretch>
                      <a:fillRect/>
                    </a:stretch>
                  </pic:blipFill>
                  <pic:spPr>
                    <a:xfrm>
                      <a:off x="0" y="0"/>
                      <a:ext cx="6309360" cy="2696701"/>
                    </a:xfrm>
                    <a:prstGeom prst="rect"/>
                  </pic:spPr>
                </pic:pic>
              </a:graphicData>
            </a:graphic>
          </wp:inline>
        </w:drawing>
      </w:r>
    </w:p>
    <w:p>
      <w:pPr>
        <w:spacing w:after="200" w:before="0"/>
      </w:pPr>
      <w:r>
        <w:rPr>
          <w:b w:val="0"/>
          <w:i/>
          <w:color w:val="6E7B77"/>
          <w:sz w:val="17"/>
        </w:rPr>
        <w:t>Figure 7 — the price history and the one- and three-month probability ranges.</w:t>
      </w:r>
    </w:p>
    <w:p>
      <w:pPr>
        <w:spacing w:after="120" w:before="0"/>
      </w:pPr>
      <w:r>
        <w:rPr>
          <w:b w:val="0"/>
          <w:i w:val="0"/>
          <w:color w:val="1C3A36"/>
          <w:sz w:val="21"/>
        </w:rPr>
        <w:t>How much should a reader trust this? The method was tested by re-running it across this share's own price history without ever letting it see the future, and scoring each forecast against what actually happened. The honest answer is that on this particular share the three-month range has been TOO WIDE — not mis-centred, too wide — and this study would rather say so than present the range as sharper than it is.</w:t>
      </w:r>
    </w:p>
    <w:p>
      <w:pPr>
        <w:spacing w:after="120" w:before="0"/>
      </w:pPr>
      <w:r>
        <w:rPr>
          <w:b w:val="0"/>
          <w:i w:val="0"/>
          <w:color w:val="1C3A36"/>
          <w:sz w:val="21"/>
        </w:rPr>
        <w:t>The numbers. Over 17 non-overlapping three-month windows running from 2022-03-30 to 2026-04-06, the realised price landed inside the 80% range on EVERY ONE of them and inside the 90% range on every one of them — against targets of 80% and 90% respectively. Coverage of 100% where 80% was intended is not a success; it is a range that is too generous. The 50% range covered 76% against a 50% target, the same story a little less starkly. The range averaged 1.16 times the width of a simple random-walk benchmark anchored on the same carry, and it scored slightly WORSE than that benchmark, by -0.0413 on a scale where zero means no better and one means perfect. Over the longer 7.3-year history and 30 windows the same test gives -0.0231 with 90% coverage of 97%; over the last five years and 19 windows, -0.0344. All three are reported, because reporting two of three would be a choice about which evidence a reader sees.</w:t>
      </w:r>
    </w:p>
    <w:p>
      <w:pPr>
        <w:spacing w:after="120" w:before="0"/>
      </w:pPr>
      <w:r>
        <w:rPr>
          <w:b w:val="0"/>
          <w:i w:val="0"/>
          <w:color w:val="1C3A36"/>
          <w:sz w:val="21"/>
        </w:rPr>
        <w:t>The one-month range performs better. Across 52 one-month windows it scored +0.0083 — indistinguishable from the benchmark rather than behind it — with 80% coverage of 92% and 90% coverage of 98%, both close to their targets, on a width ratio of 1.12. The shorter horizon is where the method is honest about this share; the longer one is where it is too cautious.</w:t>
      </w:r>
    </w:p>
    <w:p>
      <w:pPr>
        <w:spacing w:after="120" w:before="0"/>
      </w:pPr>
      <w:r>
        <w:rPr>
          <w:b w:val="0"/>
          <w:i w:val="0"/>
          <w:color w:val="1C3A36"/>
          <w:sz w:val="21"/>
        </w:rPr>
        <w:t>The reason is not mysterious and it is worth stating precisely, because it tells a reader how to use the range. This is one of the least volatile shares on its exchange. Measured over a common window against the 19 largest names on the same market, its annualised volatility is 19.6% against a median of 27.1% — it ranks 4th quietest of 19, at 72% of the median. The width parameter that generates the range is fitted across that whole set of names at once, so a share that moves three-quarters as much as the typical one inherits a range sized for the typical one. Rebuilding the width from this share's own resolved windows alone implies about 0.50 times the width actually published.</w:t>
      </w:r>
    </w:p>
    <w:p>
      <w:pPr>
        <w:spacing w:after="120" w:before="0"/>
      </w:pPr>
      <w:r>
        <w:rPr>
          <w:b w:val="0"/>
          <w:i w:val="0"/>
          <w:color w:val="1C3A36"/>
          <w:sz w:val="21"/>
        </w:rPr>
        <w:t>So: read the published three-month range as an OUTER bound rather than a tight one. A narrower range fitted to this name alone is NOT published here, and the reason is a discipline rather than an oversight — a width fitted to this share's own history has not yet been tested on data it did not see, and nothing enters this study's machinery without surviving that test. Publishing a tighter range because it fits the past better is exactly the mistake the discipline exists to prevent. The wider range is the honest one until the narrower one has earned its place.</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08"/>
        <w:gridCol w:w="1152"/>
        <w:gridCol w:w="2736"/>
        <w:gridCol w:w="3312"/>
      </w:tblGrid>
      <w:tr>
        <w:trPr>
          <w:cantSplit/>
        </w:trPr>
        <w:tc>
          <w:tcPr>
            <w:tcW w:type="dxa" w:w="2808"/>
            <w:shd w:val="clear" w:color="auto" w:fill="EAF0EE"/>
          </w:tcPr>
          <w:p>
            <w:pPr>
              <w:spacing w:after="20"/>
            </w:pPr>
            <w:r>
              <w:rPr>
                <w:b/>
                <w:color w:val="1C3A36"/>
                <w:sz w:val="16"/>
              </w:rPr>
              <w:t>Method</w:t>
            </w:r>
          </w:p>
        </w:tc>
        <w:tc>
          <w:tcPr>
            <w:tcW w:type="dxa" w:w="1152"/>
            <w:shd w:val="clear" w:color="auto" w:fill="EAF0EE"/>
          </w:tcPr>
          <w:p>
            <w:pPr>
              <w:spacing w:after="20"/>
            </w:pPr>
            <w:r>
              <w:rPr>
                <w:b/>
                <w:color w:val="1C3A36"/>
                <w:sz w:val="16"/>
              </w:rPr>
              <w:t>AED / share</w:t>
            </w:r>
          </w:p>
        </w:tc>
        <w:tc>
          <w:tcPr>
            <w:tcW w:type="dxa" w:w="2736"/>
            <w:shd w:val="clear" w:color="auto" w:fill="EAF0EE"/>
          </w:tcPr>
          <w:p>
            <w:pPr>
              <w:spacing w:after="20"/>
            </w:pPr>
            <w:r>
              <w:rPr>
                <w:b/>
                <w:color w:val="1C3A36"/>
                <w:sz w:val="16"/>
              </w:rPr>
              <w:t>Most sensitive to</w:t>
            </w:r>
          </w:p>
        </w:tc>
        <w:tc>
          <w:tcPr>
            <w:tcW w:type="dxa" w:w="3312"/>
            <w:shd w:val="clear" w:color="auto" w:fill="EAF0EE"/>
          </w:tcPr>
          <w:p>
            <w:pPr>
              <w:spacing w:after="20"/>
            </w:pPr>
            <w:r>
              <w:rPr>
                <w:b/>
                <w:color w:val="1C3A36"/>
                <w:sz w:val="16"/>
              </w:rPr>
              <w:t>When it misleads</w:t>
            </w:r>
          </w:p>
        </w:tc>
      </w:tr>
      <w:tr>
        <w:trPr>
          <w:cantSplit/>
        </w:trPr>
        <w:tc>
          <w:tcPr>
            <w:tcW w:type="dxa" w:w="2808"/>
          </w:tcPr>
          <w:p>
            <w:pPr>
              <w:spacing w:after="20"/>
            </w:pPr>
            <w:r>
              <w:rPr>
                <w:color w:val="1C3A36"/>
                <w:sz w:val="16"/>
              </w:rPr>
              <w:t>Discounted cash flow — Frame A</w:t>
            </w:r>
          </w:p>
        </w:tc>
        <w:tc>
          <w:tcPr>
            <w:tcW w:type="dxa" w:w="1152"/>
          </w:tcPr>
          <w:p>
            <w:pPr>
              <w:spacing w:after="20"/>
              <w:jc w:val="right"/>
            </w:pPr>
            <w:r>
              <w:rPr>
                <w:color w:val="1C3A36"/>
                <w:sz w:val="16"/>
              </w:rPr>
              <w:t>4.79</w:t>
            </w:r>
          </w:p>
        </w:tc>
        <w:tc>
          <w:tcPr>
            <w:tcW w:type="dxa" w:w="2736"/>
          </w:tcPr>
          <w:p>
            <w:pPr>
              <w:spacing w:after="20"/>
              <w:jc w:val="right"/>
            </w:pPr>
            <w:r>
              <w:rPr>
                <w:color w:val="1C3A36"/>
                <w:sz w:val="16"/>
              </w:rPr>
              <w:t>the terminal discount rate and growth — 74.9% of the value is in the terminal block</w:t>
            </w:r>
          </w:p>
        </w:tc>
        <w:tc>
          <w:tcPr>
            <w:tcW w:type="dxa" w:w="3312"/>
          </w:tcPr>
          <w:p>
            <w:pPr>
              <w:spacing w:after="20"/>
              <w:jc w:val="right"/>
            </w:pPr>
            <w:r>
              <w:rPr>
                <w:color w:val="1C3A36"/>
                <w:sz w:val="16"/>
              </w:rPr>
              <w:t>when five explicit years are not long enough to reach a steady state, which for a network still adding stations is a live risk</w:t>
            </w:r>
          </w:p>
        </w:tc>
      </w:tr>
      <w:tr>
        <w:trPr>
          <w:cantSplit/>
        </w:trPr>
        <w:tc>
          <w:tcPr>
            <w:tcW w:type="dxa" w:w="2808"/>
          </w:tcPr>
          <w:p>
            <w:pPr>
              <w:spacing w:after="20"/>
            </w:pPr>
            <w:r>
              <w:rPr>
                <w:color w:val="1C3A36"/>
                <w:sz w:val="16"/>
              </w:rPr>
              <w:t>Discounted cash flow — Frame B</w:t>
            </w:r>
          </w:p>
        </w:tc>
        <w:tc>
          <w:tcPr>
            <w:tcW w:type="dxa" w:w="1152"/>
          </w:tcPr>
          <w:p>
            <w:pPr>
              <w:spacing w:after="20"/>
              <w:jc w:val="right"/>
            </w:pPr>
            <w:r>
              <w:rPr>
                <w:color w:val="1C3A36"/>
                <w:sz w:val="16"/>
              </w:rPr>
              <w:t>5.10</w:t>
            </w:r>
          </w:p>
        </w:tc>
        <w:tc>
          <w:tcPr>
            <w:tcW w:type="dxa" w:w="2736"/>
          </w:tcPr>
          <w:p>
            <w:pPr>
              <w:spacing w:after="20"/>
              <w:jc w:val="right"/>
            </w:pPr>
            <w:r>
              <w:rPr>
                <w:color w:val="1C3A36"/>
                <w:sz w:val="16"/>
              </w:rPr>
              <w:t>the same, plus whether inventory movements are a recurring feature of a pass-through pricing model or a one-off of a volatile year</w:t>
            </w:r>
          </w:p>
        </w:tc>
        <w:tc>
          <w:tcPr>
            <w:tcW w:type="dxa" w:w="3312"/>
          </w:tcPr>
          <w:p>
            <w:pPr>
              <w:spacing w:after="20"/>
              <w:jc w:val="right"/>
            </w:pPr>
            <w:r>
              <w:rPr>
                <w:color w:val="1C3A36"/>
                <w:sz w:val="16"/>
              </w:rPr>
              <w:t>if the crude path mean-reverts as forecast, the inventory gains reverse and this frame is too generous</w:t>
            </w:r>
          </w:p>
        </w:tc>
      </w:tr>
      <w:tr>
        <w:trPr>
          <w:cantSplit/>
        </w:trPr>
        <w:tc>
          <w:tcPr>
            <w:tcW w:type="dxa" w:w="2808"/>
          </w:tcPr>
          <w:p>
            <w:pPr>
              <w:spacing w:after="20"/>
            </w:pPr>
            <w:r>
              <w:rPr>
                <w:color w:val="1C3A36"/>
                <w:sz w:val="16"/>
              </w:rPr>
              <w:t>Normalised earnings power</w:t>
            </w:r>
          </w:p>
        </w:tc>
        <w:tc>
          <w:tcPr>
            <w:tcW w:type="dxa" w:w="1152"/>
          </w:tcPr>
          <w:p>
            <w:pPr>
              <w:spacing w:after="20"/>
              <w:jc w:val="right"/>
            </w:pPr>
            <w:r>
              <w:rPr>
                <w:color w:val="1C3A36"/>
                <w:sz w:val="16"/>
              </w:rPr>
              <w:t>4.02</w:t>
            </w:r>
          </w:p>
        </w:tc>
        <w:tc>
          <w:tcPr>
            <w:tcW w:type="dxa" w:w="2736"/>
          </w:tcPr>
          <w:p>
            <w:pPr>
              <w:spacing w:after="20"/>
              <w:jc w:val="right"/>
            </w:pPr>
            <w:r>
              <w:rPr>
                <w:color w:val="1C3A36"/>
                <w:sz w:val="16"/>
              </w:rPr>
              <w:t>the choice of discount rate — it capitalises a single year in perpetuity</w:t>
            </w:r>
          </w:p>
        </w:tc>
        <w:tc>
          <w:tcPr>
            <w:tcW w:type="dxa" w:w="3312"/>
          </w:tcPr>
          <w:p>
            <w:pPr>
              <w:spacing w:after="20"/>
              <w:jc w:val="right"/>
            </w:pPr>
            <w:r>
              <w:rPr>
                <w:color w:val="1C3A36"/>
                <w:sz w:val="16"/>
              </w:rPr>
              <w:t>when the current year is not normal, which after a crude spike is exactly the condition to worry about</w:t>
            </w:r>
          </w:p>
        </w:tc>
      </w:tr>
      <w:tr>
        <w:trPr>
          <w:cantSplit/>
        </w:trPr>
        <w:tc>
          <w:tcPr>
            <w:tcW w:type="dxa" w:w="2808"/>
          </w:tcPr>
          <w:p>
            <w:pPr>
              <w:spacing w:after="20"/>
            </w:pPr>
            <w:r>
              <w:rPr>
                <w:color w:val="1C3A36"/>
                <w:sz w:val="16"/>
              </w:rPr>
              <w:t>Relative multiples</w:t>
            </w:r>
          </w:p>
        </w:tc>
        <w:tc>
          <w:tcPr>
            <w:tcW w:type="dxa" w:w="1152"/>
          </w:tcPr>
          <w:p>
            <w:pPr>
              <w:spacing w:after="20"/>
              <w:jc w:val="right"/>
            </w:pPr>
            <w:r>
              <w:rPr>
                <w:color w:val="1C3A36"/>
                <w:sz w:val="16"/>
              </w:rPr>
              <w:t>4.95</w:t>
            </w:r>
          </w:p>
        </w:tc>
        <w:tc>
          <w:tcPr>
            <w:tcW w:type="dxa" w:w="2736"/>
          </w:tcPr>
          <w:p>
            <w:pPr>
              <w:spacing w:after="20"/>
              <w:jc w:val="right"/>
            </w:pPr>
            <w:r>
              <w:rPr>
                <w:color w:val="1C3A36"/>
                <w:sz w:val="16"/>
              </w:rPr>
              <w:t>the reference multiple, which is derived from the cost of equity</w:t>
            </w:r>
          </w:p>
        </w:tc>
        <w:tc>
          <w:tcPr>
            <w:tcW w:type="dxa" w:w="3312"/>
          </w:tcPr>
          <w:p>
            <w:pPr>
              <w:spacing w:after="20"/>
              <w:jc w:val="right"/>
            </w:pPr>
            <w:r>
              <w:rPr>
                <w:color w:val="1C3A36"/>
                <w:sz w:val="16"/>
              </w:rPr>
              <w:t>when the comparable set faces a different pricing regime — which here it does, so the reference is built from own economics instead</w:t>
            </w:r>
          </w:p>
        </w:tc>
      </w:tr>
      <w:tr>
        <w:trPr>
          <w:cantSplit/>
        </w:trPr>
        <w:tc>
          <w:tcPr>
            <w:tcW w:type="dxa" w:w="2808"/>
          </w:tcPr>
          <w:p>
            <w:pPr>
              <w:spacing w:after="20"/>
            </w:pPr>
            <w:r>
              <w:rPr>
                <w:color w:val="1C3A36"/>
                <w:sz w:val="16"/>
              </w:rPr>
              <w:t>Book value and sustainable return</w:t>
            </w:r>
          </w:p>
        </w:tc>
        <w:tc>
          <w:tcPr>
            <w:tcW w:type="dxa" w:w="1152"/>
          </w:tcPr>
          <w:p>
            <w:pPr>
              <w:spacing w:after="20"/>
              <w:jc w:val="right"/>
            </w:pPr>
            <w:r>
              <w:rPr>
                <w:color w:val="1C3A36"/>
                <w:sz w:val="16"/>
              </w:rPr>
              <w:t>3.36</w:t>
            </w:r>
          </w:p>
        </w:tc>
        <w:tc>
          <w:tcPr>
            <w:tcW w:type="dxa" w:w="2736"/>
          </w:tcPr>
          <w:p>
            <w:pPr>
              <w:spacing w:after="20"/>
              <w:jc w:val="right"/>
            </w:pPr>
            <w:r>
              <w:rPr>
                <w:color w:val="1C3A36"/>
                <w:sz w:val="16"/>
              </w:rPr>
              <w:t>the sustainable return on a deliberately thin equity base</w:t>
            </w:r>
          </w:p>
        </w:tc>
        <w:tc>
          <w:tcPr>
            <w:tcW w:type="dxa" w:w="3312"/>
          </w:tcPr>
          <w:p>
            <w:pPr>
              <w:spacing w:after="20"/>
              <w:jc w:val="right"/>
            </w:pPr>
            <w:r>
              <w:rPr>
                <w:color w:val="1C3A36"/>
                <w:sz w:val="16"/>
              </w:rPr>
              <w:t>when payout policy, not operating performance, sets the denominator</w:t>
            </w:r>
          </w:p>
        </w:tc>
      </w:tr>
      <w:tr>
        <w:trPr>
          <w:cantSplit/>
        </w:trPr>
        <w:tc>
          <w:tcPr>
            <w:tcW w:type="dxa" w:w="2808"/>
          </w:tcPr>
          <w:p>
            <w:pPr>
              <w:spacing w:after="20"/>
            </w:pPr>
            <w:r>
              <w:rPr>
                <w:color w:val="1C3A36"/>
                <w:sz w:val="16"/>
              </w:rPr>
              <w:t>Dividend capitalisation</w:t>
            </w:r>
          </w:p>
        </w:tc>
        <w:tc>
          <w:tcPr>
            <w:tcW w:type="dxa" w:w="1152"/>
          </w:tcPr>
          <w:p>
            <w:pPr>
              <w:spacing w:after="20"/>
              <w:jc w:val="right"/>
            </w:pPr>
            <w:r>
              <w:rPr>
                <w:color w:val="1C3A36"/>
                <w:sz w:val="16"/>
              </w:rPr>
              <w:t>2.71</w:t>
            </w:r>
          </w:p>
        </w:tc>
        <w:tc>
          <w:tcPr>
            <w:tcW w:type="dxa" w:w="2736"/>
          </w:tcPr>
          <w:p>
            <w:pPr>
              <w:spacing w:after="20"/>
              <w:jc w:val="right"/>
            </w:pPr>
            <w:r>
              <w:rPr>
                <w:color w:val="1C3A36"/>
                <w:sz w:val="16"/>
              </w:rPr>
              <w:t>the dividend policy and the cost of equity — nothing else</w:t>
            </w:r>
          </w:p>
        </w:tc>
        <w:tc>
          <w:tcPr>
            <w:tcW w:type="dxa" w:w="3312"/>
          </w:tcPr>
          <w:p>
            <w:pPr>
              <w:spacing w:after="20"/>
              <w:jc w:val="right"/>
            </w:pPr>
            <w:r>
              <w:rPr>
                <w:color w:val="1C3A36"/>
                <w:sz w:val="16"/>
              </w:rPr>
              <w:t>whenever the dividend is a fixed policy commitment rather than a share of the cash generated, which is the case here</w:t>
            </w:r>
          </w:p>
        </w:tc>
      </w:tr>
    </w:tbl>
    <w:p>
      <w:pPr>
        <w:spacing w:after="40"/>
      </w:pPr>
    </w:p>
    <w:p>
      <w:pPr>
        <w:spacing w:after="200" w:before="0"/>
      </w:pPr>
      <w:r>
        <w:rPr>
          <w:b w:val="0"/>
          <w:i/>
          <w:color w:val="6E7B77"/>
          <w:sz w:val="17"/>
        </w:rPr>
        <w:t>Table 28 — the methods against each other, including where each one fails.</w:t>
      </w:r>
    </w:p>
    <w:p>
      <w:pPr>
        <w:spacing w:after="120" w:before="0"/>
      </w:pPr>
      <w:r>
        <w:rPr>
          <w:b w:val="0"/>
          <w:i w:val="0"/>
          <w:color w:val="1C3A36"/>
          <w:sz w:val="21"/>
        </w:rPr>
        <w:t>The readings disagree in an informative direction, and one disagreement is worth more than the rest. The dividend-capitalisation reading lands at AED 2.71, AED 1.31 below the traded price of AED 4.02. The cash-flow model lands at AED 4.79, AED 0.77 above it. The traded price sits between them, and the gap between those two readings — AED 2.08 a share — is not a modelling artefact. It is the difference between what the company PAYS and what the business EARNS.</w:t>
      </w:r>
    </w:p>
    <w:p>
      <w:pPr>
        <w:spacing w:after="120" w:before="0"/>
      </w:pPr>
      <w:r>
        <w:rPr>
          <w:b w:val="0"/>
          <w:i w:val="0"/>
          <w:color w:val="1C3A36"/>
          <w:sz w:val="21"/>
        </w:rPr>
        <w:t>The dividend is a fixed policy commitment: USD 700 million a year, AED 0.21 a share, held flat from 2024 through 2030 unless 92% of net profit exceeds it. Capitalising it at the cost of equity values that promise and nothing else. The cash-flow model, by contrast, captures the increase the dividend policy does not: free cash flow to the firm runs from AED 4,368 million to AED 4,228 million across the window against a dividend of AED 2,571 million a year, so cash accumulates inside the business at a rate the payout does not reflect. A holder who values this share on its yield is valuing the policy. A holder who values it on its cash flow is valuing the network. Those are different assets, and the study publishes both readings rather than deciding which reader is right.</w:t>
      </w:r>
    </w:p>
    <w:p>
      <w:pPr>
        <w:spacing w:after="120" w:before="0"/>
      </w:pPr>
      <w:r>
        <w:rPr>
          <w:b w:val="0"/>
          <w:i w:val="0"/>
          <w:color w:val="1C3A36"/>
          <w:sz w:val="21"/>
        </w:rPr>
        <w:t>That also explains the shape of the rest of the field. The normalised-earnings reading at AED 4.02 sits ABOVE the Frame A cash-flow reading despite crediting no growth whatever, because it capitalises at today's 7.44% instead of gliding to 7.44%. The relative reading at AED 4.95 and the book reading at AED 3.36 sit lowest, and both are anchored on the same cost of equity — so they are not four independent votes. Three of the five readings move together with the discount rate, which is the honest reason the field is as narrow as it is.</w:t>
      </w:r>
    </w:p>
    <w:p>
      <w:pPr>
        <w:spacing w:after="120" w:before="280"/>
      </w:pPr>
      <w:r>
        <w:rPr>
          <w:b/>
          <w:i w:val="0"/>
          <w:color w:val="1C3A36"/>
          <w:sz w:val="30"/>
        </w:rPr>
        <w:t>5. Catalysts</w:t>
      </w:r>
    </w:p>
    <w:p>
      <w:pPr>
        <w:spacing w:after="120" w:before="0"/>
      </w:pPr>
      <w:r>
        <w:rPr>
          <w:b w:val="0"/>
          <w:i w:val="0"/>
          <w:color w:val="1C3A36"/>
          <w:sz w:val="21"/>
        </w:rPr>
        <w:t>What would move this valuation, in the order a reader is likely to encounter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5616"/>
        <w:gridCol w:w="2160"/>
      </w:tblGrid>
      <w:tr>
        <w:trPr>
          <w:cantSplit/>
        </w:trPr>
        <w:tc>
          <w:tcPr>
            <w:tcW w:type="dxa" w:w="2160"/>
            <w:shd w:val="clear" w:color="auto" w:fill="EAF0EE"/>
          </w:tcPr>
          <w:p>
            <w:pPr>
              <w:spacing w:after="20"/>
            </w:pPr>
            <w:r>
              <w:rPr>
                <w:b/>
                <w:color w:val="1C3A36"/>
                <w:sz w:val="16"/>
              </w:rPr>
              <w:t>What to watch</w:t>
            </w:r>
          </w:p>
        </w:tc>
        <w:tc>
          <w:tcPr>
            <w:tcW w:type="dxa" w:w="5616"/>
            <w:shd w:val="clear" w:color="auto" w:fill="EAF0EE"/>
          </w:tcPr>
          <w:p>
            <w:pPr>
              <w:spacing w:after="20"/>
            </w:pPr>
            <w:r>
              <w:rPr>
                <w:b/>
                <w:color w:val="1C3A36"/>
                <w:sz w:val="16"/>
              </w:rPr>
              <w:t>Why it matters</w:t>
            </w:r>
          </w:p>
        </w:tc>
        <w:tc>
          <w:tcPr>
            <w:tcW w:type="dxa" w:w="2160"/>
            <w:shd w:val="clear" w:color="auto" w:fill="EAF0EE"/>
          </w:tcPr>
          <w:p>
            <w:pPr>
              <w:spacing w:after="20"/>
            </w:pPr>
            <w:r>
              <w:rPr>
                <w:b/>
                <w:color w:val="1C3A36"/>
                <w:sz w:val="16"/>
              </w:rPr>
              <w:t>When</w:t>
            </w:r>
          </w:p>
        </w:tc>
      </w:tr>
      <w:tr>
        <w:trPr>
          <w:cantSplit/>
        </w:trPr>
        <w:tc>
          <w:tcPr>
            <w:tcW w:type="dxa" w:w="2160"/>
          </w:tcPr>
          <w:p>
            <w:pPr>
              <w:spacing w:after="20"/>
            </w:pPr>
            <w:r>
              <w:rPr>
                <w:color w:val="1C3A36"/>
                <w:sz w:val="16"/>
              </w:rPr>
              <w:t>The South African acquisition</w:t>
            </w:r>
          </w:p>
        </w:tc>
        <w:tc>
          <w:tcPr>
            <w:tcW w:type="dxa" w:w="5616"/>
          </w:tcPr>
          <w:p>
            <w:pPr>
              <w:spacing w:after="20"/>
              <w:jc w:val="right"/>
            </w:pPr>
            <w:r>
              <w:rPr>
                <w:color w:val="1C3A36"/>
                <w:sz w:val="16"/>
              </w:rPr>
              <w:t>On 07-Jul-2026 ADNOC Distribution signed an agreement to acquire 100% of Shell Downstream South Africa for approximately USD 1bn enterprise value, covering ~580 Shell stations. The deal expands the network by roughly 55% to ~1,600 stations and increases fuel volumes by approximately 20%, to 19.2bn litres annually. Management expects it to be 6% EPS accretive from year one, to lift EBITDA by 13%, and to generate USD 30-40m of run-rate EBITDA synergies within five… THE BASE CASE IN THIS STUDY EXCLUDES IT ENTIRELY: no revenue, no cost, no synergy and no financing charge from this transaction appears anywhere in the model, because it has not closed and remains subject to regulatory approval. If it completes on the terms announced it is accretive on the company's own stated arithmetic, and this study will carry it only once it is a fact</w:t>
            </w:r>
          </w:p>
        </w:tc>
        <w:tc>
          <w:tcPr>
            <w:tcW w:type="dxa" w:w="2160"/>
          </w:tcPr>
          <w:p>
            <w:pPr>
              <w:spacing w:after="20"/>
              <w:jc w:val="right"/>
            </w:pPr>
            <w:r>
              <w:rPr>
                <w:color w:val="1C3A36"/>
                <w:sz w:val="16"/>
              </w:rPr>
              <w:t>completion anticipated 2027</w:t>
            </w:r>
          </w:p>
        </w:tc>
      </w:tr>
      <w:tr>
        <w:trPr>
          <w:cantSplit/>
        </w:trPr>
        <w:tc>
          <w:tcPr>
            <w:tcW w:type="dxa" w:w="2160"/>
          </w:tcPr>
          <w:p>
            <w:pPr>
              <w:spacing w:after="20"/>
            </w:pPr>
            <w:r>
              <w:rPr>
                <w:color w:val="1C3A36"/>
                <w:sz w:val="16"/>
              </w:rPr>
              <w:t>The crude price path</w:t>
            </w:r>
          </w:p>
        </w:tc>
        <w:tc>
          <w:tcPr>
            <w:tcW w:type="dxa" w:w="5616"/>
          </w:tcPr>
          <w:p>
            <w:pPr>
              <w:spacing w:after="20"/>
              <w:jc w:val="right"/>
            </w:pPr>
            <w:r>
              <w:rPr>
                <w:color w:val="1C3A36"/>
                <w:sz w:val="16"/>
              </w:rPr>
              <w:t>the official forecast is for Brent to fall from 83.5 dollars today toward 65 dollars in 2027. That does two opposite things at once: it compresses revenue per litre, which is neutral because the margin per litre is what earns, AND it reverses the inventory gains, which is NOT neutral. It is the single most direct test of which of the two frames is right</w:t>
            </w:r>
          </w:p>
        </w:tc>
        <w:tc>
          <w:tcPr>
            <w:tcW w:type="dxa" w:w="2160"/>
          </w:tcPr>
          <w:p>
            <w:pPr>
              <w:spacing w:after="20"/>
              <w:jc w:val="right"/>
            </w:pPr>
            <w:r>
              <w:rPr>
                <w:color w:val="1C3A36"/>
                <w:sz w:val="16"/>
              </w:rPr>
              <w:t>quarterly</w:t>
            </w:r>
          </w:p>
        </w:tc>
      </w:tr>
      <w:tr>
        <w:trPr>
          <w:cantSplit/>
        </w:trPr>
        <w:tc>
          <w:tcPr>
            <w:tcW w:type="dxa" w:w="2160"/>
          </w:tcPr>
          <w:p>
            <w:pPr>
              <w:spacing w:after="20"/>
            </w:pPr>
            <w:r>
              <w:rPr>
                <w:color w:val="1C3A36"/>
                <w:sz w:val="16"/>
              </w:rPr>
              <w:t>Inventory movements in the second half of 2026</w:t>
            </w:r>
          </w:p>
        </w:tc>
        <w:tc>
          <w:tcPr>
            <w:tcW w:type="dxa" w:w="5616"/>
          </w:tcPr>
          <w:p>
            <w:pPr>
              <w:spacing w:after="20"/>
              <w:jc w:val="right"/>
            </w:pPr>
            <w:r>
              <w:rPr>
                <w:color w:val="1C3A36"/>
                <w:sz w:val="16"/>
              </w:rPr>
              <w:t>AED 762 million was booked in the first half against AED 335 million in the whole of FY2025. If the second half gives it back, Frame A is vindicated; if it holds, Frame B is. The company's own underlying EBITDA measure — up 10.1% in FY2025 against a headline that moved with the inventory — is the line to read</w:t>
            </w:r>
          </w:p>
        </w:tc>
        <w:tc>
          <w:tcPr>
            <w:tcW w:type="dxa" w:w="2160"/>
          </w:tcPr>
          <w:p>
            <w:pPr>
              <w:spacing w:after="20"/>
              <w:jc w:val="right"/>
            </w:pPr>
            <w:r>
              <w:rPr>
                <w:color w:val="1C3A36"/>
                <w:sz w:val="16"/>
              </w:rPr>
              <w:t>FY2026 results</w:t>
            </w:r>
          </w:p>
        </w:tc>
      </w:tr>
      <w:tr>
        <w:trPr>
          <w:cantSplit/>
        </w:trPr>
        <w:tc>
          <w:tcPr>
            <w:tcW w:type="dxa" w:w="2160"/>
          </w:tcPr>
          <w:p>
            <w:pPr>
              <w:spacing w:after="20"/>
            </w:pPr>
            <w:r>
              <w:rPr>
                <w:color w:val="1C3A36"/>
                <w:sz w:val="16"/>
              </w:rPr>
              <w:t>Non-fuel conversion</w:t>
            </w:r>
          </w:p>
        </w:tc>
        <w:tc>
          <w:tcPr>
            <w:tcW w:type="dxa" w:w="5616"/>
          </w:tcPr>
          <w:p>
            <w:pPr>
              <w:spacing w:after="20"/>
              <w:jc w:val="right"/>
            </w:pPr>
            <w:r>
              <w:rPr>
                <w:color w:val="1C3A36"/>
                <w:sz w:val="16"/>
              </w:rPr>
              <w:t>non-fuel transactions per fuel transaction FELL from 0.27 to 0.26 year on year. Non-fuel is the only leg with genuine pricing freedom and it carries a 56% gross margin against a fuel margin of a few per cent. The company's own target is to double non-fuel transactions between 2023 and 2030; the trend is currently against it</w:t>
            </w:r>
          </w:p>
        </w:tc>
        <w:tc>
          <w:tcPr>
            <w:tcW w:type="dxa" w:w="2160"/>
          </w:tcPr>
          <w:p>
            <w:pPr>
              <w:spacing w:after="20"/>
              <w:jc w:val="right"/>
            </w:pPr>
            <w:r>
              <w:rPr>
                <w:color w:val="1C3A36"/>
                <w:sz w:val="16"/>
              </w:rPr>
              <w:t>each set of results</w:t>
            </w:r>
          </w:p>
        </w:tc>
      </w:tr>
      <w:tr>
        <w:trPr>
          <w:cantSplit/>
        </w:trPr>
        <w:tc>
          <w:tcPr>
            <w:tcW w:type="dxa" w:w="2160"/>
          </w:tcPr>
          <w:p>
            <w:pPr>
              <w:spacing w:after="20"/>
            </w:pPr>
            <w:r>
              <w:rPr>
                <w:color w:val="1C3A36"/>
                <w:sz w:val="16"/>
              </w:rPr>
              <w:t>The network build</w:t>
            </w:r>
          </w:p>
        </w:tc>
        <w:tc>
          <w:tcPr>
            <w:tcW w:type="dxa" w:w="5616"/>
          </w:tcPr>
          <w:p>
            <w:pPr>
              <w:spacing w:after="20"/>
              <w:jc w:val="right"/>
            </w:pPr>
            <w:r>
              <w:rPr>
                <w:color w:val="1C3A36"/>
                <w:sz w:val="16"/>
              </w:rPr>
              <w:t>FY2026 capex guidance USD 250-300 million, weighted toward growth projects in H2. FY2026 network guidance: 60-70 new stations and 50-60 new EV charging points; five new hubs planned in 2026. Longer-term strategy guidance: grow the service-station network to…</w:t>
            </w:r>
          </w:p>
        </w:tc>
        <w:tc>
          <w:tcPr>
            <w:tcW w:type="dxa" w:w="2160"/>
          </w:tcPr>
          <w:p>
            <w:pPr>
              <w:spacing w:after="20"/>
              <w:jc w:val="right"/>
            </w:pPr>
            <w:r>
              <w:rPr>
                <w:color w:val="1C3A36"/>
                <w:sz w:val="16"/>
              </w:rPr>
              <w:t>FY2026 and annually</w:t>
            </w:r>
          </w:p>
        </w:tc>
      </w:tr>
      <w:tr>
        <w:trPr>
          <w:cantSplit/>
        </w:trPr>
        <w:tc>
          <w:tcPr>
            <w:tcW w:type="dxa" w:w="2160"/>
          </w:tcPr>
          <w:p>
            <w:pPr>
              <w:spacing w:after="20"/>
            </w:pPr>
            <w:r>
              <w:rPr>
                <w:color w:val="1C3A36"/>
                <w:sz w:val="16"/>
              </w:rPr>
              <w:t>Electric-vehicle displacement</w:t>
            </w:r>
          </w:p>
        </w:tc>
        <w:tc>
          <w:tcPr>
            <w:tcW w:type="dxa" w:w="5616"/>
          </w:tcPr>
          <w:p>
            <w:pPr>
              <w:spacing w:after="20"/>
              <w:jc w:val="right"/>
            </w:pPr>
            <w:r>
              <w:rPr>
                <w:color w:val="1C3A36"/>
                <w:sz w:val="16"/>
              </w:rPr>
              <w:t>the UAE policy target is 10% of vehicles on the road electric by 2030, against a vehicle parc growing at million registered vehicles (UAE, June 2025); +9.35% y/y. Section 1.7 shows the market price already embeds permanent volume decline; this is the mechanism that would deliver it. The company is building charging points — 406 of them by mid-2026 — which converts part of the threat into a different revenue line</w:t>
            </w:r>
          </w:p>
        </w:tc>
        <w:tc>
          <w:tcPr>
            <w:tcW w:type="dxa" w:w="2160"/>
          </w:tcPr>
          <w:p>
            <w:pPr>
              <w:spacing w:after="20"/>
              <w:jc w:val="right"/>
            </w:pPr>
            <w:r>
              <w:rPr>
                <w:color w:val="1C3A36"/>
                <w:sz w:val="16"/>
              </w:rPr>
              <w:t>continuous</w:t>
            </w:r>
          </w:p>
        </w:tc>
      </w:tr>
      <w:tr>
        <w:trPr>
          <w:cantSplit/>
        </w:trPr>
        <w:tc>
          <w:tcPr>
            <w:tcW w:type="dxa" w:w="2160"/>
          </w:tcPr>
          <w:p>
            <w:pPr>
              <w:spacing w:after="20"/>
            </w:pPr>
            <w:r>
              <w:rPr>
                <w:color w:val="1C3A36"/>
                <w:sz w:val="16"/>
              </w:rPr>
              <w:t>The minimum top-up tax</w:t>
            </w:r>
          </w:p>
        </w:tc>
        <w:tc>
          <w:tcPr>
            <w:tcW w:type="dxa" w:w="5616"/>
          </w:tcPr>
          <w:p>
            <w:pPr>
              <w:spacing w:after="20"/>
              <w:jc w:val="right"/>
            </w:pPr>
            <w:r>
              <w:rPr>
                <w:color w:val="1C3A36"/>
                <w:sz w:val="16"/>
              </w:rPr>
              <w:t>the audited FY2025 reconciliation does not apply the 15% minimum rate and this study follows the audited accounts. If a future reconciliation does apply it, the value impact is AED 0.28 a share on the arithmetic in section 1.8</w:t>
            </w:r>
          </w:p>
        </w:tc>
        <w:tc>
          <w:tcPr>
            <w:tcW w:type="dxa" w:w="2160"/>
          </w:tcPr>
          <w:p>
            <w:pPr>
              <w:spacing w:after="20"/>
              <w:jc w:val="right"/>
            </w:pPr>
            <w:r>
              <w:rPr>
                <w:color w:val="1C3A36"/>
                <w:sz w:val="16"/>
              </w:rPr>
              <w:t>FY2026 results</w:t>
            </w:r>
          </w:p>
        </w:tc>
      </w:tr>
      <w:tr>
        <w:trPr>
          <w:cantSplit/>
        </w:trPr>
        <w:tc>
          <w:tcPr>
            <w:tcW w:type="dxa" w:w="2160"/>
          </w:tcPr>
          <w:p>
            <w:pPr>
              <w:spacing w:after="20"/>
            </w:pPr>
            <w:r>
              <w:rPr>
                <w:color w:val="1C3A36"/>
                <w:sz w:val="16"/>
              </w:rPr>
              <w:t>The dividend</w:t>
            </w:r>
          </w:p>
        </w:tc>
        <w:tc>
          <w:tcPr>
            <w:tcW w:type="dxa" w:w="5616"/>
          </w:tcPr>
          <w:p>
            <w:pPr>
              <w:spacing w:after="20"/>
              <w:jc w:val="right"/>
            </w:pPr>
            <w:r>
              <w:rPr>
                <w:color w:val="1C3A36"/>
                <w:sz w:val="16"/>
              </w:rPr>
              <w:t>The dividend policy provides for an annual dividend of USD 700 million (20.57 fils per share) for the years 2024-2030, or a minimum of 75% of net profit, whichever is higher. The policy was extended… A move to quarterly payment is a change in the shape of the cash return, not its size</w:t>
            </w:r>
          </w:p>
        </w:tc>
        <w:tc>
          <w:tcPr>
            <w:tcW w:type="dxa" w:w="2160"/>
          </w:tcPr>
          <w:p>
            <w:pPr>
              <w:spacing w:after="20"/>
              <w:jc w:val="right"/>
            </w:pPr>
            <w:r>
              <w:rPr>
                <w:color w:val="1C3A36"/>
                <w:sz w:val="16"/>
              </w:rPr>
              <w:t>quarterly from 2026</w:t>
            </w:r>
          </w:p>
        </w:tc>
      </w:tr>
    </w:tbl>
    <w:p>
      <w:pPr>
        <w:spacing w:after="40"/>
      </w:pPr>
    </w:p>
    <w:p>
      <w:pPr>
        <w:spacing w:after="200" w:before="0"/>
      </w:pPr>
      <w:r>
        <w:rPr>
          <w:b w:val="0"/>
          <w:i/>
          <w:color w:val="6E7B77"/>
          <w:sz w:val="17"/>
        </w:rPr>
        <w:t>Table 29 — the events that would move this valuation, and the direction each cuts. The first row is the largest single item outside the base case and it is excluded from every number in this study.</w:t>
      </w:r>
    </w:p>
    <w:p>
      <w:pPr>
        <w:spacing w:after="120" w:before="280"/>
      </w:pPr>
      <w:r>
        <w:rPr>
          <w:b/>
          <w:i w:val="0"/>
          <w:color w:val="1C3A36"/>
          <w:sz w:val="30"/>
        </w:rPr>
        <w:t>6. Reading the probability zones</w:t>
      </w:r>
    </w:p>
    <w:p>
      <w:pPr>
        <w:spacing w:after="120" w:before="0"/>
      </w:pPr>
      <w:r>
        <w:rPr>
          <w:b w:val="0"/>
          <w:i w:val="0"/>
          <w:color w:val="1C3A36"/>
          <w:sz w:val="21"/>
        </w:rPr>
        <w:t>The ranges in section 3 are frequently misread, so here is how to use them.</w:t>
      </w:r>
    </w:p>
    <w:p>
      <w:pPr>
        <w:pStyle w:val="ListBullet"/>
        <w:spacing w:after="60"/>
      </w:pPr>
      <w:r>
        <w:rPr>
          <w:b/>
          <w:color w:val="1C3A36"/>
          <w:sz w:val="21"/>
        </w:rPr>
        <w:t xml:space="preserve">The percentile map </w:t>
      </w:r>
      <w:r>
        <w:rPr>
          <w:color w:val="1C3A36"/>
          <w:sz w:val="21"/>
        </w:rPr>
        <w:t>is the probability that the price ENDS the window beyond a level. It is what a position held to the check date experiences.</w:t>
      </w:r>
    </w:p>
    <w:p>
      <w:pPr>
        <w:pStyle w:val="ListBullet"/>
        <w:spacing w:after="60"/>
      </w:pPr>
      <w:r>
        <w:rPr>
          <w:b/>
          <w:color w:val="1C3A36"/>
          <w:sz w:val="21"/>
        </w:rPr>
        <w:t xml:space="preserve">The touch ladder </w:t>
      </w:r>
      <w:r>
        <w:rPr>
          <w:color w:val="1C3A36"/>
          <w:sz w:val="21"/>
        </w:rPr>
        <w:t>is the probability that the price TOUCHES a level at any point inside the window, even if it comes back. It is always the larger of the two. At three months the chance of touching a price ten per cent above the anchor is 31.5% against 17.2% of closing there.</w:t>
      </w:r>
    </w:p>
    <w:p>
      <w:pPr>
        <w:pStyle w:val="ListBullet"/>
        <w:spacing w:after="60"/>
      </w:pPr>
      <w:r>
        <w:rPr>
          <w:b/>
          <w:color w:val="1C3A36"/>
          <w:sz w:val="21"/>
        </w:rPr>
        <w:t xml:space="preserve">The check date </w:t>
      </w:r>
      <w:r>
        <w:rPr>
          <w:color w:val="1C3A36"/>
          <w:sz w:val="21"/>
        </w:rPr>
        <w:t>is a calendar commitment, not a session count. The three-month range is graded on 2026-11-09 against the closing price on that date, whatever happened in between.</w:t>
      </w:r>
    </w:p>
    <w:p>
      <w:pPr>
        <w:pStyle w:val="ListBullet"/>
        <w:spacing w:after="60"/>
      </w:pPr>
      <w:r>
        <w:rPr>
          <w:b/>
          <w:color w:val="1C3A36"/>
          <w:sz w:val="21"/>
        </w:rPr>
        <w:t xml:space="preserve">The range </w:t>
      </w:r>
      <w:r>
        <w:rPr>
          <w:color w:val="1C3A36"/>
          <w:sz w:val="21"/>
        </w:rPr>
        <w:t>is NOT the fair-value range. The probability map is built from price behaviour alone and knows nothing about the company; the valuation is built from the statements and knows nothing about the tape. They are deliberately independent, and they disagree: the three-month 95th percentile of AED 4.86 sits below every one of the four weighted methods.</w:t>
      </w:r>
    </w:p>
    <w:p>
      <w:pPr>
        <w:pStyle w:val="ListBullet"/>
        <w:spacing w:after="60"/>
      </w:pPr>
      <w:r>
        <w:rPr>
          <w:b/>
          <w:color w:val="1C3A36"/>
          <w:sz w:val="21"/>
        </w:rPr>
        <w:t xml:space="preserve">The published width </w:t>
      </w:r>
      <w:r>
        <w:rPr>
          <w:color w:val="1C3A36"/>
          <w:sz w:val="21"/>
        </w:rPr>
        <w:t>is wider than this share warrants, and section 3 says so with the numbers. Treat the 90% range as an outer bound. A reader who wants a working range should look at the 25th-to-75th band — AED 3.79 to AED 4.35 at three months — which is the half of the distribution the evidence supports best.</w:t>
      </w:r>
    </w:p>
    <w:p>
      <w:pPr>
        <w:spacing w:after="120" w:before="0"/>
      </w:pPr>
      <w:r>
        <w:rPr>
          <w:b w:val="0"/>
          <w:i w:val="0"/>
          <w:color w:val="1C3A36"/>
          <w:sz w:val="21"/>
        </w:rPr>
        <w:t>One thing the ranges are not: a forecast. Nothing in section 3 says the price will rise or fall. The median at both horizons sits fractionally below the anchor purely because the dividend yield exceeds the risk-free rate, which is arithmetic, not a view.</w:t>
      </w:r>
    </w:p>
    <w:p>
      <w:pPr>
        <w:spacing w:after="120" w:before="280"/>
      </w:pPr>
      <w:r>
        <w:rPr>
          <w:b/>
          <w:i w:val="0"/>
          <w:color w:val="1C3A36"/>
          <w:sz w:val="30"/>
        </w:rPr>
        <w:t>7. Caveats, and what would change our mind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3960"/>
        <w:gridCol w:w="3672"/>
      </w:tblGrid>
      <w:tr>
        <w:trPr>
          <w:cantSplit/>
        </w:trPr>
        <w:tc>
          <w:tcPr>
            <w:tcW w:type="dxa" w:w="2304"/>
            <w:shd w:val="clear" w:color="auto" w:fill="EAF0EE"/>
          </w:tcPr>
          <w:p>
            <w:pPr>
              <w:spacing w:after="20"/>
            </w:pPr>
            <w:r>
              <w:rPr>
                <w:b/>
                <w:color w:val="1C3A36"/>
                <w:sz w:val="16"/>
              </w:rPr>
              <w:t>Caveat</w:t>
            </w:r>
          </w:p>
        </w:tc>
        <w:tc>
          <w:tcPr>
            <w:tcW w:type="dxa" w:w="3960"/>
            <w:shd w:val="clear" w:color="auto" w:fill="EAF0EE"/>
          </w:tcPr>
          <w:p>
            <w:pPr>
              <w:spacing w:after="20"/>
            </w:pPr>
            <w:r>
              <w:rPr>
                <w:b/>
                <w:color w:val="1C3A36"/>
                <w:sz w:val="16"/>
              </w:rPr>
              <w:t>Why it matters</w:t>
            </w:r>
          </w:p>
        </w:tc>
        <w:tc>
          <w:tcPr>
            <w:tcW w:type="dxa" w:w="3672"/>
            <w:shd w:val="clear" w:color="auto" w:fill="EAF0EE"/>
          </w:tcPr>
          <w:p>
            <w:pPr>
              <w:spacing w:after="20"/>
            </w:pPr>
            <w:r>
              <w:rPr>
                <w:b/>
                <w:color w:val="1C3A36"/>
                <w:sz w:val="16"/>
              </w:rPr>
              <w:t>What would change the answer</w:t>
            </w:r>
          </w:p>
        </w:tc>
      </w:tr>
      <w:tr>
        <w:trPr>
          <w:cantSplit/>
        </w:trPr>
        <w:tc>
          <w:tcPr>
            <w:tcW w:type="dxa" w:w="2304"/>
          </w:tcPr>
          <w:p>
            <w:pPr>
              <w:spacing w:after="20"/>
            </w:pPr>
            <w:r>
              <w:rPr>
                <w:color w:val="1C3A36"/>
                <w:sz w:val="16"/>
              </w:rPr>
              <w:t>Terminal weight</w:t>
            </w:r>
          </w:p>
        </w:tc>
        <w:tc>
          <w:tcPr>
            <w:tcW w:type="dxa" w:w="3960"/>
          </w:tcPr>
          <w:p>
            <w:pPr>
              <w:spacing w:after="20"/>
              <w:jc w:val="right"/>
            </w:pPr>
            <w:r>
              <w:rPr>
                <w:color w:val="1C3A36"/>
                <w:sz w:val="16"/>
              </w:rPr>
              <w:t>74.9% of enterprise value sits beyond the explicit window. Three-quarters of this valuation is a statement about the years after FY2030</w:t>
            </w:r>
          </w:p>
        </w:tc>
        <w:tc>
          <w:tcPr>
            <w:tcW w:type="dxa" w:w="3672"/>
          </w:tcPr>
          <w:p>
            <w:pPr>
              <w:spacing w:after="20"/>
              <w:jc w:val="right"/>
            </w:pPr>
            <w:r>
              <w:rPr>
                <w:color w:val="1C3A36"/>
                <w:sz w:val="16"/>
              </w:rPr>
              <w:t>any evidence about the long-run volume base. The sensitivity grid runs AED 3.81 to AED 6.73 and the whole of it is published</w:t>
            </w:r>
          </w:p>
        </w:tc>
      </w:tr>
      <w:tr>
        <w:trPr>
          <w:cantSplit/>
        </w:trPr>
        <w:tc>
          <w:tcPr>
            <w:tcW w:type="dxa" w:w="2304"/>
          </w:tcPr>
          <w:p>
            <w:pPr>
              <w:spacing w:after="20"/>
            </w:pPr>
            <w:r>
              <w:rPr>
                <w:color w:val="1C3A36"/>
                <w:sz w:val="16"/>
              </w:rPr>
              <w:t>Inventory movements are not an audited line</w:t>
            </w:r>
          </w:p>
        </w:tc>
        <w:tc>
          <w:tcPr>
            <w:tcW w:type="dxa" w:w="3960"/>
          </w:tcPr>
          <w:p>
            <w:pPr>
              <w:spacing w:after="20"/>
              <w:jc w:val="right"/>
            </w:pPr>
            <w:r>
              <w:rPr>
                <w:color w:val="1C3A36"/>
                <w:sz w:val="16"/>
              </w:rPr>
              <w:t>they appear only in management commentary and the results presentations, with no reconciliation to the audited accounts. The study's central contested judgement therefore rests on a disclosure that cannot be independently recomputed</w:t>
            </w:r>
          </w:p>
        </w:tc>
        <w:tc>
          <w:tcPr>
            <w:tcW w:type="dxa" w:w="3672"/>
          </w:tcPr>
          <w:p>
            <w:pPr>
              <w:spacing w:after="20"/>
              <w:jc w:val="right"/>
            </w:pPr>
            <w:r>
              <w:rPr>
                <w:color w:val="1C3A36"/>
                <w:sz w:val="16"/>
              </w:rPr>
              <w:t>a reconciliation in a future filing, or a full year in which the crude path falls and the movements reverse as Frame A assumes</w:t>
            </w:r>
          </w:p>
        </w:tc>
      </w:tr>
      <w:tr>
        <w:trPr>
          <w:cantSplit/>
        </w:trPr>
        <w:tc>
          <w:tcPr>
            <w:tcW w:type="dxa" w:w="2304"/>
          </w:tcPr>
          <w:p>
            <w:pPr>
              <w:spacing w:after="20"/>
            </w:pPr>
            <w:r>
              <w:rPr>
                <w:color w:val="1C3A36"/>
                <w:sz w:val="16"/>
              </w:rPr>
              <w:t>A committee sets the price</w:t>
            </w:r>
          </w:p>
        </w:tc>
        <w:tc>
          <w:tcPr>
            <w:tcW w:type="dxa" w:w="3960"/>
          </w:tcPr>
          <w:p>
            <w:pPr>
              <w:spacing w:after="20"/>
              <w:jc w:val="right"/>
            </w:pPr>
            <w:r>
              <w:rPr>
                <w:color w:val="1C3A36"/>
                <w:sz w:val="16"/>
              </w:rPr>
              <w:t>the single largest revenue driver in this business is set monthly by a government committee. No forecast of it is anything more than a forecast of the crude path that feeds its formula</w:t>
            </w:r>
          </w:p>
        </w:tc>
        <w:tc>
          <w:tcPr>
            <w:tcW w:type="dxa" w:w="3672"/>
          </w:tcPr>
          <w:p>
            <w:pPr>
              <w:spacing w:after="20"/>
              <w:jc w:val="right"/>
            </w:pPr>
            <w:r>
              <w:rPr>
                <w:color w:val="1C3A36"/>
                <w:sz w:val="16"/>
              </w:rPr>
              <w:t>a change to the pricing mechanism itself — deregulation, a cap, or a change to the parental margin floor</w:t>
            </w:r>
          </w:p>
        </w:tc>
      </w:tr>
      <w:tr>
        <w:trPr>
          <w:cantSplit/>
        </w:trPr>
        <w:tc>
          <w:tcPr>
            <w:tcW w:type="dxa" w:w="2304"/>
          </w:tcPr>
          <w:p>
            <w:pPr>
              <w:spacing w:after="20"/>
            </w:pPr>
            <w:r>
              <w:rPr>
                <w:color w:val="1C3A36"/>
                <w:sz w:val="16"/>
              </w:rPr>
              <w:t>The parental relationship cuts both ways</w:t>
            </w:r>
          </w:p>
        </w:tc>
        <w:tc>
          <w:tcPr>
            <w:tcW w:type="dxa" w:w="3960"/>
          </w:tcPr>
          <w:p>
            <w:pPr>
              <w:spacing w:after="20"/>
              <w:jc w:val="right"/>
            </w:pPr>
            <w:r>
              <w:rPr>
                <w:color w:val="1C3A36"/>
                <w:sz w:val="16"/>
              </w:rPr>
              <w:t>the supply agreement provides a 45-fils margin floor and a cash-settled inventory backstop, which is genuinely valuable. It is also a related-party arrangement with a controlling shareholder that owns roughly 77% of the equity</w:t>
            </w:r>
          </w:p>
        </w:tc>
        <w:tc>
          <w:tcPr>
            <w:tcW w:type="dxa" w:w="3672"/>
          </w:tcPr>
          <w:p>
            <w:pPr>
              <w:spacing w:after="20"/>
              <w:jc w:val="right"/>
            </w:pPr>
            <w:r>
              <w:rPr>
                <w:color w:val="1C3A36"/>
                <w:sz w:val="16"/>
              </w:rPr>
              <w:t>any renegotiation of the supply agreement, or a change in the parent's stake</w:t>
            </w:r>
          </w:p>
        </w:tc>
      </w:tr>
      <w:tr>
        <w:trPr>
          <w:cantSplit/>
        </w:trPr>
        <w:tc>
          <w:tcPr>
            <w:tcW w:type="dxa" w:w="2304"/>
          </w:tcPr>
          <w:p>
            <w:pPr>
              <w:spacing w:after="20"/>
            </w:pPr>
            <w:r>
              <w:rPr>
                <w:color w:val="1C3A36"/>
                <w:sz w:val="16"/>
              </w:rPr>
              <w:t>The beta is low, and it is doing a lot of work</w:t>
            </w:r>
          </w:p>
        </w:tc>
        <w:tc>
          <w:tcPr>
            <w:tcW w:type="dxa" w:w="3960"/>
          </w:tcPr>
          <w:p>
            <w:pPr>
              <w:spacing w:after="20"/>
              <w:jc w:val="right"/>
            </w:pPr>
            <w:r>
              <w:rPr>
                <w:color w:val="1C3A36"/>
                <w:sz w:val="16"/>
              </w:rPr>
              <w:t>a beta of 0.65 with an r-squared of 17.9% produces a cost of equity of 7.60%. The 90% interval on that regression runs 0.51 to 0.79</w:t>
            </w:r>
          </w:p>
        </w:tc>
        <w:tc>
          <w:tcPr>
            <w:tcW w:type="dxa" w:w="3672"/>
          </w:tcPr>
          <w:p>
            <w:pPr>
              <w:spacing w:after="20"/>
              <w:jc w:val="right"/>
            </w:pPr>
            <w:r>
              <w:rPr>
                <w:color w:val="1C3A36"/>
                <w:sz w:val="16"/>
              </w:rPr>
              <w:t>a beta at the top of its own confidence interval. The model already glides to 0.65 in the terminal; at 0.80 throughout, the value is AED 4.25</w:t>
            </w:r>
          </w:p>
        </w:tc>
      </w:tr>
      <w:tr>
        <w:trPr>
          <w:cantSplit/>
        </w:trPr>
        <w:tc>
          <w:tcPr>
            <w:tcW w:type="dxa" w:w="2304"/>
          </w:tcPr>
          <w:p>
            <w:pPr>
              <w:spacing w:after="20"/>
            </w:pPr>
            <w:r>
              <w:rPr>
                <w:color w:val="1C3A36"/>
                <w:sz w:val="16"/>
              </w:rPr>
              <w:t>Three of the five readings share one input</w:t>
            </w:r>
          </w:p>
        </w:tc>
        <w:tc>
          <w:tcPr>
            <w:tcW w:type="dxa" w:w="3960"/>
          </w:tcPr>
          <w:p>
            <w:pPr>
              <w:spacing w:after="20"/>
              <w:jc w:val="right"/>
            </w:pPr>
            <w:r>
              <w:rPr>
                <w:color w:val="1C3A36"/>
                <w:sz w:val="16"/>
              </w:rPr>
              <w:t>the relative, book-value and dividend readings are all anchored on the same cost of equity. They are not independent votes, and the narrowness of the field partly reflects that</w:t>
            </w:r>
          </w:p>
        </w:tc>
        <w:tc>
          <w:tcPr>
            <w:tcW w:type="dxa" w:w="3672"/>
          </w:tcPr>
          <w:p>
            <w:pPr>
              <w:spacing w:after="20"/>
              <w:jc w:val="right"/>
            </w:pPr>
            <w:r>
              <w:rPr>
                <w:color w:val="1C3A36"/>
                <w:sz w:val="16"/>
              </w:rPr>
              <w:t>nothing — this is a property of the methods, disclosed rather than fixed</w:t>
            </w:r>
          </w:p>
        </w:tc>
      </w:tr>
      <w:tr>
        <w:trPr>
          <w:cantSplit/>
        </w:trPr>
        <w:tc>
          <w:tcPr>
            <w:tcW w:type="dxa" w:w="2304"/>
          </w:tcPr>
          <w:p>
            <w:pPr>
              <w:spacing w:after="20"/>
            </w:pPr>
            <w:r>
              <w:rPr>
                <w:color w:val="1C3A36"/>
                <w:sz w:val="16"/>
              </w:rPr>
              <w:t>The country-risk file carries a January vintage</w:t>
            </w:r>
          </w:p>
        </w:tc>
        <w:tc>
          <w:tcPr>
            <w:tcW w:type="dxa" w:w="3960"/>
          </w:tcPr>
          <w:p>
            <w:pPr>
              <w:spacing w:after="20"/>
              <w:jc w:val="right"/>
            </w:pPr>
            <w:r>
              <w:rPr>
                <w:color w:val="1C3A36"/>
                <w:sz w:val="16"/>
              </w:rPr>
              <w:t>a mid-year update is known to exist but its UAE row could not be verified in the original source, and a third-party figure that contradicts the original file was found and NOT used</w:t>
            </w:r>
          </w:p>
        </w:tc>
        <w:tc>
          <w:tcPr>
            <w:tcW w:type="dxa" w:w="3672"/>
          </w:tcPr>
          <w:p>
            <w:pPr>
              <w:spacing w:after="20"/>
              <w:jc w:val="right"/>
            </w:pPr>
            <w:r>
              <w:rPr>
                <w:color w:val="1C3A36"/>
                <w:sz w:val="16"/>
              </w:rPr>
              <w:t>the mid-year row, read from the original file. The sensitivity to the equity risk premium is published through the beta row of the sensitivity table</w:t>
            </w:r>
          </w:p>
        </w:tc>
      </w:tr>
      <w:tr>
        <w:trPr>
          <w:cantSplit/>
        </w:trPr>
        <w:tc>
          <w:tcPr>
            <w:tcW w:type="dxa" w:w="2304"/>
          </w:tcPr>
          <w:p>
            <w:pPr>
              <w:spacing w:after="20"/>
            </w:pPr>
            <w:r>
              <w:rPr>
                <w:color w:val="1C3A36"/>
                <w:sz w:val="16"/>
              </w:rPr>
              <w:t>The South African acquisition is excluded</w:t>
            </w:r>
          </w:p>
        </w:tc>
        <w:tc>
          <w:tcPr>
            <w:tcW w:type="dxa" w:w="3960"/>
          </w:tcPr>
          <w:p>
            <w:pPr>
              <w:spacing w:after="20"/>
              <w:jc w:val="right"/>
            </w:pPr>
            <w:r>
              <w:rPr>
                <w:color w:val="1C3A36"/>
                <w:sz w:val="16"/>
              </w:rPr>
              <w:t>a transaction of approximately USD 1,000 million enterprise value, expanding the network by roughly half, sits entirely outside every number in this study</w:t>
            </w:r>
          </w:p>
        </w:tc>
        <w:tc>
          <w:tcPr>
            <w:tcW w:type="dxa" w:w="3672"/>
          </w:tcPr>
          <w:p>
            <w:pPr>
              <w:spacing w:after="20"/>
              <w:jc w:val="right"/>
            </w:pPr>
            <w:r>
              <w:rPr>
                <w:color w:val="1C3A36"/>
                <w:sz w:val="16"/>
              </w:rPr>
              <w:t>completion. At that point the base case must be rebuilt, not adjusted</w:t>
            </w:r>
          </w:p>
        </w:tc>
      </w:tr>
      <w:tr>
        <w:trPr>
          <w:cantSplit/>
        </w:trPr>
        <w:tc>
          <w:tcPr>
            <w:tcW w:type="dxa" w:w="2304"/>
          </w:tcPr>
          <w:p>
            <w:pPr>
              <w:spacing w:after="20"/>
            </w:pPr>
            <w:r>
              <w:rPr>
                <w:color w:val="1C3A36"/>
                <w:sz w:val="16"/>
              </w:rPr>
              <w:t>The probability range is too wide for this share</w:t>
            </w:r>
          </w:p>
        </w:tc>
        <w:tc>
          <w:tcPr>
            <w:tcW w:type="dxa" w:w="3960"/>
          </w:tcPr>
          <w:p>
            <w:pPr>
              <w:spacing w:after="20"/>
              <w:jc w:val="right"/>
            </w:pPr>
            <w:r>
              <w:rPr>
                <w:color w:val="1C3A36"/>
                <w:sz w:val="16"/>
              </w:rPr>
              <w:t>coverage of 100% where 80% was intended, on a width 1.16 times the benchmark's</w:t>
            </w:r>
          </w:p>
        </w:tc>
        <w:tc>
          <w:tcPr>
            <w:tcW w:type="dxa" w:w="3672"/>
          </w:tcPr>
          <w:p>
            <w:pPr>
              <w:spacing w:after="20"/>
              <w:jc w:val="right"/>
            </w:pPr>
            <w:r>
              <w:rPr>
                <w:color w:val="1C3A36"/>
                <w:sz w:val="16"/>
              </w:rPr>
              <w:t>a narrower width fitted to this share alone, once it has been tested on data it did not see</w:t>
            </w:r>
          </w:p>
        </w:tc>
      </w:tr>
    </w:tbl>
    <w:p>
      <w:pPr>
        <w:spacing w:after="40"/>
      </w:pPr>
    </w:p>
    <w:p>
      <w:pPr>
        <w:spacing w:after="200" w:before="0"/>
      </w:pPr>
      <w:r>
        <w:rPr>
          <w:b w:val="0"/>
          <w:i/>
          <w:color w:val="6E7B77"/>
          <w:sz w:val="17"/>
        </w:rPr>
        <w:t>Table 30 — what could be wrong, and what evidence would settle it.</w:t>
      </w:r>
    </w:p>
    <w:p>
      <w:pPr>
        <w:spacing w:after="120" w:before="280"/>
      </w:pPr>
      <w:r>
        <w:rPr>
          <w:b/>
          <w:i w:val="0"/>
          <w:color w:val="1C3A36"/>
          <w:sz w:val="30"/>
        </w:rPr>
        <w:t>Appendix A — the financial statements</w:t>
      </w:r>
    </w:p>
    <w:p>
      <w:pPr>
        <w:spacing w:after="80" w:before="200"/>
      </w:pPr>
      <w:r>
        <w:rPr>
          <w:b/>
          <w:i w:val="0"/>
          <w:color w:val="1C3A36"/>
          <w:sz w:val="24"/>
        </w:rPr>
        <w:t>A.1 Income statement: three audited years and five forecast years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037"/>
        <w:gridCol w:w="1037"/>
        <w:gridCol w:w="1037"/>
        <w:gridCol w:w="1037"/>
        <w:gridCol w:w="1037"/>
        <w:gridCol w:w="1037"/>
        <w:gridCol w:w="1037"/>
        <w:gridCol w:w="1037"/>
      </w:tblGrid>
      <w:tr>
        <w:trPr>
          <w:cantSplit/>
        </w:trPr>
        <w:tc>
          <w:tcPr>
            <w:tcW w:type="dxa" w:w="2477"/>
            <w:shd w:val="clear" w:color="auto" w:fill="EAF0EE"/>
          </w:tcPr>
          <w:p>
            <w:pPr>
              <w:spacing w:after="20"/>
            </w:pPr>
            <w:r>
              <w:rPr>
                <w:b/>
                <w:color w:val="1C3A36"/>
                <w:sz w:val="16"/>
              </w:rPr>
              <w:t>AED million</w:t>
            </w:r>
          </w:p>
        </w:tc>
        <w:tc>
          <w:tcPr>
            <w:tcW w:type="dxa" w:w="1037"/>
            <w:shd w:val="clear" w:color="auto" w:fill="EAF0EE"/>
          </w:tcPr>
          <w:p>
            <w:pPr>
              <w:spacing w:after="20"/>
            </w:pPr>
            <w:r>
              <w:rPr>
                <w:b/>
                <w:color w:val="1C3A36"/>
                <w:sz w:val="16"/>
              </w:rPr>
              <w:t>FY2023</w:t>
            </w:r>
          </w:p>
        </w:tc>
        <w:tc>
          <w:tcPr>
            <w:tcW w:type="dxa" w:w="1037"/>
            <w:shd w:val="clear" w:color="auto" w:fill="EAF0EE"/>
          </w:tcPr>
          <w:p>
            <w:pPr>
              <w:spacing w:after="20"/>
            </w:pPr>
            <w:r>
              <w:rPr>
                <w:b/>
                <w:color w:val="1C3A36"/>
                <w:sz w:val="16"/>
              </w:rPr>
              <w:t>FY2024</w:t>
            </w:r>
          </w:p>
        </w:tc>
        <w:tc>
          <w:tcPr>
            <w:tcW w:type="dxa" w:w="1037"/>
            <w:shd w:val="clear" w:color="auto" w:fill="EAF0EE"/>
          </w:tcPr>
          <w:p>
            <w:pPr>
              <w:spacing w:after="20"/>
            </w:pPr>
            <w:r>
              <w:rPr>
                <w:b/>
                <w:color w:val="1C3A36"/>
                <w:sz w:val="16"/>
              </w:rPr>
              <w:t>FY2025</w:t>
            </w:r>
          </w:p>
        </w:tc>
        <w:tc>
          <w:tcPr>
            <w:tcW w:type="dxa" w:w="1037"/>
            <w:shd w:val="clear" w:color="auto" w:fill="EAF0EE"/>
          </w:tcPr>
          <w:p>
            <w:pPr>
              <w:spacing w:after="20"/>
            </w:pPr>
            <w:r>
              <w:rPr>
                <w:b/>
                <w:color w:val="1C3A36"/>
                <w:sz w:val="16"/>
              </w:rPr>
              <w:t>2026E</w:t>
            </w:r>
          </w:p>
        </w:tc>
        <w:tc>
          <w:tcPr>
            <w:tcW w:type="dxa" w:w="1037"/>
            <w:shd w:val="clear" w:color="auto" w:fill="EAF0EE"/>
          </w:tcPr>
          <w:p>
            <w:pPr>
              <w:spacing w:after="20"/>
            </w:pPr>
            <w:r>
              <w:rPr>
                <w:b/>
                <w:color w:val="1C3A36"/>
                <w:sz w:val="16"/>
              </w:rPr>
              <w:t>2027E</w:t>
            </w:r>
          </w:p>
        </w:tc>
        <w:tc>
          <w:tcPr>
            <w:tcW w:type="dxa" w:w="1037"/>
            <w:shd w:val="clear" w:color="auto" w:fill="EAF0EE"/>
          </w:tcPr>
          <w:p>
            <w:pPr>
              <w:spacing w:after="20"/>
            </w:pPr>
            <w:r>
              <w:rPr>
                <w:b/>
                <w:color w:val="1C3A36"/>
                <w:sz w:val="16"/>
              </w:rPr>
              <w:t>2028E</w:t>
            </w:r>
          </w:p>
        </w:tc>
        <w:tc>
          <w:tcPr>
            <w:tcW w:type="dxa" w:w="1037"/>
            <w:shd w:val="clear" w:color="auto" w:fill="EAF0EE"/>
          </w:tcPr>
          <w:p>
            <w:pPr>
              <w:spacing w:after="20"/>
            </w:pPr>
            <w:r>
              <w:rPr>
                <w:b/>
                <w:color w:val="1C3A36"/>
                <w:sz w:val="16"/>
              </w:rPr>
              <w:t>2029E</w:t>
            </w:r>
          </w:p>
        </w:tc>
        <w:tc>
          <w:tcPr>
            <w:tcW w:type="dxa" w:w="1037"/>
            <w:shd w:val="clear" w:color="auto" w:fill="EAF0EE"/>
          </w:tcPr>
          <w:p>
            <w:pPr>
              <w:spacing w:after="20"/>
            </w:pPr>
            <w:r>
              <w:rPr>
                <w:b/>
                <w:color w:val="1C3A36"/>
                <w:sz w:val="16"/>
              </w:rPr>
              <w:t>2030E</w:t>
            </w:r>
          </w:p>
        </w:tc>
      </w:tr>
      <w:tr>
        <w:trPr>
          <w:cantSplit/>
        </w:trPr>
        <w:tc>
          <w:tcPr>
            <w:tcW w:type="dxa" w:w="2477"/>
          </w:tcPr>
          <w:p>
            <w:pPr>
              <w:spacing w:after="20"/>
            </w:pPr>
            <w:r>
              <w:rPr>
                <w:color w:val="1C3A36"/>
                <w:sz w:val="16"/>
              </w:rPr>
              <w:t>Revenue</w:t>
            </w:r>
          </w:p>
        </w:tc>
        <w:tc>
          <w:tcPr>
            <w:tcW w:type="dxa" w:w="1037"/>
          </w:tcPr>
          <w:p>
            <w:pPr>
              <w:spacing w:after="20"/>
              <w:jc w:val="right"/>
            </w:pPr>
            <w:r>
              <w:rPr>
                <w:color w:val="1C3A36"/>
                <w:sz w:val="16"/>
              </w:rPr>
              <w:t>34,629</w:t>
            </w:r>
          </w:p>
        </w:tc>
        <w:tc>
          <w:tcPr>
            <w:tcW w:type="dxa" w:w="1037"/>
          </w:tcPr>
          <w:p>
            <w:pPr>
              <w:spacing w:after="20"/>
              <w:jc w:val="right"/>
            </w:pPr>
            <w:r>
              <w:rPr>
                <w:color w:val="1C3A36"/>
                <w:sz w:val="16"/>
              </w:rPr>
              <w:t>35,454</w:t>
            </w:r>
          </w:p>
        </w:tc>
        <w:tc>
          <w:tcPr>
            <w:tcW w:type="dxa" w:w="1037"/>
          </w:tcPr>
          <w:p>
            <w:pPr>
              <w:spacing w:after="20"/>
              <w:jc w:val="right"/>
            </w:pPr>
            <w:r>
              <w:rPr>
                <w:color w:val="1C3A36"/>
                <w:sz w:val="16"/>
              </w:rPr>
              <w:t>35,897</w:t>
            </w:r>
          </w:p>
        </w:tc>
        <w:tc>
          <w:tcPr>
            <w:tcW w:type="dxa" w:w="1037"/>
          </w:tcPr>
          <w:p>
            <w:pPr>
              <w:spacing w:after="20"/>
              <w:jc w:val="right"/>
            </w:pPr>
            <w:r>
              <w:rPr>
                <w:color w:val="1C3A36"/>
                <w:sz w:val="16"/>
              </w:rPr>
              <w:t>43,836</w:t>
            </w:r>
          </w:p>
        </w:tc>
        <w:tc>
          <w:tcPr>
            <w:tcW w:type="dxa" w:w="1037"/>
          </w:tcPr>
          <w:p>
            <w:pPr>
              <w:spacing w:after="20"/>
              <w:jc w:val="right"/>
            </w:pPr>
            <w:r>
              <w:rPr>
                <w:color w:val="1C3A36"/>
                <w:sz w:val="16"/>
              </w:rPr>
              <w:t>43,215</w:t>
            </w:r>
          </w:p>
        </w:tc>
        <w:tc>
          <w:tcPr>
            <w:tcW w:type="dxa" w:w="1037"/>
          </w:tcPr>
          <w:p>
            <w:pPr>
              <w:spacing w:after="20"/>
              <w:jc w:val="right"/>
            </w:pPr>
            <w:r>
              <w:rPr>
                <w:color w:val="1C3A36"/>
                <w:sz w:val="16"/>
              </w:rPr>
              <w:t>44,450</w:t>
            </w:r>
          </w:p>
        </w:tc>
        <w:tc>
          <w:tcPr>
            <w:tcW w:type="dxa" w:w="1037"/>
          </w:tcPr>
          <w:p>
            <w:pPr>
              <w:spacing w:after="20"/>
              <w:jc w:val="right"/>
            </w:pPr>
            <w:r>
              <w:rPr>
                <w:color w:val="1C3A36"/>
                <w:sz w:val="16"/>
              </w:rPr>
              <w:t>45,876</w:t>
            </w:r>
          </w:p>
        </w:tc>
        <w:tc>
          <w:tcPr>
            <w:tcW w:type="dxa" w:w="1037"/>
          </w:tcPr>
          <w:p>
            <w:pPr>
              <w:spacing w:after="20"/>
              <w:jc w:val="right"/>
            </w:pPr>
            <w:r>
              <w:rPr>
                <w:color w:val="1C3A36"/>
                <w:sz w:val="16"/>
              </w:rPr>
              <w:t>47,321</w:t>
            </w:r>
          </w:p>
        </w:tc>
      </w:tr>
      <w:tr>
        <w:trPr>
          <w:cantSplit/>
        </w:trPr>
        <w:tc>
          <w:tcPr>
            <w:tcW w:type="dxa" w:w="2477"/>
          </w:tcPr>
          <w:p>
            <w:pPr>
              <w:spacing w:after="20"/>
            </w:pPr>
            <w:r>
              <w:rPr>
                <w:color w:val="1C3A36"/>
                <w:sz w:val="16"/>
              </w:rPr>
              <w:t>Direct costs</w:t>
            </w:r>
          </w:p>
        </w:tc>
        <w:tc>
          <w:tcPr>
            <w:tcW w:type="dxa" w:w="1037"/>
          </w:tcPr>
          <w:p>
            <w:pPr>
              <w:spacing w:after="20"/>
              <w:jc w:val="right"/>
            </w:pPr>
            <w:r>
              <w:rPr>
                <w:color w:val="1C3A36"/>
                <w:sz w:val="16"/>
              </w:rPr>
              <w:t>28,793</w:t>
            </w:r>
          </w:p>
        </w:tc>
        <w:tc>
          <w:tcPr>
            <w:tcW w:type="dxa" w:w="1037"/>
          </w:tcPr>
          <w:p>
            <w:pPr>
              <w:spacing w:after="20"/>
              <w:jc w:val="right"/>
            </w:pPr>
            <w:r>
              <w:rPr>
                <w:color w:val="1C3A36"/>
                <w:sz w:val="16"/>
              </w:rPr>
              <w:t>29,238</w:t>
            </w:r>
          </w:p>
        </w:tc>
        <w:tc>
          <w:tcPr>
            <w:tcW w:type="dxa" w:w="1037"/>
          </w:tcPr>
          <w:p>
            <w:pPr>
              <w:spacing w:after="20"/>
              <w:jc w:val="right"/>
            </w:pPr>
            <w:r>
              <w:rPr>
                <w:color w:val="1C3A36"/>
                <w:sz w:val="16"/>
              </w:rPr>
              <w:t>28,951</w:t>
            </w:r>
          </w:p>
        </w:tc>
        <w:tc>
          <w:tcPr>
            <w:tcW w:type="dxa" w:w="1037"/>
          </w:tcPr>
          <w:p>
            <w:pPr>
              <w:spacing w:after="20"/>
              <w:jc w:val="right"/>
            </w:pPr>
            <w:r>
              <w:rPr>
                <w:color w:val="1C3A36"/>
                <w:sz w:val="16"/>
              </w:rPr>
              <w:t>35,589</w:t>
            </w:r>
          </w:p>
        </w:tc>
        <w:tc>
          <w:tcPr>
            <w:tcW w:type="dxa" w:w="1037"/>
          </w:tcPr>
          <w:p>
            <w:pPr>
              <w:spacing w:after="20"/>
              <w:jc w:val="right"/>
            </w:pPr>
            <w:r>
              <w:rPr>
                <w:color w:val="1C3A36"/>
                <w:sz w:val="16"/>
              </w:rPr>
              <w:t>35,446</w:t>
            </w:r>
          </w:p>
        </w:tc>
        <w:tc>
          <w:tcPr>
            <w:tcW w:type="dxa" w:w="1037"/>
          </w:tcPr>
          <w:p>
            <w:pPr>
              <w:spacing w:after="20"/>
              <w:jc w:val="right"/>
            </w:pPr>
            <w:r>
              <w:rPr>
                <w:color w:val="1C3A36"/>
                <w:sz w:val="16"/>
              </w:rPr>
              <w:t>36,375</w:t>
            </w:r>
          </w:p>
        </w:tc>
        <w:tc>
          <w:tcPr>
            <w:tcW w:type="dxa" w:w="1037"/>
          </w:tcPr>
          <w:p>
            <w:pPr>
              <w:spacing w:after="20"/>
              <w:jc w:val="right"/>
            </w:pPr>
            <w:r>
              <w:rPr>
                <w:color w:val="1C3A36"/>
                <w:sz w:val="16"/>
              </w:rPr>
              <w:t>37,455</w:t>
            </w:r>
          </w:p>
        </w:tc>
        <w:tc>
          <w:tcPr>
            <w:tcW w:type="dxa" w:w="1037"/>
          </w:tcPr>
          <w:p>
            <w:pPr>
              <w:spacing w:after="20"/>
              <w:jc w:val="right"/>
            </w:pPr>
            <w:r>
              <w:rPr>
                <w:color w:val="1C3A36"/>
                <w:sz w:val="16"/>
              </w:rPr>
              <w:t>38,544</w:t>
            </w:r>
          </w:p>
        </w:tc>
      </w:tr>
      <w:tr>
        <w:trPr>
          <w:cantSplit/>
        </w:trPr>
        <w:tc>
          <w:tcPr>
            <w:tcW w:type="dxa" w:w="2477"/>
            <w:shd w:val="clear" w:color="auto" w:fill="F6F1E6"/>
          </w:tcPr>
          <w:p>
            <w:pPr>
              <w:spacing w:after="20"/>
            </w:pPr>
            <w:r>
              <w:rPr>
                <w:b/>
                <w:color w:val="1C3A36"/>
                <w:sz w:val="16"/>
              </w:rPr>
              <w:t>Gross profit</w:t>
            </w:r>
          </w:p>
        </w:tc>
        <w:tc>
          <w:tcPr>
            <w:tcW w:type="dxa" w:w="1037"/>
            <w:shd w:val="clear" w:color="auto" w:fill="F6F1E6"/>
          </w:tcPr>
          <w:p>
            <w:pPr>
              <w:spacing w:after="20"/>
              <w:jc w:val="right"/>
            </w:pPr>
            <w:r>
              <w:rPr>
                <w:b/>
                <w:color w:val="1C3A36"/>
                <w:sz w:val="16"/>
              </w:rPr>
              <w:t>5,836</w:t>
            </w:r>
          </w:p>
        </w:tc>
        <w:tc>
          <w:tcPr>
            <w:tcW w:type="dxa" w:w="1037"/>
            <w:shd w:val="clear" w:color="auto" w:fill="F6F1E6"/>
          </w:tcPr>
          <w:p>
            <w:pPr>
              <w:spacing w:after="20"/>
              <w:jc w:val="right"/>
            </w:pPr>
            <w:r>
              <w:rPr>
                <w:b/>
                <w:color w:val="1C3A36"/>
                <w:sz w:val="16"/>
              </w:rPr>
              <w:t>6,216</w:t>
            </w:r>
          </w:p>
        </w:tc>
        <w:tc>
          <w:tcPr>
            <w:tcW w:type="dxa" w:w="1037"/>
            <w:shd w:val="clear" w:color="auto" w:fill="F6F1E6"/>
          </w:tcPr>
          <w:p>
            <w:pPr>
              <w:spacing w:after="20"/>
              <w:jc w:val="right"/>
            </w:pPr>
            <w:r>
              <w:rPr>
                <w:b/>
                <w:color w:val="1C3A36"/>
                <w:sz w:val="16"/>
              </w:rPr>
              <w:t>6,946</w:t>
            </w:r>
          </w:p>
        </w:tc>
        <w:tc>
          <w:tcPr>
            <w:tcW w:type="dxa" w:w="1037"/>
            <w:shd w:val="clear" w:color="auto" w:fill="F6F1E6"/>
          </w:tcPr>
          <w:p>
            <w:pPr>
              <w:spacing w:after="20"/>
              <w:jc w:val="right"/>
            </w:pPr>
            <w:r>
              <w:rPr>
                <w:b/>
                <w:color w:val="1C3A36"/>
                <w:sz w:val="16"/>
              </w:rPr>
              <w:t>8,247</w:t>
            </w:r>
          </w:p>
        </w:tc>
        <w:tc>
          <w:tcPr>
            <w:tcW w:type="dxa" w:w="1037"/>
            <w:shd w:val="clear" w:color="auto" w:fill="F6F1E6"/>
          </w:tcPr>
          <w:p>
            <w:pPr>
              <w:spacing w:after="20"/>
              <w:jc w:val="right"/>
            </w:pPr>
            <w:r>
              <w:rPr>
                <w:b/>
                <w:color w:val="1C3A36"/>
                <w:sz w:val="16"/>
              </w:rPr>
              <w:t>7,769</w:t>
            </w:r>
          </w:p>
        </w:tc>
        <w:tc>
          <w:tcPr>
            <w:tcW w:type="dxa" w:w="1037"/>
            <w:shd w:val="clear" w:color="auto" w:fill="F6F1E6"/>
          </w:tcPr>
          <w:p>
            <w:pPr>
              <w:spacing w:after="20"/>
              <w:jc w:val="right"/>
            </w:pPr>
            <w:r>
              <w:rPr>
                <w:b/>
                <w:color w:val="1C3A36"/>
                <w:sz w:val="16"/>
              </w:rPr>
              <w:t>8,076</w:t>
            </w:r>
          </w:p>
        </w:tc>
        <w:tc>
          <w:tcPr>
            <w:tcW w:type="dxa" w:w="1037"/>
            <w:shd w:val="clear" w:color="auto" w:fill="F6F1E6"/>
          </w:tcPr>
          <w:p>
            <w:pPr>
              <w:spacing w:after="20"/>
              <w:jc w:val="right"/>
            </w:pPr>
            <w:r>
              <w:rPr>
                <w:b/>
                <w:color w:val="1C3A36"/>
                <w:sz w:val="16"/>
              </w:rPr>
              <w:t>8,421</w:t>
            </w:r>
          </w:p>
        </w:tc>
        <w:tc>
          <w:tcPr>
            <w:tcW w:type="dxa" w:w="1037"/>
            <w:shd w:val="clear" w:color="auto" w:fill="F6F1E6"/>
          </w:tcPr>
          <w:p>
            <w:pPr>
              <w:spacing w:after="20"/>
              <w:jc w:val="right"/>
            </w:pPr>
            <w:r>
              <w:rPr>
                <w:b/>
                <w:color w:val="1C3A36"/>
                <w:sz w:val="16"/>
              </w:rPr>
              <w:t>8,777</w:t>
            </w:r>
          </w:p>
        </w:tc>
      </w:tr>
      <w:tr>
        <w:trPr>
          <w:cantSplit/>
        </w:trPr>
        <w:tc>
          <w:tcPr>
            <w:tcW w:type="dxa" w:w="2477"/>
          </w:tcPr>
          <w:p>
            <w:pPr>
              <w:spacing w:after="20"/>
            </w:pPr>
            <w:r>
              <w:rPr>
                <w:color w:val="1C3A36"/>
                <w:sz w:val="16"/>
              </w:rPr>
              <w:t>Gross margin</w:t>
            </w:r>
          </w:p>
        </w:tc>
        <w:tc>
          <w:tcPr>
            <w:tcW w:type="dxa" w:w="1037"/>
          </w:tcPr>
          <w:p>
            <w:pPr>
              <w:spacing w:after="20"/>
              <w:jc w:val="right"/>
            </w:pPr>
            <w:r>
              <w:rPr>
                <w:color w:val="1C3A36"/>
                <w:sz w:val="16"/>
              </w:rPr>
              <w:t>16.9%</w:t>
            </w:r>
          </w:p>
        </w:tc>
        <w:tc>
          <w:tcPr>
            <w:tcW w:type="dxa" w:w="1037"/>
          </w:tcPr>
          <w:p>
            <w:pPr>
              <w:spacing w:after="20"/>
              <w:jc w:val="right"/>
            </w:pPr>
            <w:r>
              <w:rPr>
                <w:color w:val="1C3A36"/>
                <w:sz w:val="16"/>
              </w:rPr>
              <w:t>17.5%</w:t>
            </w:r>
          </w:p>
        </w:tc>
        <w:tc>
          <w:tcPr>
            <w:tcW w:type="dxa" w:w="1037"/>
          </w:tcPr>
          <w:p>
            <w:pPr>
              <w:spacing w:after="20"/>
              <w:jc w:val="right"/>
            </w:pPr>
            <w:r>
              <w:rPr>
                <w:color w:val="1C3A36"/>
                <w:sz w:val="16"/>
              </w:rPr>
              <w:t>19.3%</w:t>
            </w:r>
          </w:p>
        </w:tc>
        <w:tc>
          <w:tcPr>
            <w:tcW w:type="dxa" w:w="1037"/>
          </w:tcPr>
          <w:p>
            <w:pPr>
              <w:spacing w:after="20"/>
              <w:jc w:val="right"/>
            </w:pPr>
            <w:r>
              <w:rPr>
                <w:color w:val="1C3A36"/>
                <w:sz w:val="16"/>
              </w:rPr>
              <w:t>18.8%</w:t>
            </w:r>
          </w:p>
        </w:tc>
        <w:tc>
          <w:tcPr>
            <w:tcW w:type="dxa" w:w="1037"/>
          </w:tcPr>
          <w:p>
            <w:pPr>
              <w:spacing w:after="20"/>
              <w:jc w:val="right"/>
            </w:pPr>
            <w:r>
              <w:rPr>
                <w:color w:val="1C3A36"/>
                <w:sz w:val="16"/>
              </w:rPr>
              <w:t>18.0%</w:t>
            </w:r>
          </w:p>
        </w:tc>
        <w:tc>
          <w:tcPr>
            <w:tcW w:type="dxa" w:w="1037"/>
          </w:tcPr>
          <w:p>
            <w:pPr>
              <w:spacing w:after="20"/>
              <w:jc w:val="right"/>
            </w:pPr>
            <w:r>
              <w:rPr>
                <w:color w:val="1C3A36"/>
                <w:sz w:val="16"/>
              </w:rPr>
              <w:t>18.2%</w:t>
            </w:r>
          </w:p>
        </w:tc>
        <w:tc>
          <w:tcPr>
            <w:tcW w:type="dxa" w:w="1037"/>
          </w:tcPr>
          <w:p>
            <w:pPr>
              <w:spacing w:after="20"/>
              <w:jc w:val="right"/>
            </w:pPr>
            <w:r>
              <w:rPr>
                <w:color w:val="1C3A36"/>
                <w:sz w:val="16"/>
              </w:rPr>
              <w:t>18.4%</w:t>
            </w:r>
          </w:p>
        </w:tc>
        <w:tc>
          <w:tcPr>
            <w:tcW w:type="dxa" w:w="1037"/>
          </w:tcPr>
          <w:p>
            <w:pPr>
              <w:spacing w:after="20"/>
              <w:jc w:val="right"/>
            </w:pPr>
            <w:r>
              <w:rPr>
                <w:color w:val="1C3A36"/>
                <w:sz w:val="16"/>
              </w:rPr>
              <w:t>18.5%</w:t>
            </w:r>
          </w:p>
        </w:tc>
      </w:tr>
      <w:tr>
        <w:trPr>
          <w:cantSplit/>
        </w:trPr>
        <w:tc>
          <w:tcPr>
            <w:tcW w:type="dxa" w:w="2477"/>
          </w:tcPr>
          <w:p>
            <w:pPr>
              <w:spacing w:after="20"/>
            </w:pPr>
            <w:r>
              <w:rPr>
                <w:color w:val="1C3A36"/>
                <w:sz w:val="16"/>
              </w:rPr>
              <w:t xml:space="preserve">   memorandum: inventory movement inside gross profit</w:t>
            </w:r>
          </w:p>
        </w:tc>
        <w:tc>
          <w:tcPr>
            <w:tcW w:type="dxa" w:w="1037"/>
          </w:tcPr>
          <w:p>
            <w:pPr>
              <w:spacing w:after="20"/>
              <w:jc w:val="right"/>
            </w:pPr>
            <w:r>
              <w:rPr>
                <w:color w:val="1C3A36"/>
                <w:sz w:val="16"/>
              </w:rPr>
              <w:t>—</w:t>
            </w:r>
          </w:p>
        </w:tc>
        <w:tc>
          <w:tcPr>
            <w:tcW w:type="dxa" w:w="1037"/>
          </w:tcPr>
          <w:p>
            <w:pPr>
              <w:spacing w:after="20"/>
              <w:jc w:val="right"/>
            </w:pPr>
            <w:r>
              <w:rPr>
                <w:color w:val="1C3A36"/>
                <w:sz w:val="16"/>
              </w:rPr>
              <w:t>254</w:t>
            </w:r>
          </w:p>
        </w:tc>
        <w:tc>
          <w:tcPr>
            <w:tcW w:type="dxa" w:w="1037"/>
          </w:tcPr>
          <w:p>
            <w:pPr>
              <w:spacing w:after="20"/>
              <w:jc w:val="right"/>
            </w:pPr>
            <w:r>
              <w:rPr>
                <w:color w:val="1C3A36"/>
                <w:sz w:val="16"/>
              </w:rPr>
              <w:t>335</w:t>
            </w:r>
          </w:p>
        </w:tc>
        <w:tc>
          <w:tcPr>
            <w:tcW w:type="dxa" w:w="1037"/>
          </w:tcPr>
          <w:p>
            <w:pPr>
              <w:spacing w:after="20"/>
              <w:jc w:val="right"/>
            </w:pPr>
            <w:r>
              <w:rPr>
                <w:color w:val="1C3A36"/>
                <w:sz w:val="16"/>
              </w:rPr>
              <w:t>762</w:t>
            </w:r>
          </w:p>
        </w:tc>
        <w:tc>
          <w:tcPr>
            <w:tcW w:type="dxa" w:w="1037"/>
          </w:tcPr>
          <w:p>
            <w:pPr>
              <w:spacing w:after="20"/>
              <w:jc w:val="right"/>
            </w:pPr>
            <w:r>
              <w:rPr>
                <w:color w:val="1C3A36"/>
                <w:sz w:val="16"/>
              </w:rPr>
              <w:t>0</w:t>
            </w:r>
          </w:p>
        </w:tc>
        <w:tc>
          <w:tcPr>
            <w:tcW w:type="dxa" w:w="1037"/>
          </w:tcPr>
          <w:p>
            <w:pPr>
              <w:spacing w:after="20"/>
              <w:jc w:val="right"/>
            </w:pPr>
            <w:r>
              <w:rPr>
                <w:color w:val="1C3A36"/>
                <w:sz w:val="16"/>
              </w:rPr>
              <w:t>0</w:t>
            </w:r>
          </w:p>
        </w:tc>
        <w:tc>
          <w:tcPr>
            <w:tcW w:type="dxa" w:w="1037"/>
          </w:tcPr>
          <w:p>
            <w:pPr>
              <w:spacing w:after="20"/>
              <w:jc w:val="right"/>
            </w:pPr>
            <w:r>
              <w:rPr>
                <w:color w:val="1C3A36"/>
                <w:sz w:val="16"/>
              </w:rPr>
              <w:t>0</w:t>
            </w:r>
          </w:p>
        </w:tc>
        <w:tc>
          <w:tcPr>
            <w:tcW w:type="dxa" w:w="1037"/>
          </w:tcPr>
          <w:p>
            <w:pPr>
              <w:spacing w:after="20"/>
              <w:jc w:val="right"/>
            </w:pPr>
            <w:r>
              <w:rPr>
                <w:color w:val="1C3A36"/>
                <w:sz w:val="16"/>
              </w:rPr>
              <w:t>0</w:t>
            </w:r>
          </w:p>
        </w:tc>
      </w:tr>
      <w:tr>
        <w:trPr>
          <w:cantSplit/>
        </w:trPr>
        <w:tc>
          <w:tcPr>
            <w:tcW w:type="dxa" w:w="2477"/>
          </w:tcPr>
          <w:p>
            <w:pPr>
              <w:spacing w:after="20"/>
            </w:pPr>
            <w:r>
              <w:rPr>
                <w:color w:val="1C3A36"/>
                <w:sz w:val="16"/>
              </w:rPr>
              <w:t>Cash operating expenses</w:t>
            </w:r>
          </w:p>
        </w:tc>
        <w:tc>
          <w:tcPr>
            <w:tcW w:type="dxa" w:w="1037"/>
          </w:tcPr>
          <w:p>
            <w:pPr>
              <w:spacing w:after="20"/>
              <w:jc w:val="right"/>
            </w:pPr>
            <w:r>
              <w:rPr>
                <w:color w:val="1C3A36"/>
                <w:sz w:val="16"/>
              </w:rPr>
              <w:t>2,220</w:t>
            </w:r>
          </w:p>
        </w:tc>
        <w:tc>
          <w:tcPr>
            <w:tcW w:type="dxa" w:w="1037"/>
          </w:tcPr>
          <w:p>
            <w:pPr>
              <w:spacing w:after="20"/>
              <w:jc w:val="right"/>
            </w:pPr>
            <w:r>
              <w:rPr>
                <w:color w:val="1C3A36"/>
                <w:sz w:val="16"/>
              </w:rPr>
              <w:t>2,409</w:t>
            </w:r>
          </w:p>
        </w:tc>
        <w:tc>
          <w:tcPr>
            <w:tcW w:type="dxa" w:w="1037"/>
          </w:tcPr>
          <w:p>
            <w:pPr>
              <w:spacing w:after="20"/>
              <w:jc w:val="right"/>
            </w:pPr>
            <w:r>
              <w:rPr>
                <w:color w:val="1C3A36"/>
                <w:sz w:val="16"/>
              </w:rPr>
              <w:t>2,548</w:t>
            </w:r>
          </w:p>
        </w:tc>
        <w:tc>
          <w:tcPr>
            <w:tcW w:type="dxa" w:w="1037"/>
          </w:tcPr>
          <w:p>
            <w:pPr>
              <w:spacing w:after="20"/>
              <w:jc w:val="right"/>
            </w:pPr>
            <w:r>
              <w:rPr>
                <w:color w:val="1C3A36"/>
                <w:sz w:val="16"/>
              </w:rPr>
              <w:t>2,650</w:t>
            </w:r>
          </w:p>
        </w:tc>
        <w:tc>
          <w:tcPr>
            <w:tcW w:type="dxa" w:w="1037"/>
          </w:tcPr>
          <w:p>
            <w:pPr>
              <w:spacing w:after="20"/>
              <w:jc w:val="right"/>
            </w:pPr>
            <w:r>
              <w:rPr>
                <w:color w:val="1C3A36"/>
                <w:sz w:val="16"/>
              </w:rPr>
              <w:t>2,755</w:t>
            </w:r>
          </w:p>
        </w:tc>
        <w:tc>
          <w:tcPr>
            <w:tcW w:type="dxa" w:w="1037"/>
          </w:tcPr>
          <w:p>
            <w:pPr>
              <w:spacing w:after="20"/>
              <w:jc w:val="right"/>
            </w:pPr>
            <w:r>
              <w:rPr>
                <w:color w:val="1C3A36"/>
                <w:sz w:val="16"/>
              </w:rPr>
              <w:t>2,866</w:t>
            </w:r>
          </w:p>
        </w:tc>
        <w:tc>
          <w:tcPr>
            <w:tcW w:type="dxa" w:w="1037"/>
          </w:tcPr>
          <w:p>
            <w:pPr>
              <w:spacing w:after="20"/>
              <w:jc w:val="right"/>
            </w:pPr>
            <w:r>
              <w:rPr>
                <w:color w:val="1C3A36"/>
                <w:sz w:val="16"/>
              </w:rPr>
              <w:t>2,980</w:t>
            </w:r>
          </w:p>
        </w:tc>
        <w:tc>
          <w:tcPr>
            <w:tcW w:type="dxa" w:w="1037"/>
          </w:tcPr>
          <w:p>
            <w:pPr>
              <w:spacing w:after="20"/>
              <w:jc w:val="right"/>
            </w:pPr>
            <w:r>
              <w:rPr>
                <w:color w:val="1C3A36"/>
                <w:sz w:val="16"/>
              </w:rPr>
              <w:t>3,100</w:t>
            </w:r>
          </w:p>
        </w:tc>
      </w:tr>
      <w:tr>
        <w:trPr>
          <w:cantSplit/>
        </w:trPr>
        <w:tc>
          <w:tcPr>
            <w:tcW w:type="dxa" w:w="2477"/>
          </w:tcPr>
          <w:p>
            <w:pPr>
              <w:spacing w:after="20"/>
            </w:pPr>
            <w:r>
              <w:rPr>
                <w:color w:val="1C3A36"/>
                <w:sz w:val="16"/>
              </w:rPr>
              <w:t>Other income</w:t>
            </w:r>
          </w:p>
        </w:tc>
        <w:tc>
          <w:tcPr>
            <w:tcW w:type="dxa" w:w="1037"/>
          </w:tcPr>
          <w:p>
            <w:pPr>
              <w:spacing w:after="20"/>
              <w:jc w:val="right"/>
            </w:pPr>
            <w:r>
              <w:rPr>
                <w:color w:val="1C3A36"/>
                <w:sz w:val="16"/>
              </w:rPr>
              <w:t>146</w:t>
            </w:r>
          </w:p>
        </w:tc>
        <w:tc>
          <w:tcPr>
            <w:tcW w:type="dxa" w:w="1037"/>
          </w:tcPr>
          <w:p>
            <w:pPr>
              <w:spacing w:after="20"/>
              <w:jc w:val="right"/>
            </w:pPr>
            <w:r>
              <w:rPr>
                <w:color w:val="1C3A36"/>
                <w:sz w:val="16"/>
              </w:rPr>
              <w:t>138</w:t>
            </w:r>
          </w:p>
        </w:tc>
        <w:tc>
          <w:tcPr>
            <w:tcW w:type="dxa" w:w="1037"/>
          </w:tcPr>
          <w:p>
            <w:pPr>
              <w:spacing w:after="20"/>
              <w:jc w:val="right"/>
            </w:pPr>
            <w:r>
              <w:rPr>
                <w:color w:val="1C3A36"/>
                <w:sz w:val="16"/>
              </w:rPr>
              <w:t>168</w:t>
            </w:r>
          </w:p>
        </w:tc>
        <w:tc>
          <w:tcPr>
            <w:tcW w:type="dxa" w:w="1037"/>
          </w:tcPr>
          <w:p>
            <w:pPr>
              <w:spacing w:after="20"/>
              <w:jc w:val="right"/>
            </w:pPr>
            <w:r>
              <w:rPr>
                <w:color w:val="1C3A36"/>
                <w:sz w:val="16"/>
              </w:rPr>
              <w:t>173</w:t>
            </w:r>
          </w:p>
        </w:tc>
        <w:tc>
          <w:tcPr>
            <w:tcW w:type="dxa" w:w="1037"/>
          </w:tcPr>
          <w:p>
            <w:pPr>
              <w:spacing w:after="20"/>
              <w:jc w:val="right"/>
            </w:pPr>
            <w:r>
              <w:rPr>
                <w:color w:val="1C3A36"/>
                <w:sz w:val="16"/>
              </w:rPr>
              <w:t>178</w:t>
            </w:r>
          </w:p>
        </w:tc>
        <w:tc>
          <w:tcPr>
            <w:tcW w:type="dxa" w:w="1037"/>
          </w:tcPr>
          <w:p>
            <w:pPr>
              <w:spacing w:after="20"/>
              <w:jc w:val="right"/>
            </w:pPr>
            <w:r>
              <w:rPr>
                <w:color w:val="1C3A36"/>
                <w:sz w:val="16"/>
              </w:rPr>
              <w:t>183</w:t>
            </w:r>
          </w:p>
        </w:tc>
        <w:tc>
          <w:tcPr>
            <w:tcW w:type="dxa" w:w="1037"/>
          </w:tcPr>
          <w:p>
            <w:pPr>
              <w:spacing w:after="20"/>
              <w:jc w:val="right"/>
            </w:pPr>
            <w:r>
              <w:rPr>
                <w:color w:val="1C3A36"/>
                <w:sz w:val="16"/>
              </w:rPr>
              <w:t>189</w:t>
            </w:r>
          </w:p>
        </w:tc>
        <w:tc>
          <w:tcPr>
            <w:tcW w:type="dxa" w:w="1037"/>
          </w:tcPr>
          <w:p>
            <w:pPr>
              <w:spacing w:after="20"/>
              <w:jc w:val="right"/>
            </w:pPr>
            <w:r>
              <w:rPr>
                <w:color w:val="1C3A36"/>
                <w:sz w:val="16"/>
              </w:rPr>
              <w:t>194</w:t>
            </w:r>
          </w:p>
        </w:tc>
      </w:tr>
      <w:tr>
        <w:trPr>
          <w:cantSplit/>
        </w:trPr>
        <w:tc>
          <w:tcPr>
            <w:tcW w:type="dxa" w:w="2477"/>
          </w:tcPr>
          <w:p>
            <w:pPr>
              <w:spacing w:after="20"/>
            </w:pPr>
            <w:r>
              <w:rPr>
                <w:color w:val="1C3A36"/>
                <w:sz w:val="16"/>
              </w:rPr>
              <w:t>Impairment and credit losses</w:t>
            </w:r>
          </w:p>
        </w:tc>
        <w:tc>
          <w:tcPr>
            <w:tcW w:type="dxa" w:w="1037"/>
          </w:tcPr>
          <w:p>
            <w:pPr>
              <w:spacing w:after="20"/>
              <w:jc w:val="right"/>
            </w:pPr>
            <w:r>
              <w:rPr>
                <w:color w:val="1C3A36"/>
                <w:sz w:val="16"/>
              </w:rPr>
              <w:t>82</w:t>
            </w:r>
          </w:p>
        </w:tc>
        <w:tc>
          <w:tcPr>
            <w:tcW w:type="dxa" w:w="1037"/>
          </w:tcPr>
          <w:p>
            <w:pPr>
              <w:spacing w:after="20"/>
              <w:jc w:val="right"/>
            </w:pPr>
            <w:r>
              <w:rPr>
                <w:color w:val="1C3A36"/>
                <w:sz w:val="16"/>
              </w:rPr>
              <w:t>90</w:t>
            </w:r>
          </w:p>
        </w:tc>
        <w:tc>
          <w:tcPr>
            <w:tcW w:type="dxa" w:w="1037"/>
          </w:tcPr>
          <w:p>
            <w:pPr>
              <w:spacing w:after="20"/>
              <w:jc w:val="right"/>
            </w:pPr>
            <w:r>
              <w:rPr>
                <w:color w:val="1C3A36"/>
                <w:sz w:val="16"/>
              </w:rPr>
              <w:t>284</w:t>
            </w:r>
          </w:p>
        </w:tc>
        <w:tc>
          <w:tcPr>
            <w:tcW w:type="dxa" w:w="1037"/>
          </w:tcPr>
          <w:p>
            <w:pPr>
              <w:spacing w:after="20"/>
              <w:jc w:val="right"/>
            </w:pPr>
            <w:r>
              <w:rPr>
                <w:color w:val="1C3A36"/>
                <w:sz w:val="16"/>
              </w:rPr>
              <w:t>360</w:t>
            </w:r>
          </w:p>
        </w:tc>
        <w:tc>
          <w:tcPr>
            <w:tcW w:type="dxa" w:w="1037"/>
          </w:tcPr>
          <w:p>
            <w:pPr>
              <w:spacing w:after="20"/>
              <w:jc w:val="right"/>
            </w:pPr>
            <w:r>
              <w:rPr>
                <w:color w:val="1C3A36"/>
                <w:sz w:val="16"/>
              </w:rPr>
              <w:t>220</w:t>
            </w:r>
          </w:p>
        </w:tc>
        <w:tc>
          <w:tcPr>
            <w:tcW w:type="dxa" w:w="1037"/>
          </w:tcPr>
          <w:p>
            <w:pPr>
              <w:spacing w:after="20"/>
              <w:jc w:val="right"/>
            </w:pPr>
            <w:r>
              <w:rPr>
                <w:color w:val="1C3A36"/>
                <w:sz w:val="16"/>
              </w:rPr>
              <w:t>225</w:t>
            </w:r>
          </w:p>
        </w:tc>
        <w:tc>
          <w:tcPr>
            <w:tcW w:type="dxa" w:w="1037"/>
          </w:tcPr>
          <w:p>
            <w:pPr>
              <w:spacing w:after="20"/>
              <w:jc w:val="right"/>
            </w:pPr>
            <w:r>
              <w:rPr>
                <w:color w:val="1C3A36"/>
                <w:sz w:val="16"/>
              </w:rPr>
              <w:t>230</w:t>
            </w:r>
          </w:p>
        </w:tc>
        <w:tc>
          <w:tcPr>
            <w:tcW w:type="dxa" w:w="1037"/>
          </w:tcPr>
          <w:p>
            <w:pPr>
              <w:spacing w:after="20"/>
              <w:jc w:val="right"/>
            </w:pPr>
            <w:r>
              <w:rPr>
                <w:color w:val="1C3A36"/>
                <w:sz w:val="16"/>
              </w:rPr>
              <w:t>235</w:t>
            </w:r>
          </w:p>
        </w:tc>
      </w:tr>
      <w:tr>
        <w:trPr>
          <w:cantSplit/>
        </w:trPr>
        <w:tc>
          <w:tcPr>
            <w:tcW w:type="dxa" w:w="2477"/>
            <w:shd w:val="clear" w:color="auto" w:fill="F6F1E6"/>
          </w:tcPr>
          <w:p>
            <w:pPr>
              <w:spacing w:after="20"/>
            </w:pPr>
            <w:r>
              <w:rPr>
                <w:b/>
                <w:color w:val="1C3A36"/>
                <w:sz w:val="16"/>
              </w:rPr>
              <w:t>EBITDA</w:t>
            </w:r>
          </w:p>
        </w:tc>
        <w:tc>
          <w:tcPr>
            <w:tcW w:type="dxa" w:w="1037"/>
            <w:shd w:val="clear" w:color="auto" w:fill="F6F1E6"/>
          </w:tcPr>
          <w:p>
            <w:pPr>
              <w:spacing w:after="20"/>
              <w:jc w:val="right"/>
            </w:pPr>
            <w:r>
              <w:rPr>
                <w:b/>
                <w:color w:val="1C3A36"/>
                <w:sz w:val="16"/>
              </w:rPr>
              <w:t>3,680</w:t>
            </w:r>
          </w:p>
        </w:tc>
        <w:tc>
          <w:tcPr>
            <w:tcW w:type="dxa" w:w="1037"/>
            <w:shd w:val="clear" w:color="auto" w:fill="F6F1E6"/>
          </w:tcPr>
          <w:p>
            <w:pPr>
              <w:spacing w:after="20"/>
              <w:jc w:val="right"/>
            </w:pPr>
            <w:r>
              <w:rPr>
                <w:b/>
                <w:color w:val="1C3A36"/>
                <w:sz w:val="16"/>
              </w:rPr>
              <w:t>3,855</w:t>
            </w:r>
          </w:p>
        </w:tc>
        <w:tc>
          <w:tcPr>
            <w:tcW w:type="dxa" w:w="1037"/>
            <w:shd w:val="clear" w:color="auto" w:fill="F6F1E6"/>
          </w:tcPr>
          <w:p>
            <w:pPr>
              <w:spacing w:after="20"/>
              <w:jc w:val="right"/>
            </w:pPr>
            <w:r>
              <w:rPr>
                <w:b/>
                <w:color w:val="1C3A36"/>
                <w:sz w:val="16"/>
              </w:rPr>
              <w:t>4,282</w:t>
            </w:r>
          </w:p>
        </w:tc>
        <w:tc>
          <w:tcPr>
            <w:tcW w:type="dxa" w:w="1037"/>
            <w:shd w:val="clear" w:color="auto" w:fill="F6F1E6"/>
          </w:tcPr>
          <w:p>
            <w:pPr>
              <w:spacing w:after="20"/>
              <w:jc w:val="right"/>
            </w:pPr>
            <w:r>
              <w:rPr>
                <w:b/>
                <w:color w:val="1C3A36"/>
                <w:sz w:val="16"/>
              </w:rPr>
              <w:t>5,410</w:t>
            </w:r>
          </w:p>
        </w:tc>
        <w:tc>
          <w:tcPr>
            <w:tcW w:type="dxa" w:w="1037"/>
            <w:shd w:val="clear" w:color="auto" w:fill="F6F1E6"/>
          </w:tcPr>
          <w:p>
            <w:pPr>
              <w:spacing w:after="20"/>
              <w:jc w:val="right"/>
            </w:pPr>
            <w:r>
              <w:rPr>
                <w:b/>
                <w:color w:val="1C3A36"/>
                <w:sz w:val="16"/>
              </w:rPr>
              <w:t>4,972</w:t>
            </w:r>
          </w:p>
        </w:tc>
        <w:tc>
          <w:tcPr>
            <w:tcW w:type="dxa" w:w="1037"/>
            <w:shd w:val="clear" w:color="auto" w:fill="F6F1E6"/>
          </w:tcPr>
          <w:p>
            <w:pPr>
              <w:spacing w:after="20"/>
              <w:jc w:val="right"/>
            </w:pPr>
            <w:r>
              <w:rPr>
                <w:b/>
                <w:color w:val="1C3A36"/>
                <w:sz w:val="16"/>
              </w:rPr>
              <w:t>5,168</w:t>
            </w:r>
          </w:p>
        </w:tc>
        <w:tc>
          <w:tcPr>
            <w:tcW w:type="dxa" w:w="1037"/>
            <w:shd w:val="clear" w:color="auto" w:fill="F6F1E6"/>
          </w:tcPr>
          <w:p>
            <w:pPr>
              <w:spacing w:after="20"/>
              <w:jc w:val="right"/>
            </w:pPr>
            <w:r>
              <w:rPr>
                <w:b/>
                <w:color w:val="1C3A36"/>
                <w:sz w:val="16"/>
              </w:rPr>
              <w:t>5,399</w:t>
            </w:r>
          </w:p>
        </w:tc>
        <w:tc>
          <w:tcPr>
            <w:tcW w:type="dxa" w:w="1037"/>
            <w:shd w:val="clear" w:color="auto" w:fill="F6F1E6"/>
          </w:tcPr>
          <w:p>
            <w:pPr>
              <w:spacing w:after="20"/>
              <w:jc w:val="right"/>
            </w:pPr>
            <w:r>
              <w:rPr>
                <w:b/>
                <w:color w:val="1C3A36"/>
                <w:sz w:val="16"/>
              </w:rPr>
              <w:t>5,637</w:t>
            </w:r>
          </w:p>
        </w:tc>
      </w:tr>
      <w:tr>
        <w:trPr>
          <w:cantSplit/>
        </w:trPr>
        <w:tc>
          <w:tcPr>
            <w:tcW w:type="dxa" w:w="2477"/>
          </w:tcPr>
          <w:p>
            <w:pPr>
              <w:spacing w:after="20"/>
            </w:pPr>
            <w:r>
              <w:rPr>
                <w:color w:val="1C3A36"/>
                <w:sz w:val="16"/>
              </w:rPr>
              <w:t>EBITDA margin</w:t>
            </w:r>
          </w:p>
        </w:tc>
        <w:tc>
          <w:tcPr>
            <w:tcW w:type="dxa" w:w="1037"/>
          </w:tcPr>
          <w:p>
            <w:pPr>
              <w:spacing w:after="20"/>
              <w:jc w:val="right"/>
            </w:pPr>
            <w:r>
              <w:rPr>
                <w:color w:val="1C3A36"/>
                <w:sz w:val="16"/>
              </w:rPr>
              <w:t>10.6%</w:t>
            </w:r>
          </w:p>
        </w:tc>
        <w:tc>
          <w:tcPr>
            <w:tcW w:type="dxa" w:w="1037"/>
          </w:tcPr>
          <w:p>
            <w:pPr>
              <w:spacing w:after="20"/>
              <w:jc w:val="right"/>
            </w:pPr>
            <w:r>
              <w:rPr>
                <w:color w:val="1C3A36"/>
                <w:sz w:val="16"/>
              </w:rPr>
              <w:t>10.9%</w:t>
            </w:r>
          </w:p>
        </w:tc>
        <w:tc>
          <w:tcPr>
            <w:tcW w:type="dxa" w:w="1037"/>
          </w:tcPr>
          <w:p>
            <w:pPr>
              <w:spacing w:after="20"/>
              <w:jc w:val="right"/>
            </w:pPr>
            <w:r>
              <w:rPr>
                <w:color w:val="1C3A36"/>
                <w:sz w:val="16"/>
              </w:rPr>
              <w:t>11.9%</w:t>
            </w:r>
          </w:p>
        </w:tc>
        <w:tc>
          <w:tcPr>
            <w:tcW w:type="dxa" w:w="1037"/>
          </w:tcPr>
          <w:p>
            <w:pPr>
              <w:spacing w:after="20"/>
              <w:jc w:val="right"/>
            </w:pPr>
            <w:r>
              <w:rPr>
                <w:color w:val="1C3A36"/>
                <w:sz w:val="16"/>
              </w:rPr>
              <w:t>12.3%</w:t>
            </w:r>
          </w:p>
        </w:tc>
        <w:tc>
          <w:tcPr>
            <w:tcW w:type="dxa" w:w="1037"/>
          </w:tcPr>
          <w:p>
            <w:pPr>
              <w:spacing w:after="20"/>
              <w:jc w:val="right"/>
            </w:pPr>
            <w:r>
              <w:rPr>
                <w:color w:val="1C3A36"/>
                <w:sz w:val="16"/>
              </w:rPr>
              <w:t>11.5%</w:t>
            </w:r>
          </w:p>
        </w:tc>
        <w:tc>
          <w:tcPr>
            <w:tcW w:type="dxa" w:w="1037"/>
          </w:tcPr>
          <w:p>
            <w:pPr>
              <w:spacing w:after="20"/>
              <w:jc w:val="right"/>
            </w:pPr>
            <w:r>
              <w:rPr>
                <w:color w:val="1C3A36"/>
                <w:sz w:val="16"/>
              </w:rPr>
              <w:t>11.6%</w:t>
            </w:r>
          </w:p>
        </w:tc>
        <w:tc>
          <w:tcPr>
            <w:tcW w:type="dxa" w:w="1037"/>
          </w:tcPr>
          <w:p>
            <w:pPr>
              <w:spacing w:after="20"/>
              <w:jc w:val="right"/>
            </w:pPr>
            <w:r>
              <w:rPr>
                <w:color w:val="1C3A36"/>
                <w:sz w:val="16"/>
              </w:rPr>
              <w:t>11.8%</w:t>
            </w:r>
          </w:p>
        </w:tc>
        <w:tc>
          <w:tcPr>
            <w:tcW w:type="dxa" w:w="1037"/>
          </w:tcPr>
          <w:p>
            <w:pPr>
              <w:spacing w:after="20"/>
              <w:jc w:val="right"/>
            </w:pPr>
            <w:r>
              <w:rPr>
                <w:color w:val="1C3A36"/>
                <w:sz w:val="16"/>
              </w:rPr>
              <w:t>11.9%</w:t>
            </w:r>
          </w:p>
        </w:tc>
      </w:tr>
      <w:tr>
        <w:trPr>
          <w:cantSplit/>
        </w:trPr>
        <w:tc>
          <w:tcPr>
            <w:tcW w:type="dxa" w:w="2477"/>
          </w:tcPr>
          <w:p>
            <w:pPr>
              <w:spacing w:after="20"/>
            </w:pPr>
            <w:r>
              <w:rPr>
                <w:color w:val="1C3A36"/>
                <w:sz w:val="16"/>
              </w:rPr>
              <w:t>Depreciation and amortisation</w:t>
            </w:r>
          </w:p>
        </w:tc>
        <w:tc>
          <w:tcPr>
            <w:tcW w:type="dxa" w:w="1037"/>
          </w:tcPr>
          <w:p>
            <w:pPr>
              <w:spacing w:after="20"/>
              <w:jc w:val="right"/>
            </w:pPr>
            <w:r>
              <w:rPr>
                <w:color w:val="1C3A36"/>
                <w:sz w:val="16"/>
              </w:rPr>
              <w:t>697</w:t>
            </w:r>
          </w:p>
        </w:tc>
        <w:tc>
          <w:tcPr>
            <w:tcW w:type="dxa" w:w="1037"/>
          </w:tcPr>
          <w:p>
            <w:pPr>
              <w:spacing w:after="20"/>
              <w:jc w:val="right"/>
            </w:pPr>
            <w:r>
              <w:rPr>
                <w:color w:val="1C3A36"/>
                <w:sz w:val="16"/>
              </w:rPr>
              <w:t>786</w:t>
            </w:r>
          </w:p>
        </w:tc>
        <w:tc>
          <w:tcPr>
            <w:tcW w:type="dxa" w:w="1037"/>
          </w:tcPr>
          <w:p>
            <w:pPr>
              <w:spacing w:after="20"/>
              <w:jc w:val="right"/>
            </w:pPr>
            <w:r>
              <w:rPr>
                <w:color w:val="1C3A36"/>
                <w:sz w:val="16"/>
              </w:rPr>
              <w:t>776</w:t>
            </w:r>
          </w:p>
        </w:tc>
        <w:tc>
          <w:tcPr>
            <w:tcW w:type="dxa" w:w="1037"/>
          </w:tcPr>
          <w:p>
            <w:pPr>
              <w:spacing w:after="20"/>
              <w:jc w:val="right"/>
            </w:pPr>
            <w:r>
              <w:rPr>
                <w:color w:val="1C3A36"/>
                <w:sz w:val="16"/>
              </w:rPr>
              <w:t>792</w:t>
            </w:r>
          </w:p>
        </w:tc>
        <w:tc>
          <w:tcPr>
            <w:tcW w:type="dxa" w:w="1037"/>
          </w:tcPr>
          <w:p>
            <w:pPr>
              <w:spacing w:after="20"/>
              <w:jc w:val="right"/>
            </w:pPr>
            <w:r>
              <w:rPr>
                <w:color w:val="1C3A36"/>
                <w:sz w:val="16"/>
              </w:rPr>
              <w:t>811</w:t>
            </w:r>
          </w:p>
        </w:tc>
        <w:tc>
          <w:tcPr>
            <w:tcW w:type="dxa" w:w="1037"/>
          </w:tcPr>
          <w:p>
            <w:pPr>
              <w:spacing w:after="20"/>
              <w:jc w:val="right"/>
            </w:pPr>
            <w:r>
              <w:rPr>
                <w:color w:val="1C3A36"/>
                <w:sz w:val="16"/>
              </w:rPr>
              <w:t>825</w:t>
            </w:r>
          </w:p>
        </w:tc>
        <w:tc>
          <w:tcPr>
            <w:tcW w:type="dxa" w:w="1037"/>
          </w:tcPr>
          <w:p>
            <w:pPr>
              <w:spacing w:after="20"/>
              <w:jc w:val="right"/>
            </w:pPr>
            <w:r>
              <w:rPr>
                <w:color w:val="1C3A36"/>
                <w:sz w:val="16"/>
              </w:rPr>
              <w:t>839</w:t>
            </w:r>
          </w:p>
        </w:tc>
        <w:tc>
          <w:tcPr>
            <w:tcW w:type="dxa" w:w="1037"/>
          </w:tcPr>
          <w:p>
            <w:pPr>
              <w:spacing w:after="20"/>
              <w:jc w:val="right"/>
            </w:pPr>
            <w:r>
              <w:rPr>
                <w:color w:val="1C3A36"/>
                <w:sz w:val="16"/>
              </w:rPr>
              <w:t>851</w:t>
            </w:r>
          </w:p>
        </w:tc>
      </w:tr>
      <w:tr>
        <w:trPr>
          <w:cantSplit/>
        </w:trPr>
        <w:tc>
          <w:tcPr>
            <w:tcW w:type="dxa" w:w="2477"/>
            <w:shd w:val="clear" w:color="auto" w:fill="F6F1E6"/>
          </w:tcPr>
          <w:p>
            <w:pPr>
              <w:spacing w:after="20"/>
            </w:pPr>
            <w:r>
              <w:rPr>
                <w:b/>
                <w:color w:val="1C3A36"/>
                <w:sz w:val="16"/>
              </w:rPr>
              <w:t>EBIT</w:t>
            </w:r>
          </w:p>
        </w:tc>
        <w:tc>
          <w:tcPr>
            <w:tcW w:type="dxa" w:w="1037"/>
            <w:shd w:val="clear" w:color="auto" w:fill="F6F1E6"/>
          </w:tcPr>
          <w:p>
            <w:pPr>
              <w:spacing w:after="20"/>
              <w:jc w:val="right"/>
            </w:pPr>
            <w:r>
              <w:rPr>
                <w:b/>
                <w:color w:val="1C3A36"/>
                <w:sz w:val="16"/>
              </w:rPr>
              <w:t>2,983</w:t>
            </w:r>
          </w:p>
        </w:tc>
        <w:tc>
          <w:tcPr>
            <w:tcW w:type="dxa" w:w="1037"/>
            <w:shd w:val="clear" w:color="auto" w:fill="F6F1E6"/>
          </w:tcPr>
          <w:p>
            <w:pPr>
              <w:spacing w:after="20"/>
              <w:jc w:val="right"/>
            </w:pPr>
            <w:r>
              <w:rPr>
                <w:b/>
                <w:color w:val="1C3A36"/>
                <w:sz w:val="16"/>
              </w:rPr>
              <w:t>3,069</w:t>
            </w:r>
          </w:p>
        </w:tc>
        <w:tc>
          <w:tcPr>
            <w:tcW w:type="dxa" w:w="1037"/>
            <w:shd w:val="clear" w:color="auto" w:fill="F6F1E6"/>
          </w:tcPr>
          <w:p>
            <w:pPr>
              <w:spacing w:after="20"/>
              <w:jc w:val="right"/>
            </w:pPr>
            <w:r>
              <w:rPr>
                <w:b/>
                <w:color w:val="1C3A36"/>
                <w:sz w:val="16"/>
              </w:rPr>
              <w:t>3,506</w:t>
            </w:r>
          </w:p>
        </w:tc>
        <w:tc>
          <w:tcPr>
            <w:tcW w:type="dxa" w:w="1037"/>
            <w:shd w:val="clear" w:color="auto" w:fill="F6F1E6"/>
          </w:tcPr>
          <w:p>
            <w:pPr>
              <w:spacing w:after="20"/>
              <w:jc w:val="right"/>
            </w:pPr>
            <w:r>
              <w:rPr>
                <w:b/>
                <w:color w:val="1C3A36"/>
                <w:sz w:val="16"/>
              </w:rPr>
              <w:t>4,618</w:t>
            </w:r>
          </w:p>
        </w:tc>
        <w:tc>
          <w:tcPr>
            <w:tcW w:type="dxa" w:w="1037"/>
            <w:shd w:val="clear" w:color="auto" w:fill="F6F1E6"/>
          </w:tcPr>
          <w:p>
            <w:pPr>
              <w:spacing w:after="20"/>
              <w:jc w:val="right"/>
            </w:pPr>
            <w:r>
              <w:rPr>
                <w:b/>
                <w:color w:val="1C3A36"/>
                <w:sz w:val="16"/>
              </w:rPr>
              <w:t>4,161</w:t>
            </w:r>
          </w:p>
        </w:tc>
        <w:tc>
          <w:tcPr>
            <w:tcW w:type="dxa" w:w="1037"/>
            <w:shd w:val="clear" w:color="auto" w:fill="F6F1E6"/>
          </w:tcPr>
          <w:p>
            <w:pPr>
              <w:spacing w:after="20"/>
              <w:jc w:val="right"/>
            </w:pPr>
            <w:r>
              <w:rPr>
                <w:b/>
                <w:color w:val="1C3A36"/>
                <w:sz w:val="16"/>
              </w:rPr>
              <w:t>4,343</w:t>
            </w:r>
          </w:p>
        </w:tc>
        <w:tc>
          <w:tcPr>
            <w:tcW w:type="dxa" w:w="1037"/>
            <w:shd w:val="clear" w:color="auto" w:fill="F6F1E6"/>
          </w:tcPr>
          <w:p>
            <w:pPr>
              <w:spacing w:after="20"/>
              <w:jc w:val="right"/>
            </w:pPr>
            <w:r>
              <w:rPr>
                <w:b/>
                <w:color w:val="1C3A36"/>
                <w:sz w:val="16"/>
              </w:rPr>
              <w:t>4,560</w:t>
            </w:r>
          </w:p>
        </w:tc>
        <w:tc>
          <w:tcPr>
            <w:tcW w:type="dxa" w:w="1037"/>
            <w:shd w:val="clear" w:color="auto" w:fill="F6F1E6"/>
          </w:tcPr>
          <w:p>
            <w:pPr>
              <w:spacing w:after="20"/>
              <w:jc w:val="right"/>
            </w:pPr>
            <w:r>
              <w:rPr>
                <w:b/>
                <w:color w:val="1C3A36"/>
                <w:sz w:val="16"/>
              </w:rPr>
              <w:t>4,786</w:t>
            </w:r>
          </w:p>
        </w:tc>
      </w:tr>
      <w:tr>
        <w:trPr>
          <w:cantSplit/>
        </w:trPr>
        <w:tc>
          <w:tcPr>
            <w:tcW w:type="dxa" w:w="2477"/>
          </w:tcPr>
          <w:p>
            <w:pPr>
              <w:spacing w:after="20"/>
            </w:pPr>
            <w:r>
              <w:rPr>
                <w:color w:val="1C3A36"/>
                <w:sz w:val="16"/>
              </w:rPr>
              <w:t>Net finance cost</w:t>
            </w:r>
          </w:p>
        </w:tc>
        <w:tc>
          <w:tcPr>
            <w:tcW w:type="dxa" w:w="1037"/>
          </w:tcPr>
          <w:p>
            <w:pPr>
              <w:spacing w:after="20"/>
              <w:jc w:val="right"/>
            </w:pPr>
            <w:r>
              <w:rPr>
                <w:color w:val="1C3A36"/>
                <w:sz w:val="16"/>
              </w:rPr>
              <w:t>334</w:t>
            </w:r>
          </w:p>
        </w:tc>
        <w:tc>
          <w:tcPr>
            <w:tcW w:type="dxa" w:w="1037"/>
          </w:tcPr>
          <w:p>
            <w:pPr>
              <w:spacing w:after="20"/>
              <w:jc w:val="right"/>
            </w:pPr>
            <w:r>
              <w:rPr>
                <w:color w:val="1C3A36"/>
                <w:sz w:val="16"/>
              </w:rPr>
              <w:t>313</w:t>
            </w:r>
          </w:p>
        </w:tc>
        <w:tc>
          <w:tcPr>
            <w:tcW w:type="dxa" w:w="1037"/>
          </w:tcPr>
          <w:p>
            <w:pPr>
              <w:spacing w:after="20"/>
              <w:jc w:val="right"/>
            </w:pPr>
            <w:r>
              <w:rPr>
                <w:color w:val="1C3A36"/>
                <w:sz w:val="16"/>
              </w:rPr>
              <w:t>332</w:t>
            </w:r>
          </w:p>
        </w:tc>
        <w:tc>
          <w:tcPr>
            <w:tcW w:type="dxa" w:w="1037"/>
          </w:tcPr>
          <w:p>
            <w:pPr>
              <w:spacing w:after="20"/>
              <w:jc w:val="right"/>
            </w:pPr>
            <w:r>
              <w:rPr>
                <w:color w:val="1C3A36"/>
                <w:sz w:val="16"/>
              </w:rPr>
              <w:t>332</w:t>
            </w:r>
          </w:p>
        </w:tc>
        <w:tc>
          <w:tcPr>
            <w:tcW w:type="dxa" w:w="1037"/>
          </w:tcPr>
          <w:p>
            <w:pPr>
              <w:spacing w:after="20"/>
              <w:jc w:val="right"/>
            </w:pPr>
            <w:r>
              <w:rPr>
                <w:color w:val="1C3A36"/>
                <w:sz w:val="16"/>
              </w:rPr>
              <w:t>332</w:t>
            </w:r>
          </w:p>
        </w:tc>
        <w:tc>
          <w:tcPr>
            <w:tcW w:type="dxa" w:w="1037"/>
          </w:tcPr>
          <w:p>
            <w:pPr>
              <w:spacing w:after="20"/>
              <w:jc w:val="right"/>
            </w:pPr>
            <w:r>
              <w:rPr>
                <w:color w:val="1C3A36"/>
                <w:sz w:val="16"/>
              </w:rPr>
              <w:t>332</w:t>
            </w:r>
          </w:p>
        </w:tc>
        <w:tc>
          <w:tcPr>
            <w:tcW w:type="dxa" w:w="1037"/>
          </w:tcPr>
          <w:p>
            <w:pPr>
              <w:spacing w:after="20"/>
              <w:jc w:val="right"/>
            </w:pPr>
            <w:r>
              <w:rPr>
                <w:color w:val="1C3A36"/>
                <w:sz w:val="16"/>
              </w:rPr>
              <w:t>332</w:t>
            </w:r>
          </w:p>
        </w:tc>
        <w:tc>
          <w:tcPr>
            <w:tcW w:type="dxa" w:w="1037"/>
          </w:tcPr>
          <w:p>
            <w:pPr>
              <w:spacing w:after="20"/>
              <w:jc w:val="right"/>
            </w:pPr>
            <w:r>
              <w:rPr>
                <w:color w:val="1C3A36"/>
                <w:sz w:val="16"/>
              </w:rPr>
              <w:t>332</w:t>
            </w:r>
          </w:p>
        </w:tc>
      </w:tr>
      <w:tr>
        <w:trPr>
          <w:cantSplit/>
        </w:trPr>
        <w:tc>
          <w:tcPr>
            <w:tcW w:type="dxa" w:w="2477"/>
          </w:tcPr>
          <w:p>
            <w:pPr>
              <w:spacing w:after="20"/>
            </w:pPr>
            <w:r>
              <w:rPr>
                <w:color w:val="1C3A36"/>
                <w:sz w:val="16"/>
              </w:rPr>
              <w:t>Profit before tax</w:t>
            </w:r>
          </w:p>
        </w:tc>
        <w:tc>
          <w:tcPr>
            <w:tcW w:type="dxa" w:w="1037"/>
          </w:tcPr>
          <w:p>
            <w:pPr>
              <w:spacing w:after="20"/>
              <w:jc w:val="right"/>
            </w:pPr>
            <w:r>
              <w:rPr>
                <w:color w:val="1C3A36"/>
                <w:sz w:val="16"/>
              </w:rPr>
              <w:t>2,649</w:t>
            </w:r>
          </w:p>
        </w:tc>
        <w:tc>
          <w:tcPr>
            <w:tcW w:type="dxa" w:w="1037"/>
          </w:tcPr>
          <w:p>
            <w:pPr>
              <w:spacing w:after="20"/>
              <w:jc w:val="right"/>
            </w:pPr>
            <w:r>
              <w:rPr>
                <w:color w:val="1C3A36"/>
                <w:sz w:val="16"/>
              </w:rPr>
              <w:t>2,756</w:t>
            </w:r>
          </w:p>
        </w:tc>
        <w:tc>
          <w:tcPr>
            <w:tcW w:type="dxa" w:w="1037"/>
          </w:tcPr>
          <w:p>
            <w:pPr>
              <w:spacing w:after="20"/>
              <w:jc w:val="right"/>
            </w:pPr>
            <w:r>
              <w:rPr>
                <w:color w:val="1C3A36"/>
                <w:sz w:val="16"/>
              </w:rPr>
              <w:t>3,174</w:t>
            </w:r>
          </w:p>
        </w:tc>
        <w:tc>
          <w:tcPr>
            <w:tcW w:type="dxa" w:w="1037"/>
          </w:tcPr>
          <w:p>
            <w:pPr>
              <w:spacing w:after="20"/>
              <w:jc w:val="right"/>
            </w:pPr>
            <w:r>
              <w:rPr>
                <w:color w:val="1C3A36"/>
                <w:sz w:val="16"/>
              </w:rPr>
              <w:t>4,286</w:t>
            </w:r>
          </w:p>
        </w:tc>
        <w:tc>
          <w:tcPr>
            <w:tcW w:type="dxa" w:w="1037"/>
          </w:tcPr>
          <w:p>
            <w:pPr>
              <w:spacing w:after="20"/>
              <w:jc w:val="right"/>
            </w:pPr>
            <w:r>
              <w:rPr>
                <w:color w:val="1C3A36"/>
                <w:sz w:val="16"/>
              </w:rPr>
              <w:t>3,829</w:t>
            </w:r>
          </w:p>
        </w:tc>
        <w:tc>
          <w:tcPr>
            <w:tcW w:type="dxa" w:w="1037"/>
          </w:tcPr>
          <w:p>
            <w:pPr>
              <w:spacing w:after="20"/>
              <w:jc w:val="right"/>
            </w:pPr>
            <w:r>
              <w:rPr>
                <w:color w:val="1C3A36"/>
                <w:sz w:val="16"/>
              </w:rPr>
              <w:t>4,011</w:t>
            </w:r>
          </w:p>
        </w:tc>
        <w:tc>
          <w:tcPr>
            <w:tcW w:type="dxa" w:w="1037"/>
          </w:tcPr>
          <w:p>
            <w:pPr>
              <w:spacing w:after="20"/>
              <w:jc w:val="right"/>
            </w:pPr>
            <w:r>
              <w:rPr>
                <w:color w:val="1C3A36"/>
                <w:sz w:val="16"/>
              </w:rPr>
              <w:t>4,229</w:t>
            </w:r>
          </w:p>
        </w:tc>
        <w:tc>
          <w:tcPr>
            <w:tcW w:type="dxa" w:w="1037"/>
          </w:tcPr>
          <w:p>
            <w:pPr>
              <w:spacing w:after="20"/>
              <w:jc w:val="right"/>
            </w:pPr>
            <w:r>
              <w:rPr>
                <w:color w:val="1C3A36"/>
                <w:sz w:val="16"/>
              </w:rPr>
              <w:t>4,454</w:t>
            </w:r>
          </w:p>
        </w:tc>
      </w:tr>
      <w:tr>
        <w:trPr>
          <w:cantSplit/>
        </w:trPr>
        <w:tc>
          <w:tcPr>
            <w:tcW w:type="dxa" w:w="2477"/>
          </w:tcPr>
          <w:p>
            <w:pPr>
              <w:spacing w:after="20"/>
            </w:pPr>
            <w:r>
              <w:rPr>
                <w:color w:val="1C3A36"/>
                <w:sz w:val="16"/>
              </w:rPr>
              <w:t>Tax</w:t>
            </w:r>
          </w:p>
        </w:tc>
        <w:tc>
          <w:tcPr>
            <w:tcW w:type="dxa" w:w="1037"/>
          </w:tcPr>
          <w:p>
            <w:pPr>
              <w:spacing w:after="20"/>
              <w:jc w:val="right"/>
            </w:pPr>
            <w:r>
              <w:rPr>
                <w:color w:val="1C3A36"/>
                <w:sz w:val="16"/>
              </w:rPr>
              <w:t>19</w:t>
            </w:r>
          </w:p>
        </w:tc>
        <w:tc>
          <w:tcPr>
            <w:tcW w:type="dxa" w:w="1037"/>
          </w:tcPr>
          <w:p>
            <w:pPr>
              <w:spacing w:after="20"/>
              <w:jc w:val="right"/>
            </w:pPr>
            <w:r>
              <w:rPr>
                <w:color w:val="1C3A36"/>
                <w:sz w:val="16"/>
              </w:rPr>
              <w:t>283</w:t>
            </w:r>
          </w:p>
        </w:tc>
        <w:tc>
          <w:tcPr>
            <w:tcW w:type="dxa" w:w="1037"/>
          </w:tcPr>
          <w:p>
            <w:pPr>
              <w:spacing w:after="20"/>
              <w:jc w:val="right"/>
            </w:pPr>
            <w:r>
              <w:rPr>
                <w:color w:val="1C3A36"/>
                <w:sz w:val="16"/>
              </w:rPr>
              <w:t>323</w:t>
            </w:r>
          </w:p>
        </w:tc>
        <w:tc>
          <w:tcPr>
            <w:tcW w:type="dxa" w:w="1037"/>
          </w:tcPr>
          <w:p>
            <w:pPr>
              <w:spacing w:after="20"/>
              <w:jc w:val="right"/>
            </w:pPr>
            <w:r>
              <w:rPr>
                <w:color w:val="1C3A36"/>
                <w:sz w:val="16"/>
              </w:rPr>
              <w:t>436</w:t>
            </w:r>
          </w:p>
        </w:tc>
        <w:tc>
          <w:tcPr>
            <w:tcW w:type="dxa" w:w="1037"/>
          </w:tcPr>
          <w:p>
            <w:pPr>
              <w:spacing w:after="20"/>
              <w:jc w:val="right"/>
            </w:pPr>
            <w:r>
              <w:rPr>
                <w:color w:val="1C3A36"/>
                <w:sz w:val="16"/>
              </w:rPr>
              <w:t>389</w:t>
            </w:r>
          </w:p>
        </w:tc>
        <w:tc>
          <w:tcPr>
            <w:tcW w:type="dxa" w:w="1037"/>
          </w:tcPr>
          <w:p>
            <w:pPr>
              <w:spacing w:after="20"/>
              <w:jc w:val="right"/>
            </w:pPr>
            <w:r>
              <w:rPr>
                <w:color w:val="1C3A36"/>
                <w:sz w:val="16"/>
              </w:rPr>
              <w:t>408</w:t>
            </w:r>
          </w:p>
        </w:tc>
        <w:tc>
          <w:tcPr>
            <w:tcW w:type="dxa" w:w="1037"/>
          </w:tcPr>
          <w:p>
            <w:pPr>
              <w:spacing w:after="20"/>
              <w:jc w:val="right"/>
            </w:pPr>
            <w:r>
              <w:rPr>
                <w:color w:val="1C3A36"/>
                <w:sz w:val="16"/>
              </w:rPr>
              <w:t>430</w:t>
            </w:r>
          </w:p>
        </w:tc>
        <w:tc>
          <w:tcPr>
            <w:tcW w:type="dxa" w:w="1037"/>
          </w:tcPr>
          <w:p>
            <w:pPr>
              <w:spacing w:after="20"/>
              <w:jc w:val="right"/>
            </w:pPr>
            <w:r>
              <w:rPr>
                <w:color w:val="1C3A36"/>
                <w:sz w:val="16"/>
              </w:rPr>
              <w:t>453</w:t>
            </w:r>
          </w:p>
        </w:tc>
      </w:tr>
      <w:tr>
        <w:trPr>
          <w:cantSplit/>
        </w:trPr>
        <w:tc>
          <w:tcPr>
            <w:tcW w:type="dxa" w:w="2477"/>
          </w:tcPr>
          <w:p>
            <w:pPr>
              <w:spacing w:after="20"/>
            </w:pPr>
            <w:r>
              <w:rPr>
                <w:color w:val="1C3A36"/>
                <w:sz w:val="16"/>
              </w:rPr>
              <w:t>Effective tax rate</w:t>
            </w:r>
          </w:p>
        </w:tc>
        <w:tc>
          <w:tcPr>
            <w:tcW w:type="dxa" w:w="1037"/>
          </w:tcPr>
          <w:p>
            <w:pPr>
              <w:spacing w:after="20"/>
              <w:jc w:val="right"/>
            </w:pPr>
            <w:r>
              <w:rPr>
                <w:color w:val="1C3A36"/>
                <w:sz w:val="16"/>
              </w:rPr>
              <w:t>0.7%</w:t>
            </w:r>
          </w:p>
        </w:tc>
        <w:tc>
          <w:tcPr>
            <w:tcW w:type="dxa" w:w="1037"/>
          </w:tcPr>
          <w:p>
            <w:pPr>
              <w:spacing w:after="20"/>
              <w:jc w:val="right"/>
            </w:pPr>
            <w:r>
              <w:rPr>
                <w:color w:val="1C3A36"/>
                <w:sz w:val="16"/>
              </w:rPr>
              <w:t>10.3%</w:t>
            </w:r>
          </w:p>
        </w:tc>
        <w:tc>
          <w:tcPr>
            <w:tcW w:type="dxa" w:w="1037"/>
          </w:tcPr>
          <w:p>
            <w:pPr>
              <w:spacing w:after="20"/>
              <w:jc w:val="right"/>
            </w:pPr>
            <w:r>
              <w:rPr>
                <w:color w:val="1C3A36"/>
                <w:sz w:val="16"/>
              </w:rPr>
              <w:t>10.2%</w:t>
            </w:r>
          </w:p>
        </w:tc>
        <w:tc>
          <w:tcPr>
            <w:tcW w:type="dxa" w:w="1037"/>
          </w:tcPr>
          <w:p>
            <w:pPr>
              <w:spacing w:after="20"/>
              <w:jc w:val="right"/>
            </w:pPr>
            <w:r>
              <w:rPr>
                <w:color w:val="1C3A36"/>
                <w:sz w:val="16"/>
              </w:rPr>
              <w:t>10.2%</w:t>
            </w:r>
          </w:p>
        </w:tc>
        <w:tc>
          <w:tcPr>
            <w:tcW w:type="dxa" w:w="1037"/>
          </w:tcPr>
          <w:p>
            <w:pPr>
              <w:spacing w:after="20"/>
              <w:jc w:val="right"/>
            </w:pPr>
            <w:r>
              <w:rPr>
                <w:color w:val="1C3A36"/>
                <w:sz w:val="16"/>
              </w:rPr>
              <w:t>10.2%</w:t>
            </w:r>
          </w:p>
        </w:tc>
        <w:tc>
          <w:tcPr>
            <w:tcW w:type="dxa" w:w="1037"/>
          </w:tcPr>
          <w:p>
            <w:pPr>
              <w:spacing w:after="20"/>
              <w:jc w:val="right"/>
            </w:pPr>
            <w:r>
              <w:rPr>
                <w:color w:val="1C3A36"/>
                <w:sz w:val="16"/>
              </w:rPr>
              <w:t>10.2%</w:t>
            </w:r>
          </w:p>
        </w:tc>
        <w:tc>
          <w:tcPr>
            <w:tcW w:type="dxa" w:w="1037"/>
          </w:tcPr>
          <w:p>
            <w:pPr>
              <w:spacing w:after="20"/>
              <w:jc w:val="right"/>
            </w:pPr>
            <w:r>
              <w:rPr>
                <w:color w:val="1C3A36"/>
                <w:sz w:val="16"/>
              </w:rPr>
              <w:t>10.2%</w:t>
            </w:r>
          </w:p>
        </w:tc>
        <w:tc>
          <w:tcPr>
            <w:tcW w:type="dxa" w:w="1037"/>
          </w:tcPr>
          <w:p>
            <w:pPr>
              <w:spacing w:after="20"/>
              <w:jc w:val="right"/>
            </w:pPr>
            <w:r>
              <w:rPr>
                <w:color w:val="1C3A36"/>
                <w:sz w:val="16"/>
              </w:rPr>
              <w:t>10.2%</w:t>
            </w:r>
          </w:p>
        </w:tc>
      </w:tr>
      <w:tr>
        <w:trPr>
          <w:cantSplit/>
        </w:trPr>
        <w:tc>
          <w:tcPr>
            <w:tcW w:type="dxa" w:w="2477"/>
          </w:tcPr>
          <w:p>
            <w:pPr>
              <w:spacing w:after="20"/>
            </w:pPr>
            <w:r>
              <w:rPr>
                <w:color w:val="1C3A36"/>
                <w:sz w:val="16"/>
              </w:rPr>
              <w:t>Net profit</w:t>
            </w:r>
          </w:p>
        </w:tc>
        <w:tc>
          <w:tcPr>
            <w:tcW w:type="dxa" w:w="1037"/>
          </w:tcPr>
          <w:p>
            <w:pPr>
              <w:spacing w:after="20"/>
              <w:jc w:val="right"/>
            </w:pPr>
            <w:r>
              <w:rPr>
                <w:color w:val="1C3A36"/>
                <w:sz w:val="16"/>
              </w:rPr>
              <w:t>2,630</w:t>
            </w:r>
          </w:p>
        </w:tc>
        <w:tc>
          <w:tcPr>
            <w:tcW w:type="dxa" w:w="1037"/>
          </w:tcPr>
          <w:p>
            <w:pPr>
              <w:spacing w:after="20"/>
              <w:jc w:val="right"/>
            </w:pPr>
            <w:r>
              <w:rPr>
                <w:color w:val="1C3A36"/>
                <w:sz w:val="16"/>
              </w:rPr>
              <w:t>2,472</w:t>
            </w:r>
          </w:p>
        </w:tc>
        <w:tc>
          <w:tcPr>
            <w:tcW w:type="dxa" w:w="1037"/>
          </w:tcPr>
          <w:p>
            <w:pPr>
              <w:spacing w:after="20"/>
              <w:jc w:val="right"/>
            </w:pPr>
            <w:r>
              <w:rPr>
                <w:color w:val="1C3A36"/>
                <w:sz w:val="16"/>
              </w:rPr>
              <w:t>2,851</w:t>
            </w:r>
          </w:p>
        </w:tc>
        <w:tc>
          <w:tcPr>
            <w:tcW w:type="dxa" w:w="1037"/>
          </w:tcPr>
          <w:p>
            <w:pPr>
              <w:spacing w:after="20"/>
              <w:jc w:val="right"/>
            </w:pPr>
            <w:r>
              <w:rPr>
                <w:color w:val="1C3A36"/>
                <w:sz w:val="16"/>
              </w:rPr>
              <w:t>3,850</w:t>
            </w:r>
          </w:p>
        </w:tc>
        <w:tc>
          <w:tcPr>
            <w:tcW w:type="dxa" w:w="1037"/>
          </w:tcPr>
          <w:p>
            <w:pPr>
              <w:spacing w:after="20"/>
              <w:jc w:val="right"/>
            </w:pPr>
            <w:r>
              <w:rPr>
                <w:color w:val="1C3A36"/>
                <w:sz w:val="16"/>
              </w:rPr>
              <w:t>3,440</w:t>
            </w:r>
          </w:p>
        </w:tc>
        <w:tc>
          <w:tcPr>
            <w:tcW w:type="dxa" w:w="1037"/>
          </w:tcPr>
          <w:p>
            <w:pPr>
              <w:spacing w:after="20"/>
              <w:jc w:val="right"/>
            </w:pPr>
            <w:r>
              <w:rPr>
                <w:color w:val="1C3A36"/>
                <w:sz w:val="16"/>
              </w:rPr>
              <w:t>3,603</w:t>
            </w:r>
          </w:p>
        </w:tc>
        <w:tc>
          <w:tcPr>
            <w:tcW w:type="dxa" w:w="1037"/>
          </w:tcPr>
          <w:p>
            <w:pPr>
              <w:spacing w:after="20"/>
              <w:jc w:val="right"/>
            </w:pPr>
            <w:r>
              <w:rPr>
                <w:color w:val="1C3A36"/>
                <w:sz w:val="16"/>
              </w:rPr>
              <w:t>3,799</w:t>
            </w:r>
          </w:p>
        </w:tc>
        <w:tc>
          <w:tcPr>
            <w:tcW w:type="dxa" w:w="1037"/>
          </w:tcPr>
          <w:p>
            <w:pPr>
              <w:spacing w:after="20"/>
              <w:jc w:val="right"/>
            </w:pPr>
            <w:r>
              <w:rPr>
                <w:color w:val="1C3A36"/>
                <w:sz w:val="16"/>
              </w:rPr>
              <w:t>4,001</w:t>
            </w:r>
          </w:p>
        </w:tc>
      </w:tr>
      <w:tr>
        <w:trPr>
          <w:cantSplit/>
        </w:trPr>
        <w:tc>
          <w:tcPr>
            <w:tcW w:type="dxa" w:w="2477"/>
          </w:tcPr>
          <w:p>
            <w:pPr>
              <w:spacing w:after="20"/>
            </w:pPr>
            <w:r>
              <w:rPr>
                <w:color w:val="1C3A36"/>
                <w:sz w:val="16"/>
              </w:rPr>
              <w:t>Non-controlling interests</w:t>
            </w:r>
          </w:p>
        </w:tc>
        <w:tc>
          <w:tcPr>
            <w:tcW w:type="dxa" w:w="1037"/>
          </w:tcPr>
          <w:p>
            <w:pPr>
              <w:spacing w:after="20"/>
              <w:jc w:val="right"/>
            </w:pPr>
            <w:r>
              <w:rPr>
                <w:color w:val="1C3A36"/>
                <w:sz w:val="16"/>
              </w:rPr>
              <w:t>29</w:t>
            </w:r>
          </w:p>
        </w:tc>
        <w:tc>
          <w:tcPr>
            <w:tcW w:type="dxa" w:w="1037"/>
          </w:tcPr>
          <w:p>
            <w:pPr>
              <w:spacing w:after="20"/>
              <w:jc w:val="right"/>
            </w:pPr>
            <w:r>
              <w:rPr>
                <w:color w:val="1C3A36"/>
                <w:sz w:val="16"/>
              </w:rPr>
              <w:t>52</w:t>
            </w:r>
          </w:p>
        </w:tc>
        <w:tc>
          <w:tcPr>
            <w:tcW w:type="dxa" w:w="1037"/>
          </w:tcPr>
          <w:p>
            <w:pPr>
              <w:spacing w:after="20"/>
              <w:jc w:val="right"/>
            </w:pPr>
            <w:r>
              <w:rPr>
                <w:color w:val="1C3A36"/>
                <w:sz w:val="16"/>
              </w:rPr>
              <w:t>57</w:t>
            </w:r>
          </w:p>
        </w:tc>
        <w:tc>
          <w:tcPr>
            <w:tcW w:type="dxa" w:w="1037"/>
          </w:tcPr>
          <w:p>
            <w:pPr>
              <w:spacing w:after="20"/>
              <w:jc w:val="right"/>
            </w:pPr>
            <w:r>
              <w:rPr>
                <w:color w:val="1C3A36"/>
                <w:sz w:val="16"/>
              </w:rPr>
              <w:t>57</w:t>
            </w:r>
          </w:p>
        </w:tc>
        <w:tc>
          <w:tcPr>
            <w:tcW w:type="dxa" w:w="1037"/>
          </w:tcPr>
          <w:p>
            <w:pPr>
              <w:spacing w:after="20"/>
              <w:jc w:val="right"/>
            </w:pPr>
            <w:r>
              <w:rPr>
                <w:color w:val="1C3A36"/>
                <w:sz w:val="16"/>
              </w:rPr>
              <w:t>57</w:t>
            </w:r>
          </w:p>
        </w:tc>
        <w:tc>
          <w:tcPr>
            <w:tcW w:type="dxa" w:w="1037"/>
          </w:tcPr>
          <w:p>
            <w:pPr>
              <w:spacing w:after="20"/>
              <w:jc w:val="right"/>
            </w:pPr>
            <w:r>
              <w:rPr>
                <w:color w:val="1C3A36"/>
                <w:sz w:val="16"/>
              </w:rPr>
              <w:t>57</w:t>
            </w:r>
          </w:p>
        </w:tc>
        <w:tc>
          <w:tcPr>
            <w:tcW w:type="dxa" w:w="1037"/>
          </w:tcPr>
          <w:p>
            <w:pPr>
              <w:spacing w:after="20"/>
              <w:jc w:val="right"/>
            </w:pPr>
            <w:r>
              <w:rPr>
                <w:color w:val="1C3A36"/>
                <w:sz w:val="16"/>
              </w:rPr>
              <w:t>57</w:t>
            </w:r>
          </w:p>
        </w:tc>
        <w:tc>
          <w:tcPr>
            <w:tcW w:type="dxa" w:w="1037"/>
          </w:tcPr>
          <w:p>
            <w:pPr>
              <w:spacing w:after="20"/>
              <w:jc w:val="right"/>
            </w:pPr>
            <w:r>
              <w:rPr>
                <w:color w:val="1C3A36"/>
                <w:sz w:val="16"/>
              </w:rPr>
              <w:t>57</w:t>
            </w:r>
          </w:p>
        </w:tc>
      </w:tr>
      <w:tr>
        <w:trPr>
          <w:cantSplit/>
        </w:trPr>
        <w:tc>
          <w:tcPr>
            <w:tcW w:type="dxa" w:w="2477"/>
            <w:shd w:val="clear" w:color="auto" w:fill="F6F1E6"/>
          </w:tcPr>
          <w:p>
            <w:pPr>
              <w:spacing w:after="20"/>
            </w:pPr>
            <w:r>
              <w:rPr>
                <w:b/>
                <w:color w:val="1C3A36"/>
                <w:sz w:val="16"/>
              </w:rPr>
              <w:t>PROFIT ATTRIBUTABLE TO SHAREHOLDERS</w:t>
            </w:r>
          </w:p>
        </w:tc>
        <w:tc>
          <w:tcPr>
            <w:tcW w:type="dxa" w:w="1037"/>
            <w:shd w:val="clear" w:color="auto" w:fill="F6F1E6"/>
          </w:tcPr>
          <w:p>
            <w:pPr>
              <w:spacing w:after="20"/>
              <w:jc w:val="right"/>
            </w:pPr>
            <w:r>
              <w:rPr>
                <w:b/>
                <w:color w:val="1C3A36"/>
                <w:sz w:val="16"/>
              </w:rPr>
              <w:t>2,601</w:t>
            </w:r>
          </w:p>
        </w:tc>
        <w:tc>
          <w:tcPr>
            <w:tcW w:type="dxa" w:w="1037"/>
            <w:shd w:val="clear" w:color="auto" w:fill="F6F1E6"/>
          </w:tcPr>
          <w:p>
            <w:pPr>
              <w:spacing w:after="20"/>
              <w:jc w:val="right"/>
            </w:pPr>
            <w:r>
              <w:rPr>
                <w:b/>
                <w:color w:val="1C3A36"/>
                <w:sz w:val="16"/>
              </w:rPr>
              <w:t>2,420</w:t>
            </w:r>
          </w:p>
        </w:tc>
        <w:tc>
          <w:tcPr>
            <w:tcW w:type="dxa" w:w="1037"/>
            <w:shd w:val="clear" w:color="auto" w:fill="F6F1E6"/>
          </w:tcPr>
          <w:p>
            <w:pPr>
              <w:spacing w:after="20"/>
              <w:jc w:val="right"/>
            </w:pPr>
            <w:r>
              <w:rPr>
                <w:b/>
                <w:color w:val="1C3A36"/>
                <w:sz w:val="16"/>
              </w:rPr>
              <w:t>2,794</w:t>
            </w:r>
          </w:p>
        </w:tc>
        <w:tc>
          <w:tcPr>
            <w:tcW w:type="dxa" w:w="1037"/>
            <w:shd w:val="clear" w:color="auto" w:fill="F6F1E6"/>
          </w:tcPr>
          <w:p>
            <w:pPr>
              <w:spacing w:after="20"/>
              <w:jc w:val="right"/>
            </w:pPr>
            <w:r>
              <w:rPr>
                <w:b/>
                <w:color w:val="1C3A36"/>
                <w:sz w:val="16"/>
              </w:rPr>
              <w:t>3,793</w:t>
            </w:r>
          </w:p>
        </w:tc>
        <w:tc>
          <w:tcPr>
            <w:tcW w:type="dxa" w:w="1037"/>
            <w:shd w:val="clear" w:color="auto" w:fill="F6F1E6"/>
          </w:tcPr>
          <w:p>
            <w:pPr>
              <w:spacing w:after="20"/>
              <w:jc w:val="right"/>
            </w:pPr>
            <w:r>
              <w:rPr>
                <w:b/>
                <w:color w:val="1C3A36"/>
                <w:sz w:val="16"/>
              </w:rPr>
              <w:t>3,383</w:t>
            </w:r>
          </w:p>
        </w:tc>
        <w:tc>
          <w:tcPr>
            <w:tcW w:type="dxa" w:w="1037"/>
            <w:shd w:val="clear" w:color="auto" w:fill="F6F1E6"/>
          </w:tcPr>
          <w:p>
            <w:pPr>
              <w:spacing w:after="20"/>
              <w:jc w:val="right"/>
            </w:pPr>
            <w:r>
              <w:rPr>
                <w:b/>
                <w:color w:val="1C3A36"/>
                <w:sz w:val="16"/>
              </w:rPr>
              <w:t>3,546</w:t>
            </w:r>
          </w:p>
        </w:tc>
        <w:tc>
          <w:tcPr>
            <w:tcW w:type="dxa" w:w="1037"/>
            <w:shd w:val="clear" w:color="auto" w:fill="F6F1E6"/>
          </w:tcPr>
          <w:p>
            <w:pPr>
              <w:spacing w:after="20"/>
              <w:jc w:val="right"/>
            </w:pPr>
            <w:r>
              <w:rPr>
                <w:b/>
                <w:color w:val="1C3A36"/>
                <w:sz w:val="16"/>
              </w:rPr>
              <w:t>3,741</w:t>
            </w:r>
          </w:p>
        </w:tc>
        <w:tc>
          <w:tcPr>
            <w:tcW w:type="dxa" w:w="1037"/>
            <w:shd w:val="clear" w:color="auto" w:fill="F6F1E6"/>
          </w:tcPr>
          <w:p>
            <w:pPr>
              <w:spacing w:after="20"/>
              <w:jc w:val="right"/>
            </w:pPr>
            <w:r>
              <w:rPr>
                <w:b/>
                <w:color w:val="1C3A36"/>
                <w:sz w:val="16"/>
              </w:rPr>
              <w:t>3,944</w:t>
            </w:r>
          </w:p>
        </w:tc>
      </w:tr>
      <w:tr>
        <w:trPr>
          <w:cantSplit/>
        </w:trPr>
        <w:tc>
          <w:tcPr>
            <w:tcW w:type="dxa" w:w="2477"/>
          </w:tcPr>
          <w:p>
            <w:pPr>
              <w:spacing w:after="20"/>
            </w:pPr>
            <w:r>
              <w:rPr>
                <w:color w:val="1C3A36"/>
                <w:sz w:val="16"/>
              </w:rPr>
              <w:t>Earnings per share (AED)</w:t>
            </w:r>
          </w:p>
        </w:tc>
        <w:tc>
          <w:tcPr>
            <w:tcW w:type="dxa" w:w="1037"/>
          </w:tcPr>
          <w:p>
            <w:pPr>
              <w:spacing w:after="20"/>
              <w:jc w:val="right"/>
            </w:pPr>
            <w:r>
              <w:rPr>
                <w:color w:val="1C3A36"/>
                <w:sz w:val="16"/>
              </w:rPr>
              <w:t>0.21</w:t>
            </w:r>
          </w:p>
        </w:tc>
        <w:tc>
          <w:tcPr>
            <w:tcW w:type="dxa" w:w="1037"/>
          </w:tcPr>
          <w:p>
            <w:pPr>
              <w:spacing w:after="20"/>
              <w:jc w:val="right"/>
            </w:pPr>
            <w:r>
              <w:rPr>
                <w:color w:val="1C3A36"/>
                <w:sz w:val="16"/>
              </w:rPr>
              <w:t>0.19</w:t>
            </w:r>
          </w:p>
        </w:tc>
        <w:tc>
          <w:tcPr>
            <w:tcW w:type="dxa" w:w="1037"/>
          </w:tcPr>
          <w:p>
            <w:pPr>
              <w:spacing w:after="20"/>
              <w:jc w:val="right"/>
            </w:pPr>
            <w:r>
              <w:rPr>
                <w:color w:val="1C3A36"/>
                <w:sz w:val="16"/>
              </w:rPr>
              <w:t>0.22</w:t>
            </w:r>
          </w:p>
        </w:tc>
        <w:tc>
          <w:tcPr>
            <w:tcW w:type="dxa" w:w="1037"/>
          </w:tcPr>
          <w:p>
            <w:pPr>
              <w:spacing w:after="20"/>
              <w:jc w:val="right"/>
            </w:pPr>
            <w:r>
              <w:rPr>
                <w:color w:val="1C3A36"/>
                <w:sz w:val="16"/>
              </w:rPr>
              <w:t>0.30</w:t>
            </w:r>
          </w:p>
        </w:tc>
        <w:tc>
          <w:tcPr>
            <w:tcW w:type="dxa" w:w="1037"/>
          </w:tcPr>
          <w:p>
            <w:pPr>
              <w:spacing w:after="20"/>
              <w:jc w:val="right"/>
            </w:pPr>
            <w:r>
              <w:rPr>
                <w:color w:val="1C3A36"/>
                <w:sz w:val="16"/>
              </w:rPr>
              <w:t>0.27</w:t>
            </w:r>
          </w:p>
        </w:tc>
        <w:tc>
          <w:tcPr>
            <w:tcW w:type="dxa" w:w="1037"/>
          </w:tcPr>
          <w:p>
            <w:pPr>
              <w:spacing w:after="20"/>
              <w:jc w:val="right"/>
            </w:pPr>
            <w:r>
              <w:rPr>
                <w:color w:val="1C3A36"/>
                <w:sz w:val="16"/>
              </w:rPr>
              <w:t>0.28</w:t>
            </w:r>
          </w:p>
        </w:tc>
        <w:tc>
          <w:tcPr>
            <w:tcW w:type="dxa" w:w="1037"/>
          </w:tcPr>
          <w:p>
            <w:pPr>
              <w:spacing w:after="20"/>
              <w:jc w:val="right"/>
            </w:pPr>
            <w:r>
              <w:rPr>
                <w:color w:val="1C3A36"/>
                <w:sz w:val="16"/>
              </w:rPr>
              <w:t>0.30</w:t>
            </w:r>
          </w:p>
        </w:tc>
        <w:tc>
          <w:tcPr>
            <w:tcW w:type="dxa" w:w="1037"/>
          </w:tcPr>
          <w:p>
            <w:pPr>
              <w:spacing w:after="20"/>
              <w:jc w:val="right"/>
            </w:pPr>
            <w:r>
              <w:rPr>
                <w:color w:val="1C3A36"/>
                <w:sz w:val="16"/>
              </w:rPr>
              <w:t>0.32</w:t>
            </w:r>
          </w:p>
        </w:tc>
      </w:tr>
      <w:tr>
        <w:trPr>
          <w:cantSplit/>
        </w:trPr>
        <w:tc>
          <w:tcPr>
            <w:tcW w:type="dxa" w:w="2477"/>
          </w:tcPr>
          <w:p>
            <w:pPr>
              <w:spacing w:after="20"/>
            </w:pPr>
            <w:r>
              <w:rPr>
                <w:color w:val="1C3A36"/>
                <w:sz w:val="16"/>
              </w:rPr>
              <w:t>Dividend per share (AED)</w:t>
            </w:r>
          </w:p>
        </w:tc>
        <w:tc>
          <w:tcPr>
            <w:tcW w:type="dxa" w:w="1037"/>
          </w:tcPr>
          <w:p>
            <w:pPr>
              <w:spacing w:after="20"/>
              <w:jc w:val="right"/>
            </w:pPr>
            <w:r>
              <w:rPr>
                <w:color w:val="1C3A36"/>
                <w:sz w:val="16"/>
              </w:rPr>
              <w:t>0.21</w:t>
            </w:r>
          </w:p>
        </w:tc>
        <w:tc>
          <w:tcPr>
            <w:tcW w:type="dxa" w:w="1037"/>
          </w:tcPr>
          <w:p>
            <w:pPr>
              <w:spacing w:after="20"/>
              <w:jc w:val="right"/>
            </w:pPr>
            <w:r>
              <w:rPr>
                <w:color w:val="1C3A36"/>
                <w:sz w:val="16"/>
              </w:rPr>
              <w:t>0.21</w:t>
            </w:r>
          </w:p>
        </w:tc>
        <w:tc>
          <w:tcPr>
            <w:tcW w:type="dxa" w:w="1037"/>
          </w:tcPr>
          <w:p>
            <w:pPr>
              <w:spacing w:after="20"/>
              <w:jc w:val="right"/>
            </w:pPr>
            <w:r>
              <w:rPr>
                <w:color w:val="1C3A36"/>
                <w:sz w:val="16"/>
              </w:rPr>
              <w:t>0.21</w:t>
            </w:r>
          </w:p>
        </w:tc>
        <w:tc>
          <w:tcPr>
            <w:tcW w:type="dxa" w:w="1037"/>
          </w:tcPr>
          <w:p>
            <w:pPr>
              <w:spacing w:after="20"/>
              <w:jc w:val="right"/>
            </w:pPr>
            <w:r>
              <w:rPr>
                <w:color w:val="1C3A36"/>
                <w:sz w:val="16"/>
              </w:rPr>
              <w:t>0.21</w:t>
            </w:r>
          </w:p>
        </w:tc>
        <w:tc>
          <w:tcPr>
            <w:tcW w:type="dxa" w:w="1037"/>
          </w:tcPr>
          <w:p>
            <w:pPr>
              <w:spacing w:after="20"/>
              <w:jc w:val="right"/>
            </w:pPr>
            <w:r>
              <w:rPr>
                <w:color w:val="1C3A36"/>
                <w:sz w:val="16"/>
              </w:rPr>
              <w:t>0.21</w:t>
            </w:r>
          </w:p>
        </w:tc>
        <w:tc>
          <w:tcPr>
            <w:tcW w:type="dxa" w:w="1037"/>
          </w:tcPr>
          <w:p>
            <w:pPr>
              <w:spacing w:after="20"/>
              <w:jc w:val="right"/>
            </w:pPr>
            <w:r>
              <w:rPr>
                <w:color w:val="1C3A36"/>
                <w:sz w:val="16"/>
              </w:rPr>
              <w:t>0.21</w:t>
            </w:r>
          </w:p>
        </w:tc>
        <w:tc>
          <w:tcPr>
            <w:tcW w:type="dxa" w:w="1037"/>
          </w:tcPr>
          <w:p>
            <w:pPr>
              <w:spacing w:after="20"/>
              <w:jc w:val="right"/>
            </w:pPr>
            <w:r>
              <w:rPr>
                <w:color w:val="1C3A36"/>
                <w:sz w:val="16"/>
              </w:rPr>
              <w:t>0.21</w:t>
            </w:r>
          </w:p>
        </w:tc>
        <w:tc>
          <w:tcPr>
            <w:tcW w:type="dxa" w:w="1037"/>
          </w:tcPr>
          <w:p>
            <w:pPr>
              <w:spacing w:after="20"/>
              <w:jc w:val="right"/>
            </w:pPr>
            <w:r>
              <w:rPr>
                <w:color w:val="1C3A36"/>
                <w:sz w:val="16"/>
              </w:rPr>
              <w:t>0.21</w:t>
            </w:r>
          </w:p>
        </w:tc>
      </w:tr>
    </w:tbl>
    <w:p>
      <w:pPr>
        <w:spacing w:after="40"/>
      </w:pPr>
    </w:p>
    <w:p>
      <w:pPr>
        <w:spacing w:after="200" w:before="0"/>
      </w:pPr>
      <w:r>
        <w:rPr>
          <w:b w:val="0"/>
          <w:i/>
          <w:color w:val="6E7B77"/>
          <w:sz w:val="17"/>
        </w:rPr>
        <w:t>Table 31 — three audited years and five forecast years, Frame A. Every forecast line is the model row the valuation itself uses; nothing here is a restatement. Two forecast lines are held rather than driven and are labelled as such: the net finance cost is held at the FY2025 charge of AED 332 million, because borrowings are neither repaid nor raised in the model, and the minority interest is held at AED 57 million. The tax line applies the effective rate of 10.17% shown in the audited FY2025 reconciliation, not the statutory 9% and not the 15% minimum rate; section 1.8 prices that choice. The inventory memorandum line is shown INSIDE gross profit rather than beside it, because that is where it sits in the reported figure.</w:t>
      </w:r>
    </w:p>
    <w:p>
      <w:pPr>
        <w:spacing w:after="80" w:before="200"/>
      </w:pPr>
      <w:r>
        <w:rPr>
          <w:b/>
          <w:i w:val="0"/>
          <w:color w:val="1C3A36"/>
          <w:sz w:val="24"/>
        </w:rPr>
        <w:t>A.2 Balance sheet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037"/>
        <w:gridCol w:w="1037"/>
        <w:gridCol w:w="1037"/>
        <w:gridCol w:w="1037"/>
        <w:gridCol w:w="1037"/>
        <w:gridCol w:w="1037"/>
        <w:gridCol w:w="1037"/>
        <w:gridCol w:w="1037"/>
      </w:tblGrid>
      <w:tr>
        <w:trPr>
          <w:cantSplit/>
        </w:trPr>
        <w:tc>
          <w:tcPr>
            <w:tcW w:type="dxa" w:w="2477"/>
            <w:shd w:val="clear" w:color="auto" w:fill="EAF0EE"/>
          </w:tcPr>
          <w:p>
            <w:pPr>
              <w:spacing w:after="20"/>
            </w:pPr>
            <w:r>
              <w:rPr>
                <w:b/>
                <w:color w:val="1C3A36"/>
                <w:sz w:val="16"/>
              </w:rPr>
              <w:t>AED million</w:t>
            </w:r>
          </w:p>
        </w:tc>
        <w:tc>
          <w:tcPr>
            <w:tcW w:type="dxa" w:w="1037"/>
            <w:shd w:val="clear" w:color="auto" w:fill="EAF0EE"/>
          </w:tcPr>
          <w:p>
            <w:pPr>
              <w:spacing w:after="20"/>
            </w:pPr>
            <w:r>
              <w:rPr>
                <w:b/>
                <w:color w:val="1C3A36"/>
                <w:sz w:val="16"/>
              </w:rPr>
              <w:t>FY2023</w:t>
            </w:r>
          </w:p>
        </w:tc>
        <w:tc>
          <w:tcPr>
            <w:tcW w:type="dxa" w:w="1037"/>
            <w:shd w:val="clear" w:color="auto" w:fill="EAF0EE"/>
          </w:tcPr>
          <w:p>
            <w:pPr>
              <w:spacing w:after="20"/>
            </w:pPr>
            <w:r>
              <w:rPr>
                <w:b/>
                <w:color w:val="1C3A36"/>
                <w:sz w:val="16"/>
              </w:rPr>
              <w:t>FY2024</w:t>
            </w:r>
          </w:p>
        </w:tc>
        <w:tc>
          <w:tcPr>
            <w:tcW w:type="dxa" w:w="1037"/>
            <w:shd w:val="clear" w:color="auto" w:fill="EAF0EE"/>
          </w:tcPr>
          <w:p>
            <w:pPr>
              <w:spacing w:after="20"/>
            </w:pPr>
            <w:r>
              <w:rPr>
                <w:b/>
                <w:color w:val="1C3A36"/>
                <w:sz w:val="16"/>
              </w:rPr>
              <w:t>FY2025</w:t>
            </w:r>
          </w:p>
        </w:tc>
        <w:tc>
          <w:tcPr>
            <w:tcW w:type="dxa" w:w="1037"/>
            <w:shd w:val="clear" w:color="auto" w:fill="EAF0EE"/>
          </w:tcPr>
          <w:p>
            <w:pPr>
              <w:spacing w:after="20"/>
            </w:pPr>
            <w:r>
              <w:rPr>
                <w:b/>
                <w:color w:val="1C3A36"/>
                <w:sz w:val="16"/>
              </w:rPr>
              <w:t>2026E</w:t>
            </w:r>
          </w:p>
        </w:tc>
        <w:tc>
          <w:tcPr>
            <w:tcW w:type="dxa" w:w="1037"/>
            <w:shd w:val="clear" w:color="auto" w:fill="EAF0EE"/>
          </w:tcPr>
          <w:p>
            <w:pPr>
              <w:spacing w:after="20"/>
            </w:pPr>
            <w:r>
              <w:rPr>
                <w:b/>
                <w:color w:val="1C3A36"/>
                <w:sz w:val="16"/>
              </w:rPr>
              <w:t>2027E</w:t>
            </w:r>
          </w:p>
        </w:tc>
        <w:tc>
          <w:tcPr>
            <w:tcW w:type="dxa" w:w="1037"/>
            <w:shd w:val="clear" w:color="auto" w:fill="EAF0EE"/>
          </w:tcPr>
          <w:p>
            <w:pPr>
              <w:spacing w:after="20"/>
            </w:pPr>
            <w:r>
              <w:rPr>
                <w:b/>
                <w:color w:val="1C3A36"/>
                <w:sz w:val="16"/>
              </w:rPr>
              <w:t>2028E</w:t>
            </w:r>
          </w:p>
        </w:tc>
        <w:tc>
          <w:tcPr>
            <w:tcW w:type="dxa" w:w="1037"/>
            <w:shd w:val="clear" w:color="auto" w:fill="EAF0EE"/>
          </w:tcPr>
          <w:p>
            <w:pPr>
              <w:spacing w:after="20"/>
            </w:pPr>
            <w:r>
              <w:rPr>
                <w:b/>
                <w:color w:val="1C3A36"/>
                <w:sz w:val="16"/>
              </w:rPr>
              <w:t>2029E</w:t>
            </w:r>
          </w:p>
        </w:tc>
        <w:tc>
          <w:tcPr>
            <w:tcW w:type="dxa" w:w="1037"/>
            <w:shd w:val="clear" w:color="auto" w:fill="EAF0EE"/>
          </w:tcPr>
          <w:p>
            <w:pPr>
              <w:spacing w:after="20"/>
            </w:pPr>
            <w:r>
              <w:rPr>
                <w:b/>
                <w:color w:val="1C3A36"/>
                <w:sz w:val="16"/>
              </w:rPr>
              <w:t>2030E</w:t>
            </w:r>
          </w:p>
        </w:tc>
      </w:tr>
      <w:tr>
        <w:trPr>
          <w:cantSplit/>
        </w:trPr>
        <w:tc>
          <w:tcPr>
            <w:tcW w:type="dxa" w:w="2477"/>
          </w:tcPr>
          <w:p>
            <w:pPr>
              <w:spacing w:after="20"/>
            </w:pPr>
            <w:r>
              <w:rPr>
                <w:color w:val="1C3A36"/>
                <w:sz w:val="16"/>
              </w:rPr>
              <w:t>Fixed, right-of-use and intangible assets</w:t>
            </w:r>
          </w:p>
        </w:tc>
        <w:tc>
          <w:tcPr>
            <w:tcW w:type="dxa" w:w="1037"/>
          </w:tcPr>
          <w:p>
            <w:pPr>
              <w:spacing w:after="20"/>
              <w:jc w:val="right"/>
            </w:pPr>
            <w:r>
              <w:rPr>
                <w:color w:val="1C3A36"/>
                <w:sz w:val="16"/>
              </w:rPr>
              <w:t>10,078</w:t>
            </w:r>
          </w:p>
        </w:tc>
        <w:tc>
          <w:tcPr>
            <w:tcW w:type="dxa" w:w="1037"/>
          </w:tcPr>
          <w:p>
            <w:pPr>
              <w:spacing w:after="20"/>
              <w:jc w:val="right"/>
            </w:pPr>
            <w:r>
              <w:rPr>
                <w:color w:val="1C3A36"/>
                <w:sz w:val="16"/>
              </w:rPr>
              <w:t>9,940</w:t>
            </w:r>
          </w:p>
        </w:tc>
        <w:tc>
          <w:tcPr>
            <w:tcW w:type="dxa" w:w="1037"/>
          </w:tcPr>
          <w:p>
            <w:pPr>
              <w:spacing w:after="20"/>
              <w:jc w:val="right"/>
            </w:pPr>
            <w:r>
              <w:rPr>
                <w:color w:val="1C3A36"/>
                <w:sz w:val="16"/>
              </w:rPr>
              <w:t>10,149</w:t>
            </w:r>
          </w:p>
        </w:tc>
        <w:tc>
          <w:tcPr>
            <w:tcW w:type="dxa" w:w="1037"/>
          </w:tcPr>
          <w:p>
            <w:pPr>
              <w:spacing w:after="20"/>
              <w:jc w:val="right"/>
            </w:pPr>
            <w:r>
              <w:rPr>
                <w:color w:val="1C3A36"/>
                <w:sz w:val="16"/>
              </w:rPr>
              <w:t>10,369</w:t>
            </w:r>
          </w:p>
        </w:tc>
        <w:tc>
          <w:tcPr>
            <w:tcW w:type="dxa" w:w="1037"/>
          </w:tcPr>
          <w:p>
            <w:pPr>
              <w:spacing w:after="20"/>
              <w:jc w:val="right"/>
            </w:pPr>
            <w:r>
              <w:rPr>
                <w:color w:val="1C3A36"/>
                <w:sz w:val="16"/>
              </w:rPr>
              <w:t>10,542</w:t>
            </w:r>
          </w:p>
        </w:tc>
        <w:tc>
          <w:tcPr>
            <w:tcW w:type="dxa" w:w="1037"/>
          </w:tcPr>
          <w:p>
            <w:pPr>
              <w:spacing w:after="20"/>
              <w:jc w:val="right"/>
            </w:pPr>
            <w:r>
              <w:rPr>
                <w:color w:val="1C3A36"/>
                <w:sz w:val="16"/>
              </w:rPr>
              <w:t>10,703</w:t>
            </w:r>
          </w:p>
        </w:tc>
        <w:tc>
          <w:tcPr>
            <w:tcW w:type="dxa" w:w="1037"/>
          </w:tcPr>
          <w:p>
            <w:pPr>
              <w:spacing w:after="20"/>
              <w:jc w:val="right"/>
            </w:pPr>
            <w:r>
              <w:rPr>
                <w:color w:val="1C3A36"/>
                <w:sz w:val="16"/>
              </w:rPr>
              <w:t>10,849</w:t>
            </w:r>
          </w:p>
        </w:tc>
        <w:tc>
          <w:tcPr>
            <w:tcW w:type="dxa" w:w="1037"/>
          </w:tcPr>
          <w:p>
            <w:pPr>
              <w:spacing w:after="20"/>
              <w:jc w:val="right"/>
            </w:pPr>
            <w:r>
              <w:rPr>
                <w:color w:val="1C3A36"/>
                <w:sz w:val="16"/>
              </w:rPr>
              <w:t>10,979</w:t>
            </w:r>
          </w:p>
        </w:tc>
      </w:tr>
      <w:tr>
        <w:trPr>
          <w:cantSplit/>
        </w:trPr>
        <w:tc>
          <w:tcPr>
            <w:tcW w:type="dxa" w:w="2477"/>
          </w:tcPr>
          <w:p>
            <w:pPr>
              <w:spacing w:after="20"/>
            </w:pPr>
            <w:r>
              <w:rPr>
                <w:color w:val="1C3A36"/>
                <w:sz w:val="16"/>
              </w:rPr>
              <w:t>Inventories</w:t>
            </w:r>
          </w:p>
        </w:tc>
        <w:tc>
          <w:tcPr>
            <w:tcW w:type="dxa" w:w="1037"/>
          </w:tcPr>
          <w:p>
            <w:pPr>
              <w:spacing w:after="20"/>
              <w:jc w:val="right"/>
            </w:pPr>
            <w:r>
              <w:rPr>
                <w:color w:val="1C3A36"/>
                <w:sz w:val="16"/>
              </w:rPr>
              <w:t>1,294</w:t>
            </w:r>
          </w:p>
        </w:tc>
        <w:tc>
          <w:tcPr>
            <w:tcW w:type="dxa" w:w="1037"/>
          </w:tcPr>
          <w:p>
            <w:pPr>
              <w:spacing w:after="20"/>
              <w:jc w:val="right"/>
            </w:pPr>
            <w:r>
              <w:rPr>
                <w:color w:val="1C3A36"/>
                <w:sz w:val="16"/>
              </w:rPr>
              <w:t>1,620</w:t>
            </w:r>
          </w:p>
        </w:tc>
        <w:tc>
          <w:tcPr>
            <w:tcW w:type="dxa" w:w="1037"/>
          </w:tcPr>
          <w:p>
            <w:pPr>
              <w:spacing w:after="20"/>
              <w:jc w:val="right"/>
            </w:pPr>
            <w:r>
              <w:rPr>
                <w:color w:val="1C3A36"/>
                <w:sz w:val="16"/>
              </w:rPr>
              <w:t>1,574</w:t>
            </w:r>
          </w:p>
        </w:tc>
        <w:tc>
          <w:tcPr>
            <w:tcW w:type="dxa" w:w="1037"/>
          </w:tcPr>
          <w:p>
            <w:pPr>
              <w:spacing w:after="20"/>
              <w:jc w:val="right"/>
            </w:pPr>
            <w:r>
              <w:rPr>
                <w:color w:val="1C3A36"/>
                <w:sz w:val="16"/>
              </w:rPr>
              <w:t>1,935</w:t>
            </w:r>
          </w:p>
        </w:tc>
        <w:tc>
          <w:tcPr>
            <w:tcW w:type="dxa" w:w="1037"/>
          </w:tcPr>
          <w:p>
            <w:pPr>
              <w:spacing w:after="20"/>
              <w:jc w:val="right"/>
            </w:pPr>
            <w:r>
              <w:rPr>
                <w:color w:val="1C3A36"/>
                <w:sz w:val="16"/>
              </w:rPr>
              <w:t>1,927</w:t>
            </w:r>
          </w:p>
        </w:tc>
        <w:tc>
          <w:tcPr>
            <w:tcW w:type="dxa" w:w="1037"/>
          </w:tcPr>
          <w:p>
            <w:pPr>
              <w:spacing w:after="20"/>
              <w:jc w:val="right"/>
            </w:pPr>
            <w:r>
              <w:rPr>
                <w:color w:val="1C3A36"/>
                <w:sz w:val="16"/>
              </w:rPr>
              <w:t>1,978</w:t>
            </w:r>
          </w:p>
        </w:tc>
        <w:tc>
          <w:tcPr>
            <w:tcW w:type="dxa" w:w="1037"/>
          </w:tcPr>
          <w:p>
            <w:pPr>
              <w:spacing w:after="20"/>
              <w:jc w:val="right"/>
            </w:pPr>
            <w:r>
              <w:rPr>
                <w:color w:val="1C3A36"/>
                <w:sz w:val="16"/>
              </w:rPr>
              <w:t>2,037</w:t>
            </w:r>
          </w:p>
        </w:tc>
        <w:tc>
          <w:tcPr>
            <w:tcW w:type="dxa" w:w="1037"/>
          </w:tcPr>
          <w:p>
            <w:pPr>
              <w:spacing w:after="20"/>
              <w:jc w:val="right"/>
            </w:pPr>
            <w:r>
              <w:rPr>
                <w:color w:val="1C3A36"/>
                <w:sz w:val="16"/>
              </w:rPr>
              <w:t>2,096</w:t>
            </w:r>
          </w:p>
        </w:tc>
      </w:tr>
      <w:tr>
        <w:trPr>
          <w:cantSplit/>
        </w:trPr>
        <w:tc>
          <w:tcPr>
            <w:tcW w:type="dxa" w:w="2477"/>
          </w:tcPr>
          <w:p>
            <w:pPr>
              <w:spacing w:after="20"/>
            </w:pPr>
            <w:r>
              <w:rPr>
                <w:color w:val="1C3A36"/>
                <w:sz w:val="16"/>
              </w:rPr>
              <w:t>Receivables including related parties</w:t>
            </w:r>
          </w:p>
        </w:tc>
        <w:tc>
          <w:tcPr>
            <w:tcW w:type="dxa" w:w="1037"/>
          </w:tcPr>
          <w:p>
            <w:pPr>
              <w:spacing w:after="20"/>
              <w:jc w:val="right"/>
            </w:pPr>
            <w:r>
              <w:rPr>
                <w:color w:val="1C3A36"/>
                <w:sz w:val="16"/>
              </w:rPr>
              <w:t>4,325</w:t>
            </w:r>
          </w:p>
        </w:tc>
        <w:tc>
          <w:tcPr>
            <w:tcW w:type="dxa" w:w="1037"/>
          </w:tcPr>
          <w:p>
            <w:pPr>
              <w:spacing w:after="20"/>
              <w:jc w:val="right"/>
            </w:pPr>
            <w:r>
              <w:rPr>
                <w:color w:val="1C3A36"/>
                <w:sz w:val="16"/>
              </w:rPr>
              <w:t>3,687</w:t>
            </w:r>
          </w:p>
        </w:tc>
        <w:tc>
          <w:tcPr>
            <w:tcW w:type="dxa" w:w="1037"/>
          </w:tcPr>
          <w:p>
            <w:pPr>
              <w:spacing w:after="20"/>
              <w:jc w:val="right"/>
            </w:pPr>
            <w:r>
              <w:rPr>
                <w:color w:val="1C3A36"/>
                <w:sz w:val="16"/>
              </w:rPr>
              <w:t>3,391</w:t>
            </w:r>
          </w:p>
        </w:tc>
        <w:tc>
          <w:tcPr>
            <w:tcW w:type="dxa" w:w="1037"/>
          </w:tcPr>
          <w:p>
            <w:pPr>
              <w:spacing w:after="20"/>
              <w:jc w:val="right"/>
            </w:pPr>
            <w:r>
              <w:rPr>
                <w:color w:val="1C3A36"/>
                <w:sz w:val="16"/>
              </w:rPr>
              <w:t>4,141</w:t>
            </w:r>
          </w:p>
        </w:tc>
        <w:tc>
          <w:tcPr>
            <w:tcW w:type="dxa" w:w="1037"/>
          </w:tcPr>
          <w:p>
            <w:pPr>
              <w:spacing w:after="20"/>
              <w:jc w:val="right"/>
            </w:pPr>
            <w:r>
              <w:rPr>
                <w:color w:val="1C3A36"/>
                <w:sz w:val="16"/>
              </w:rPr>
              <w:t>4,082</w:t>
            </w:r>
          </w:p>
        </w:tc>
        <w:tc>
          <w:tcPr>
            <w:tcW w:type="dxa" w:w="1037"/>
          </w:tcPr>
          <w:p>
            <w:pPr>
              <w:spacing w:after="20"/>
              <w:jc w:val="right"/>
            </w:pPr>
            <w:r>
              <w:rPr>
                <w:color w:val="1C3A36"/>
                <w:sz w:val="16"/>
              </w:rPr>
              <w:t>4,199</w:t>
            </w:r>
          </w:p>
        </w:tc>
        <w:tc>
          <w:tcPr>
            <w:tcW w:type="dxa" w:w="1037"/>
          </w:tcPr>
          <w:p>
            <w:pPr>
              <w:spacing w:after="20"/>
              <w:jc w:val="right"/>
            </w:pPr>
            <w:r>
              <w:rPr>
                <w:color w:val="1C3A36"/>
                <w:sz w:val="16"/>
              </w:rPr>
              <w:t>4,334</w:t>
            </w:r>
          </w:p>
        </w:tc>
        <w:tc>
          <w:tcPr>
            <w:tcW w:type="dxa" w:w="1037"/>
          </w:tcPr>
          <w:p>
            <w:pPr>
              <w:spacing w:after="20"/>
              <w:jc w:val="right"/>
            </w:pPr>
            <w:r>
              <w:rPr>
                <w:color w:val="1C3A36"/>
                <w:sz w:val="16"/>
              </w:rPr>
              <w:t>4,470</w:t>
            </w:r>
          </w:p>
        </w:tc>
      </w:tr>
      <w:tr>
        <w:trPr>
          <w:cantSplit/>
        </w:trPr>
        <w:tc>
          <w:tcPr>
            <w:tcW w:type="dxa" w:w="2477"/>
          </w:tcPr>
          <w:p>
            <w:pPr>
              <w:spacing w:after="20"/>
            </w:pPr>
            <w:r>
              <w:rPr>
                <w:color w:val="1C3A36"/>
                <w:sz w:val="16"/>
              </w:rPr>
              <w:t>Cash and term deposits</w:t>
            </w:r>
          </w:p>
        </w:tc>
        <w:tc>
          <w:tcPr>
            <w:tcW w:type="dxa" w:w="1037"/>
          </w:tcPr>
          <w:p>
            <w:pPr>
              <w:spacing w:after="20"/>
              <w:jc w:val="right"/>
            </w:pPr>
            <w:r>
              <w:rPr>
                <w:color w:val="1C3A36"/>
                <w:sz w:val="16"/>
              </w:rPr>
              <w:t>3,194</w:t>
            </w:r>
          </w:p>
        </w:tc>
        <w:tc>
          <w:tcPr>
            <w:tcW w:type="dxa" w:w="1037"/>
          </w:tcPr>
          <w:p>
            <w:pPr>
              <w:spacing w:after="20"/>
              <w:jc w:val="right"/>
            </w:pPr>
            <w:r>
              <w:rPr>
                <w:color w:val="1C3A36"/>
                <w:sz w:val="16"/>
              </w:rPr>
              <w:t>2,934</w:t>
            </w:r>
          </w:p>
        </w:tc>
        <w:tc>
          <w:tcPr>
            <w:tcW w:type="dxa" w:w="1037"/>
          </w:tcPr>
          <w:p>
            <w:pPr>
              <w:spacing w:after="20"/>
              <w:jc w:val="right"/>
            </w:pPr>
            <w:r>
              <w:rPr>
                <w:color w:val="1C3A36"/>
                <w:sz w:val="16"/>
              </w:rPr>
              <w:t>2,561</w:t>
            </w:r>
          </w:p>
        </w:tc>
        <w:tc>
          <w:tcPr>
            <w:tcW w:type="dxa" w:w="1037"/>
          </w:tcPr>
          <w:p>
            <w:pPr>
              <w:spacing w:after="20"/>
              <w:jc w:val="right"/>
            </w:pPr>
            <w:r>
              <w:rPr>
                <w:color w:val="1C3A36"/>
                <w:sz w:val="16"/>
              </w:rPr>
              <w:t>4,003</w:t>
            </w:r>
          </w:p>
        </w:tc>
        <w:tc>
          <w:tcPr>
            <w:tcW w:type="dxa" w:w="1037"/>
          </w:tcPr>
          <w:p>
            <w:pPr>
              <w:spacing w:after="20"/>
              <w:jc w:val="right"/>
            </w:pPr>
            <w:r>
              <w:rPr>
                <w:color w:val="1C3A36"/>
                <w:sz w:val="16"/>
              </w:rPr>
              <w:t>4,674</w:t>
            </w:r>
          </w:p>
        </w:tc>
        <w:tc>
          <w:tcPr>
            <w:tcW w:type="dxa" w:w="1037"/>
          </w:tcPr>
          <w:p>
            <w:pPr>
              <w:spacing w:after="20"/>
              <w:jc w:val="right"/>
            </w:pPr>
            <w:r>
              <w:rPr>
                <w:color w:val="1C3A36"/>
                <w:sz w:val="16"/>
              </w:rPr>
              <w:t>5,538</w:t>
            </w:r>
          </w:p>
        </w:tc>
        <w:tc>
          <w:tcPr>
            <w:tcW w:type="dxa" w:w="1037"/>
          </w:tcPr>
          <w:p>
            <w:pPr>
              <w:spacing w:after="20"/>
              <w:jc w:val="right"/>
            </w:pPr>
            <w:r>
              <w:rPr>
                <w:color w:val="1C3A36"/>
                <w:sz w:val="16"/>
              </w:rPr>
              <w:t>6,621</w:t>
            </w:r>
          </w:p>
        </w:tc>
        <w:tc>
          <w:tcPr>
            <w:tcW w:type="dxa" w:w="1037"/>
          </w:tcPr>
          <w:p>
            <w:pPr>
              <w:spacing w:after="20"/>
              <w:jc w:val="right"/>
            </w:pPr>
            <w:r>
              <w:rPr>
                <w:color w:val="1C3A36"/>
                <w:sz w:val="16"/>
              </w:rPr>
              <w:t>7,922</w:t>
            </w:r>
          </w:p>
        </w:tc>
      </w:tr>
      <w:tr>
        <w:trPr>
          <w:cantSplit/>
        </w:trPr>
        <w:tc>
          <w:tcPr>
            <w:tcW w:type="dxa" w:w="2477"/>
            <w:shd w:val="clear" w:color="auto" w:fill="F6F1E6"/>
          </w:tcPr>
          <w:p>
            <w:pPr>
              <w:spacing w:after="20"/>
            </w:pPr>
            <w:r>
              <w:rPr>
                <w:b/>
                <w:color w:val="1C3A36"/>
                <w:sz w:val="16"/>
              </w:rPr>
              <w:t>TOTAL ASSETS</w:t>
            </w:r>
          </w:p>
        </w:tc>
        <w:tc>
          <w:tcPr>
            <w:tcW w:type="dxa" w:w="1037"/>
            <w:shd w:val="clear" w:color="auto" w:fill="F6F1E6"/>
          </w:tcPr>
          <w:p>
            <w:pPr>
              <w:spacing w:after="20"/>
              <w:jc w:val="right"/>
            </w:pPr>
            <w:r>
              <w:rPr>
                <w:b/>
                <w:color w:val="1C3A36"/>
                <w:sz w:val="16"/>
              </w:rPr>
              <w:t>18,892</w:t>
            </w:r>
          </w:p>
        </w:tc>
        <w:tc>
          <w:tcPr>
            <w:tcW w:type="dxa" w:w="1037"/>
            <w:shd w:val="clear" w:color="auto" w:fill="F6F1E6"/>
          </w:tcPr>
          <w:p>
            <w:pPr>
              <w:spacing w:after="20"/>
              <w:jc w:val="right"/>
            </w:pPr>
            <w:r>
              <w:rPr>
                <w:b/>
                <w:color w:val="1C3A36"/>
                <w:sz w:val="16"/>
              </w:rPr>
              <w:t>18,181</w:t>
            </w:r>
          </w:p>
        </w:tc>
        <w:tc>
          <w:tcPr>
            <w:tcW w:type="dxa" w:w="1037"/>
            <w:shd w:val="clear" w:color="auto" w:fill="F6F1E6"/>
          </w:tcPr>
          <w:p>
            <w:pPr>
              <w:spacing w:after="20"/>
              <w:jc w:val="right"/>
            </w:pPr>
            <w:r>
              <w:rPr>
                <w:b/>
                <w:color w:val="1C3A36"/>
                <w:sz w:val="16"/>
              </w:rPr>
              <w:t>17,675</w:t>
            </w:r>
          </w:p>
        </w:tc>
        <w:tc>
          <w:tcPr>
            <w:tcW w:type="dxa" w:w="1037"/>
            <w:shd w:val="clear" w:color="auto" w:fill="F6F1E6"/>
          </w:tcPr>
          <w:p>
            <w:pPr>
              <w:spacing w:after="20"/>
              <w:jc w:val="right"/>
            </w:pPr>
            <w:r>
              <w:rPr>
                <w:b/>
                <w:color w:val="1C3A36"/>
                <w:sz w:val="16"/>
              </w:rPr>
              <w:t>20,448</w:t>
            </w:r>
          </w:p>
        </w:tc>
        <w:tc>
          <w:tcPr>
            <w:tcW w:type="dxa" w:w="1037"/>
            <w:shd w:val="clear" w:color="auto" w:fill="F6F1E6"/>
          </w:tcPr>
          <w:p>
            <w:pPr>
              <w:spacing w:after="20"/>
              <w:jc w:val="right"/>
            </w:pPr>
            <w:r>
              <w:rPr>
                <w:b/>
                <w:color w:val="1C3A36"/>
                <w:sz w:val="16"/>
              </w:rPr>
              <w:t>21,226</w:t>
            </w:r>
          </w:p>
        </w:tc>
        <w:tc>
          <w:tcPr>
            <w:tcW w:type="dxa" w:w="1037"/>
            <w:shd w:val="clear" w:color="auto" w:fill="F6F1E6"/>
          </w:tcPr>
          <w:p>
            <w:pPr>
              <w:spacing w:after="20"/>
              <w:jc w:val="right"/>
            </w:pPr>
            <w:r>
              <w:rPr>
                <w:b/>
                <w:color w:val="1C3A36"/>
                <w:sz w:val="16"/>
              </w:rPr>
              <w:t>22,418</w:t>
            </w:r>
          </w:p>
        </w:tc>
        <w:tc>
          <w:tcPr>
            <w:tcW w:type="dxa" w:w="1037"/>
            <w:shd w:val="clear" w:color="auto" w:fill="F6F1E6"/>
          </w:tcPr>
          <w:p>
            <w:pPr>
              <w:spacing w:after="20"/>
              <w:jc w:val="right"/>
            </w:pPr>
            <w:r>
              <w:rPr>
                <w:b/>
                <w:color w:val="1C3A36"/>
                <w:sz w:val="16"/>
              </w:rPr>
              <w:t>23,841</w:t>
            </w:r>
          </w:p>
        </w:tc>
        <w:tc>
          <w:tcPr>
            <w:tcW w:type="dxa" w:w="1037"/>
            <w:shd w:val="clear" w:color="auto" w:fill="F6F1E6"/>
          </w:tcPr>
          <w:p>
            <w:pPr>
              <w:spacing w:after="20"/>
              <w:jc w:val="right"/>
            </w:pPr>
            <w:r>
              <w:rPr>
                <w:b/>
                <w:color w:val="1C3A36"/>
                <w:sz w:val="16"/>
              </w:rPr>
              <w:t>25,468</w:t>
            </w:r>
          </w:p>
        </w:tc>
      </w:tr>
      <w:tr>
        <w:trPr>
          <w:cantSplit/>
        </w:trPr>
        <w:tc>
          <w:tcPr>
            <w:tcW w:type="dxa" w:w="2477"/>
          </w:tcPr>
          <w:p>
            <w:pPr>
              <w:spacing w:after="20"/>
            </w:pPr>
            <w:r>
              <w:rPr>
                <w:color w:val="1C3A36"/>
                <w:sz w:val="16"/>
              </w:rPr>
              <w:t>Payables including related parties</w:t>
            </w:r>
          </w:p>
        </w:tc>
        <w:tc>
          <w:tcPr>
            <w:tcW w:type="dxa" w:w="1037"/>
          </w:tcPr>
          <w:p>
            <w:pPr>
              <w:spacing w:after="20"/>
              <w:jc w:val="right"/>
            </w:pPr>
            <w:r>
              <w:rPr>
                <w:color w:val="1C3A36"/>
                <w:sz w:val="16"/>
              </w:rPr>
              <w:t>7,369</w:t>
            </w:r>
          </w:p>
        </w:tc>
        <w:tc>
          <w:tcPr>
            <w:tcW w:type="dxa" w:w="1037"/>
          </w:tcPr>
          <w:p>
            <w:pPr>
              <w:spacing w:after="20"/>
              <w:jc w:val="right"/>
            </w:pPr>
            <w:r>
              <w:rPr>
                <w:color w:val="1C3A36"/>
                <w:sz w:val="16"/>
              </w:rPr>
              <w:t>7,236</w:t>
            </w:r>
          </w:p>
        </w:tc>
        <w:tc>
          <w:tcPr>
            <w:tcW w:type="dxa" w:w="1037"/>
          </w:tcPr>
          <w:p>
            <w:pPr>
              <w:spacing w:after="20"/>
              <w:jc w:val="right"/>
            </w:pPr>
            <w:r>
              <w:rPr>
                <w:color w:val="1C3A36"/>
                <w:sz w:val="16"/>
              </w:rPr>
              <w:t>6,762</w:t>
            </w:r>
          </w:p>
        </w:tc>
        <w:tc>
          <w:tcPr>
            <w:tcW w:type="dxa" w:w="1037"/>
          </w:tcPr>
          <w:p>
            <w:pPr>
              <w:spacing w:after="20"/>
              <w:jc w:val="right"/>
            </w:pPr>
            <w:r>
              <w:rPr>
                <w:color w:val="1C3A36"/>
                <w:sz w:val="16"/>
              </w:rPr>
              <w:t>8,313</w:t>
            </w:r>
          </w:p>
        </w:tc>
        <w:tc>
          <w:tcPr>
            <w:tcW w:type="dxa" w:w="1037"/>
          </w:tcPr>
          <w:p>
            <w:pPr>
              <w:spacing w:after="20"/>
              <w:jc w:val="right"/>
            </w:pPr>
            <w:r>
              <w:rPr>
                <w:color w:val="1C3A36"/>
                <w:sz w:val="16"/>
              </w:rPr>
              <w:t>8,279</w:t>
            </w:r>
          </w:p>
        </w:tc>
        <w:tc>
          <w:tcPr>
            <w:tcW w:type="dxa" w:w="1037"/>
          </w:tcPr>
          <w:p>
            <w:pPr>
              <w:spacing w:after="20"/>
              <w:jc w:val="right"/>
            </w:pPr>
            <w:r>
              <w:rPr>
                <w:color w:val="1C3A36"/>
                <w:sz w:val="16"/>
              </w:rPr>
              <w:t>8,496</w:t>
            </w:r>
          </w:p>
        </w:tc>
        <w:tc>
          <w:tcPr>
            <w:tcW w:type="dxa" w:w="1037"/>
          </w:tcPr>
          <w:p>
            <w:pPr>
              <w:spacing w:after="20"/>
              <w:jc w:val="right"/>
            </w:pPr>
            <w:r>
              <w:rPr>
                <w:color w:val="1C3A36"/>
                <w:sz w:val="16"/>
              </w:rPr>
              <w:t>8,749</w:t>
            </w:r>
          </w:p>
        </w:tc>
        <w:tc>
          <w:tcPr>
            <w:tcW w:type="dxa" w:w="1037"/>
          </w:tcPr>
          <w:p>
            <w:pPr>
              <w:spacing w:after="20"/>
              <w:jc w:val="right"/>
            </w:pPr>
            <w:r>
              <w:rPr>
                <w:color w:val="1C3A36"/>
                <w:sz w:val="16"/>
              </w:rPr>
              <w:t>9,003</w:t>
            </w:r>
          </w:p>
        </w:tc>
      </w:tr>
      <w:tr>
        <w:trPr>
          <w:cantSplit/>
        </w:trPr>
        <w:tc>
          <w:tcPr>
            <w:tcW w:type="dxa" w:w="2477"/>
          </w:tcPr>
          <w:p>
            <w:pPr>
              <w:spacing w:after="20"/>
            </w:pPr>
            <w:r>
              <w:rPr>
                <w:color w:val="1C3A36"/>
                <w:sz w:val="16"/>
              </w:rPr>
              <w:t>Borrowings</w:t>
            </w:r>
          </w:p>
        </w:tc>
        <w:tc>
          <w:tcPr>
            <w:tcW w:type="dxa" w:w="1037"/>
          </w:tcPr>
          <w:p>
            <w:pPr>
              <w:spacing w:after="20"/>
              <w:jc w:val="right"/>
            </w:pPr>
            <w:r>
              <w:rPr>
                <w:color w:val="1C3A36"/>
                <w:sz w:val="16"/>
              </w:rPr>
              <w:t>5,492</w:t>
            </w:r>
          </w:p>
        </w:tc>
        <w:tc>
          <w:tcPr>
            <w:tcW w:type="dxa" w:w="1037"/>
          </w:tcPr>
          <w:p>
            <w:pPr>
              <w:spacing w:after="20"/>
              <w:jc w:val="right"/>
            </w:pPr>
            <w:r>
              <w:rPr>
                <w:color w:val="1C3A36"/>
                <w:sz w:val="16"/>
              </w:rPr>
              <w:t>5,591</w:t>
            </w:r>
          </w:p>
        </w:tc>
        <w:tc>
          <w:tcPr>
            <w:tcW w:type="dxa" w:w="1037"/>
          </w:tcPr>
          <w:p>
            <w:pPr>
              <w:spacing w:after="20"/>
              <w:jc w:val="right"/>
            </w:pPr>
            <w:r>
              <w:rPr>
                <w:color w:val="1C3A36"/>
                <w:sz w:val="16"/>
              </w:rPr>
              <w:t>5,546</w:t>
            </w:r>
          </w:p>
        </w:tc>
        <w:tc>
          <w:tcPr>
            <w:tcW w:type="dxa" w:w="1037"/>
          </w:tcPr>
          <w:p>
            <w:pPr>
              <w:spacing w:after="20"/>
              <w:jc w:val="right"/>
            </w:pPr>
            <w:r>
              <w:rPr>
                <w:color w:val="1C3A36"/>
                <w:sz w:val="16"/>
              </w:rPr>
              <w:t>5,546</w:t>
            </w:r>
          </w:p>
        </w:tc>
        <w:tc>
          <w:tcPr>
            <w:tcW w:type="dxa" w:w="1037"/>
          </w:tcPr>
          <w:p>
            <w:pPr>
              <w:spacing w:after="20"/>
              <w:jc w:val="right"/>
            </w:pPr>
            <w:r>
              <w:rPr>
                <w:color w:val="1C3A36"/>
                <w:sz w:val="16"/>
              </w:rPr>
              <w:t>5,546</w:t>
            </w:r>
          </w:p>
        </w:tc>
        <w:tc>
          <w:tcPr>
            <w:tcW w:type="dxa" w:w="1037"/>
          </w:tcPr>
          <w:p>
            <w:pPr>
              <w:spacing w:after="20"/>
              <w:jc w:val="right"/>
            </w:pPr>
            <w:r>
              <w:rPr>
                <w:color w:val="1C3A36"/>
                <w:sz w:val="16"/>
              </w:rPr>
              <w:t>5,546</w:t>
            </w:r>
          </w:p>
        </w:tc>
        <w:tc>
          <w:tcPr>
            <w:tcW w:type="dxa" w:w="1037"/>
          </w:tcPr>
          <w:p>
            <w:pPr>
              <w:spacing w:after="20"/>
              <w:jc w:val="right"/>
            </w:pPr>
            <w:r>
              <w:rPr>
                <w:color w:val="1C3A36"/>
                <w:sz w:val="16"/>
              </w:rPr>
              <w:t>5,546</w:t>
            </w:r>
          </w:p>
        </w:tc>
        <w:tc>
          <w:tcPr>
            <w:tcW w:type="dxa" w:w="1037"/>
          </w:tcPr>
          <w:p>
            <w:pPr>
              <w:spacing w:after="20"/>
              <w:jc w:val="right"/>
            </w:pPr>
            <w:r>
              <w:rPr>
                <w:color w:val="1C3A36"/>
                <w:sz w:val="16"/>
              </w:rPr>
              <w:t>5,546</w:t>
            </w:r>
          </w:p>
        </w:tc>
      </w:tr>
      <w:tr>
        <w:trPr>
          <w:cantSplit/>
        </w:trPr>
        <w:tc>
          <w:tcPr>
            <w:tcW w:type="dxa" w:w="2477"/>
          </w:tcPr>
          <w:p>
            <w:pPr>
              <w:spacing w:after="20"/>
            </w:pPr>
            <w:r>
              <w:rPr>
                <w:color w:val="1C3A36"/>
                <w:sz w:val="16"/>
              </w:rPr>
              <w:t>Lease liabilities</w:t>
            </w:r>
          </w:p>
        </w:tc>
        <w:tc>
          <w:tcPr>
            <w:tcW w:type="dxa" w:w="1037"/>
          </w:tcPr>
          <w:p>
            <w:pPr>
              <w:spacing w:after="20"/>
              <w:jc w:val="right"/>
            </w:pPr>
            <w:r>
              <w:rPr>
                <w:color w:val="1C3A36"/>
                <w:sz w:val="16"/>
              </w:rPr>
              <w:t>1,747</w:t>
            </w:r>
          </w:p>
        </w:tc>
        <w:tc>
          <w:tcPr>
            <w:tcW w:type="dxa" w:w="1037"/>
          </w:tcPr>
          <w:p>
            <w:pPr>
              <w:spacing w:after="20"/>
              <w:jc w:val="right"/>
            </w:pPr>
            <w:r>
              <w:rPr>
                <w:color w:val="1C3A36"/>
                <w:sz w:val="16"/>
              </w:rPr>
              <w:t>1,723</w:t>
            </w:r>
          </w:p>
        </w:tc>
        <w:tc>
          <w:tcPr>
            <w:tcW w:type="dxa" w:w="1037"/>
          </w:tcPr>
          <w:p>
            <w:pPr>
              <w:spacing w:after="20"/>
              <w:jc w:val="right"/>
            </w:pPr>
            <w:r>
              <w:rPr>
                <w:color w:val="1C3A36"/>
                <w:sz w:val="16"/>
              </w:rPr>
              <w:t>1,446</w:t>
            </w:r>
          </w:p>
        </w:tc>
        <w:tc>
          <w:tcPr>
            <w:tcW w:type="dxa" w:w="1037"/>
          </w:tcPr>
          <w:p>
            <w:pPr>
              <w:spacing w:after="20"/>
              <w:jc w:val="right"/>
            </w:pPr>
            <w:r>
              <w:rPr>
                <w:color w:val="1C3A36"/>
                <w:sz w:val="16"/>
              </w:rPr>
              <w:t>1,446</w:t>
            </w:r>
          </w:p>
        </w:tc>
        <w:tc>
          <w:tcPr>
            <w:tcW w:type="dxa" w:w="1037"/>
          </w:tcPr>
          <w:p>
            <w:pPr>
              <w:spacing w:after="20"/>
              <w:jc w:val="right"/>
            </w:pPr>
            <w:r>
              <w:rPr>
                <w:color w:val="1C3A36"/>
                <w:sz w:val="16"/>
              </w:rPr>
              <w:t>1,446</w:t>
            </w:r>
          </w:p>
        </w:tc>
        <w:tc>
          <w:tcPr>
            <w:tcW w:type="dxa" w:w="1037"/>
          </w:tcPr>
          <w:p>
            <w:pPr>
              <w:spacing w:after="20"/>
              <w:jc w:val="right"/>
            </w:pPr>
            <w:r>
              <w:rPr>
                <w:color w:val="1C3A36"/>
                <w:sz w:val="16"/>
              </w:rPr>
              <w:t>1,446</w:t>
            </w:r>
          </w:p>
        </w:tc>
        <w:tc>
          <w:tcPr>
            <w:tcW w:type="dxa" w:w="1037"/>
          </w:tcPr>
          <w:p>
            <w:pPr>
              <w:spacing w:after="20"/>
              <w:jc w:val="right"/>
            </w:pPr>
            <w:r>
              <w:rPr>
                <w:color w:val="1C3A36"/>
                <w:sz w:val="16"/>
              </w:rPr>
              <w:t>1,446</w:t>
            </w:r>
          </w:p>
        </w:tc>
        <w:tc>
          <w:tcPr>
            <w:tcW w:type="dxa" w:w="1037"/>
          </w:tcPr>
          <w:p>
            <w:pPr>
              <w:spacing w:after="20"/>
              <w:jc w:val="right"/>
            </w:pPr>
            <w:r>
              <w:rPr>
                <w:color w:val="1C3A36"/>
                <w:sz w:val="16"/>
              </w:rPr>
              <w:t>1,446</w:t>
            </w:r>
          </w:p>
        </w:tc>
      </w:tr>
      <w:tr>
        <w:trPr>
          <w:cantSplit/>
        </w:trPr>
        <w:tc>
          <w:tcPr>
            <w:tcW w:type="dxa" w:w="2477"/>
          </w:tcPr>
          <w:p>
            <w:pPr>
              <w:spacing w:after="20"/>
            </w:pPr>
            <w:r>
              <w:rPr>
                <w:color w:val="1C3A36"/>
                <w:sz w:val="16"/>
              </w:rPr>
              <w:t>Provisions and other liabilities</w:t>
            </w:r>
          </w:p>
        </w:tc>
        <w:tc>
          <w:tcPr>
            <w:tcW w:type="dxa" w:w="1037"/>
          </w:tcPr>
          <w:p>
            <w:pPr>
              <w:spacing w:after="20"/>
              <w:jc w:val="right"/>
            </w:pPr>
            <w:r>
              <w:rPr>
                <w:color w:val="1C3A36"/>
                <w:sz w:val="16"/>
              </w:rPr>
              <w:t>487</w:t>
            </w:r>
          </w:p>
        </w:tc>
        <w:tc>
          <w:tcPr>
            <w:tcW w:type="dxa" w:w="1037"/>
          </w:tcPr>
          <w:p>
            <w:pPr>
              <w:spacing w:after="20"/>
              <w:jc w:val="right"/>
            </w:pPr>
            <w:r>
              <w:rPr>
                <w:color w:val="1C3A36"/>
                <w:sz w:val="16"/>
              </w:rPr>
              <w:t>450</w:t>
            </w:r>
          </w:p>
        </w:tc>
        <w:tc>
          <w:tcPr>
            <w:tcW w:type="dxa" w:w="1037"/>
          </w:tcPr>
          <w:p>
            <w:pPr>
              <w:spacing w:after="20"/>
              <w:jc w:val="right"/>
            </w:pPr>
            <w:r>
              <w:rPr>
                <w:color w:val="1C3A36"/>
                <w:sz w:val="16"/>
              </w:rPr>
              <w:t>460</w:t>
            </w:r>
          </w:p>
        </w:tc>
        <w:tc>
          <w:tcPr>
            <w:tcW w:type="dxa" w:w="1037"/>
          </w:tcPr>
          <w:p>
            <w:pPr>
              <w:spacing w:after="20"/>
              <w:jc w:val="right"/>
            </w:pPr>
            <w:r>
              <w:rPr>
                <w:color w:val="1C3A36"/>
                <w:sz w:val="16"/>
              </w:rPr>
              <w:t>460</w:t>
            </w:r>
          </w:p>
        </w:tc>
        <w:tc>
          <w:tcPr>
            <w:tcW w:type="dxa" w:w="1037"/>
          </w:tcPr>
          <w:p>
            <w:pPr>
              <w:spacing w:after="20"/>
              <w:jc w:val="right"/>
            </w:pPr>
            <w:r>
              <w:rPr>
                <w:color w:val="1C3A36"/>
                <w:sz w:val="16"/>
              </w:rPr>
              <w:t>460</w:t>
            </w:r>
          </w:p>
        </w:tc>
        <w:tc>
          <w:tcPr>
            <w:tcW w:type="dxa" w:w="1037"/>
          </w:tcPr>
          <w:p>
            <w:pPr>
              <w:spacing w:after="20"/>
              <w:jc w:val="right"/>
            </w:pPr>
            <w:r>
              <w:rPr>
                <w:color w:val="1C3A36"/>
                <w:sz w:val="16"/>
              </w:rPr>
              <w:t>460</w:t>
            </w:r>
          </w:p>
        </w:tc>
        <w:tc>
          <w:tcPr>
            <w:tcW w:type="dxa" w:w="1037"/>
          </w:tcPr>
          <w:p>
            <w:pPr>
              <w:spacing w:after="20"/>
              <w:jc w:val="right"/>
            </w:pPr>
            <w:r>
              <w:rPr>
                <w:color w:val="1C3A36"/>
                <w:sz w:val="16"/>
              </w:rPr>
              <w:t>460</w:t>
            </w:r>
          </w:p>
        </w:tc>
        <w:tc>
          <w:tcPr>
            <w:tcW w:type="dxa" w:w="1037"/>
          </w:tcPr>
          <w:p>
            <w:pPr>
              <w:spacing w:after="20"/>
              <w:jc w:val="right"/>
            </w:pPr>
            <w:r>
              <w:rPr>
                <w:color w:val="1C3A36"/>
                <w:sz w:val="16"/>
              </w:rPr>
              <w:t>460</w:t>
            </w:r>
          </w:p>
        </w:tc>
      </w:tr>
      <w:tr>
        <w:trPr>
          <w:cantSplit/>
        </w:trPr>
        <w:tc>
          <w:tcPr>
            <w:tcW w:type="dxa" w:w="2477"/>
          </w:tcPr>
          <w:p>
            <w:pPr>
              <w:spacing w:after="20"/>
            </w:pPr>
            <w:r>
              <w:rPr>
                <w:color w:val="1C3A36"/>
                <w:sz w:val="16"/>
              </w:rPr>
              <w:t>Total liabilities</w:t>
            </w:r>
          </w:p>
        </w:tc>
        <w:tc>
          <w:tcPr>
            <w:tcW w:type="dxa" w:w="1037"/>
          </w:tcPr>
          <w:p>
            <w:pPr>
              <w:spacing w:after="20"/>
              <w:jc w:val="right"/>
            </w:pPr>
            <w:r>
              <w:rPr>
                <w:color w:val="1C3A36"/>
                <w:sz w:val="16"/>
              </w:rPr>
              <w:t>15,096</w:t>
            </w:r>
          </w:p>
        </w:tc>
        <w:tc>
          <w:tcPr>
            <w:tcW w:type="dxa" w:w="1037"/>
          </w:tcPr>
          <w:p>
            <w:pPr>
              <w:spacing w:after="20"/>
              <w:jc w:val="right"/>
            </w:pPr>
            <w:r>
              <w:rPr>
                <w:color w:val="1C3A36"/>
                <w:sz w:val="16"/>
              </w:rPr>
              <w:t>15,000</w:t>
            </w:r>
          </w:p>
        </w:tc>
        <w:tc>
          <w:tcPr>
            <w:tcW w:type="dxa" w:w="1037"/>
          </w:tcPr>
          <w:p>
            <w:pPr>
              <w:spacing w:after="20"/>
              <w:jc w:val="right"/>
            </w:pPr>
            <w:r>
              <w:rPr>
                <w:color w:val="1C3A36"/>
                <w:sz w:val="16"/>
              </w:rPr>
              <w:t>14,215</w:t>
            </w:r>
          </w:p>
        </w:tc>
        <w:tc>
          <w:tcPr>
            <w:tcW w:type="dxa" w:w="1037"/>
          </w:tcPr>
          <w:p>
            <w:pPr>
              <w:spacing w:after="20"/>
              <w:jc w:val="right"/>
            </w:pPr>
            <w:r>
              <w:rPr>
                <w:color w:val="1C3A36"/>
                <w:sz w:val="16"/>
              </w:rPr>
              <w:t>15,765</w:t>
            </w:r>
          </w:p>
        </w:tc>
        <w:tc>
          <w:tcPr>
            <w:tcW w:type="dxa" w:w="1037"/>
          </w:tcPr>
          <w:p>
            <w:pPr>
              <w:spacing w:after="20"/>
              <w:jc w:val="right"/>
            </w:pPr>
            <w:r>
              <w:rPr>
                <w:color w:val="1C3A36"/>
                <w:sz w:val="16"/>
              </w:rPr>
              <w:t>15,732</w:t>
            </w:r>
          </w:p>
        </w:tc>
        <w:tc>
          <w:tcPr>
            <w:tcW w:type="dxa" w:w="1037"/>
          </w:tcPr>
          <w:p>
            <w:pPr>
              <w:spacing w:after="20"/>
              <w:jc w:val="right"/>
            </w:pPr>
            <w:r>
              <w:rPr>
                <w:color w:val="1C3A36"/>
                <w:sz w:val="16"/>
              </w:rPr>
              <w:t>15,949</w:t>
            </w:r>
          </w:p>
        </w:tc>
        <w:tc>
          <w:tcPr>
            <w:tcW w:type="dxa" w:w="1037"/>
          </w:tcPr>
          <w:p>
            <w:pPr>
              <w:spacing w:after="20"/>
              <w:jc w:val="right"/>
            </w:pPr>
            <w:r>
              <w:rPr>
                <w:color w:val="1C3A36"/>
                <w:sz w:val="16"/>
              </w:rPr>
              <w:t>16,201</w:t>
            </w:r>
          </w:p>
        </w:tc>
        <w:tc>
          <w:tcPr>
            <w:tcW w:type="dxa" w:w="1037"/>
          </w:tcPr>
          <w:p>
            <w:pPr>
              <w:spacing w:after="20"/>
              <w:jc w:val="right"/>
            </w:pPr>
            <w:r>
              <w:rPr>
                <w:color w:val="1C3A36"/>
                <w:sz w:val="16"/>
              </w:rPr>
              <w:t>16,455</w:t>
            </w:r>
          </w:p>
        </w:tc>
      </w:tr>
      <w:tr>
        <w:trPr>
          <w:cantSplit/>
        </w:trPr>
        <w:tc>
          <w:tcPr>
            <w:tcW w:type="dxa" w:w="2477"/>
          </w:tcPr>
          <w:p>
            <w:pPr>
              <w:spacing w:after="20"/>
            </w:pPr>
            <w:r>
              <w:rPr>
                <w:color w:val="1C3A36"/>
                <w:sz w:val="16"/>
              </w:rPr>
              <w:t>Equity attributable to shareholders</w:t>
            </w:r>
          </w:p>
        </w:tc>
        <w:tc>
          <w:tcPr>
            <w:tcW w:type="dxa" w:w="1037"/>
          </w:tcPr>
          <w:p>
            <w:pPr>
              <w:spacing w:after="20"/>
              <w:jc w:val="right"/>
            </w:pPr>
            <w:r>
              <w:rPr>
                <w:color w:val="1C3A36"/>
                <w:sz w:val="16"/>
              </w:rPr>
              <w:t>3,472</w:t>
            </w:r>
          </w:p>
        </w:tc>
        <w:tc>
          <w:tcPr>
            <w:tcW w:type="dxa" w:w="1037"/>
          </w:tcPr>
          <w:p>
            <w:pPr>
              <w:spacing w:after="20"/>
              <w:jc w:val="right"/>
            </w:pPr>
            <w:r>
              <w:rPr>
                <w:color w:val="1C3A36"/>
                <w:sz w:val="16"/>
              </w:rPr>
              <w:t>2,992</w:t>
            </w:r>
          </w:p>
        </w:tc>
        <w:tc>
          <w:tcPr>
            <w:tcW w:type="dxa" w:w="1037"/>
          </w:tcPr>
          <w:p>
            <w:pPr>
              <w:spacing w:after="20"/>
              <w:jc w:val="right"/>
            </w:pPr>
            <w:r>
              <w:rPr>
                <w:color w:val="1C3A36"/>
                <w:sz w:val="16"/>
              </w:rPr>
              <w:t>3,230</w:t>
            </w:r>
          </w:p>
        </w:tc>
        <w:tc>
          <w:tcPr>
            <w:tcW w:type="dxa" w:w="1037"/>
          </w:tcPr>
          <w:p>
            <w:pPr>
              <w:spacing w:after="20"/>
              <w:jc w:val="right"/>
            </w:pPr>
            <w:r>
              <w:rPr>
                <w:color w:val="1C3A36"/>
                <w:sz w:val="16"/>
              </w:rPr>
              <w:t>4,452</w:t>
            </w:r>
          </w:p>
        </w:tc>
        <w:tc>
          <w:tcPr>
            <w:tcW w:type="dxa" w:w="1037"/>
          </w:tcPr>
          <w:p>
            <w:pPr>
              <w:spacing w:after="20"/>
              <w:jc w:val="right"/>
            </w:pPr>
            <w:r>
              <w:rPr>
                <w:color w:val="1C3A36"/>
                <w:sz w:val="16"/>
              </w:rPr>
              <w:t>5,264</w:t>
            </w:r>
          </w:p>
        </w:tc>
        <w:tc>
          <w:tcPr>
            <w:tcW w:type="dxa" w:w="1037"/>
          </w:tcPr>
          <w:p>
            <w:pPr>
              <w:spacing w:after="20"/>
              <w:jc w:val="right"/>
            </w:pPr>
            <w:r>
              <w:rPr>
                <w:color w:val="1C3A36"/>
                <w:sz w:val="16"/>
              </w:rPr>
              <w:t>6,239</w:t>
            </w:r>
          </w:p>
        </w:tc>
        <w:tc>
          <w:tcPr>
            <w:tcW w:type="dxa" w:w="1037"/>
          </w:tcPr>
          <w:p>
            <w:pPr>
              <w:spacing w:after="20"/>
              <w:jc w:val="right"/>
            </w:pPr>
            <w:r>
              <w:rPr>
                <w:color w:val="1C3A36"/>
                <w:sz w:val="16"/>
              </w:rPr>
              <w:t>7,409</w:t>
            </w:r>
          </w:p>
        </w:tc>
        <w:tc>
          <w:tcPr>
            <w:tcW w:type="dxa" w:w="1037"/>
          </w:tcPr>
          <w:p>
            <w:pPr>
              <w:spacing w:after="20"/>
              <w:jc w:val="right"/>
            </w:pPr>
            <w:r>
              <w:rPr>
                <w:color w:val="1C3A36"/>
                <w:sz w:val="16"/>
              </w:rPr>
              <w:t>8,782</w:t>
            </w:r>
          </w:p>
        </w:tc>
      </w:tr>
      <w:tr>
        <w:trPr>
          <w:cantSplit/>
        </w:trPr>
        <w:tc>
          <w:tcPr>
            <w:tcW w:type="dxa" w:w="2477"/>
          </w:tcPr>
          <w:p>
            <w:pPr>
              <w:spacing w:after="20"/>
            </w:pPr>
            <w:r>
              <w:rPr>
                <w:color w:val="1C3A36"/>
                <w:sz w:val="16"/>
              </w:rPr>
              <w:t>Non-controlling interests</w:t>
            </w:r>
          </w:p>
        </w:tc>
        <w:tc>
          <w:tcPr>
            <w:tcW w:type="dxa" w:w="1037"/>
          </w:tcPr>
          <w:p>
            <w:pPr>
              <w:spacing w:after="20"/>
              <w:jc w:val="right"/>
            </w:pPr>
            <w:r>
              <w:rPr>
                <w:color w:val="1C3A36"/>
                <w:sz w:val="16"/>
              </w:rPr>
              <w:t>324</w:t>
            </w:r>
          </w:p>
        </w:tc>
        <w:tc>
          <w:tcPr>
            <w:tcW w:type="dxa" w:w="1037"/>
          </w:tcPr>
          <w:p>
            <w:pPr>
              <w:spacing w:after="20"/>
              <w:jc w:val="right"/>
            </w:pPr>
            <w:r>
              <w:rPr>
                <w:color w:val="1C3A36"/>
                <w:sz w:val="16"/>
              </w:rPr>
              <w:t>189</w:t>
            </w:r>
          </w:p>
        </w:tc>
        <w:tc>
          <w:tcPr>
            <w:tcW w:type="dxa" w:w="1037"/>
          </w:tcPr>
          <w:p>
            <w:pPr>
              <w:spacing w:after="20"/>
              <w:jc w:val="right"/>
            </w:pPr>
            <w:r>
              <w:rPr>
                <w:color w:val="1C3A36"/>
                <w:sz w:val="16"/>
              </w:rPr>
              <w:t>230</w:t>
            </w:r>
          </w:p>
        </w:tc>
        <w:tc>
          <w:tcPr>
            <w:tcW w:type="dxa" w:w="1037"/>
          </w:tcPr>
          <w:p>
            <w:pPr>
              <w:spacing w:after="20"/>
              <w:jc w:val="right"/>
            </w:pPr>
            <w:r>
              <w:rPr>
                <w:color w:val="1C3A36"/>
                <w:sz w:val="16"/>
              </w:rPr>
              <w:t>230</w:t>
            </w:r>
          </w:p>
        </w:tc>
        <w:tc>
          <w:tcPr>
            <w:tcW w:type="dxa" w:w="1037"/>
          </w:tcPr>
          <w:p>
            <w:pPr>
              <w:spacing w:after="20"/>
              <w:jc w:val="right"/>
            </w:pPr>
            <w:r>
              <w:rPr>
                <w:color w:val="1C3A36"/>
                <w:sz w:val="16"/>
              </w:rPr>
              <w:t>230</w:t>
            </w:r>
          </w:p>
        </w:tc>
        <w:tc>
          <w:tcPr>
            <w:tcW w:type="dxa" w:w="1037"/>
          </w:tcPr>
          <w:p>
            <w:pPr>
              <w:spacing w:after="20"/>
              <w:jc w:val="right"/>
            </w:pPr>
            <w:r>
              <w:rPr>
                <w:color w:val="1C3A36"/>
                <w:sz w:val="16"/>
              </w:rPr>
              <w:t>230</w:t>
            </w:r>
          </w:p>
        </w:tc>
        <w:tc>
          <w:tcPr>
            <w:tcW w:type="dxa" w:w="1037"/>
          </w:tcPr>
          <w:p>
            <w:pPr>
              <w:spacing w:after="20"/>
              <w:jc w:val="right"/>
            </w:pPr>
            <w:r>
              <w:rPr>
                <w:color w:val="1C3A36"/>
                <w:sz w:val="16"/>
              </w:rPr>
              <w:t>230</w:t>
            </w:r>
          </w:p>
        </w:tc>
        <w:tc>
          <w:tcPr>
            <w:tcW w:type="dxa" w:w="1037"/>
          </w:tcPr>
          <w:p>
            <w:pPr>
              <w:spacing w:after="20"/>
              <w:jc w:val="right"/>
            </w:pPr>
            <w:r>
              <w:rPr>
                <w:color w:val="1C3A36"/>
                <w:sz w:val="16"/>
              </w:rPr>
              <w:t>230</w:t>
            </w:r>
          </w:p>
        </w:tc>
      </w:tr>
      <w:tr>
        <w:trPr>
          <w:cantSplit/>
        </w:trPr>
        <w:tc>
          <w:tcPr>
            <w:tcW w:type="dxa" w:w="2477"/>
            <w:shd w:val="clear" w:color="auto" w:fill="F6F1E6"/>
          </w:tcPr>
          <w:p>
            <w:pPr>
              <w:spacing w:after="20"/>
            </w:pPr>
            <w:r>
              <w:rPr>
                <w:b/>
                <w:color w:val="1C3A36"/>
                <w:sz w:val="16"/>
              </w:rPr>
              <w:t>TOTAL EQUITY AND LIABILITIES</w:t>
            </w:r>
          </w:p>
        </w:tc>
        <w:tc>
          <w:tcPr>
            <w:tcW w:type="dxa" w:w="1037"/>
            <w:shd w:val="clear" w:color="auto" w:fill="F6F1E6"/>
          </w:tcPr>
          <w:p>
            <w:pPr>
              <w:spacing w:after="20"/>
              <w:jc w:val="right"/>
            </w:pPr>
            <w:r>
              <w:rPr>
                <w:b/>
                <w:color w:val="1C3A36"/>
                <w:sz w:val="16"/>
              </w:rPr>
              <w:t>18,892</w:t>
            </w:r>
          </w:p>
        </w:tc>
        <w:tc>
          <w:tcPr>
            <w:tcW w:type="dxa" w:w="1037"/>
            <w:shd w:val="clear" w:color="auto" w:fill="F6F1E6"/>
          </w:tcPr>
          <w:p>
            <w:pPr>
              <w:spacing w:after="20"/>
              <w:jc w:val="right"/>
            </w:pPr>
            <w:r>
              <w:rPr>
                <w:b/>
                <w:color w:val="1C3A36"/>
                <w:sz w:val="16"/>
              </w:rPr>
              <w:t>18,181</w:t>
            </w:r>
          </w:p>
        </w:tc>
        <w:tc>
          <w:tcPr>
            <w:tcW w:type="dxa" w:w="1037"/>
            <w:shd w:val="clear" w:color="auto" w:fill="F6F1E6"/>
          </w:tcPr>
          <w:p>
            <w:pPr>
              <w:spacing w:after="20"/>
              <w:jc w:val="right"/>
            </w:pPr>
            <w:r>
              <w:rPr>
                <w:b/>
                <w:color w:val="1C3A36"/>
                <w:sz w:val="16"/>
              </w:rPr>
              <w:t>17,675</w:t>
            </w:r>
          </w:p>
        </w:tc>
        <w:tc>
          <w:tcPr>
            <w:tcW w:type="dxa" w:w="1037"/>
            <w:shd w:val="clear" w:color="auto" w:fill="F6F1E6"/>
          </w:tcPr>
          <w:p>
            <w:pPr>
              <w:spacing w:after="20"/>
              <w:jc w:val="right"/>
            </w:pPr>
            <w:r>
              <w:rPr>
                <w:b/>
                <w:color w:val="1C3A36"/>
                <w:sz w:val="16"/>
              </w:rPr>
              <w:t>20,448</w:t>
            </w:r>
          </w:p>
        </w:tc>
        <w:tc>
          <w:tcPr>
            <w:tcW w:type="dxa" w:w="1037"/>
            <w:shd w:val="clear" w:color="auto" w:fill="F6F1E6"/>
          </w:tcPr>
          <w:p>
            <w:pPr>
              <w:spacing w:after="20"/>
              <w:jc w:val="right"/>
            </w:pPr>
            <w:r>
              <w:rPr>
                <w:b/>
                <w:color w:val="1C3A36"/>
                <w:sz w:val="16"/>
              </w:rPr>
              <w:t>21,226</w:t>
            </w:r>
          </w:p>
        </w:tc>
        <w:tc>
          <w:tcPr>
            <w:tcW w:type="dxa" w:w="1037"/>
            <w:shd w:val="clear" w:color="auto" w:fill="F6F1E6"/>
          </w:tcPr>
          <w:p>
            <w:pPr>
              <w:spacing w:after="20"/>
              <w:jc w:val="right"/>
            </w:pPr>
            <w:r>
              <w:rPr>
                <w:b/>
                <w:color w:val="1C3A36"/>
                <w:sz w:val="16"/>
              </w:rPr>
              <w:t>22,418</w:t>
            </w:r>
          </w:p>
        </w:tc>
        <w:tc>
          <w:tcPr>
            <w:tcW w:type="dxa" w:w="1037"/>
            <w:shd w:val="clear" w:color="auto" w:fill="F6F1E6"/>
          </w:tcPr>
          <w:p>
            <w:pPr>
              <w:spacing w:after="20"/>
              <w:jc w:val="right"/>
            </w:pPr>
            <w:r>
              <w:rPr>
                <w:b/>
                <w:color w:val="1C3A36"/>
                <w:sz w:val="16"/>
              </w:rPr>
              <w:t>23,841</w:t>
            </w:r>
          </w:p>
        </w:tc>
        <w:tc>
          <w:tcPr>
            <w:tcW w:type="dxa" w:w="1037"/>
            <w:shd w:val="clear" w:color="auto" w:fill="F6F1E6"/>
          </w:tcPr>
          <w:p>
            <w:pPr>
              <w:spacing w:after="20"/>
              <w:jc w:val="right"/>
            </w:pPr>
            <w:r>
              <w:rPr>
                <w:b/>
                <w:color w:val="1C3A36"/>
                <w:sz w:val="16"/>
              </w:rPr>
              <w:t>25,468</w:t>
            </w:r>
          </w:p>
        </w:tc>
      </w:tr>
      <w:tr>
        <w:trPr>
          <w:cantSplit/>
        </w:trPr>
        <w:tc>
          <w:tcPr>
            <w:tcW w:type="dxa" w:w="2477"/>
            <w:shd w:val="clear" w:color="auto" w:fill="F6F1E6"/>
          </w:tcPr>
          <w:p>
            <w:pPr>
              <w:spacing w:after="20"/>
            </w:pPr>
            <w:r>
              <w:rPr>
                <w:b/>
                <w:color w:val="1C3A36"/>
                <w:sz w:val="16"/>
              </w:rPr>
              <w:t>Balance check</w:t>
            </w:r>
          </w:p>
        </w:tc>
        <w:tc>
          <w:tcPr>
            <w:tcW w:type="dxa" w:w="1037"/>
            <w:shd w:val="clear" w:color="auto" w:fill="F6F1E6"/>
          </w:tcPr>
          <w:p>
            <w:pPr>
              <w:spacing w:after="20"/>
              <w:jc w:val="right"/>
            </w:pPr>
            <w:r>
              <w:rPr>
                <w:b/>
                <w:color w:val="1C3A36"/>
                <w:sz w:val="16"/>
              </w:rPr>
              <w:t>0.0</w:t>
            </w:r>
          </w:p>
        </w:tc>
        <w:tc>
          <w:tcPr>
            <w:tcW w:type="dxa" w:w="1037"/>
            <w:shd w:val="clear" w:color="auto" w:fill="F6F1E6"/>
          </w:tcPr>
          <w:p>
            <w:pPr>
              <w:spacing w:after="20"/>
              <w:jc w:val="right"/>
            </w:pPr>
            <w:r>
              <w:rPr>
                <w:b/>
                <w:color w:val="1C3A36"/>
                <w:sz w:val="16"/>
              </w:rPr>
              <w:t>0.0</w:t>
            </w:r>
          </w:p>
        </w:tc>
        <w:tc>
          <w:tcPr>
            <w:tcW w:type="dxa" w:w="1037"/>
            <w:shd w:val="clear" w:color="auto" w:fill="F6F1E6"/>
          </w:tcPr>
          <w:p>
            <w:pPr>
              <w:spacing w:after="20"/>
              <w:jc w:val="right"/>
            </w:pPr>
            <w:r>
              <w:rPr>
                <w:b/>
                <w:color w:val="1C3A36"/>
                <w:sz w:val="16"/>
              </w:rPr>
              <w:t>0.0</w:t>
            </w:r>
          </w:p>
        </w:tc>
        <w:tc>
          <w:tcPr>
            <w:tcW w:type="dxa" w:w="1037"/>
            <w:shd w:val="clear" w:color="auto" w:fill="F6F1E6"/>
          </w:tcPr>
          <w:p>
            <w:pPr>
              <w:spacing w:after="20"/>
              <w:jc w:val="right"/>
            </w:pPr>
            <w:r>
              <w:rPr>
                <w:b/>
                <w:color w:val="1C3A36"/>
                <w:sz w:val="16"/>
              </w:rPr>
              <w:t>-0.0</w:t>
            </w:r>
          </w:p>
        </w:tc>
        <w:tc>
          <w:tcPr>
            <w:tcW w:type="dxa" w:w="1037"/>
            <w:shd w:val="clear" w:color="auto" w:fill="F6F1E6"/>
          </w:tcPr>
          <w:p>
            <w:pPr>
              <w:spacing w:after="20"/>
              <w:jc w:val="right"/>
            </w:pPr>
            <w:r>
              <w:rPr>
                <w:b/>
                <w:color w:val="1C3A36"/>
                <w:sz w:val="16"/>
              </w:rPr>
              <w:t>-0.0</w:t>
            </w:r>
          </w:p>
        </w:tc>
        <w:tc>
          <w:tcPr>
            <w:tcW w:type="dxa" w:w="1037"/>
            <w:shd w:val="clear" w:color="auto" w:fill="F6F1E6"/>
          </w:tcPr>
          <w:p>
            <w:pPr>
              <w:spacing w:after="20"/>
              <w:jc w:val="right"/>
            </w:pPr>
            <w:r>
              <w:rPr>
                <w:b/>
                <w:color w:val="1C3A36"/>
                <w:sz w:val="16"/>
              </w:rPr>
              <w:t>-0.0</w:t>
            </w:r>
          </w:p>
        </w:tc>
        <w:tc>
          <w:tcPr>
            <w:tcW w:type="dxa" w:w="1037"/>
            <w:shd w:val="clear" w:color="auto" w:fill="F6F1E6"/>
          </w:tcPr>
          <w:p>
            <w:pPr>
              <w:spacing w:after="20"/>
              <w:jc w:val="right"/>
            </w:pPr>
            <w:r>
              <w:rPr>
                <w:b/>
                <w:color w:val="1C3A36"/>
                <w:sz w:val="16"/>
              </w:rPr>
              <w:t>-0.0</w:t>
            </w:r>
          </w:p>
        </w:tc>
        <w:tc>
          <w:tcPr>
            <w:tcW w:type="dxa" w:w="1037"/>
            <w:shd w:val="clear" w:color="auto" w:fill="F6F1E6"/>
          </w:tcPr>
          <w:p>
            <w:pPr>
              <w:spacing w:after="20"/>
              <w:jc w:val="right"/>
            </w:pPr>
            <w:r>
              <w:rPr>
                <w:b/>
                <w:color w:val="1C3A36"/>
                <w:sz w:val="16"/>
              </w:rPr>
              <w:t>-0.0</w:t>
            </w:r>
          </w:p>
        </w:tc>
      </w:tr>
      <w:tr>
        <w:trPr>
          <w:cantSplit/>
        </w:trPr>
        <w:tc>
          <w:tcPr>
            <w:tcW w:type="dxa" w:w="2477"/>
          </w:tcPr>
          <w:p>
            <w:pPr>
              <w:spacing w:after="20"/>
            </w:pPr>
            <w:r>
              <w:rPr>
                <w:color w:val="1C3A36"/>
                <w:sz w:val="16"/>
              </w:rPr>
              <w:t>Net debt including leases</w:t>
            </w:r>
          </w:p>
        </w:tc>
        <w:tc>
          <w:tcPr>
            <w:tcW w:type="dxa" w:w="1037"/>
          </w:tcPr>
          <w:p>
            <w:pPr>
              <w:spacing w:after="20"/>
              <w:jc w:val="right"/>
            </w:pPr>
            <w:r>
              <w:rPr>
                <w:color w:val="1C3A36"/>
                <w:sz w:val="16"/>
              </w:rPr>
              <w:t>4,045</w:t>
            </w:r>
          </w:p>
        </w:tc>
        <w:tc>
          <w:tcPr>
            <w:tcW w:type="dxa" w:w="1037"/>
          </w:tcPr>
          <w:p>
            <w:pPr>
              <w:spacing w:after="20"/>
              <w:jc w:val="right"/>
            </w:pPr>
            <w:r>
              <w:rPr>
                <w:color w:val="1C3A36"/>
                <w:sz w:val="16"/>
              </w:rPr>
              <w:t>4,379</w:t>
            </w:r>
          </w:p>
        </w:tc>
        <w:tc>
          <w:tcPr>
            <w:tcW w:type="dxa" w:w="1037"/>
          </w:tcPr>
          <w:p>
            <w:pPr>
              <w:spacing w:after="20"/>
              <w:jc w:val="right"/>
            </w:pPr>
            <w:r>
              <w:rPr>
                <w:color w:val="1C3A36"/>
                <w:sz w:val="16"/>
              </w:rPr>
              <w:t>4,431</w:t>
            </w:r>
          </w:p>
        </w:tc>
        <w:tc>
          <w:tcPr>
            <w:tcW w:type="dxa" w:w="1037"/>
          </w:tcPr>
          <w:p>
            <w:pPr>
              <w:spacing w:after="20"/>
              <w:jc w:val="right"/>
            </w:pPr>
            <w:r>
              <w:rPr>
                <w:color w:val="1C3A36"/>
                <w:sz w:val="16"/>
              </w:rPr>
              <w:t>2,990</w:t>
            </w:r>
          </w:p>
        </w:tc>
        <w:tc>
          <w:tcPr>
            <w:tcW w:type="dxa" w:w="1037"/>
          </w:tcPr>
          <w:p>
            <w:pPr>
              <w:spacing w:after="20"/>
              <w:jc w:val="right"/>
            </w:pPr>
            <w:r>
              <w:rPr>
                <w:color w:val="1C3A36"/>
                <w:sz w:val="16"/>
              </w:rPr>
              <w:t>2,318</w:t>
            </w:r>
          </w:p>
        </w:tc>
        <w:tc>
          <w:tcPr>
            <w:tcW w:type="dxa" w:w="1037"/>
          </w:tcPr>
          <w:p>
            <w:pPr>
              <w:spacing w:after="20"/>
              <w:jc w:val="right"/>
            </w:pPr>
            <w:r>
              <w:rPr>
                <w:color w:val="1C3A36"/>
                <w:sz w:val="16"/>
              </w:rPr>
              <w:t>1,454</w:t>
            </w:r>
          </w:p>
        </w:tc>
        <w:tc>
          <w:tcPr>
            <w:tcW w:type="dxa" w:w="1037"/>
          </w:tcPr>
          <w:p>
            <w:pPr>
              <w:spacing w:after="20"/>
              <w:jc w:val="right"/>
            </w:pPr>
            <w:r>
              <w:rPr>
                <w:color w:val="1C3A36"/>
                <w:sz w:val="16"/>
              </w:rPr>
              <w:t>371</w:t>
            </w:r>
          </w:p>
        </w:tc>
        <w:tc>
          <w:tcPr>
            <w:tcW w:type="dxa" w:w="1037"/>
          </w:tcPr>
          <w:p>
            <w:pPr>
              <w:spacing w:after="20"/>
              <w:jc w:val="right"/>
            </w:pPr>
            <w:r>
              <w:rPr>
                <w:color w:val="1C3A36"/>
                <w:sz w:val="16"/>
              </w:rPr>
              <w:t>-930</w:t>
            </w:r>
          </w:p>
        </w:tc>
      </w:tr>
      <w:tr>
        <w:trPr>
          <w:cantSplit/>
        </w:trPr>
        <w:tc>
          <w:tcPr>
            <w:tcW w:type="dxa" w:w="2477"/>
          </w:tcPr>
          <w:p>
            <w:pPr>
              <w:spacing w:after="20"/>
            </w:pPr>
            <w:r>
              <w:rPr>
                <w:color w:val="1C3A36"/>
                <w:sz w:val="16"/>
              </w:rPr>
              <w:t>Book value per share (AED)</w:t>
            </w:r>
          </w:p>
        </w:tc>
        <w:tc>
          <w:tcPr>
            <w:tcW w:type="dxa" w:w="1037"/>
          </w:tcPr>
          <w:p>
            <w:pPr>
              <w:spacing w:after="20"/>
              <w:jc w:val="right"/>
            </w:pPr>
            <w:r>
              <w:rPr>
                <w:color w:val="1C3A36"/>
                <w:sz w:val="16"/>
              </w:rPr>
              <w:t>0.28</w:t>
            </w:r>
          </w:p>
        </w:tc>
        <w:tc>
          <w:tcPr>
            <w:tcW w:type="dxa" w:w="1037"/>
          </w:tcPr>
          <w:p>
            <w:pPr>
              <w:spacing w:after="20"/>
              <w:jc w:val="right"/>
            </w:pPr>
            <w:r>
              <w:rPr>
                <w:color w:val="1C3A36"/>
                <w:sz w:val="16"/>
              </w:rPr>
              <w:t>0.24</w:t>
            </w:r>
          </w:p>
        </w:tc>
        <w:tc>
          <w:tcPr>
            <w:tcW w:type="dxa" w:w="1037"/>
          </w:tcPr>
          <w:p>
            <w:pPr>
              <w:spacing w:after="20"/>
              <w:jc w:val="right"/>
            </w:pPr>
            <w:r>
              <w:rPr>
                <w:color w:val="1C3A36"/>
                <w:sz w:val="16"/>
              </w:rPr>
              <w:t>0.26</w:t>
            </w:r>
          </w:p>
        </w:tc>
        <w:tc>
          <w:tcPr>
            <w:tcW w:type="dxa" w:w="1037"/>
          </w:tcPr>
          <w:p>
            <w:pPr>
              <w:spacing w:after="20"/>
              <w:jc w:val="right"/>
            </w:pPr>
            <w:r>
              <w:rPr>
                <w:color w:val="1C3A36"/>
                <w:sz w:val="16"/>
              </w:rPr>
              <w:t>0.36</w:t>
            </w:r>
          </w:p>
        </w:tc>
        <w:tc>
          <w:tcPr>
            <w:tcW w:type="dxa" w:w="1037"/>
          </w:tcPr>
          <w:p>
            <w:pPr>
              <w:spacing w:after="20"/>
              <w:jc w:val="right"/>
            </w:pPr>
            <w:r>
              <w:rPr>
                <w:color w:val="1C3A36"/>
                <w:sz w:val="16"/>
              </w:rPr>
              <w:t>0.42</w:t>
            </w:r>
          </w:p>
        </w:tc>
        <w:tc>
          <w:tcPr>
            <w:tcW w:type="dxa" w:w="1037"/>
          </w:tcPr>
          <w:p>
            <w:pPr>
              <w:spacing w:after="20"/>
              <w:jc w:val="right"/>
            </w:pPr>
            <w:r>
              <w:rPr>
                <w:color w:val="1C3A36"/>
                <w:sz w:val="16"/>
              </w:rPr>
              <w:t>0.50</w:t>
            </w:r>
          </w:p>
        </w:tc>
        <w:tc>
          <w:tcPr>
            <w:tcW w:type="dxa" w:w="1037"/>
          </w:tcPr>
          <w:p>
            <w:pPr>
              <w:spacing w:after="20"/>
              <w:jc w:val="right"/>
            </w:pPr>
            <w:r>
              <w:rPr>
                <w:color w:val="1C3A36"/>
                <w:sz w:val="16"/>
              </w:rPr>
              <w:t>0.59</w:t>
            </w:r>
          </w:p>
        </w:tc>
        <w:tc>
          <w:tcPr>
            <w:tcW w:type="dxa" w:w="1037"/>
          </w:tcPr>
          <w:p>
            <w:pPr>
              <w:spacing w:after="20"/>
              <w:jc w:val="right"/>
            </w:pPr>
            <w:r>
              <w:rPr>
                <w:color w:val="1C3A36"/>
                <w:sz w:val="16"/>
              </w:rPr>
              <w:t>0.70</w:t>
            </w:r>
          </w:p>
        </w:tc>
      </w:tr>
    </w:tbl>
    <w:p>
      <w:pPr>
        <w:spacing w:after="40"/>
      </w:pPr>
    </w:p>
    <w:p>
      <w:pPr>
        <w:spacing w:after="200" w:before="0"/>
      </w:pPr>
      <w:r>
        <w:rPr>
          <w:b w:val="0"/>
          <w:i/>
          <w:color w:val="6E7B77"/>
          <w:sz w:val="17"/>
        </w:rPr>
        <w:t>Table 32 — the balance sheet, WHICH BALANCES: the check row reads zero in every audited column and every forecast column. The audited columns reconcile exactly to the filed total assets of AED 17,675 million at FY2025; the grouping above is a summary of the filed captions, not a restatement of them. In the forecast, fixed assets roll forward as prior balance plus capital expenditure less depreciation; receivables scale on revenue and inventories and payables on direct costs, at the FY2025 day ratios set out in A.3; borrowings, leases and provisions are HELD, so cash is the plug and it absorbs the cash the dividend does not distribute. That is why net debt falls to a net cash position across the window — the model distributes the policy dividend, not the cash generated, and section 4 is the consequence.</w:t>
      </w:r>
    </w:p>
    <w:p>
      <w:pPr>
        <w:spacing w:after="80" w:before="200"/>
      </w:pPr>
      <w:r>
        <w:rPr>
          <w:b/>
          <w:i w:val="0"/>
          <w:color w:val="1C3A36"/>
          <w:sz w:val="24"/>
        </w:rPr>
        <w:t>A.3 Cash flow and the working-capital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512"/>
        <w:gridCol w:w="950"/>
        <w:gridCol w:w="950"/>
        <w:gridCol w:w="950"/>
        <w:gridCol w:w="950"/>
        <w:gridCol w:w="950"/>
      </w:tblGrid>
      <w:tr>
        <w:trPr>
          <w:cantSplit/>
        </w:trPr>
        <w:tc>
          <w:tcPr>
            <w:tcW w:type="dxa" w:w="3672"/>
            <w:shd w:val="clear" w:color="auto" w:fill="EAF0EE"/>
          </w:tcPr>
          <w:p>
            <w:pPr>
              <w:spacing w:after="20"/>
            </w:pPr>
            <w:r>
              <w:rPr>
                <w:b/>
                <w:color w:val="1C3A36"/>
                <w:sz w:val="16"/>
              </w:rPr>
              <w:t>Marker</w:t>
            </w:r>
          </w:p>
        </w:tc>
        <w:tc>
          <w:tcPr>
            <w:tcW w:type="dxa" w:w="1512"/>
            <w:shd w:val="clear" w:color="auto" w:fill="EAF0EE"/>
          </w:tcPr>
          <w:p>
            <w:pPr>
              <w:spacing w:after="20"/>
            </w:pPr>
            <w:r>
              <w:rPr>
                <w:b/>
                <w:color w:val="1C3A36"/>
                <w:sz w:val="16"/>
              </w:rPr>
              <w:t>FY2025 audited</w:t>
            </w:r>
          </w:p>
        </w:tc>
        <w:tc>
          <w:tcPr>
            <w:tcW w:type="dxa" w:w="950"/>
            <w:shd w:val="clear" w:color="auto" w:fill="EAF0EE"/>
          </w:tcPr>
          <w:p>
            <w:pPr>
              <w:spacing w:after="20"/>
            </w:pPr>
            <w:r>
              <w:rPr>
                <w:b/>
                <w:color w:val="1C3A36"/>
                <w:sz w:val="16"/>
              </w:rPr>
              <w:t>2026E</w:t>
            </w:r>
          </w:p>
        </w:tc>
        <w:tc>
          <w:tcPr>
            <w:tcW w:type="dxa" w:w="950"/>
            <w:shd w:val="clear" w:color="auto" w:fill="EAF0EE"/>
          </w:tcPr>
          <w:p>
            <w:pPr>
              <w:spacing w:after="20"/>
            </w:pPr>
            <w:r>
              <w:rPr>
                <w:b/>
                <w:color w:val="1C3A36"/>
                <w:sz w:val="16"/>
              </w:rPr>
              <w:t>2027E</w:t>
            </w:r>
          </w:p>
        </w:tc>
        <w:tc>
          <w:tcPr>
            <w:tcW w:type="dxa" w:w="950"/>
            <w:shd w:val="clear" w:color="auto" w:fill="EAF0EE"/>
          </w:tcPr>
          <w:p>
            <w:pPr>
              <w:spacing w:after="20"/>
            </w:pPr>
            <w:r>
              <w:rPr>
                <w:b/>
                <w:color w:val="1C3A36"/>
                <w:sz w:val="16"/>
              </w:rPr>
              <w:t>2028E</w:t>
            </w:r>
          </w:p>
        </w:tc>
        <w:tc>
          <w:tcPr>
            <w:tcW w:type="dxa" w:w="950"/>
            <w:shd w:val="clear" w:color="auto" w:fill="EAF0EE"/>
          </w:tcPr>
          <w:p>
            <w:pPr>
              <w:spacing w:after="20"/>
            </w:pPr>
            <w:r>
              <w:rPr>
                <w:b/>
                <w:color w:val="1C3A36"/>
                <w:sz w:val="16"/>
              </w:rPr>
              <w:t>2029E</w:t>
            </w:r>
          </w:p>
        </w:tc>
        <w:tc>
          <w:tcPr>
            <w:tcW w:type="dxa" w:w="950"/>
            <w:shd w:val="clear" w:color="auto" w:fill="EAF0EE"/>
          </w:tcPr>
          <w:p>
            <w:pPr>
              <w:spacing w:after="20"/>
            </w:pPr>
            <w:r>
              <w:rPr>
                <w:b/>
                <w:color w:val="1C3A36"/>
                <w:sz w:val="16"/>
              </w:rPr>
              <w:t>2030E</w:t>
            </w:r>
          </w:p>
        </w:tc>
      </w:tr>
      <w:tr>
        <w:trPr>
          <w:cantSplit/>
        </w:trPr>
        <w:tc>
          <w:tcPr>
            <w:tcW w:type="dxa" w:w="3672"/>
          </w:tcPr>
          <w:p>
            <w:pPr>
              <w:spacing w:after="20"/>
            </w:pPr>
            <w:r>
              <w:rPr>
                <w:color w:val="1C3A36"/>
                <w:sz w:val="16"/>
              </w:rPr>
              <w:t>Receivable days, trade only</w:t>
            </w:r>
          </w:p>
        </w:tc>
        <w:tc>
          <w:tcPr>
            <w:tcW w:type="dxa" w:w="1512"/>
          </w:tcPr>
          <w:p>
            <w:pPr>
              <w:spacing w:after="20"/>
              <w:jc w:val="right"/>
            </w:pPr>
            <w:r>
              <w:rPr>
                <w:color w:val="1C3A36"/>
                <w:sz w:val="16"/>
              </w:rPr>
              <w:t>27</w:t>
            </w:r>
          </w:p>
        </w:tc>
        <w:tc>
          <w:tcPr>
            <w:tcW w:type="dxa" w:w="950"/>
          </w:tcPr>
          <w:p>
            <w:pPr>
              <w:spacing w:after="20"/>
              <w:jc w:val="right"/>
            </w:pPr>
            <w:r>
              <w:rPr>
                <w:color w:val="1C3A36"/>
                <w:sz w:val="16"/>
              </w:rPr>
              <w:t>27</w:t>
            </w:r>
          </w:p>
        </w:tc>
        <w:tc>
          <w:tcPr>
            <w:tcW w:type="dxa" w:w="950"/>
          </w:tcPr>
          <w:p>
            <w:pPr>
              <w:spacing w:after="20"/>
              <w:jc w:val="right"/>
            </w:pPr>
            <w:r>
              <w:rPr>
                <w:color w:val="1C3A36"/>
                <w:sz w:val="16"/>
              </w:rPr>
              <w:t>27</w:t>
            </w:r>
          </w:p>
        </w:tc>
        <w:tc>
          <w:tcPr>
            <w:tcW w:type="dxa" w:w="950"/>
          </w:tcPr>
          <w:p>
            <w:pPr>
              <w:spacing w:after="20"/>
              <w:jc w:val="right"/>
            </w:pPr>
            <w:r>
              <w:rPr>
                <w:color w:val="1C3A36"/>
                <w:sz w:val="16"/>
              </w:rPr>
              <w:t>27</w:t>
            </w:r>
          </w:p>
        </w:tc>
        <w:tc>
          <w:tcPr>
            <w:tcW w:type="dxa" w:w="950"/>
          </w:tcPr>
          <w:p>
            <w:pPr>
              <w:spacing w:after="20"/>
              <w:jc w:val="right"/>
            </w:pPr>
            <w:r>
              <w:rPr>
                <w:color w:val="1C3A36"/>
                <w:sz w:val="16"/>
              </w:rPr>
              <w:t>27</w:t>
            </w:r>
          </w:p>
        </w:tc>
        <w:tc>
          <w:tcPr>
            <w:tcW w:type="dxa" w:w="950"/>
          </w:tcPr>
          <w:p>
            <w:pPr>
              <w:spacing w:after="20"/>
              <w:jc w:val="right"/>
            </w:pPr>
            <w:r>
              <w:rPr>
                <w:color w:val="1C3A36"/>
                <w:sz w:val="16"/>
              </w:rPr>
              <w:t>27</w:t>
            </w:r>
          </w:p>
        </w:tc>
      </w:tr>
      <w:tr>
        <w:trPr>
          <w:cantSplit/>
        </w:trPr>
        <w:tc>
          <w:tcPr>
            <w:tcW w:type="dxa" w:w="3672"/>
          </w:tcPr>
          <w:p>
            <w:pPr>
              <w:spacing w:after="20"/>
            </w:pPr>
            <w:r>
              <w:rPr>
                <w:color w:val="1C3A36"/>
                <w:sz w:val="16"/>
              </w:rPr>
              <w:t>Receivable days, including related parties</w:t>
            </w:r>
          </w:p>
        </w:tc>
        <w:tc>
          <w:tcPr>
            <w:tcW w:type="dxa" w:w="1512"/>
          </w:tcPr>
          <w:p>
            <w:pPr>
              <w:spacing w:after="20"/>
              <w:jc w:val="right"/>
            </w:pPr>
            <w:r>
              <w:rPr>
                <w:color w:val="1C3A36"/>
                <w:sz w:val="16"/>
              </w:rPr>
              <w:t>34</w:t>
            </w:r>
          </w:p>
        </w:tc>
        <w:tc>
          <w:tcPr>
            <w:tcW w:type="dxa" w:w="950"/>
          </w:tcPr>
          <w:p>
            <w:pPr>
              <w:spacing w:after="20"/>
              <w:jc w:val="right"/>
            </w:pPr>
            <w:r>
              <w:rPr>
                <w:color w:val="1C3A36"/>
                <w:sz w:val="16"/>
              </w:rPr>
              <w:t>34</w:t>
            </w:r>
          </w:p>
        </w:tc>
        <w:tc>
          <w:tcPr>
            <w:tcW w:type="dxa" w:w="950"/>
          </w:tcPr>
          <w:p>
            <w:pPr>
              <w:spacing w:after="20"/>
              <w:jc w:val="right"/>
            </w:pPr>
            <w:r>
              <w:rPr>
                <w:color w:val="1C3A36"/>
                <w:sz w:val="16"/>
              </w:rPr>
              <w:t>34</w:t>
            </w:r>
          </w:p>
        </w:tc>
        <w:tc>
          <w:tcPr>
            <w:tcW w:type="dxa" w:w="950"/>
          </w:tcPr>
          <w:p>
            <w:pPr>
              <w:spacing w:after="20"/>
              <w:jc w:val="right"/>
            </w:pPr>
            <w:r>
              <w:rPr>
                <w:color w:val="1C3A36"/>
                <w:sz w:val="16"/>
              </w:rPr>
              <w:t>34</w:t>
            </w:r>
          </w:p>
        </w:tc>
        <w:tc>
          <w:tcPr>
            <w:tcW w:type="dxa" w:w="950"/>
          </w:tcPr>
          <w:p>
            <w:pPr>
              <w:spacing w:after="20"/>
              <w:jc w:val="right"/>
            </w:pPr>
            <w:r>
              <w:rPr>
                <w:color w:val="1C3A36"/>
                <w:sz w:val="16"/>
              </w:rPr>
              <w:t>34</w:t>
            </w:r>
          </w:p>
        </w:tc>
        <w:tc>
          <w:tcPr>
            <w:tcW w:type="dxa" w:w="950"/>
          </w:tcPr>
          <w:p>
            <w:pPr>
              <w:spacing w:after="20"/>
              <w:jc w:val="right"/>
            </w:pPr>
            <w:r>
              <w:rPr>
                <w:color w:val="1C3A36"/>
                <w:sz w:val="16"/>
              </w:rPr>
              <w:t>34</w:t>
            </w:r>
          </w:p>
        </w:tc>
      </w:tr>
      <w:tr>
        <w:trPr>
          <w:cantSplit/>
        </w:trPr>
        <w:tc>
          <w:tcPr>
            <w:tcW w:type="dxa" w:w="3672"/>
          </w:tcPr>
          <w:p>
            <w:pPr>
              <w:spacing w:after="20"/>
            </w:pPr>
            <w:r>
              <w:rPr>
                <w:color w:val="1C3A36"/>
                <w:sz w:val="16"/>
              </w:rPr>
              <w:t>Inventory days</w:t>
            </w:r>
          </w:p>
        </w:tc>
        <w:tc>
          <w:tcPr>
            <w:tcW w:type="dxa" w:w="1512"/>
          </w:tcPr>
          <w:p>
            <w:pPr>
              <w:spacing w:after="20"/>
              <w:jc w:val="right"/>
            </w:pPr>
            <w:r>
              <w:rPr>
                <w:color w:val="1C3A36"/>
                <w:sz w:val="16"/>
              </w:rPr>
              <w:t>20</w:t>
            </w:r>
          </w:p>
        </w:tc>
        <w:tc>
          <w:tcPr>
            <w:tcW w:type="dxa" w:w="950"/>
          </w:tcPr>
          <w:p>
            <w:pPr>
              <w:spacing w:after="20"/>
              <w:jc w:val="right"/>
            </w:pPr>
            <w:r>
              <w:rPr>
                <w:color w:val="1C3A36"/>
                <w:sz w:val="16"/>
              </w:rPr>
              <w:t>20</w:t>
            </w:r>
          </w:p>
        </w:tc>
        <w:tc>
          <w:tcPr>
            <w:tcW w:type="dxa" w:w="950"/>
          </w:tcPr>
          <w:p>
            <w:pPr>
              <w:spacing w:after="20"/>
              <w:jc w:val="right"/>
            </w:pPr>
            <w:r>
              <w:rPr>
                <w:color w:val="1C3A36"/>
                <w:sz w:val="16"/>
              </w:rPr>
              <w:t>20</w:t>
            </w:r>
          </w:p>
        </w:tc>
        <w:tc>
          <w:tcPr>
            <w:tcW w:type="dxa" w:w="950"/>
          </w:tcPr>
          <w:p>
            <w:pPr>
              <w:spacing w:after="20"/>
              <w:jc w:val="right"/>
            </w:pPr>
            <w:r>
              <w:rPr>
                <w:color w:val="1C3A36"/>
                <w:sz w:val="16"/>
              </w:rPr>
              <w:t>20</w:t>
            </w:r>
          </w:p>
        </w:tc>
        <w:tc>
          <w:tcPr>
            <w:tcW w:type="dxa" w:w="950"/>
          </w:tcPr>
          <w:p>
            <w:pPr>
              <w:spacing w:after="20"/>
              <w:jc w:val="right"/>
            </w:pPr>
            <w:r>
              <w:rPr>
                <w:color w:val="1C3A36"/>
                <w:sz w:val="16"/>
              </w:rPr>
              <w:t>20</w:t>
            </w:r>
          </w:p>
        </w:tc>
        <w:tc>
          <w:tcPr>
            <w:tcW w:type="dxa" w:w="950"/>
          </w:tcPr>
          <w:p>
            <w:pPr>
              <w:spacing w:after="20"/>
              <w:jc w:val="right"/>
            </w:pPr>
            <w:r>
              <w:rPr>
                <w:color w:val="1C3A36"/>
                <w:sz w:val="16"/>
              </w:rPr>
              <w:t>20</w:t>
            </w:r>
          </w:p>
        </w:tc>
      </w:tr>
      <w:tr>
        <w:trPr>
          <w:cantSplit/>
        </w:trPr>
        <w:tc>
          <w:tcPr>
            <w:tcW w:type="dxa" w:w="3672"/>
          </w:tcPr>
          <w:p>
            <w:pPr>
              <w:spacing w:after="20"/>
            </w:pPr>
            <w:r>
              <w:rPr>
                <w:color w:val="1C3A36"/>
                <w:sz w:val="16"/>
              </w:rPr>
              <w:t>Payable days, trade only</w:t>
            </w:r>
          </w:p>
        </w:tc>
        <w:tc>
          <w:tcPr>
            <w:tcW w:type="dxa" w:w="1512"/>
          </w:tcPr>
          <w:p>
            <w:pPr>
              <w:spacing w:after="20"/>
              <w:jc w:val="right"/>
            </w:pPr>
            <w:r>
              <w:rPr>
                <w:color w:val="1C3A36"/>
                <w:sz w:val="16"/>
              </w:rPr>
              <w:t>39</w:t>
            </w:r>
          </w:p>
        </w:tc>
        <w:tc>
          <w:tcPr>
            <w:tcW w:type="dxa" w:w="950"/>
          </w:tcPr>
          <w:p>
            <w:pPr>
              <w:spacing w:after="20"/>
              <w:jc w:val="right"/>
            </w:pPr>
            <w:r>
              <w:rPr>
                <w:color w:val="1C3A36"/>
                <w:sz w:val="16"/>
              </w:rPr>
              <w:t>39</w:t>
            </w:r>
          </w:p>
        </w:tc>
        <w:tc>
          <w:tcPr>
            <w:tcW w:type="dxa" w:w="950"/>
          </w:tcPr>
          <w:p>
            <w:pPr>
              <w:spacing w:after="20"/>
              <w:jc w:val="right"/>
            </w:pPr>
            <w:r>
              <w:rPr>
                <w:color w:val="1C3A36"/>
                <w:sz w:val="16"/>
              </w:rPr>
              <w:t>39</w:t>
            </w:r>
          </w:p>
        </w:tc>
        <w:tc>
          <w:tcPr>
            <w:tcW w:type="dxa" w:w="950"/>
          </w:tcPr>
          <w:p>
            <w:pPr>
              <w:spacing w:after="20"/>
              <w:jc w:val="right"/>
            </w:pPr>
            <w:r>
              <w:rPr>
                <w:color w:val="1C3A36"/>
                <w:sz w:val="16"/>
              </w:rPr>
              <w:t>39</w:t>
            </w:r>
          </w:p>
        </w:tc>
        <w:tc>
          <w:tcPr>
            <w:tcW w:type="dxa" w:w="950"/>
          </w:tcPr>
          <w:p>
            <w:pPr>
              <w:spacing w:after="20"/>
              <w:jc w:val="right"/>
            </w:pPr>
            <w:r>
              <w:rPr>
                <w:color w:val="1C3A36"/>
                <w:sz w:val="16"/>
              </w:rPr>
              <w:t>39</w:t>
            </w:r>
          </w:p>
        </w:tc>
        <w:tc>
          <w:tcPr>
            <w:tcW w:type="dxa" w:w="950"/>
          </w:tcPr>
          <w:p>
            <w:pPr>
              <w:spacing w:after="20"/>
              <w:jc w:val="right"/>
            </w:pPr>
            <w:r>
              <w:rPr>
                <w:color w:val="1C3A36"/>
                <w:sz w:val="16"/>
              </w:rPr>
              <w:t>39</w:t>
            </w:r>
          </w:p>
        </w:tc>
      </w:tr>
      <w:tr>
        <w:trPr>
          <w:cantSplit/>
        </w:trPr>
        <w:tc>
          <w:tcPr>
            <w:tcW w:type="dxa" w:w="3672"/>
          </w:tcPr>
          <w:p>
            <w:pPr>
              <w:spacing w:after="20"/>
            </w:pPr>
            <w:r>
              <w:rPr>
                <w:color w:val="1C3A36"/>
                <w:sz w:val="16"/>
              </w:rPr>
              <w:t>Payable days, including related parties</w:t>
            </w:r>
          </w:p>
        </w:tc>
        <w:tc>
          <w:tcPr>
            <w:tcW w:type="dxa" w:w="1512"/>
          </w:tcPr>
          <w:p>
            <w:pPr>
              <w:spacing w:after="20"/>
              <w:jc w:val="right"/>
            </w:pPr>
            <w:r>
              <w:rPr>
                <w:color w:val="1C3A36"/>
                <w:sz w:val="16"/>
              </w:rPr>
              <w:t>85</w:t>
            </w:r>
          </w:p>
        </w:tc>
        <w:tc>
          <w:tcPr>
            <w:tcW w:type="dxa" w:w="950"/>
          </w:tcPr>
          <w:p>
            <w:pPr>
              <w:spacing w:after="20"/>
              <w:jc w:val="right"/>
            </w:pPr>
            <w:r>
              <w:rPr>
                <w:color w:val="1C3A36"/>
                <w:sz w:val="16"/>
              </w:rPr>
              <w:t>85</w:t>
            </w:r>
          </w:p>
        </w:tc>
        <w:tc>
          <w:tcPr>
            <w:tcW w:type="dxa" w:w="950"/>
          </w:tcPr>
          <w:p>
            <w:pPr>
              <w:spacing w:after="20"/>
              <w:jc w:val="right"/>
            </w:pPr>
            <w:r>
              <w:rPr>
                <w:color w:val="1C3A36"/>
                <w:sz w:val="16"/>
              </w:rPr>
              <w:t>85</w:t>
            </w:r>
          </w:p>
        </w:tc>
        <w:tc>
          <w:tcPr>
            <w:tcW w:type="dxa" w:w="950"/>
          </w:tcPr>
          <w:p>
            <w:pPr>
              <w:spacing w:after="20"/>
              <w:jc w:val="right"/>
            </w:pPr>
            <w:r>
              <w:rPr>
                <w:color w:val="1C3A36"/>
                <w:sz w:val="16"/>
              </w:rPr>
              <w:t>85</w:t>
            </w:r>
          </w:p>
        </w:tc>
        <w:tc>
          <w:tcPr>
            <w:tcW w:type="dxa" w:w="950"/>
          </w:tcPr>
          <w:p>
            <w:pPr>
              <w:spacing w:after="20"/>
              <w:jc w:val="right"/>
            </w:pPr>
            <w:r>
              <w:rPr>
                <w:color w:val="1C3A36"/>
                <w:sz w:val="16"/>
              </w:rPr>
              <w:t>85</w:t>
            </w:r>
          </w:p>
        </w:tc>
        <w:tc>
          <w:tcPr>
            <w:tcW w:type="dxa" w:w="950"/>
          </w:tcPr>
          <w:p>
            <w:pPr>
              <w:spacing w:after="20"/>
              <w:jc w:val="right"/>
            </w:pPr>
            <w:r>
              <w:rPr>
                <w:color w:val="1C3A36"/>
                <w:sz w:val="16"/>
              </w:rPr>
              <w:t>85</w:t>
            </w:r>
          </w:p>
        </w:tc>
      </w:tr>
      <w:tr>
        <w:trPr>
          <w:cantSplit/>
        </w:trPr>
        <w:tc>
          <w:tcPr>
            <w:tcW w:type="dxa" w:w="3672"/>
          </w:tcPr>
          <w:p>
            <w:pPr>
              <w:spacing w:after="20"/>
            </w:pPr>
            <w:r>
              <w:rPr>
                <w:color w:val="1C3A36"/>
                <w:sz w:val="16"/>
              </w:rPr>
              <w:t>Cash conversion cycle, trade only</w:t>
            </w:r>
          </w:p>
        </w:tc>
        <w:tc>
          <w:tcPr>
            <w:tcW w:type="dxa" w:w="1512"/>
          </w:tcPr>
          <w:p>
            <w:pPr>
              <w:spacing w:after="20"/>
              <w:jc w:val="right"/>
            </w:pPr>
            <w:r>
              <w:rPr>
                <w:color w:val="1C3A36"/>
                <w:sz w:val="16"/>
              </w:rPr>
              <w:t>7</w:t>
            </w:r>
          </w:p>
        </w:tc>
        <w:tc>
          <w:tcPr>
            <w:tcW w:type="dxa" w:w="950"/>
          </w:tcPr>
          <w:p>
            <w:pPr>
              <w:spacing w:after="20"/>
              <w:jc w:val="right"/>
            </w:pPr>
            <w:r>
              <w:rPr>
                <w:color w:val="1C3A36"/>
                <w:sz w:val="16"/>
              </w:rPr>
              <w:t>7</w:t>
            </w:r>
          </w:p>
        </w:tc>
        <w:tc>
          <w:tcPr>
            <w:tcW w:type="dxa" w:w="950"/>
          </w:tcPr>
          <w:p>
            <w:pPr>
              <w:spacing w:after="20"/>
              <w:jc w:val="right"/>
            </w:pPr>
            <w:r>
              <w:rPr>
                <w:color w:val="1C3A36"/>
                <w:sz w:val="16"/>
              </w:rPr>
              <w:t>7</w:t>
            </w:r>
          </w:p>
        </w:tc>
        <w:tc>
          <w:tcPr>
            <w:tcW w:type="dxa" w:w="950"/>
          </w:tcPr>
          <w:p>
            <w:pPr>
              <w:spacing w:after="20"/>
              <w:jc w:val="right"/>
            </w:pPr>
            <w:r>
              <w:rPr>
                <w:color w:val="1C3A36"/>
                <w:sz w:val="16"/>
              </w:rPr>
              <w:t>7</w:t>
            </w:r>
          </w:p>
        </w:tc>
        <w:tc>
          <w:tcPr>
            <w:tcW w:type="dxa" w:w="950"/>
          </w:tcPr>
          <w:p>
            <w:pPr>
              <w:spacing w:after="20"/>
              <w:jc w:val="right"/>
            </w:pPr>
            <w:r>
              <w:rPr>
                <w:color w:val="1C3A36"/>
                <w:sz w:val="16"/>
              </w:rPr>
              <w:t>7</w:t>
            </w:r>
          </w:p>
        </w:tc>
        <w:tc>
          <w:tcPr>
            <w:tcW w:type="dxa" w:w="950"/>
          </w:tcPr>
          <w:p>
            <w:pPr>
              <w:spacing w:after="20"/>
              <w:jc w:val="right"/>
            </w:pPr>
            <w:r>
              <w:rPr>
                <w:color w:val="1C3A36"/>
                <w:sz w:val="16"/>
              </w:rPr>
              <w:t>7</w:t>
            </w:r>
          </w:p>
        </w:tc>
      </w:tr>
      <w:tr>
        <w:trPr>
          <w:cantSplit/>
        </w:trPr>
        <w:tc>
          <w:tcPr>
            <w:tcW w:type="dxa" w:w="3672"/>
          </w:tcPr>
          <w:p>
            <w:pPr>
              <w:spacing w:after="20"/>
            </w:pPr>
            <w:r>
              <w:rPr>
                <w:color w:val="1C3A36"/>
                <w:sz w:val="16"/>
              </w:rPr>
              <w:t>Cash conversion cycle, including related parties</w:t>
            </w:r>
          </w:p>
        </w:tc>
        <w:tc>
          <w:tcPr>
            <w:tcW w:type="dxa" w:w="1512"/>
          </w:tcPr>
          <w:p>
            <w:pPr>
              <w:spacing w:after="20"/>
              <w:jc w:val="right"/>
            </w:pPr>
            <w:r>
              <w:rPr>
                <w:color w:val="1C3A36"/>
                <w:sz w:val="16"/>
              </w:rPr>
              <w:t>-31</w:t>
            </w:r>
          </w:p>
        </w:tc>
        <w:tc>
          <w:tcPr>
            <w:tcW w:type="dxa" w:w="950"/>
          </w:tcPr>
          <w:p>
            <w:pPr>
              <w:spacing w:after="20"/>
              <w:jc w:val="right"/>
            </w:pPr>
            <w:r>
              <w:rPr>
                <w:color w:val="1C3A36"/>
                <w:sz w:val="16"/>
              </w:rPr>
              <w:t>-31</w:t>
            </w:r>
          </w:p>
        </w:tc>
        <w:tc>
          <w:tcPr>
            <w:tcW w:type="dxa" w:w="950"/>
          </w:tcPr>
          <w:p>
            <w:pPr>
              <w:spacing w:after="20"/>
              <w:jc w:val="right"/>
            </w:pPr>
            <w:r>
              <w:rPr>
                <w:color w:val="1C3A36"/>
                <w:sz w:val="16"/>
              </w:rPr>
              <w:t>-31</w:t>
            </w:r>
          </w:p>
        </w:tc>
        <w:tc>
          <w:tcPr>
            <w:tcW w:type="dxa" w:w="950"/>
          </w:tcPr>
          <w:p>
            <w:pPr>
              <w:spacing w:after="20"/>
              <w:jc w:val="right"/>
            </w:pPr>
            <w:r>
              <w:rPr>
                <w:color w:val="1C3A36"/>
                <w:sz w:val="16"/>
              </w:rPr>
              <w:t>-31</w:t>
            </w:r>
          </w:p>
        </w:tc>
        <w:tc>
          <w:tcPr>
            <w:tcW w:type="dxa" w:w="950"/>
          </w:tcPr>
          <w:p>
            <w:pPr>
              <w:spacing w:after="20"/>
              <w:jc w:val="right"/>
            </w:pPr>
            <w:r>
              <w:rPr>
                <w:color w:val="1C3A36"/>
                <w:sz w:val="16"/>
              </w:rPr>
              <w:t>-31</w:t>
            </w:r>
          </w:p>
        </w:tc>
        <w:tc>
          <w:tcPr>
            <w:tcW w:type="dxa" w:w="950"/>
          </w:tcPr>
          <w:p>
            <w:pPr>
              <w:spacing w:after="20"/>
              <w:jc w:val="right"/>
            </w:pPr>
            <w:r>
              <w:rPr>
                <w:color w:val="1C3A36"/>
                <w:sz w:val="16"/>
              </w:rPr>
              <w:t>-31</w:t>
            </w:r>
          </w:p>
        </w:tc>
      </w:tr>
      <w:tr>
        <w:trPr>
          <w:cantSplit/>
        </w:trPr>
        <w:tc>
          <w:tcPr>
            <w:tcW w:type="dxa" w:w="3672"/>
          </w:tcPr>
          <w:p>
            <w:pPr>
              <w:spacing w:after="20"/>
            </w:pPr>
            <w:r>
              <w:rPr>
                <w:color w:val="1C3A36"/>
                <w:sz w:val="16"/>
              </w:rPr>
              <w:t>Net working capital (AED m)</w:t>
            </w:r>
          </w:p>
        </w:tc>
        <w:tc>
          <w:tcPr>
            <w:tcW w:type="dxa" w:w="1512"/>
          </w:tcPr>
          <w:p>
            <w:pPr>
              <w:spacing w:after="20"/>
              <w:jc w:val="right"/>
            </w:pPr>
            <w:r>
              <w:rPr>
                <w:color w:val="1C3A36"/>
                <w:sz w:val="16"/>
              </w:rPr>
              <w:t>-1,797</w:t>
            </w:r>
          </w:p>
        </w:tc>
        <w:tc>
          <w:tcPr>
            <w:tcW w:type="dxa" w:w="950"/>
          </w:tcPr>
          <w:p>
            <w:pPr>
              <w:spacing w:after="20"/>
              <w:jc w:val="right"/>
            </w:pPr>
            <w:r>
              <w:rPr>
                <w:color w:val="1C3A36"/>
                <w:sz w:val="16"/>
              </w:rPr>
              <w:t>-2,236</w:t>
            </w:r>
          </w:p>
        </w:tc>
        <w:tc>
          <w:tcPr>
            <w:tcW w:type="dxa" w:w="950"/>
          </w:tcPr>
          <w:p>
            <w:pPr>
              <w:spacing w:after="20"/>
              <w:jc w:val="right"/>
            </w:pPr>
            <w:r>
              <w:rPr>
                <w:color w:val="1C3A36"/>
                <w:sz w:val="16"/>
              </w:rPr>
              <w:t>-2,269</w:t>
            </w:r>
          </w:p>
        </w:tc>
        <w:tc>
          <w:tcPr>
            <w:tcW w:type="dxa" w:w="950"/>
          </w:tcPr>
          <w:p>
            <w:pPr>
              <w:spacing w:after="20"/>
              <w:jc w:val="right"/>
            </w:pPr>
            <w:r>
              <w:rPr>
                <w:color w:val="1C3A36"/>
                <w:sz w:val="16"/>
              </w:rPr>
              <w:t>-2,319</w:t>
            </w:r>
          </w:p>
        </w:tc>
        <w:tc>
          <w:tcPr>
            <w:tcW w:type="dxa" w:w="950"/>
          </w:tcPr>
          <w:p>
            <w:pPr>
              <w:spacing w:after="20"/>
              <w:jc w:val="right"/>
            </w:pPr>
            <w:r>
              <w:rPr>
                <w:color w:val="1C3A36"/>
                <w:sz w:val="16"/>
              </w:rPr>
              <w:t>-2,378</w:t>
            </w:r>
          </w:p>
        </w:tc>
        <w:tc>
          <w:tcPr>
            <w:tcW w:type="dxa" w:w="950"/>
          </w:tcPr>
          <w:p>
            <w:pPr>
              <w:spacing w:after="20"/>
              <w:jc w:val="right"/>
            </w:pPr>
            <w:r>
              <w:rPr>
                <w:color w:val="1C3A36"/>
                <w:sz w:val="16"/>
              </w:rPr>
              <w:t>-2,437</w:t>
            </w:r>
          </w:p>
        </w:tc>
      </w:tr>
      <w:tr>
        <w:trPr>
          <w:cantSplit/>
        </w:trPr>
        <w:tc>
          <w:tcPr>
            <w:tcW w:type="dxa" w:w="3672"/>
          </w:tcPr>
          <w:p>
            <w:pPr>
              <w:spacing w:after="20"/>
            </w:pPr>
            <w:r>
              <w:rPr>
                <w:color w:val="1C3A36"/>
                <w:sz w:val="16"/>
              </w:rPr>
              <w:t>Change in working capital (AED m)</w:t>
            </w:r>
          </w:p>
        </w:tc>
        <w:tc>
          <w:tcPr>
            <w:tcW w:type="dxa" w:w="1512"/>
          </w:tcPr>
          <w:p>
            <w:pPr>
              <w:spacing w:after="20"/>
              <w:jc w:val="right"/>
            </w:pPr>
            <w:r>
              <w:rPr>
                <w:color w:val="1C3A36"/>
                <w:sz w:val="16"/>
              </w:rPr>
              <w:t>—</w:t>
            </w:r>
          </w:p>
        </w:tc>
        <w:tc>
          <w:tcPr>
            <w:tcW w:type="dxa" w:w="950"/>
          </w:tcPr>
          <w:p>
            <w:pPr>
              <w:spacing w:after="20"/>
              <w:jc w:val="right"/>
            </w:pPr>
            <w:r>
              <w:rPr>
                <w:color w:val="1C3A36"/>
                <w:sz w:val="16"/>
              </w:rPr>
              <w:t>-440</w:t>
            </w:r>
          </w:p>
        </w:tc>
        <w:tc>
          <w:tcPr>
            <w:tcW w:type="dxa" w:w="950"/>
          </w:tcPr>
          <w:p>
            <w:pPr>
              <w:spacing w:after="20"/>
              <w:jc w:val="right"/>
            </w:pPr>
            <w:r>
              <w:rPr>
                <w:color w:val="1C3A36"/>
                <w:sz w:val="16"/>
              </w:rPr>
              <w:t>-33</w:t>
            </w:r>
          </w:p>
        </w:tc>
        <w:tc>
          <w:tcPr>
            <w:tcW w:type="dxa" w:w="950"/>
          </w:tcPr>
          <w:p>
            <w:pPr>
              <w:spacing w:after="20"/>
              <w:jc w:val="right"/>
            </w:pPr>
            <w:r>
              <w:rPr>
                <w:color w:val="1C3A36"/>
                <w:sz w:val="16"/>
              </w:rPr>
              <w:t>-50</w:t>
            </w:r>
          </w:p>
        </w:tc>
        <w:tc>
          <w:tcPr>
            <w:tcW w:type="dxa" w:w="950"/>
          </w:tcPr>
          <w:p>
            <w:pPr>
              <w:spacing w:after="20"/>
              <w:jc w:val="right"/>
            </w:pPr>
            <w:r>
              <w:rPr>
                <w:color w:val="1C3A36"/>
                <w:sz w:val="16"/>
              </w:rPr>
              <w:t>-59</w:t>
            </w:r>
          </w:p>
        </w:tc>
        <w:tc>
          <w:tcPr>
            <w:tcW w:type="dxa" w:w="950"/>
          </w:tcPr>
          <w:p>
            <w:pPr>
              <w:spacing w:after="20"/>
              <w:jc w:val="right"/>
            </w:pPr>
            <w:r>
              <w:rPr>
                <w:color w:val="1C3A36"/>
                <w:sz w:val="16"/>
              </w:rPr>
              <w:t>-59</w:t>
            </w:r>
          </w:p>
        </w:tc>
      </w:tr>
    </w:tbl>
    <w:p>
      <w:pPr>
        <w:spacing w:after="40"/>
      </w:pPr>
    </w:p>
    <w:p>
      <w:pPr>
        <w:spacing w:after="200" w:before="0"/>
      </w:pPr>
      <w:r>
        <w:rPr>
          <w:b w:val="0"/>
          <w:i/>
          <w:color w:val="6E7B77"/>
          <w:sz w:val="17"/>
        </w:rPr>
        <w:t>Table 33 — the asset-conversion cycle, projected rather than plugged. Both framings are published because both are legitimate and they say opposite things: on trade balances alone the cycle is 7 days — the business is very slightly a net investor in working capital. Including balances with related parties, which is how the audited balance sheet actually presents them, the cycle is -31 days: the business is financed by its own suppliers, most of them inside the parent group. The model uses the second, because that is the balance sheet that exists. A reader who thinks the related-party terms would not survive an arm's-length renegotiation should use the first, and the difference is roughly AED 1,797 million of financing.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037"/>
        <w:gridCol w:w="1037"/>
        <w:gridCol w:w="1037"/>
        <w:gridCol w:w="1037"/>
        <w:gridCol w:w="1037"/>
        <w:gridCol w:w="1037"/>
        <w:gridCol w:w="1037"/>
        <w:gridCol w:w="1037"/>
      </w:tblGrid>
      <w:tr>
        <w:trPr>
          <w:cantSplit/>
        </w:trPr>
        <w:tc>
          <w:tcPr>
            <w:tcW w:type="dxa" w:w="2477"/>
            <w:shd w:val="clear" w:color="auto" w:fill="EAF0EE"/>
          </w:tcPr>
          <w:p>
            <w:pPr>
              <w:spacing w:after="20"/>
            </w:pPr>
            <w:r>
              <w:rPr>
                <w:b/>
                <w:color w:val="1C3A36"/>
                <w:sz w:val="16"/>
              </w:rPr>
              <w:t>Cash flow (AED m)</w:t>
            </w:r>
          </w:p>
        </w:tc>
        <w:tc>
          <w:tcPr>
            <w:tcW w:type="dxa" w:w="1037"/>
            <w:shd w:val="clear" w:color="auto" w:fill="EAF0EE"/>
          </w:tcPr>
          <w:p>
            <w:pPr>
              <w:spacing w:after="20"/>
            </w:pPr>
            <w:r>
              <w:rPr>
                <w:b/>
                <w:color w:val="1C3A36"/>
                <w:sz w:val="16"/>
              </w:rPr>
              <w:t>FY2023</w:t>
            </w:r>
          </w:p>
        </w:tc>
        <w:tc>
          <w:tcPr>
            <w:tcW w:type="dxa" w:w="1037"/>
            <w:shd w:val="clear" w:color="auto" w:fill="EAF0EE"/>
          </w:tcPr>
          <w:p>
            <w:pPr>
              <w:spacing w:after="20"/>
            </w:pPr>
            <w:r>
              <w:rPr>
                <w:b/>
                <w:color w:val="1C3A36"/>
                <w:sz w:val="16"/>
              </w:rPr>
              <w:t>FY2024</w:t>
            </w:r>
          </w:p>
        </w:tc>
        <w:tc>
          <w:tcPr>
            <w:tcW w:type="dxa" w:w="1037"/>
            <w:shd w:val="clear" w:color="auto" w:fill="EAF0EE"/>
          </w:tcPr>
          <w:p>
            <w:pPr>
              <w:spacing w:after="20"/>
            </w:pPr>
            <w:r>
              <w:rPr>
                <w:b/>
                <w:color w:val="1C3A36"/>
                <w:sz w:val="16"/>
              </w:rPr>
              <w:t>FY2025</w:t>
            </w:r>
          </w:p>
        </w:tc>
        <w:tc>
          <w:tcPr>
            <w:tcW w:type="dxa" w:w="1037"/>
            <w:shd w:val="clear" w:color="auto" w:fill="EAF0EE"/>
          </w:tcPr>
          <w:p>
            <w:pPr>
              <w:spacing w:after="20"/>
            </w:pPr>
            <w:r>
              <w:rPr>
                <w:b/>
                <w:color w:val="1C3A36"/>
                <w:sz w:val="16"/>
              </w:rPr>
              <w:t>2026E</w:t>
            </w:r>
          </w:p>
        </w:tc>
        <w:tc>
          <w:tcPr>
            <w:tcW w:type="dxa" w:w="1037"/>
            <w:shd w:val="clear" w:color="auto" w:fill="EAF0EE"/>
          </w:tcPr>
          <w:p>
            <w:pPr>
              <w:spacing w:after="20"/>
            </w:pPr>
            <w:r>
              <w:rPr>
                <w:b/>
                <w:color w:val="1C3A36"/>
                <w:sz w:val="16"/>
              </w:rPr>
              <w:t>2027E</w:t>
            </w:r>
          </w:p>
        </w:tc>
        <w:tc>
          <w:tcPr>
            <w:tcW w:type="dxa" w:w="1037"/>
            <w:shd w:val="clear" w:color="auto" w:fill="EAF0EE"/>
          </w:tcPr>
          <w:p>
            <w:pPr>
              <w:spacing w:after="20"/>
            </w:pPr>
            <w:r>
              <w:rPr>
                <w:b/>
                <w:color w:val="1C3A36"/>
                <w:sz w:val="16"/>
              </w:rPr>
              <w:t>2028E</w:t>
            </w:r>
          </w:p>
        </w:tc>
        <w:tc>
          <w:tcPr>
            <w:tcW w:type="dxa" w:w="1037"/>
            <w:shd w:val="clear" w:color="auto" w:fill="EAF0EE"/>
          </w:tcPr>
          <w:p>
            <w:pPr>
              <w:spacing w:after="20"/>
            </w:pPr>
            <w:r>
              <w:rPr>
                <w:b/>
                <w:color w:val="1C3A36"/>
                <w:sz w:val="16"/>
              </w:rPr>
              <w:t>2029E</w:t>
            </w:r>
          </w:p>
        </w:tc>
        <w:tc>
          <w:tcPr>
            <w:tcW w:type="dxa" w:w="1037"/>
            <w:shd w:val="clear" w:color="auto" w:fill="EAF0EE"/>
          </w:tcPr>
          <w:p>
            <w:pPr>
              <w:spacing w:after="20"/>
            </w:pPr>
            <w:r>
              <w:rPr>
                <w:b/>
                <w:color w:val="1C3A36"/>
                <w:sz w:val="16"/>
              </w:rPr>
              <w:t>2030E</w:t>
            </w:r>
          </w:p>
        </w:tc>
      </w:tr>
      <w:tr>
        <w:trPr>
          <w:cantSplit/>
        </w:trPr>
        <w:tc>
          <w:tcPr>
            <w:tcW w:type="dxa" w:w="2477"/>
          </w:tcPr>
          <w:p>
            <w:pPr>
              <w:spacing w:after="20"/>
            </w:pPr>
            <w:r>
              <w:rPr>
                <w:color w:val="1C3A36"/>
                <w:sz w:val="16"/>
              </w:rPr>
              <w:t>Operating cash flow</w:t>
            </w:r>
          </w:p>
        </w:tc>
        <w:tc>
          <w:tcPr>
            <w:tcW w:type="dxa" w:w="1037"/>
          </w:tcPr>
          <w:p>
            <w:pPr>
              <w:spacing w:after="20"/>
              <w:jc w:val="right"/>
            </w:pPr>
            <w:r>
              <w:rPr>
                <w:color w:val="1C3A36"/>
                <w:sz w:val="16"/>
              </w:rPr>
              <w:t>5,051</w:t>
            </w:r>
          </w:p>
        </w:tc>
        <w:tc>
          <w:tcPr>
            <w:tcW w:type="dxa" w:w="1037"/>
          </w:tcPr>
          <w:p>
            <w:pPr>
              <w:spacing w:after="20"/>
              <w:jc w:val="right"/>
            </w:pPr>
            <w:r>
              <w:rPr>
                <w:color w:val="1C3A36"/>
                <w:sz w:val="16"/>
              </w:rPr>
              <w:t>3,931</w:t>
            </w:r>
          </w:p>
        </w:tc>
        <w:tc>
          <w:tcPr>
            <w:tcW w:type="dxa" w:w="1037"/>
          </w:tcPr>
          <w:p>
            <w:pPr>
              <w:spacing w:after="20"/>
              <w:jc w:val="right"/>
            </w:pPr>
            <w:r>
              <w:rPr>
                <w:color w:val="1C3A36"/>
                <w:sz w:val="16"/>
              </w:rPr>
              <w:t>3,922</w:t>
            </w:r>
          </w:p>
        </w:tc>
        <w:tc>
          <w:tcPr>
            <w:tcW w:type="dxa" w:w="1037"/>
          </w:tcPr>
          <w:p>
            <w:pPr>
              <w:spacing w:after="20"/>
              <w:jc w:val="right"/>
            </w:pPr>
            <w:r>
              <w:rPr>
                <w:color w:val="1C3A36"/>
                <w:sz w:val="16"/>
              </w:rPr>
              <w:t>5,082</w:t>
            </w:r>
          </w:p>
        </w:tc>
        <w:tc>
          <w:tcPr>
            <w:tcW w:type="dxa" w:w="1037"/>
          </w:tcPr>
          <w:p>
            <w:pPr>
              <w:spacing w:after="20"/>
              <w:jc w:val="right"/>
            </w:pPr>
            <w:r>
              <w:rPr>
                <w:color w:val="1C3A36"/>
                <w:sz w:val="16"/>
              </w:rPr>
              <w:t>4,283</w:t>
            </w:r>
          </w:p>
        </w:tc>
        <w:tc>
          <w:tcPr>
            <w:tcW w:type="dxa" w:w="1037"/>
          </w:tcPr>
          <w:p>
            <w:pPr>
              <w:spacing w:after="20"/>
              <w:jc w:val="right"/>
            </w:pPr>
            <w:r>
              <w:rPr>
                <w:color w:val="1C3A36"/>
                <w:sz w:val="16"/>
              </w:rPr>
              <w:t>4,478</w:t>
            </w:r>
          </w:p>
        </w:tc>
        <w:tc>
          <w:tcPr>
            <w:tcW w:type="dxa" w:w="1037"/>
          </w:tcPr>
          <w:p>
            <w:pPr>
              <w:spacing w:after="20"/>
              <w:jc w:val="right"/>
            </w:pPr>
            <w:r>
              <w:rPr>
                <w:color w:val="1C3A36"/>
                <w:sz w:val="16"/>
              </w:rPr>
              <w:t>4,696</w:t>
            </w:r>
          </w:p>
        </w:tc>
        <w:tc>
          <w:tcPr>
            <w:tcW w:type="dxa" w:w="1037"/>
          </w:tcPr>
          <w:p>
            <w:pPr>
              <w:spacing w:after="20"/>
              <w:jc w:val="right"/>
            </w:pPr>
            <w:r>
              <w:rPr>
                <w:color w:val="1C3A36"/>
                <w:sz w:val="16"/>
              </w:rPr>
              <w:t>4,911</w:t>
            </w:r>
          </w:p>
        </w:tc>
      </w:tr>
      <w:tr>
        <w:trPr>
          <w:cantSplit/>
        </w:trPr>
        <w:tc>
          <w:tcPr>
            <w:tcW w:type="dxa" w:w="2477"/>
          </w:tcPr>
          <w:p>
            <w:pPr>
              <w:spacing w:after="20"/>
            </w:pPr>
            <w:r>
              <w:rPr>
                <w:color w:val="1C3A36"/>
                <w:sz w:val="16"/>
              </w:rPr>
              <w:t>Capital expenditure</w:t>
            </w:r>
          </w:p>
        </w:tc>
        <w:tc>
          <w:tcPr>
            <w:tcW w:type="dxa" w:w="1037"/>
          </w:tcPr>
          <w:p>
            <w:pPr>
              <w:spacing w:after="20"/>
              <w:jc w:val="right"/>
            </w:pPr>
            <w:r>
              <w:rPr>
                <w:color w:val="1C3A36"/>
                <w:sz w:val="16"/>
              </w:rPr>
              <w:t>(1,032)</w:t>
            </w:r>
          </w:p>
        </w:tc>
        <w:tc>
          <w:tcPr>
            <w:tcW w:type="dxa" w:w="1037"/>
          </w:tcPr>
          <w:p>
            <w:pPr>
              <w:spacing w:after="20"/>
              <w:jc w:val="right"/>
            </w:pPr>
            <w:r>
              <w:rPr>
                <w:color w:val="1C3A36"/>
                <w:sz w:val="16"/>
              </w:rPr>
              <w:t>(1,179)</w:t>
            </w:r>
          </w:p>
        </w:tc>
        <w:tc>
          <w:tcPr>
            <w:tcW w:type="dxa" w:w="1037"/>
          </w:tcPr>
          <w:p>
            <w:pPr>
              <w:spacing w:after="20"/>
              <w:jc w:val="right"/>
            </w:pPr>
            <w:r>
              <w:rPr>
                <w:color w:val="1C3A36"/>
                <w:sz w:val="16"/>
              </w:rPr>
              <w:t>(1,207)</w:t>
            </w:r>
          </w:p>
        </w:tc>
        <w:tc>
          <w:tcPr>
            <w:tcW w:type="dxa" w:w="1037"/>
          </w:tcPr>
          <w:p>
            <w:pPr>
              <w:spacing w:after="20"/>
              <w:jc w:val="right"/>
            </w:pPr>
            <w:r>
              <w:rPr>
                <w:color w:val="1C3A36"/>
                <w:sz w:val="16"/>
              </w:rPr>
              <w:t>(1,012)</w:t>
            </w:r>
          </w:p>
        </w:tc>
        <w:tc>
          <w:tcPr>
            <w:tcW w:type="dxa" w:w="1037"/>
          </w:tcPr>
          <w:p>
            <w:pPr>
              <w:spacing w:after="20"/>
              <w:jc w:val="right"/>
            </w:pPr>
            <w:r>
              <w:rPr>
                <w:color w:val="1C3A36"/>
                <w:sz w:val="16"/>
              </w:rPr>
              <w:t>(984)</w:t>
            </w:r>
          </w:p>
        </w:tc>
        <w:tc>
          <w:tcPr>
            <w:tcW w:type="dxa" w:w="1037"/>
          </w:tcPr>
          <w:p>
            <w:pPr>
              <w:spacing w:after="20"/>
              <w:jc w:val="right"/>
            </w:pPr>
            <w:r>
              <w:rPr>
                <w:color w:val="1C3A36"/>
                <w:sz w:val="16"/>
              </w:rPr>
              <w:t>(986)</w:t>
            </w:r>
          </w:p>
        </w:tc>
        <w:tc>
          <w:tcPr>
            <w:tcW w:type="dxa" w:w="1037"/>
          </w:tcPr>
          <w:p>
            <w:pPr>
              <w:spacing w:after="20"/>
              <w:jc w:val="right"/>
            </w:pPr>
            <w:r>
              <w:rPr>
                <w:color w:val="1C3A36"/>
                <w:sz w:val="16"/>
              </w:rPr>
              <w:t>(985)</w:t>
            </w:r>
          </w:p>
        </w:tc>
        <w:tc>
          <w:tcPr>
            <w:tcW w:type="dxa" w:w="1037"/>
          </w:tcPr>
          <w:p>
            <w:pPr>
              <w:spacing w:after="20"/>
              <w:jc w:val="right"/>
            </w:pPr>
            <w:r>
              <w:rPr>
                <w:color w:val="1C3A36"/>
                <w:sz w:val="16"/>
              </w:rPr>
              <w:t>(981)</w:t>
            </w:r>
          </w:p>
        </w:tc>
      </w:tr>
      <w:tr>
        <w:trPr>
          <w:cantSplit/>
        </w:trPr>
        <w:tc>
          <w:tcPr>
            <w:tcW w:type="dxa" w:w="2477"/>
          </w:tcPr>
          <w:p>
            <w:pPr>
              <w:spacing w:after="20"/>
            </w:pPr>
            <w:r>
              <w:rPr>
                <w:color w:val="1C3A36"/>
                <w:sz w:val="16"/>
              </w:rPr>
              <w:t>Free cash flow after capital expenditure</w:t>
            </w:r>
          </w:p>
        </w:tc>
        <w:tc>
          <w:tcPr>
            <w:tcW w:type="dxa" w:w="1037"/>
          </w:tcPr>
          <w:p>
            <w:pPr>
              <w:spacing w:after="20"/>
              <w:jc w:val="right"/>
            </w:pPr>
            <w:r>
              <w:rPr>
                <w:color w:val="1C3A36"/>
                <w:sz w:val="16"/>
              </w:rPr>
              <w:t>4,019</w:t>
            </w:r>
          </w:p>
        </w:tc>
        <w:tc>
          <w:tcPr>
            <w:tcW w:type="dxa" w:w="1037"/>
          </w:tcPr>
          <w:p>
            <w:pPr>
              <w:spacing w:after="20"/>
              <w:jc w:val="right"/>
            </w:pPr>
            <w:r>
              <w:rPr>
                <w:color w:val="1C3A36"/>
                <w:sz w:val="16"/>
              </w:rPr>
              <w:t>2,752</w:t>
            </w:r>
          </w:p>
        </w:tc>
        <w:tc>
          <w:tcPr>
            <w:tcW w:type="dxa" w:w="1037"/>
          </w:tcPr>
          <w:p>
            <w:pPr>
              <w:spacing w:after="20"/>
              <w:jc w:val="right"/>
            </w:pPr>
            <w:r>
              <w:rPr>
                <w:color w:val="1C3A36"/>
                <w:sz w:val="16"/>
              </w:rPr>
              <w:t>2,715</w:t>
            </w:r>
          </w:p>
        </w:tc>
        <w:tc>
          <w:tcPr>
            <w:tcW w:type="dxa" w:w="1037"/>
          </w:tcPr>
          <w:p>
            <w:pPr>
              <w:spacing w:after="20"/>
              <w:jc w:val="right"/>
            </w:pPr>
            <w:r>
              <w:rPr>
                <w:color w:val="1C3A36"/>
                <w:sz w:val="16"/>
              </w:rPr>
              <w:t>4,070</w:t>
            </w:r>
          </w:p>
        </w:tc>
        <w:tc>
          <w:tcPr>
            <w:tcW w:type="dxa" w:w="1037"/>
          </w:tcPr>
          <w:p>
            <w:pPr>
              <w:spacing w:after="20"/>
              <w:jc w:val="right"/>
            </w:pPr>
            <w:r>
              <w:rPr>
                <w:color w:val="1C3A36"/>
                <w:sz w:val="16"/>
              </w:rPr>
              <w:t>3,300</w:t>
            </w:r>
          </w:p>
        </w:tc>
        <w:tc>
          <w:tcPr>
            <w:tcW w:type="dxa" w:w="1037"/>
          </w:tcPr>
          <w:p>
            <w:pPr>
              <w:spacing w:after="20"/>
              <w:jc w:val="right"/>
            </w:pPr>
            <w:r>
              <w:rPr>
                <w:color w:val="1C3A36"/>
                <w:sz w:val="16"/>
              </w:rPr>
              <w:t>3,492</w:t>
            </w:r>
          </w:p>
        </w:tc>
        <w:tc>
          <w:tcPr>
            <w:tcW w:type="dxa" w:w="1037"/>
          </w:tcPr>
          <w:p>
            <w:pPr>
              <w:spacing w:after="20"/>
              <w:jc w:val="right"/>
            </w:pPr>
            <w:r>
              <w:rPr>
                <w:color w:val="1C3A36"/>
                <w:sz w:val="16"/>
              </w:rPr>
              <w:t>3,711</w:t>
            </w:r>
          </w:p>
        </w:tc>
        <w:tc>
          <w:tcPr>
            <w:tcW w:type="dxa" w:w="1037"/>
          </w:tcPr>
          <w:p>
            <w:pPr>
              <w:spacing w:after="20"/>
              <w:jc w:val="right"/>
            </w:pPr>
            <w:r>
              <w:rPr>
                <w:color w:val="1C3A36"/>
                <w:sz w:val="16"/>
              </w:rPr>
              <w:t>3,930</w:t>
            </w:r>
          </w:p>
        </w:tc>
      </w:tr>
      <w:tr>
        <w:trPr>
          <w:cantSplit/>
        </w:trPr>
        <w:tc>
          <w:tcPr>
            <w:tcW w:type="dxa" w:w="2477"/>
          </w:tcPr>
          <w:p>
            <w:pPr>
              <w:spacing w:after="20"/>
            </w:pPr>
            <w:r>
              <w:rPr>
                <w:color w:val="1C3A36"/>
                <w:sz w:val="16"/>
              </w:rPr>
              <w:t>Dividends paid</w:t>
            </w:r>
          </w:p>
        </w:tc>
        <w:tc>
          <w:tcPr>
            <w:tcW w:type="dxa" w:w="1037"/>
          </w:tcPr>
          <w:p>
            <w:pPr>
              <w:spacing w:after="20"/>
              <w:jc w:val="right"/>
            </w:pPr>
            <w:r>
              <w:rPr>
                <w:color w:val="1C3A36"/>
                <w:sz w:val="16"/>
              </w:rPr>
              <w:t>(2,623)</w:t>
            </w:r>
          </w:p>
        </w:tc>
        <w:tc>
          <w:tcPr>
            <w:tcW w:type="dxa" w:w="1037"/>
          </w:tcPr>
          <w:p>
            <w:pPr>
              <w:spacing w:after="20"/>
              <w:jc w:val="right"/>
            </w:pPr>
            <w:r>
              <w:rPr>
                <w:color w:val="1C3A36"/>
                <w:sz w:val="16"/>
              </w:rPr>
              <w:t>(2,614)</w:t>
            </w:r>
          </w:p>
        </w:tc>
        <w:tc>
          <w:tcPr>
            <w:tcW w:type="dxa" w:w="1037"/>
          </w:tcPr>
          <w:p>
            <w:pPr>
              <w:spacing w:after="20"/>
              <w:jc w:val="right"/>
            </w:pPr>
            <w:r>
              <w:rPr>
                <w:color w:val="1C3A36"/>
                <w:sz w:val="16"/>
              </w:rPr>
              <w:t>(2,599)</w:t>
            </w:r>
          </w:p>
        </w:tc>
        <w:tc>
          <w:tcPr>
            <w:tcW w:type="dxa" w:w="1037"/>
          </w:tcPr>
          <w:p>
            <w:pPr>
              <w:spacing w:after="20"/>
              <w:jc w:val="right"/>
            </w:pPr>
            <w:r>
              <w:rPr>
                <w:color w:val="1C3A36"/>
                <w:sz w:val="16"/>
              </w:rPr>
              <w:t>(2,571)</w:t>
            </w:r>
          </w:p>
        </w:tc>
        <w:tc>
          <w:tcPr>
            <w:tcW w:type="dxa" w:w="1037"/>
          </w:tcPr>
          <w:p>
            <w:pPr>
              <w:spacing w:after="20"/>
              <w:jc w:val="right"/>
            </w:pPr>
            <w:r>
              <w:rPr>
                <w:color w:val="1C3A36"/>
                <w:sz w:val="16"/>
              </w:rPr>
              <w:t>(2,571)</w:t>
            </w:r>
          </w:p>
        </w:tc>
        <w:tc>
          <w:tcPr>
            <w:tcW w:type="dxa" w:w="1037"/>
          </w:tcPr>
          <w:p>
            <w:pPr>
              <w:spacing w:after="20"/>
              <w:jc w:val="right"/>
            </w:pPr>
            <w:r>
              <w:rPr>
                <w:color w:val="1C3A36"/>
                <w:sz w:val="16"/>
              </w:rPr>
              <w:t>(2,571)</w:t>
            </w:r>
          </w:p>
        </w:tc>
        <w:tc>
          <w:tcPr>
            <w:tcW w:type="dxa" w:w="1037"/>
          </w:tcPr>
          <w:p>
            <w:pPr>
              <w:spacing w:after="20"/>
              <w:jc w:val="right"/>
            </w:pPr>
            <w:r>
              <w:rPr>
                <w:color w:val="1C3A36"/>
                <w:sz w:val="16"/>
              </w:rPr>
              <w:t>(2,571)</w:t>
            </w:r>
          </w:p>
        </w:tc>
        <w:tc>
          <w:tcPr>
            <w:tcW w:type="dxa" w:w="1037"/>
          </w:tcPr>
          <w:p>
            <w:pPr>
              <w:spacing w:after="20"/>
              <w:jc w:val="right"/>
            </w:pPr>
            <w:r>
              <w:rPr>
                <w:color w:val="1C3A36"/>
                <w:sz w:val="16"/>
              </w:rPr>
              <w:t>(2,571)</w:t>
            </w:r>
          </w:p>
        </w:tc>
      </w:tr>
      <w:tr>
        <w:trPr>
          <w:cantSplit/>
        </w:trPr>
        <w:tc>
          <w:tcPr>
            <w:tcW w:type="dxa" w:w="2477"/>
            <w:shd w:val="clear" w:color="auto" w:fill="F6F1E6"/>
          </w:tcPr>
          <w:p>
            <w:pPr>
              <w:spacing w:after="20"/>
            </w:pPr>
            <w:r>
              <w:rPr>
                <w:b/>
                <w:color w:val="1C3A36"/>
                <w:sz w:val="16"/>
              </w:rPr>
              <w:t>Free cash flow to the FIRM (the valuation line)</w:t>
            </w:r>
          </w:p>
        </w:tc>
        <w:tc>
          <w:tcPr>
            <w:tcW w:type="dxa" w:w="1037"/>
            <w:shd w:val="clear" w:color="auto" w:fill="F6F1E6"/>
          </w:tcPr>
          <w:p>
            <w:pPr>
              <w:spacing w:after="20"/>
              <w:jc w:val="right"/>
            </w:pPr>
            <w:r>
              <w:rPr>
                <w:b/>
                <w:color w:val="1C3A36"/>
                <w:sz w:val="16"/>
              </w:rPr>
              <w:t>—</w:t>
            </w:r>
          </w:p>
        </w:tc>
        <w:tc>
          <w:tcPr>
            <w:tcW w:type="dxa" w:w="1037"/>
            <w:shd w:val="clear" w:color="auto" w:fill="F6F1E6"/>
          </w:tcPr>
          <w:p>
            <w:pPr>
              <w:spacing w:after="20"/>
              <w:jc w:val="right"/>
            </w:pPr>
            <w:r>
              <w:rPr>
                <w:b/>
                <w:color w:val="1C3A36"/>
                <w:sz w:val="16"/>
              </w:rPr>
              <w:t>—</w:t>
            </w:r>
          </w:p>
        </w:tc>
        <w:tc>
          <w:tcPr>
            <w:tcW w:type="dxa" w:w="1037"/>
            <w:shd w:val="clear" w:color="auto" w:fill="F6F1E6"/>
          </w:tcPr>
          <w:p>
            <w:pPr>
              <w:spacing w:after="20"/>
              <w:jc w:val="right"/>
            </w:pPr>
            <w:r>
              <w:rPr>
                <w:b/>
                <w:color w:val="1C3A36"/>
                <w:sz w:val="16"/>
              </w:rPr>
              <w:t>—</w:t>
            </w:r>
          </w:p>
        </w:tc>
        <w:tc>
          <w:tcPr>
            <w:tcW w:type="dxa" w:w="1037"/>
            <w:shd w:val="clear" w:color="auto" w:fill="F6F1E6"/>
          </w:tcPr>
          <w:p>
            <w:pPr>
              <w:spacing w:after="20"/>
              <w:jc w:val="right"/>
            </w:pPr>
            <w:r>
              <w:rPr>
                <w:b/>
                <w:color w:val="1C3A36"/>
                <w:sz w:val="16"/>
              </w:rPr>
              <w:t>4,368</w:t>
            </w:r>
          </w:p>
        </w:tc>
        <w:tc>
          <w:tcPr>
            <w:tcW w:type="dxa" w:w="1037"/>
            <w:shd w:val="clear" w:color="auto" w:fill="F6F1E6"/>
          </w:tcPr>
          <w:p>
            <w:pPr>
              <w:spacing w:after="20"/>
              <w:jc w:val="right"/>
            </w:pPr>
            <w:r>
              <w:rPr>
                <w:b/>
                <w:color w:val="1C3A36"/>
                <w:sz w:val="16"/>
              </w:rPr>
              <w:t>3,598</w:t>
            </w:r>
          </w:p>
        </w:tc>
        <w:tc>
          <w:tcPr>
            <w:tcW w:type="dxa" w:w="1037"/>
            <w:shd w:val="clear" w:color="auto" w:fill="F6F1E6"/>
          </w:tcPr>
          <w:p>
            <w:pPr>
              <w:spacing w:after="20"/>
              <w:jc w:val="right"/>
            </w:pPr>
            <w:r>
              <w:rPr>
                <w:b/>
                <w:color w:val="1C3A36"/>
                <w:sz w:val="16"/>
              </w:rPr>
              <w:t>3,790</w:t>
            </w:r>
          </w:p>
        </w:tc>
        <w:tc>
          <w:tcPr>
            <w:tcW w:type="dxa" w:w="1037"/>
            <w:shd w:val="clear" w:color="auto" w:fill="F6F1E6"/>
          </w:tcPr>
          <w:p>
            <w:pPr>
              <w:spacing w:after="20"/>
              <w:jc w:val="right"/>
            </w:pPr>
            <w:r>
              <w:rPr>
                <w:b/>
                <w:color w:val="1C3A36"/>
                <w:sz w:val="16"/>
              </w:rPr>
              <w:t>4,009</w:t>
            </w:r>
          </w:p>
        </w:tc>
        <w:tc>
          <w:tcPr>
            <w:tcW w:type="dxa" w:w="1037"/>
            <w:shd w:val="clear" w:color="auto" w:fill="F6F1E6"/>
          </w:tcPr>
          <w:p>
            <w:pPr>
              <w:spacing w:after="20"/>
              <w:jc w:val="right"/>
            </w:pPr>
            <w:r>
              <w:rPr>
                <w:b/>
                <w:color w:val="1C3A36"/>
                <w:sz w:val="16"/>
              </w:rPr>
              <w:t>4,228</w:t>
            </w:r>
          </w:p>
        </w:tc>
      </w:tr>
    </w:tbl>
    <w:p>
      <w:pPr>
        <w:spacing w:after="40"/>
      </w:pPr>
    </w:p>
    <w:p>
      <w:pPr>
        <w:spacing w:after="200" w:before="0"/>
      </w:pPr>
      <w:r>
        <w:rPr>
          <w:b w:val="0"/>
          <w:i/>
          <w:color w:val="6E7B77"/>
          <w:sz w:val="17"/>
        </w:rPr>
        <w:t>Table 34 — the cash flow. The last row is the line the valuation discounts and it is deliberately shown beside, not instead of, the shareholder cash flow above it: free cash flow to the firm is struck before financing and before tax on financing, so it is larger than the cash the equity actually receives. Dividends paid have exceeded free cash flow after capital expenditure in FY2024 and FY2025 — AED 2,599 million against AED 2,715 million in FY2025 — which is worth a reader's attention even though the balance sheet carries it comfortably.</w:t>
      </w:r>
    </w:p>
    <w:p>
      <w:pPr>
        <w:spacing w:after="120" w:before="280"/>
      </w:pPr>
      <w:r>
        <w:rPr>
          <w:b/>
          <w:i w:val="0"/>
          <w:color w:val="1C3A36"/>
          <w:sz w:val="30"/>
        </w:rPr>
        <w:t>Appendix B — peers, risks and the research record</w:t>
      </w:r>
    </w:p>
    <w:p>
      <w:pPr>
        <w:spacing w:after="80" w:before="200"/>
      </w:pPr>
      <w:r>
        <w:rPr>
          <w:b/>
          <w:i w:val="0"/>
          <w:color w:val="1C3A36"/>
          <w:sz w:val="24"/>
        </w:rPr>
        <w:t>B.1 Peers</w:t>
      </w:r>
    </w:p>
    <w:p>
      <w:pPr>
        <w:spacing w:after="120" w:before="0"/>
      </w:pPr>
      <w:r>
        <w:rPr>
          <w:b w:val="0"/>
          <w:i w:val="0"/>
          <w:color w:val="1C3A36"/>
          <w:sz w:val="21"/>
        </w:rPr>
        <w:t>No peer figure is used to construct any historical number for this company. Peers appear here as a cross-check on the multiple the study derives from the company's own economics, and as evidence about the industry. The set spans four continents deliberately, because the point being tested is precisely whether a regulated-margin retailer should trade like an unregulated 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1656"/>
        <w:gridCol w:w="1656"/>
        <w:gridCol w:w="3456"/>
      </w:tblGrid>
      <w:tr>
        <w:trPr>
          <w:cantSplit/>
        </w:trPr>
        <w:tc>
          <w:tcPr>
            <w:tcW w:type="dxa" w:w="3096"/>
            <w:shd w:val="clear" w:color="auto" w:fill="EAF0EE"/>
          </w:tcPr>
          <w:p>
            <w:pPr>
              <w:spacing w:after="20"/>
            </w:pPr>
            <w:r>
              <w:rPr>
                <w:b/>
                <w:color w:val="1C3A36"/>
                <w:sz w:val="16"/>
              </w:rPr>
              <w:t>Company</w:t>
            </w:r>
          </w:p>
        </w:tc>
        <w:tc>
          <w:tcPr>
            <w:tcW w:type="dxa" w:w="1656"/>
            <w:shd w:val="clear" w:color="auto" w:fill="EAF0EE"/>
          </w:tcPr>
          <w:p>
            <w:pPr>
              <w:spacing w:after="20"/>
            </w:pPr>
            <w:r>
              <w:rPr>
                <w:b/>
                <w:color w:val="1C3A36"/>
                <w:sz w:val="16"/>
              </w:rPr>
              <w:t>Market</w:t>
            </w:r>
          </w:p>
        </w:tc>
        <w:tc>
          <w:tcPr>
            <w:tcW w:type="dxa" w:w="1656"/>
            <w:shd w:val="clear" w:color="auto" w:fill="EAF0EE"/>
          </w:tcPr>
          <w:p>
            <w:pPr>
              <w:spacing w:after="20"/>
            </w:pPr>
            <w:r>
              <w:rPr>
                <w:b/>
                <w:color w:val="1C3A36"/>
                <w:sz w:val="16"/>
              </w:rPr>
              <w:t>Enterprise value / EBITDA</w:t>
            </w:r>
          </w:p>
        </w:tc>
        <w:tc>
          <w:tcPr>
            <w:tcW w:type="dxa" w:w="3456"/>
            <w:shd w:val="clear" w:color="auto" w:fill="EAF0EE"/>
          </w:tcPr>
          <w:p>
            <w:pPr>
              <w:spacing w:after="20"/>
            </w:pPr>
            <w:r>
              <w:rPr>
                <w:b/>
                <w:color w:val="1C3A36"/>
                <w:sz w:val="16"/>
              </w:rPr>
              <w:t>Role</w:t>
            </w:r>
          </w:p>
        </w:tc>
      </w:tr>
      <w:tr>
        <w:trPr>
          <w:cantSplit/>
        </w:trPr>
        <w:tc>
          <w:tcPr>
            <w:tcW w:type="dxa" w:w="3096"/>
          </w:tcPr>
          <w:p>
            <w:pPr>
              <w:spacing w:after="20"/>
            </w:pPr>
            <w:r>
              <w:rPr>
                <w:color w:val="1C3A36"/>
                <w:sz w:val="16"/>
              </w:rPr>
              <w:t>Aldrees Petroleum and Transport Services</w:t>
            </w:r>
          </w:p>
        </w:tc>
        <w:tc>
          <w:tcPr>
            <w:tcW w:type="dxa" w:w="1656"/>
          </w:tcPr>
          <w:p>
            <w:pPr>
              <w:spacing w:after="20"/>
              <w:jc w:val="right"/>
            </w:pPr>
            <w:r>
              <w:rPr>
                <w:color w:val="1C3A36"/>
                <w:sz w:val="16"/>
              </w:rPr>
              <w:t>Saudi Arabia</w:t>
            </w:r>
          </w:p>
        </w:tc>
        <w:tc>
          <w:tcPr>
            <w:tcW w:type="dxa" w:w="1656"/>
          </w:tcPr>
          <w:p>
            <w:pPr>
              <w:spacing w:after="20"/>
              <w:jc w:val="right"/>
            </w:pPr>
            <w:r>
              <w:rPr>
                <w:color w:val="1C3A36"/>
                <w:sz w:val="16"/>
              </w:rPr>
              <w:t>12.9x</w:t>
            </w:r>
          </w:p>
        </w:tc>
        <w:tc>
          <w:tcPr>
            <w:tcW w:type="dxa" w:w="3456"/>
          </w:tcPr>
          <w:p>
            <w:pPr>
              <w:spacing w:after="20"/>
              <w:jc w:val="right"/>
            </w:pPr>
            <w:r>
              <w:rPr>
                <w:color w:val="1C3A36"/>
                <w:sz w:val="16"/>
              </w:rPr>
              <w:t>closest regional comparable — same region, similar licensing regime</w:t>
            </w:r>
          </w:p>
        </w:tc>
      </w:tr>
      <w:tr>
        <w:trPr>
          <w:cantSplit/>
        </w:trPr>
        <w:tc>
          <w:tcPr>
            <w:tcW w:type="dxa" w:w="3096"/>
          </w:tcPr>
          <w:p>
            <w:pPr>
              <w:spacing w:after="20"/>
            </w:pPr>
            <w:r>
              <w:rPr>
                <w:color w:val="1C3A36"/>
                <w:sz w:val="16"/>
              </w:rPr>
              <w:t>Saudi Automotive Services Company</w:t>
            </w:r>
          </w:p>
        </w:tc>
        <w:tc>
          <w:tcPr>
            <w:tcW w:type="dxa" w:w="1656"/>
          </w:tcPr>
          <w:p>
            <w:pPr>
              <w:spacing w:after="20"/>
              <w:jc w:val="right"/>
            </w:pPr>
            <w:r>
              <w:rPr>
                <w:color w:val="1C3A36"/>
                <w:sz w:val="16"/>
              </w:rPr>
              <w:t>Saudi Arabia</w:t>
            </w:r>
          </w:p>
        </w:tc>
        <w:tc>
          <w:tcPr>
            <w:tcW w:type="dxa" w:w="1656"/>
          </w:tcPr>
          <w:p>
            <w:pPr>
              <w:spacing w:after="20"/>
              <w:jc w:val="right"/>
            </w:pPr>
            <w:r>
              <w:rPr>
                <w:color w:val="1C3A36"/>
                <w:sz w:val="16"/>
              </w:rPr>
              <w:t>12.3x</w:t>
            </w:r>
          </w:p>
        </w:tc>
        <w:tc>
          <w:tcPr>
            <w:tcW w:type="dxa" w:w="3456"/>
          </w:tcPr>
          <w:p>
            <w:pPr>
              <w:spacing w:after="20"/>
              <w:jc w:val="right"/>
            </w:pPr>
            <w:r>
              <w:rPr>
                <w:color w:val="1C3A36"/>
                <w:sz w:val="16"/>
              </w:rPr>
              <w:t>cross-check</w:t>
            </w:r>
          </w:p>
        </w:tc>
      </w:tr>
      <w:tr>
        <w:trPr>
          <w:cantSplit/>
        </w:trPr>
        <w:tc>
          <w:tcPr>
            <w:tcW w:type="dxa" w:w="3096"/>
          </w:tcPr>
          <w:p>
            <w:pPr>
              <w:spacing w:after="20"/>
            </w:pPr>
            <w:r>
              <w:rPr>
                <w:color w:val="1C3A36"/>
                <w:sz w:val="16"/>
              </w:rPr>
              <w:t>Alimentation Couche-Tard</w:t>
            </w:r>
          </w:p>
        </w:tc>
        <w:tc>
          <w:tcPr>
            <w:tcW w:type="dxa" w:w="1656"/>
          </w:tcPr>
          <w:p>
            <w:pPr>
              <w:spacing w:after="20"/>
              <w:jc w:val="right"/>
            </w:pPr>
            <w:r>
              <w:rPr>
                <w:color w:val="1C3A36"/>
                <w:sz w:val="16"/>
              </w:rPr>
              <w:t>Canada</w:t>
            </w:r>
          </w:p>
        </w:tc>
        <w:tc>
          <w:tcPr>
            <w:tcW w:type="dxa" w:w="1656"/>
          </w:tcPr>
          <w:p>
            <w:pPr>
              <w:spacing w:after="20"/>
              <w:jc w:val="right"/>
            </w:pPr>
            <w:r>
              <w:rPr>
                <w:color w:val="1C3A36"/>
                <w:sz w:val="16"/>
              </w:rPr>
              <w:t>10.7x</w:t>
            </w:r>
          </w:p>
        </w:tc>
        <w:tc>
          <w:tcPr>
            <w:tcW w:type="dxa" w:w="3456"/>
          </w:tcPr>
          <w:p>
            <w:pPr>
              <w:spacing w:after="20"/>
              <w:jc w:val="right"/>
            </w:pPr>
            <w:r>
              <w:rPr>
                <w:color w:val="1C3A36"/>
                <w:sz w:val="16"/>
              </w:rPr>
              <w:t>the global convenience-retail benchmark</w:t>
            </w:r>
          </w:p>
        </w:tc>
      </w:tr>
      <w:tr>
        <w:trPr>
          <w:cantSplit/>
        </w:trPr>
        <w:tc>
          <w:tcPr>
            <w:tcW w:type="dxa" w:w="3096"/>
          </w:tcPr>
          <w:p>
            <w:pPr>
              <w:spacing w:after="20"/>
            </w:pPr>
            <w:r>
              <w:rPr>
                <w:color w:val="1C3A36"/>
                <w:sz w:val="16"/>
              </w:rPr>
              <w:t>Casey's General Stores</w:t>
            </w:r>
          </w:p>
        </w:tc>
        <w:tc>
          <w:tcPr>
            <w:tcW w:type="dxa" w:w="1656"/>
          </w:tcPr>
          <w:p>
            <w:pPr>
              <w:spacing w:after="20"/>
              <w:jc w:val="right"/>
            </w:pPr>
            <w:r>
              <w:rPr>
                <w:color w:val="1C3A36"/>
                <w:sz w:val="16"/>
              </w:rPr>
              <w:t>United States</w:t>
            </w:r>
          </w:p>
        </w:tc>
        <w:tc>
          <w:tcPr>
            <w:tcW w:type="dxa" w:w="1656"/>
          </w:tcPr>
          <w:p>
            <w:pPr>
              <w:spacing w:after="20"/>
              <w:jc w:val="right"/>
            </w:pPr>
            <w:r>
              <w:rPr>
                <w:color w:val="1C3A36"/>
                <w:sz w:val="16"/>
              </w:rPr>
              <w:t>22.4x</w:t>
            </w:r>
          </w:p>
        </w:tc>
        <w:tc>
          <w:tcPr>
            <w:tcW w:type="dxa" w:w="3456"/>
          </w:tcPr>
          <w:p>
            <w:pPr>
              <w:spacing w:after="20"/>
              <w:jc w:val="right"/>
            </w:pPr>
            <w:r>
              <w:rPr>
                <w:color w:val="1C3A36"/>
                <w:sz w:val="16"/>
              </w:rPr>
              <w:t>the highest multiple in the set — a pure convenience model</w:t>
            </w:r>
          </w:p>
        </w:tc>
      </w:tr>
      <w:tr>
        <w:trPr>
          <w:cantSplit/>
        </w:trPr>
        <w:tc>
          <w:tcPr>
            <w:tcW w:type="dxa" w:w="3096"/>
          </w:tcPr>
          <w:p>
            <w:pPr>
              <w:spacing w:after="20"/>
            </w:pPr>
            <w:r>
              <w:rPr>
                <w:color w:val="1C3A36"/>
                <w:sz w:val="16"/>
              </w:rPr>
              <w:t>Murphy USA</w:t>
            </w:r>
          </w:p>
        </w:tc>
        <w:tc>
          <w:tcPr>
            <w:tcW w:type="dxa" w:w="1656"/>
          </w:tcPr>
          <w:p>
            <w:pPr>
              <w:spacing w:after="20"/>
              <w:jc w:val="right"/>
            </w:pPr>
            <w:r>
              <w:rPr>
                <w:color w:val="1C3A36"/>
                <w:sz w:val="16"/>
              </w:rPr>
              <w:t>United States</w:t>
            </w:r>
          </w:p>
        </w:tc>
        <w:tc>
          <w:tcPr>
            <w:tcW w:type="dxa" w:w="1656"/>
          </w:tcPr>
          <w:p>
            <w:pPr>
              <w:spacing w:after="20"/>
              <w:jc w:val="right"/>
            </w:pPr>
            <w:r>
              <w:rPr>
                <w:color w:val="1C3A36"/>
                <w:sz w:val="16"/>
              </w:rPr>
              <w:t>10.0x</w:t>
            </w:r>
          </w:p>
        </w:tc>
        <w:tc>
          <w:tcPr>
            <w:tcW w:type="dxa" w:w="3456"/>
          </w:tcPr>
          <w:p>
            <w:pPr>
              <w:spacing w:after="20"/>
              <w:jc w:val="right"/>
            </w:pPr>
            <w:r>
              <w:rPr>
                <w:color w:val="1C3A36"/>
                <w:sz w:val="16"/>
              </w:rPr>
              <w:t>high-volume fuel-led model</w:t>
            </w:r>
          </w:p>
        </w:tc>
      </w:tr>
      <w:tr>
        <w:trPr>
          <w:cantSplit/>
        </w:trPr>
        <w:tc>
          <w:tcPr>
            <w:tcW w:type="dxa" w:w="3096"/>
          </w:tcPr>
          <w:p>
            <w:pPr>
              <w:spacing w:after="20"/>
            </w:pPr>
            <w:r>
              <w:rPr>
                <w:color w:val="1C3A36"/>
                <w:sz w:val="16"/>
              </w:rPr>
              <w:t>OMV Petrom</w:t>
            </w:r>
          </w:p>
        </w:tc>
        <w:tc>
          <w:tcPr>
            <w:tcW w:type="dxa" w:w="1656"/>
          </w:tcPr>
          <w:p>
            <w:pPr>
              <w:spacing w:after="20"/>
              <w:jc w:val="right"/>
            </w:pPr>
            <w:r>
              <w:rPr>
                <w:color w:val="1C3A36"/>
                <w:sz w:val="16"/>
              </w:rPr>
              <w:t>Romania</w:t>
            </w:r>
          </w:p>
        </w:tc>
        <w:tc>
          <w:tcPr>
            <w:tcW w:type="dxa" w:w="1656"/>
          </w:tcPr>
          <w:p>
            <w:pPr>
              <w:spacing w:after="20"/>
              <w:jc w:val="right"/>
            </w:pPr>
            <w:r>
              <w:rPr>
                <w:color w:val="1C3A36"/>
                <w:sz w:val="16"/>
              </w:rPr>
              <w:t>9.9x</w:t>
            </w:r>
          </w:p>
        </w:tc>
        <w:tc>
          <w:tcPr>
            <w:tcW w:type="dxa" w:w="3456"/>
          </w:tcPr>
          <w:p>
            <w:pPr>
              <w:spacing w:after="20"/>
              <w:jc w:val="right"/>
            </w:pPr>
            <w:r>
              <w:rPr>
                <w:color w:val="1C3A36"/>
                <w:sz w:val="16"/>
              </w:rPr>
              <w:t>integrated European comparator</w:t>
            </w:r>
          </w:p>
        </w:tc>
      </w:tr>
      <w:tr>
        <w:trPr>
          <w:cantSplit/>
        </w:trPr>
        <w:tc>
          <w:tcPr>
            <w:tcW w:type="dxa" w:w="3096"/>
          </w:tcPr>
          <w:p>
            <w:pPr>
              <w:spacing w:after="20"/>
            </w:pPr>
            <w:r>
              <w:rPr>
                <w:color w:val="1C3A36"/>
                <w:sz w:val="16"/>
              </w:rPr>
              <w:t>Vibra Energia</w:t>
            </w:r>
          </w:p>
        </w:tc>
        <w:tc>
          <w:tcPr>
            <w:tcW w:type="dxa" w:w="1656"/>
          </w:tcPr>
          <w:p>
            <w:pPr>
              <w:spacing w:after="20"/>
              <w:jc w:val="right"/>
            </w:pPr>
            <w:r>
              <w:rPr>
                <w:color w:val="1C3A36"/>
                <w:sz w:val="16"/>
              </w:rPr>
              <w:t>Brazil</w:t>
            </w:r>
          </w:p>
        </w:tc>
        <w:tc>
          <w:tcPr>
            <w:tcW w:type="dxa" w:w="1656"/>
          </w:tcPr>
          <w:p>
            <w:pPr>
              <w:spacing w:after="20"/>
              <w:jc w:val="right"/>
            </w:pPr>
            <w:r>
              <w:rPr>
                <w:color w:val="1C3A36"/>
                <w:sz w:val="16"/>
              </w:rPr>
              <w:t>7.7x</w:t>
            </w:r>
          </w:p>
        </w:tc>
        <w:tc>
          <w:tcPr>
            <w:tcW w:type="dxa" w:w="3456"/>
          </w:tcPr>
          <w:p>
            <w:pPr>
              <w:spacing w:after="20"/>
              <w:jc w:val="right"/>
            </w:pPr>
            <w:r>
              <w:rPr>
                <w:color w:val="1C3A36"/>
                <w:sz w:val="16"/>
              </w:rPr>
              <w:t>emerging-market fuel distribution</w:t>
            </w:r>
          </w:p>
        </w:tc>
      </w:tr>
      <w:tr>
        <w:trPr>
          <w:cantSplit/>
        </w:trPr>
        <w:tc>
          <w:tcPr>
            <w:tcW w:type="dxa" w:w="3096"/>
          </w:tcPr>
          <w:p>
            <w:pPr>
              <w:spacing w:after="20"/>
            </w:pPr>
            <w:r>
              <w:rPr>
                <w:color w:val="1C3A36"/>
                <w:sz w:val="16"/>
              </w:rPr>
              <w:t>Ultrapar Participacoes</w:t>
            </w:r>
          </w:p>
        </w:tc>
        <w:tc>
          <w:tcPr>
            <w:tcW w:type="dxa" w:w="1656"/>
          </w:tcPr>
          <w:p>
            <w:pPr>
              <w:spacing w:after="20"/>
              <w:jc w:val="right"/>
            </w:pPr>
            <w:r>
              <w:rPr>
                <w:color w:val="1C3A36"/>
                <w:sz w:val="16"/>
              </w:rPr>
              <w:t>Brazil</w:t>
            </w:r>
          </w:p>
        </w:tc>
        <w:tc>
          <w:tcPr>
            <w:tcW w:type="dxa" w:w="1656"/>
          </w:tcPr>
          <w:p>
            <w:pPr>
              <w:spacing w:after="20"/>
              <w:jc w:val="right"/>
            </w:pPr>
            <w:r>
              <w:rPr>
                <w:color w:val="1C3A36"/>
                <w:sz w:val="16"/>
              </w:rPr>
              <w:t>6.8x</w:t>
            </w:r>
          </w:p>
        </w:tc>
        <w:tc>
          <w:tcPr>
            <w:tcW w:type="dxa" w:w="3456"/>
          </w:tcPr>
          <w:p>
            <w:pPr>
              <w:spacing w:after="20"/>
              <w:jc w:val="right"/>
            </w:pPr>
            <w:r>
              <w:rPr>
                <w:color w:val="1C3A36"/>
                <w:sz w:val="16"/>
              </w:rPr>
              <w:t>the lowest multiple in the set</w:t>
            </w:r>
          </w:p>
        </w:tc>
      </w:tr>
      <w:tr>
        <w:trPr>
          <w:cantSplit/>
        </w:trPr>
        <w:tc>
          <w:tcPr>
            <w:tcW w:type="dxa" w:w="3096"/>
            <w:shd w:val="clear" w:color="auto" w:fill="F6F1E6"/>
          </w:tcPr>
          <w:p>
            <w:pPr>
              <w:spacing w:after="20"/>
            </w:pPr>
            <w:r>
              <w:rPr>
                <w:b/>
                <w:color w:val="1C3A36"/>
                <w:sz w:val="16"/>
              </w:rPr>
              <w:t>ADNOC Distribution, at the traded price</w:t>
            </w:r>
          </w:p>
        </w:tc>
        <w:tc>
          <w:tcPr>
            <w:tcW w:type="dxa" w:w="1656"/>
            <w:shd w:val="clear" w:color="auto" w:fill="F6F1E6"/>
          </w:tcPr>
          <w:p>
            <w:pPr>
              <w:spacing w:after="20"/>
              <w:jc w:val="right"/>
            </w:pPr>
            <w:r>
              <w:rPr>
                <w:b/>
                <w:color w:val="1C3A36"/>
                <w:sz w:val="16"/>
              </w:rPr>
              <w:t>United Arab Emirates</w:t>
            </w:r>
          </w:p>
        </w:tc>
        <w:tc>
          <w:tcPr>
            <w:tcW w:type="dxa" w:w="1656"/>
            <w:shd w:val="clear" w:color="auto" w:fill="F6F1E6"/>
          </w:tcPr>
          <w:p>
            <w:pPr>
              <w:spacing w:after="20"/>
              <w:jc w:val="right"/>
            </w:pPr>
            <w:r>
              <w:rPr>
                <w:b/>
                <w:color w:val="1C3A36"/>
                <w:sz w:val="16"/>
              </w:rPr>
              <w:t>12.8x</w:t>
            </w:r>
          </w:p>
        </w:tc>
        <w:tc>
          <w:tcPr>
            <w:tcW w:type="dxa" w:w="3456"/>
            <w:shd w:val="clear" w:color="auto" w:fill="F6F1E6"/>
          </w:tcPr>
          <w:p>
            <w:pPr>
              <w:spacing w:after="20"/>
              <w:jc w:val="right"/>
            </w:pPr>
            <w:r>
              <w:rPr>
                <w:b/>
                <w:color w:val="1C3A36"/>
                <w:sz w:val="16"/>
              </w:rPr>
              <w:t>the subject, on the same enterprise-value definition</w:t>
            </w:r>
          </w:p>
        </w:tc>
      </w:tr>
    </w:tbl>
    <w:p>
      <w:pPr>
        <w:spacing w:after="40"/>
      </w:pPr>
    </w:p>
    <w:p>
      <w:pPr>
        <w:spacing w:after="200" w:before="0"/>
      </w:pPr>
      <w:r>
        <w:rPr>
          <w:b w:val="0"/>
          <w:i/>
          <w:color w:val="6E7B77"/>
          <w:sz w:val="17"/>
        </w:rPr>
        <w:t>Table 35 — the peer evidence, 8 listed comparators plus the subject. Two names that would have been the most instructive comparators — a large Indian fuel-retail joint venture and a global emerging-market fuel distributor — have no listed equity and therefore no multiple, and their absence is recorded rather than quietly ignored.</w:t>
      </w:r>
    </w:p>
    <w:p>
      <w:pPr>
        <w:spacing w:after="80" w:before="200"/>
      </w:pPr>
      <w:r>
        <w:rPr>
          <w:b/>
          <w:i w:val="0"/>
          <w:color w:val="1C3A36"/>
          <w:sz w:val="24"/>
        </w:rPr>
        <w:t>B.2 Risks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5112"/>
        <w:gridCol w:w="1368"/>
      </w:tblGrid>
      <w:tr>
        <w:trPr>
          <w:cantSplit/>
        </w:trPr>
        <w:tc>
          <w:tcPr>
            <w:tcW w:type="dxa" w:w="2664"/>
            <w:shd w:val="clear" w:color="auto" w:fill="EAF0EE"/>
          </w:tcPr>
          <w:p>
            <w:pPr>
              <w:spacing w:after="20"/>
            </w:pPr>
            <w:r>
              <w:rPr>
                <w:b/>
                <w:color w:val="1C3A36"/>
                <w:sz w:val="16"/>
              </w:rPr>
              <w:t>Risk</w:t>
            </w:r>
          </w:p>
        </w:tc>
        <w:tc>
          <w:tcPr>
            <w:tcW w:type="dxa" w:w="5112"/>
            <w:shd w:val="clear" w:color="auto" w:fill="EAF0EE"/>
          </w:tcPr>
          <w:p>
            <w:pPr>
              <w:spacing w:after="20"/>
            </w:pPr>
            <w:r>
              <w:rPr>
                <w:b/>
                <w:color w:val="1C3A36"/>
                <w:sz w:val="16"/>
              </w:rPr>
              <w:t>How it would show up</w:t>
            </w:r>
          </w:p>
        </w:tc>
        <w:tc>
          <w:tcPr>
            <w:tcW w:type="dxa" w:w="1368"/>
            <w:shd w:val="clear" w:color="auto" w:fill="EAF0EE"/>
          </w:tcPr>
          <w:p>
            <w:pPr>
              <w:spacing w:after="20"/>
            </w:pPr>
            <w:r>
              <w:rPr>
                <w:b/>
                <w:color w:val="1C3A36"/>
                <w:sz w:val="16"/>
              </w:rPr>
              <w:t>Severity</w:t>
            </w:r>
          </w:p>
        </w:tc>
      </w:tr>
      <w:tr>
        <w:trPr>
          <w:cantSplit/>
        </w:trPr>
        <w:tc>
          <w:tcPr>
            <w:tcW w:type="dxa" w:w="2664"/>
          </w:tcPr>
          <w:p>
            <w:pPr>
              <w:spacing w:after="20"/>
            </w:pPr>
            <w:r>
              <w:rPr>
                <w:color w:val="1C3A36"/>
                <w:sz w:val="16"/>
              </w:rPr>
              <w:t>The crude path reverses the inventory gains</w:t>
            </w:r>
          </w:p>
        </w:tc>
        <w:tc>
          <w:tcPr>
            <w:tcW w:type="dxa" w:w="5112"/>
          </w:tcPr>
          <w:p>
            <w:pPr>
              <w:spacing w:after="20"/>
              <w:jc w:val="right"/>
            </w:pPr>
            <w:r>
              <w:rPr>
                <w:color w:val="1C3A36"/>
                <w:sz w:val="16"/>
              </w:rPr>
              <w:t>the AED 762 million booked in the first half of 2026 unwinds as prices fall toward the forecast 65 dollars. The parental backstop covers regulated retail stock quarterly and cash-settles, which truncates but does not eliminate this</w:t>
            </w:r>
          </w:p>
        </w:tc>
        <w:tc>
          <w:tcPr>
            <w:tcW w:type="dxa" w:w="1368"/>
          </w:tcPr>
          <w:p>
            <w:pPr>
              <w:spacing w:after="20"/>
              <w:jc w:val="right"/>
            </w:pPr>
            <w:r>
              <w:rPr>
                <w:color w:val="1C3A36"/>
                <w:sz w:val="16"/>
              </w:rPr>
              <w:t>High</w:t>
            </w:r>
          </w:p>
        </w:tc>
      </w:tr>
      <w:tr>
        <w:trPr>
          <w:cantSplit/>
        </w:trPr>
        <w:tc>
          <w:tcPr>
            <w:tcW w:type="dxa" w:w="2664"/>
          </w:tcPr>
          <w:p>
            <w:pPr>
              <w:spacing w:after="20"/>
            </w:pPr>
            <w:r>
              <w:rPr>
                <w:color w:val="1C3A36"/>
                <w:sz w:val="16"/>
              </w:rPr>
              <w:t>Permanent volume decline</w:t>
            </w:r>
          </w:p>
        </w:tc>
        <w:tc>
          <w:tcPr>
            <w:tcW w:type="dxa" w:w="5112"/>
          </w:tcPr>
          <w:p>
            <w:pPr>
              <w:spacing w:after="20"/>
              <w:jc w:val="right"/>
            </w:pPr>
            <w:r>
              <w:rPr>
                <w:color w:val="1C3A36"/>
                <w:sz w:val="16"/>
              </w:rPr>
              <w:t>the risk the market is already pricing. Section 1.7 shows the traded price embeds -0.42% terminal growth against a cost stack escalating at 4%</w:t>
            </w:r>
          </w:p>
        </w:tc>
        <w:tc>
          <w:tcPr>
            <w:tcW w:type="dxa" w:w="1368"/>
          </w:tcPr>
          <w:p>
            <w:pPr>
              <w:spacing w:after="20"/>
              <w:jc w:val="right"/>
            </w:pPr>
            <w:r>
              <w:rPr>
                <w:color w:val="1C3A36"/>
                <w:sz w:val="16"/>
              </w:rPr>
              <w:t>High</w:t>
            </w:r>
          </w:p>
        </w:tc>
      </w:tr>
      <w:tr>
        <w:trPr>
          <w:cantSplit/>
        </w:trPr>
        <w:tc>
          <w:tcPr>
            <w:tcW w:type="dxa" w:w="2664"/>
          </w:tcPr>
          <w:p>
            <w:pPr>
              <w:spacing w:after="20"/>
            </w:pPr>
            <w:r>
              <w:rPr>
                <w:color w:val="1C3A36"/>
                <w:sz w:val="16"/>
              </w:rPr>
              <w:t>Non-fuel conversion keeps deteriorating</w:t>
            </w:r>
          </w:p>
        </w:tc>
        <w:tc>
          <w:tcPr>
            <w:tcW w:type="dxa" w:w="5112"/>
          </w:tcPr>
          <w:p>
            <w:pPr>
              <w:spacing w:after="20"/>
              <w:jc w:val="right"/>
            </w:pPr>
            <w:r>
              <w:rPr>
                <w:color w:val="1C3A36"/>
                <w:sz w:val="16"/>
              </w:rPr>
              <w:t>non-fuel transactions per fuel transaction fell year on year in the first half of 2026. The high-margin leg is the one that is supposed to offset fuel maturity</w:t>
            </w:r>
          </w:p>
        </w:tc>
        <w:tc>
          <w:tcPr>
            <w:tcW w:type="dxa" w:w="1368"/>
          </w:tcPr>
          <w:p>
            <w:pPr>
              <w:spacing w:after="20"/>
              <w:jc w:val="right"/>
            </w:pPr>
            <w:r>
              <w:rPr>
                <w:color w:val="1C3A36"/>
                <w:sz w:val="16"/>
              </w:rPr>
              <w:t>Medium to high</w:t>
            </w:r>
          </w:p>
        </w:tc>
      </w:tr>
      <w:tr>
        <w:trPr>
          <w:cantSplit/>
        </w:trPr>
        <w:tc>
          <w:tcPr>
            <w:tcW w:type="dxa" w:w="2664"/>
          </w:tcPr>
          <w:p>
            <w:pPr>
              <w:spacing w:after="20"/>
            </w:pPr>
            <w:r>
              <w:rPr>
                <w:color w:val="1C3A36"/>
                <w:sz w:val="16"/>
              </w:rPr>
              <w:t>Concentration in one country and one regulator</w:t>
            </w:r>
          </w:p>
        </w:tc>
        <w:tc>
          <w:tcPr>
            <w:tcW w:type="dxa" w:w="5112"/>
          </w:tcPr>
          <w:p>
            <w:pPr>
              <w:spacing w:after="20"/>
              <w:jc w:val="right"/>
            </w:pPr>
            <w:r>
              <w:rPr>
                <w:color w:val="1C3A36"/>
                <w:sz w:val="16"/>
              </w:rPr>
              <w:t>569 of 1,045 stations are in the UAE and the UAE price is set by one committee</w:t>
            </w:r>
          </w:p>
        </w:tc>
        <w:tc>
          <w:tcPr>
            <w:tcW w:type="dxa" w:w="1368"/>
          </w:tcPr>
          <w:p>
            <w:pPr>
              <w:spacing w:after="20"/>
              <w:jc w:val="right"/>
            </w:pPr>
            <w:r>
              <w:rPr>
                <w:color w:val="1C3A36"/>
                <w:sz w:val="16"/>
              </w:rPr>
              <w:t>Medium to high</w:t>
            </w:r>
          </w:p>
        </w:tc>
      </w:tr>
      <w:tr>
        <w:trPr>
          <w:cantSplit/>
        </w:trPr>
        <w:tc>
          <w:tcPr>
            <w:tcW w:type="dxa" w:w="2664"/>
          </w:tcPr>
          <w:p>
            <w:pPr>
              <w:spacing w:after="20"/>
            </w:pPr>
            <w:r>
              <w:rPr>
                <w:color w:val="1C3A36"/>
                <w:sz w:val="16"/>
              </w:rPr>
              <w:t>Related-party dependence</w:t>
            </w:r>
          </w:p>
        </w:tc>
        <w:tc>
          <w:tcPr>
            <w:tcW w:type="dxa" w:w="5112"/>
          </w:tcPr>
          <w:p>
            <w:pPr>
              <w:spacing w:after="20"/>
              <w:jc w:val="right"/>
            </w:pPr>
            <w:r>
              <w:rPr>
                <w:color w:val="1C3A36"/>
                <w:sz w:val="16"/>
              </w:rPr>
              <w:t>the supply agreement, the margin floor, the inventory backstop and roughly AED 3,647 million of payables all run through the controlling shareholder</w:t>
            </w:r>
          </w:p>
        </w:tc>
        <w:tc>
          <w:tcPr>
            <w:tcW w:type="dxa" w:w="1368"/>
          </w:tcPr>
          <w:p>
            <w:pPr>
              <w:spacing w:after="20"/>
              <w:jc w:val="right"/>
            </w:pPr>
            <w:r>
              <w:rPr>
                <w:color w:val="1C3A36"/>
                <w:sz w:val="16"/>
              </w:rPr>
              <w:t>Medium</w:t>
            </w:r>
          </w:p>
        </w:tc>
      </w:tr>
      <w:tr>
        <w:trPr>
          <w:cantSplit/>
        </w:trPr>
        <w:tc>
          <w:tcPr>
            <w:tcW w:type="dxa" w:w="2664"/>
          </w:tcPr>
          <w:p>
            <w:pPr>
              <w:spacing w:after="20"/>
            </w:pPr>
            <w:r>
              <w:rPr>
                <w:color w:val="1C3A36"/>
                <w:sz w:val="16"/>
              </w:rPr>
              <w:t>Acquisition execution</w:t>
            </w:r>
          </w:p>
        </w:tc>
        <w:tc>
          <w:tcPr>
            <w:tcW w:type="dxa" w:w="5112"/>
          </w:tcPr>
          <w:p>
            <w:pPr>
              <w:spacing w:after="20"/>
              <w:jc w:val="right"/>
            </w:pPr>
            <w:r>
              <w:rPr>
                <w:color w:val="1C3A36"/>
                <w:sz w:val="16"/>
              </w:rPr>
              <w:t>a USD 1,000 million transaction in a new country and a new regulatory regime, excluded from this valuation but not from the company's future</w:t>
            </w:r>
          </w:p>
        </w:tc>
        <w:tc>
          <w:tcPr>
            <w:tcW w:type="dxa" w:w="1368"/>
          </w:tcPr>
          <w:p>
            <w:pPr>
              <w:spacing w:after="20"/>
              <w:jc w:val="right"/>
            </w:pPr>
            <w:r>
              <w:rPr>
                <w:color w:val="1C3A36"/>
                <w:sz w:val="16"/>
              </w:rPr>
              <w:t>Medium</w:t>
            </w:r>
          </w:p>
        </w:tc>
      </w:tr>
      <w:tr>
        <w:trPr>
          <w:cantSplit/>
        </w:trPr>
        <w:tc>
          <w:tcPr>
            <w:tcW w:type="dxa" w:w="2664"/>
          </w:tcPr>
          <w:p>
            <w:pPr>
              <w:spacing w:after="20"/>
            </w:pPr>
            <w:r>
              <w:rPr>
                <w:color w:val="1C3A36"/>
                <w:sz w:val="16"/>
              </w:rPr>
              <w:t>Tax regime change</w:t>
            </w:r>
          </w:p>
        </w:tc>
        <w:tc>
          <w:tcPr>
            <w:tcW w:type="dxa" w:w="5112"/>
          </w:tcPr>
          <w:p>
            <w:pPr>
              <w:spacing w:after="20"/>
              <w:jc w:val="right"/>
            </w:pPr>
            <w:r>
              <w:rPr>
                <w:color w:val="1C3A36"/>
                <w:sz w:val="16"/>
              </w:rPr>
              <w:t>a 15% minimum rate the audited accounts do not yet apply; worth AED 0.28 a share</w:t>
            </w:r>
          </w:p>
        </w:tc>
        <w:tc>
          <w:tcPr>
            <w:tcW w:type="dxa" w:w="1368"/>
          </w:tcPr>
          <w:p>
            <w:pPr>
              <w:spacing w:after="20"/>
              <w:jc w:val="right"/>
            </w:pPr>
            <w:r>
              <w:rPr>
                <w:color w:val="1C3A36"/>
                <w:sz w:val="16"/>
              </w:rPr>
              <w:t>Medium</w:t>
            </w:r>
          </w:p>
        </w:tc>
      </w:tr>
      <w:tr>
        <w:trPr>
          <w:cantSplit/>
        </w:trPr>
        <w:tc>
          <w:tcPr>
            <w:tcW w:type="dxa" w:w="2664"/>
          </w:tcPr>
          <w:p>
            <w:pPr>
              <w:spacing w:after="20"/>
            </w:pPr>
            <w:r>
              <w:rPr>
                <w:color w:val="1C3A36"/>
                <w:sz w:val="16"/>
              </w:rPr>
              <w:t>Egyptian currency exposure</w:t>
            </w:r>
          </w:p>
        </w:tc>
        <w:tc>
          <w:tcPr>
            <w:tcW w:type="dxa" w:w="5112"/>
          </w:tcPr>
          <w:p>
            <w:pPr>
              <w:spacing w:after="20"/>
              <w:jc w:val="right"/>
            </w:pPr>
            <w:r>
              <w:rPr>
                <w:color w:val="1C3A36"/>
                <w:sz w:val="16"/>
              </w:rPr>
              <w:t>the Egyptian leg earns in a currency that has depreciated materially and is translated into dirhams</w:t>
            </w:r>
          </w:p>
        </w:tc>
        <w:tc>
          <w:tcPr>
            <w:tcW w:type="dxa" w:w="1368"/>
          </w:tcPr>
          <w:p>
            <w:pPr>
              <w:spacing w:after="20"/>
              <w:jc w:val="right"/>
            </w:pPr>
            <w:r>
              <w:rPr>
                <w:color w:val="1C3A36"/>
                <w:sz w:val="16"/>
              </w:rPr>
              <w:t>Low to medium</w:t>
            </w:r>
          </w:p>
        </w:tc>
      </w:tr>
    </w:tbl>
    <w:p>
      <w:pPr>
        <w:spacing w:after="40"/>
      </w:pPr>
    </w:p>
    <w:p>
      <w:pPr>
        <w:spacing w:after="200" w:before="0"/>
      </w:pPr>
      <w:r>
        <w:rPr>
          <w:b w:val="0"/>
          <w:i/>
          <w:color w:val="6E7B77"/>
          <w:sz w:val="17"/>
        </w:rPr>
        <w:t>Table 36 — the risk record.</w:t>
      </w:r>
    </w:p>
    <w:p>
      <w:pPr>
        <w:spacing w:after="80" w:before="200"/>
      </w:pPr>
      <w:r>
        <w:rPr>
          <w:b/>
          <w:i w:val="0"/>
          <w:color w:val="1C3A36"/>
          <w:sz w:val="24"/>
        </w:rPr>
        <w:t>B.3 The research record</w:t>
      </w:r>
    </w:p>
    <w:p>
      <w:pPr>
        <w:spacing w:after="120" w:before="0"/>
      </w:pPr>
      <w:r>
        <w:rPr>
          <w:b w:val="0"/>
          <w:i w:val="0"/>
          <w:color w:val="1C3A36"/>
          <w:sz w:val="21"/>
        </w:rPr>
        <w:t>56 external items were obtained, dated and classified before any forecast driver was set, across four layers of research: the global energy and rate environment, the UAE country layer, the fuel-retail industry, and company-level context. Items marked as drivers change a number in the model; the rest inform the narrative or were used only as cross-checks. Company-level items in this record are CONTEXT ONLY — every reported historical figure in this study comes from the company's own audited and reviewed filings, listed at the foot of this appendix, and from nowhere else.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20"/>
        <w:gridCol w:w="1037"/>
        <w:gridCol w:w="1224"/>
        <w:gridCol w:w="3859"/>
        <w:gridCol w:w="2160"/>
        <w:gridCol w:w="1037"/>
      </w:tblGrid>
      <w:tr>
        <w:trPr>
          <w:cantSplit/>
        </w:trPr>
        <w:tc>
          <w:tcPr>
            <w:tcW w:type="dxa" w:w="720"/>
            <w:shd w:val="clear" w:color="auto" w:fill="EAF0EE"/>
          </w:tcPr>
          <w:p>
            <w:pPr>
              <w:spacing w:after="20"/>
            </w:pPr>
            <w:r>
              <w:rPr>
                <w:b/>
                <w:color w:val="1C3A36"/>
                <w:sz w:val="14"/>
              </w:rPr>
              <w:t>Ref</w:t>
            </w:r>
          </w:p>
        </w:tc>
        <w:tc>
          <w:tcPr>
            <w:tcW w:type="dxa" w:w="1037"/>
            <w:shd w:val="clear" w:color="auto" w:fill="EAF0EE"/>
          </w:tcPr>
          <w:p>
            <w:pPr>
              <w:spacing w:after="20"/>
            </w:pPr>
            <w:r>
              <w:rPr>
                <w:b/>
                <w:color w:val="1C3A36"/>
                <w:sz w:val="14"/>
              </w:rPr>
              <w:t>Layer</w:t>
            </w:r>
          </w:p>
        </w:tc>
        <w:tc>
          <w:tcPr>
            <w:tcW w:type="dxa" w:w="1224"/>
            <w:shd w:val="clear" w:color="auto" w:fill="EAF0EE"/>
          </w:tcPr>
          <w:p>
            <w:pPr>
              <w:spacing w:after="20"/>
            </w:pPr>
            <w:r>
              <w:rPr>
                <w:b/>
                <w:color w:val="1C3A36"/>
                <w:sz w:val="14"/>
              </w:rPr>
              <w:t>Use</w:t>
            </w:r>
          </w:p>
        </w:tc>
        <w:tc>
          <w:tcPr>
            <w:tcW w:type="dxa" w:w="3859"/>
            <w:shd w:val="clear" w:color="auto" w:fill="EAF0EE"/>
          </w:tcPr>
          <w:p>
            <w:pPr>
              <w:spacing w:after="20"/>
            </w:pPr>
            <w:r>
              <w:rPr>
                <w:b/>
                <w:color w:val="1C3A36"/>
                <w:sz w:val="14"/>
              </w:rPr>
              <w:t>Topic and finding</w:t>
            </w:r>
          </w:p>
        </w:tc>
        <w:tc>
          <w:tcPr>
            <w:tcW w:type="dxa" w:w="2160"/>
            <w:shd w:val="clear" w:color="auto" w:fill="EAF0EE"/>
          </w:tcPr>
          <w:p>
            <w:pPr>
              <w:spacing w:after="20"/>
            </w:pPr>
            <w:r>
              <w:rPr>
                <w:b/>
                <w:color w:val="1C3A36"/>
                <w:sz w:val="14"/>
              </w:rPr>
              <w:t>Source</w:t>
            </w:r>
          </w:p>
        </w:tc>
        <w:tc>
          <w:tcPr>
            <w:tcW w:type="dxa" w:w="1037"/>
            <w:shd w:val="clear" w:color="auto" w:fill="EAF0EE"/>
          </w:tcPr>
          <w:p>
            <w:pPr>
              <w:spacing w:after="20"/>
            </w:pPr>
            <w:r>
              <w:rPr>
                <w:b/>
                <w:color w:val="1C3A36"/>
                <w:sz w:val="14"/>
              </w:rPr>
              <w:t>As of</w:t>
            </w:r>
          </w:p>
        </w:tc>
      </w:tr>
      <w:tr>
        <w:trPr>
          <w:cantSplit/>
        </w:trPr>
        <w:tc>
          <w:tcPr>
            <w:tcW w:type="dxa" w:w="720"/>
          </w:tcPr>
          <w:p>
            <w:pPr>
              <w:spacing w:after="20"/>
            </w:pPr>
            <w:r>
              <w:rPr>
                <w:color w:val="1C3A36"/>
                <w:sz w:val="14"/>
              </w:rPr>
              <w:t>G-01</w:t>
            </w:r>
          </w:p>
        </w:tc>
        <w:tc>
          <w:tcPr>
            <w:tcW w:type="dxa" w:w="1037"/>
          </w:tcPr>
          <w:p>
            <w:pPr>
              <w:spacing w:after="20"/>
              <w:jc w:val="right"/>
            </w:pPr>
            <w:r>
              <w:rPr>
                <w:color w:val="1C3A36"/>
                <w:sz w:val="14"/>
              </w:rPr>
              <w:t>Global</w:t>
            </w:r>
          </w:p>
        </w:tc>
        <w:tc>
          <w:tcPr>
            <w:tcW w:type="dxa" w:w="1224"/>
          </w:tcPr>
          <w:p>
            <w:pPr>
              <w:spacing w:after="20"/>
              <w:jc w:val="right"/>
            </w:pPr>
            <w:r>
              <w:rPr>
                <w:color w:val="1C3A36"/>
                <w:sz w:val="14"/>
              </w:rPr>
              <w:t>Driver</w:t>
            </w:r>
          </w:p>
        </w:tc>
        <w:tc>
          <w:tcPr>
            <w:tcW w:type="dxa" w:w="3859"/>
          </w:tcPr>
          <w:p>
            <w:pPr>
              <w:spacing w:after="20"/>
              <w:jc w:val="right"/>
            </w:pPr>
            <w:r>
              <w:rPr>
                <w:color w:val="1C3A36"/>
                <w:sz w:val="14"/>
              </w:rPr>
              <w:t>Brent crude spot price — Brent crude rose to USD 83.55/bbl on 07-Aug-2026, +1.29% on the day, +7.09% on the month and +25.47% year-on-year. Price action in early August was…</w:t>
            </w:r>
          </w:p>
        </w:tc>
        <w:tc>
          <w:tcPr>
            <w:tcW w:type="dxa" w:w="2160"/>
          </w:tcPr>
          <w:p>
            <w:pPr>
              <w:spacing w:after="20"/>
              <w:jc w:val="right"/>
            </w:pPr>
            <w:r>
              <w:rPr>
                <w:color w:val="1C3A36"/>
                <w:sz w:val="14"/>
              </w:rPr>
              <w:t>Trading Economics — Brent Crude Oil</w:t>
            </w:r>
          </w:p>
        </w:tc>
        <w:tc>
          <w:tcPr>
            <w:tcW w:type="dxa" w:w="1037"/>
          </w:tcPr>
          <w:p>
            <w:pPr>
              <w:spacing w:after="20"/>
              <w:jc w:val="right"/>
            </w:pPr>
            <w:r>
              <w:rPr>
                <w:color w:val="1C3A36"/>
                <w:sz w:val="14"/>
              </w:rPr>
              <w:t>2026-08-07</w:t>
            </w:r>
          </w:p>
        </w:tc>
      </w:tr>
      <w:tr>
        <w:trPr>
          <w:cantSplit/>
        </w:trPr>
        <w:tc>
          <w:tcPr>
            <w:tcW w:type="dxa" w:w="720"/>
          </w:tcPr>
          <w:p>
            <w:pPr>
              <w:spacing w:after="20"/>
            </w:pPr>
            <w:r>
              <w:rPr>
                <w:color w:val="1C3A36"/>
                <w:sz w:val="14"/>
              </w:rPr>
              <w:t>G-02</w:t>
            </w:r>
          </w:p>
        </w:tc>
        <w:tc>
          <w:tcPr>
            <w:tcW w:type="dxa" w:w="1037"/>
          </w:tcPr>
          <w:p>
            <w:pPr>
              <w:spacing w:after="20"/>
              <w:jc w:val="right"/>
            </w:pPr>
            <w:r>
              <w:rPr>
                <w:color w:val="1C3A36"/>
                <w:sz w:val="14"/>
              </w:rPr>
              <w:t>Global</w:t>
            </w:r>
          </w:p>
        </w:tc>
        <w:tc>
          <w:tcPr>
            <w:tcW w:type="dxa" w:w="1224"/>
          </w:tcPr>
          <w:p>
            <w:pPr>
              <w:spacing w:after="20"/>
              <w:jc w:val="right"/>
            </w:pPr>
            <w:r>
              <w:rPr>
                <w:color w:val="1C3A36"/>
                <w:sz w:val="14"/>
              </w:rPr>
              <w:t>Supporting</w:t>
            </w:r>
          </w:p>
        </w:tc>
        <w:tc>
          <w:tcPr>
            <w:tcW w:type="dxa" w:w="3859"/>
          </w:tcPr>
          <w:p>
            <w:pPr>
              <w:spacing w:after="20"/>
              <w:jc w:val="right"/>
            </w:pPr>
            <w:r>
              <w:rPr>
                <w:color w:val="1C3A36"/>
                <w:sz w:val="14"/>
              </w:rPr>
              <w:t>WTI crude spot price — WTI rose to USD 78.18/bbl on 07-Aug-2026 (+1.15% d/d). 52-week range: intraday low USD 54.97 on 17-Dec-2025 to intraday high USD 119.47 on 09-Mar-2026…</w:t>
            </w:r>
          </w:p>
        </w:tc>
        <w:tc>
          <w:tcPr>
            <w:tcW w:type="dxa" w:w="2160"/>
          </w:tcPr>
          <w:p>
            <w:pPr>
              <w:spacing w:after="20"/>
              <w:jc w:val="right"/>
            </w:pPr>
            <w:r>
              <w:rPr>
                <w:color w:val="1C3A36"/>
                <w:sz w:val="14"/>
              </w:rPr>
              <w:t>Forbes Advisor — Crude Oil Price Today…</w:t>
            </w:r>
          </w:p>
        </w:tc>
        <w:tc>
          <w:tcPr>
            <w:tcW w:type="dxa" w:w="1037"/>
          </w:tcPr>
          <w:p>
            <w:pPr>
              <w:spacing w:after="20"/>
              <w:jc w:val="right"/>
            </w:pPr>
            <w:r>
              <w:rPr>
                <w:color w:val="1C3A36"/>
                <w:sz w:val="14"/>
              </w:rPr>
              <w:t>2026-08-07</w:t>
            </w:r>
          </w:p>
        </w:tc>
      </w:tr>
      <w:tr>
        <w:trPr>
          <w:cantSplit/>
        </w:trPr>
        <w:tc>
          <w:tcPr>
            <w:tcW w:type="dxa" w:w="720"/>
          </w:tcPr>
          <w:p>
            <w:pPr>
              <w:spacing w:after="20"/>
            </w:pPr>
            <w:r>
              <w:rPr>
                <w:color w:val="1C3A36"/>
                <w:sz w:val="14"/>
              </w:rPr>
              <w:t>G-03</w:t>
            </w:r>
          </w:p>
        </w:tc>
        <w:tc>
          <w:tcPr>
            <w:tcW w:type="dxa" w:w="1037"/>
          </w:tcPr>
          <w:p>
            <w:pPr>
              <w:spacing w:after="20"/>
              <w:jc w:val="right"/>
            </w:pPr>
            <w:r>
              <w:rPr>
                <w:color w:val="1C3A36"/>
                <w:sz w:val="14"/>
              </w:rPr>
              <w:t>Global</w:t>
            </w:r>
          </w:p>
        </w:tc>
        <w:tc>
          <w:tcPr>
            <w:tcW w:type="dxa" w:w="1224"/>
          </w:tcPr>
          <w:p>
            <w:pPr>
              <w:spacing w:after="20"/>
              <w:jc w:val="right"/>
            </w:pPr>
            <w:r>
              <w:rPr>
                <w:color w:val="1C3A36"/>
                <w:sz w:val="14"/>
              </w:rPr>
              <w:t>Critical</w:t>
            </w:r>
          </w:p>
        </w:tc>
        <w:tc>
          <w:tcPr>
            <w:tcW w:type="dxa" w:w="3859"/>
          </w:tcPr>
          <w:p>
            <w:pPr>
              <w:spacing w:after="20"/>
              <w:jc w:val="right"/>
            </w:pPr>
            <w:r>
              <w:rPr>
                <w:color w:val="1C3A36"/>
                <w:sz w:val="14"/>
              </w:rPr>
              <w:t>2026 YTD crude oil price path — the Strait of Hormuz shock — Brent opened 2026 near USD 63 and rose to ~USD 70.69 by end-January. February ranged USD 63-72. In March the…</w:t>
            </w:r>
          </w:p>
        </w:tc>
        <w:tc>
          <w:tcPr>
            <w:tcW w:type="dxa" w:w="2160"/>
          </w:tcPr>
          <w:p>
            <w:pPr>
              <w:spacing w:after="20"/>
              <w:jc w:val="right"/>
            </w:pPr>
            <w:r>
              <w:rPr>
                <w:color w:val="1C3A36"/>
                <w:sz w:val="14"/>
              </w:rPr>
              <w:t>Wikipedia — 2026-2028 world oil market…</w:t>
            </w:r>
          </w:p>
        </w:tc>
        <w:tc>
          <w:tcPr>
            <w:tcW w:type="dxa" w:w="1037"/>
          </w:tcPr>
          <w:p>
            <w:pPr>
              <w:spacing w:after="20"/>
              <w:jc w:val="right"/>
            </w:pPr>
            <w:r>
              <w:rPr>
                <w:color w:val="1C3A36"/>
                <w:sz w:val="14"/>
              </w:rPr>
              <w:t>2026-08-08</w:t>
            </w:r>
          </w:p>
        </w:tc>
      </w:tr>
      <w:tr>
        <w:trPr>
          <w:cantSplit/>
        </w:trPr>
        <w:tc>
          <w:tcPr>
            <w:tcW w:type="dxa" w:w="720"/>
          </w:tcPr>
          <w:p>
            <w:pPr>
              <w:spacing w:after="20"/>
            </w:pPr>
            <w:r>
              <w:rPr>
                <w:color w:val="1C3A36"/>
                <w:sz w:val="14"/>
              </w:rPr>
              <w:t>G-04</w:t>
            </w:r>
          </w:p>
        </w:tc>
        <w:tc>
          <w:tcPr>
            <w:tcW w:type="dxa" w:w="1037"/>
          </w:tcPr>
          <w:p>
            <w:pPr>
              <w:spacing w:after="20"/>
              <w:jc w:val="right"/>
            </w:pPr>
            <w:r>
              <w:rPr>
                <w:color w:val="1C3A36"/>
                <w:sz w:val="14"/>
              </w:rPr>
              <w:t>Global</w:t>
            </w:r>
          </w:p>
        </w:tc>
        <w:tc>
          <w:tcPr>
            <w:tcW w:type="dxa" w:w="1224"/>
          </w:tcPr>
          <w:p>
            <w:pPr>
              <w:spacing w:after="20"/>
              <w:jc w:val="right"/>
            </w:pPr>
            <w:r>
              <w:rPr>
                <w:color w:val="1C3A36"/>
                <w:sz w:val="14"/>
              </w:rPr>
              <w:t>Driver</w:t>
            </w:r>
          </w:p>
        </w:tc>
        <w:tc>
          <w:tcPr>
            <w:tcW w:type="dxa" w:w="3859"/>
          </w:tcPr>
          <w:p>
            <w:pPr>
              <w:spacing w:after="20"/>
              <w:jc w:val="right"/>
            </w:pPr>
            <w:r>
              <w:rPr>
                <w:color w:val="1C3A36"/>
                <w:sz w:val="14"/>
              </w:rPr>
              <w:t>EIA Short-Term Energy Outlook — Brent forecast 2026-2027 — July 2026 STEO: Brent averaged USD 85/bbl in June 2026 (down USD 22 from May and USD 32 from the April 2026 peak).…</w:t>
            </w:r>
          </w:p>
        </w:tc>
        <w:tc>
          <w:tcPr>
            <w:tcW w:type="dxa" w:w="2160"/>
          </w:tcPr>
          <w:p>
            <w:pPr>
              <w:spacing w:after="20"/>
              <w:jc w:val="right"/>
            </w:pPr>
            <w:r>
              <w:rPr>
                <w:color w:val="1C3A36"/>
                <w:sz w:val="14"/>
              </w:rPr>
              <w:t>US EIA July 2026 Short-Term Energy…</w:t>
            </w:r>
          </w:p>
        </w:tc>
        <w:tc>
          <w:tcPr>
            <w:tcW w:type="dxa" w:w="1037"/>
          </w:tcPr>
          <w:p>
            <w:pPr>
              <w:spacing w:after="20"/>
              <w:jc w:val="right"/>
            </w:pPr>
            <w:r>
              <w:rPr>
                <w:color w:val="1C3A36"/>
                <w:sz w:val="14"/>
              </w:rPr>
              <w:t>2026-07-07</w:t>
            </w:r>
          </w:p>
        </w:tc>
      </w:tr>
      <w:tr>
        <w:trPr>
          <w:cantSplit/>
        </w:trPr>
        <w:tc>
          <w:tcPr>
            <w:tcW w:type="dxa" w:w="720"/>
          </w:tcPr>
          <w:p>
            <w:pPr>
              <w:spacing w:after="20"/>
            </w:pPr>
            <w:r>
              <w:rPr>
                <w:color w:val="1C3A36"/>
                <w:sz w:val="14"/>
              </w:rPr>
              <w:t>G-05</w:t>
            </w:r>
          </w:p>
        </w:tc>
        <w:tc>
          <w:tcPr>
            <w:tcW w:type="dxa" w:w="1037"/>
          </w:tcPr>
          <w:p>
            <w:pPr>
              <w:spacing w:after="20"/>
              <w:jc w:val="right"/>
            </w:pPr>
            <w:r>
              <w:rPr>
                <w:color w:val="1C3A36"/>
                <w:sz w:val="14"/>
              </w:rPr>
              <w:t>Global</w:t>
            </w:r>
          </w:p>
        </w:tc>
        <w:tc>
          <w:tcPr>
            <w:tcW w:type="dxa" w:w="1224"/>
          </w:tcPr>
          <w:p>
            <w:pPr>
              <w:spacing w:after="20"/>
              <w:jc w:val="right"/>
            </w:pPr>
            <w:r>
              <w:rPr>
                <w:color w:val="1C3A36"/>
                <w:sz w:val="14"/>
              </w:rPr>
              <w:t>Supporting</w:t>
            </w:r>
          </w:p>
        </w:tc>
        <w:tc>
          <w:tcPr>
            <w:tcW w:type="dxa" w:w="3859"/>
          </w:tcPr>
          <w:p>
            <w:pPr>
              <w:spacing w:after="20"/>
              <w:jc w:val="right"/>
            </w:pPr>
            <w:r>
              <w:rPr>
                <w:color w:val="1C3A36"/>
                <w:sz w:val="14"/>
              </w:rPr>
              <w:t>Global refined-product cracks / refining margins 2025-2026 — Crack spreads hit record highs in 2026. The prompt NYMEX 3-2-1 crack spread reached a record USD 64.58/bbl on…</w:t>
            </w:r>
          </w:p>
        </w:tc>
        <w:tc>
          <w:tcPr>
            <w:tcW w:type="dxa" w:w="2160"/>
          </w:tcPr>
          <w:p>
            <w:pPr>
              <w:spacing w:after="20"/>
              <w:jc w:val="right"/>
            </w:pPr>
            <w:r>
              <w:rPr>
                <w:color w:val="1C3A36"/>
                <w:sz w:val="14"/>
              </w:rPr>
              <w:t>Forbes — Refining Stocks Soar As Crack…</w:t>
            </w:r>
          </w:p>
        </w:tc>
        <w:tc>
          <w:tcPr>
            <w:tcW w:type="dxa" w:w="1037"/>
          </w:tcPr>
          <w:p>
            <w:pPr>
              <w:spacing w:after="20"/>
              <w:jc w:val="right"/>
            </w:pPr>
            <w:r>
              <w:rPr>
                <w:color w:val="1C3A36"/>
                <w:sz w:val="14"/>
              </w:rPr>
              <w:t>2026-07-23</w:t>
            </w:r>
          </w:p>
        </w:tc>
      </w:tr>
      <w:tr>
        <w:trPr>
          <w:cantSplit/>
        </w:trPr>
        <w:tc>
          <w:tcPr>
            <w:tcW w:type="dxa" w:w="720"/>
          </w:tcPr>
          <w:p>
            <w:pPr>
              <w:spacing w:after="20"/>
            </w:pPr>
            <w:r>
              <w:rPr>
                <w:color w:val="1C3A36"/>
                <w:sz w:val="14"/>
              </w:rPr>
              <w:t>G-06</w:t>
            </w:r>
          </w:p>
        </w:tc>
        <w:tc>
          <w:tcPr>
            <w:tcW w:type="dxa" w:w="1037"/>
          </w:tcPr>
          <w:p>
            <w:pPr>
              <w:spacing w:after="20"/>
              <w:jc w:val="right"/>
            </w:pPr>
            <w:r>
              <w:rPr>
                <w:color w:val="1C3A36"/>
                <w:sz w:val="14"/>
              </w:rPr>
              <w:t>Global</w:t>
            </w:r>
          </w:p>
        </w:tc>
        <w:tc>
          <w:tcPr>
            <w:tcW w:type="dxa" w:w="1224"/>
          </w:tcPr>
          <w:p>
            <w:pPr>
              <w:spacing w:after="20"/>
              <w:jc w:val="right"/>
            </w:pPr>
            <w:r>
              <w:rPr>
                <w:color w:val="1C3A36"/>
                <w:sz w:val="14"/>
              </w:rPr>
              <w:t>Driver</w:t>
            </w:r>
          </w:p>
        </w:tc>
        <w:tc>
          <w:tcPr>
            <w:tcW w:type="dxa" w:w="3859"/>
          </w:tcPr>
          <w:p>
            <w:pPr>
              <w:spacing w:after="20"/>
              <w:jc w:val="right"/>
            </w:pPr>
            <w:r>
              <w:rPr>
                <w:color w:val="1C3A36"/>
                <w:sz w:val="14"/>
              </w:rPr>
              <w:t>Global EV penetration trajectory — IEA Global EV Outlook 2026 (published May 2026): global electric passenger car sales exceeded 20 million units in 2025, reaching 25% of…</w:t>
            </w:r>
          </w:p>
        </w:tc>
        <w:tc>
          <w:tcPr>
            <w:tcW w:type="dxa" w:w="2160"/>
          </w:tcPr>
          <w:p>
            <w:pPr>
              <w:spacing w:after="20"/>
              <w:jc w:val="right"/>
            </w:pPr>
            <w:r>
              <w:rPr>
                <w:color w:val="1C3A36"/>
                <w:sz w:val="14"/>
              </w:rPr>
              <w:t>IEA Global EV Outlook 2026</w:t>
            </w:r>
          </w:p>
        </w:tc>
        <w:tc>
          <w:tcPr>
            <w:tcW w:type="dxa" w:w="1037"/>
          </w:tcPr>
          <w:p>
            <w:pPr>
              <w:spacing w:after="20"/>
              <w:jc w:val="right"/>
            </w:pPr>
            <w:r>
              <w:rPr>
                <w:color w:val="1C3A36"/>
                <w:sz w:val="14"/>
              </w:rPr>
              <w:t>2026-05-01</w:t>
            </w:r>
          </w:p>
        </w:tc>
      </w:tr>
      <w:tr>
        <w:trPr>
          <w:cantSplit/>
        </w:trPr>
        <w:tc>
          <w:tcPr>
            <w:tcW w:type="dxa" w:w="720"/>
          </w:tcPr>
          <w:p>
            <w:pPr>
              <w:spacing w:after="20"/>
            </w:pPr>
            <w:r>
              <w:rPr>
                <w:color w:val="1C3A36"/>
                <w:sz w:val="14"/>
              </w:rPr>
              <w:t>G-07</w:t>
            </w:r>
          </w:p>
        </w:tc>
        <w:tc>
          <w:tcPr>
            <w:tcW w:type="dxa" w:w="1037"/>
          </w:tcPr>
          <w:p>
            <w:pPr>
              <w:spacing w:after="20"/>
              <w:jc w:val="right"/>
            </w:pPr>
            <w:r>
              <w:rPr>
                <w:color w:val="1C3A36"/>
                <w:sz w:val="14"/>
              </w:rPr>
              <w:t>Global</w:t>
            </w:r>
          </w:p>
        </w:tc>
        <w:tc>
          <w:tcPr>
            <w:tcW w:type="dxa" w:w="1224"/>
          </w:tcPr>
          <w:p>
            <w:pPr>
              <w:spacing w:after="20"/>
              <w:jc w:val="right"/>
            </w:pPr>
            <w:r>
              <w:rPr>
                <w:color w:val="1C3A36"/>
                <w:sz w:val="14"/>
              </w:rPr>
              <w:t>Driver</w:t>
            </w:r>
          </w:p>
        </w:tc>
        <w:tc>
          <w:tcPr>
            <w:tcW w:type="dxa" w:w="3859"/>
          </w:tcPr>
          <w:p>
            <w:pPr>
              <w:spacing w:after="20"/>
              <w:jc w:val="right"/>
            </w:pPr>
            <w:r>
              <w:rPr>
                <w:color w:val="1C3A36"/>
                <w:sz w:val="14"/>
              </w:rPr>
              <w:t>Non-fuel income share at global fuel-retail peers — Across the US convenience/fuel-retail industry, inside sales drive roughly 70-78% of gross profit despite being only ~22%…</w:t>
            </w:r>
          </w:p>
        </w:tc>
        <w:tc>
          <w:tcPr>
            <w:tcW w:type="dxa" w:w="2160"/>
          </w:tcPr>
          <w:p>
            <w:pPr>
              <w:spacing w:after="20"/>
              <w:jc w:val="right"/>
            </w:pPr>
            <w:r>
              <w:rPr>
                <w:color w:val="1C3A36"/>
                <w:sz w:val="14"/>
              </w:rPr>
              <w:t>Raymond James Convenience Store Insight;…</w:t>
            </w:r>
          </w:p>
        </w:tc>
        <w:tc>
          <w:tcPr>
            <w:tcW w:type="dxa" w:w="1037"/>
          </w:tcPr>
          <w:p>
            <w:pPr>
              <w:spacing w:after="20"/>
              <w:jc w:val="right"/>
            </w:pPr>
            <w:r>
              <w:rPr>
                <w:color w:val="1C3A36"/>
                <w:sz w:val="14"/>
              </w:rPr>
              <w:t>2026-02-11</w:t>
            </w:r>
          </w:p>
        </w:tc>
      </w:tr>
      <w:tr>
        <w:trPr>
          <w:cantSplit/>
        </w:trPr>
        <w:tc>
          <w:tcPr>
            <w:tcW w:type="dxa" w:w="720"/>
          </w:tcPr>
          <w:p>
            <w:pPr>
              <w:spacing w:after="20"/>
            </w:pPr>
            <w:r>
              <w:rPr>
                <w:color w:val="1C3A36"/>
                <w:sz w:val="14"/>
              </w:rPr>
              <w:t>G-08</w:t>
            </w:r>
          </w:p>
        </w:tc>
        <w:tc>
          <w:tcPr>
            <w:tcW w:type="dxa" w:w="1037"/>
          </w:tcPr>
          <w:p>
            <w:pPr>
              <w:spacing w:after="20"/>
              <w:jc w:val="right"/>
            </w:pPr>
            <w:r>
              <w:rPr>
                <w:color w:val="1C3A36"/>
                <w:sz w:val="14"/>
              </w:rPr>
              <w:t>Global</w:t>
            </w:r>
          </w:p>
        </w:tc>
        <w:tc>
          <w:tcPr>
            <w:tcW w:type="dxa" w:w="1224"/>
          </w:tcPr>
          <w:p>
            <w:pPr>
              <w:spacing w:after="20"/>
              <w:jc w:val="right"/>
            </w:pPr>
            <w:r>
              <w:rPr>
                <w:color w:val="1C3A36"/>
                <w:sz w:val="14"/>
              </w:rPr>
              <w:t>Driver</w:t>
            </w:r>
          </w:p>
        </w:tc>
        <w:tc>
          <w:tcPr>
            <w:tcW w:type="dxa" w:w="3859"/>
          </w:tcPr>
          <w:p>
            <w:pPr>
              <w:spacing w:after="20"/>
              <w:jc w:val="right"/>
            </w:pPr>
            <w:r>
              <w:rPr>
                <w:color w:val="1C3A36"/>
                <w:sz w:val="14"/>
              </w:rPr>
              <w:t>US Federal Reserve policy rate — drives UAE rates via the AED/USD peg — The FOMC held the federal funds target range at 3-1/2 to 3-3/4 percent (3.50%-3.75%) at its meeting…</w:t>
            </w:r>
          </w:p>
        </w:tc>
        <w:tc>
          <w:tcPr>
            <w:tcW w:type="dxa" w:w="2160"/>
          </w:tcPr>
          <w:p>
            <w:pPr>
              <w:spacing w:after="20"/>
              <w:jc w:val="right"/>
            </w:pPr>
            <w:r>
              <w:rPr>
                <w:color w:val="1C3A36"/>
                <w:sz w:val="14"/>
              </w:rPr>
              <w:t>Federal Reserve Board — FOMC statement,…</w:t>
            </w:r>
          </w:p>
        </w:tc>
        <w:tc>
          <w:tcPr>
            <w:tcW w:type="dxa" w:w="1037"/>
          </w:tcPr>
          <w:p>
            <w:pPr>
              <w:spacing w:after="20"/>
              <w:jc w:val="right"/>
            </w:pPr>
            <w:r>
              <w:rPr>
                <w:color w:val="1C3A36"/>
                <w:sz w:val="14"/>
              </w:rPr>
              <w:t>2026-07-29</w:t>
            </w:r>
          </w:p>
        </w:tc>
      </w:tr>
      <w:tr>
        <w:trPr>
          <w:cantSplit/>
        </w:trPr>
        <w:tc>
          <w:tcPr>
            <w:tcW w:type="dxa" w:w="720"/>
          </w:tcPr>
          <w:p>
            <w:pPr>
              <w:spacing w:after="20"/>
            </w:pPr>
            <w:r>
              <w:rPr>
                <w:color w:val="1C3A36"/>
                <w:sz w:val="14"/>
              </w:rPr>
              <w:t>G-09</w:t>
            </w:r>
          </w:p>
        </w:tc>
        <w:tc>
          <w:tcPr>
            <w:tcW w:type="dxa" w:w="1037"/>
          </w:tcPr>
          <w:p>
            <w:pPr>
              <w:spacing w:after="20"/>
              <w:jc w:val="right"/>
            </w:pPr>
            <w:r>
              <w:rPr>
                <w:color w:val="1C3A36"/>
                <w:sz w:val="14"/>
              </w:rPr>
              <w:t>Global</w:t>
            </w:r>
          </w:p>
        </w:tc>
        <w:tc>
          <w:tcPr>
            <w:tcW w:type="dxa" w:w="1224"/>
          </w:tcPr>
          <w:p>
            <w:pPr>
              <w:spacing w:after="20"/>
              <w:jc w:val="right"/>
            </w:pPr>
            <w:r>
              <w:rPr>
                <w:color w:val="1C3A36"/>
                <w:sz w:val="14"/>
              </w:rPr>
              <w:t>Critical</w:t>
            </w:r>
          </w:p>
        </w:tc>
        <w:tc>
          <w:tcPr>
            <w:tcW w:type="dxa" w:w="3859"/>
          </w:tcPr>
          <w:p>
            <w:pPr>
              <w:spacing w:after="20"/>
              <w:jc w:val="right"/>
            </w:pPr>
            <w:r>
              <w:rPr>
                <w:color w:val="1C3A36"/>
                <w:sz w:val="14"/>
              </w:rPr>
              <w:t>US 10-year Treasury yield — The US 10-year Treasury yield eased to 4.65% on 07-Aug-2026 and held around 4.68% on Friday 08-Aug-2026. Fed officials have increasingly…</w:t>
            </w:r>
          </w:p>
        </w:tc>
        <w:tc>
          <w:tcPr>
            <w:tcW w:type="dxa" w:w="2160"/>
          </w:tcPr>
          <w:p>
            <w:pPr>
              <w:spacing w:after="20"/>
              <w:jc w:val="right"/>
            </w:pPr>
            <w:r>
              <w:rPr>
                <w:color w:val="1C3A36"/>
                <w:sz w:val="14"/>
              </w:rPr>
              <w:t>Trading Economics — US 10 Year Treasury…</w:t>
            </w:r>
          </w:p>
        </w:tc>
        <w:tc>
          <w:tcPr>
            <w:tcW w:type="dxa" w:w="1037"/>
          </w:tcPr>
          <w:p>
            <w:pPr>
              <w:spacing w:after="20"/>
              <w:jc w:val="right"/>
            </w:pPr>
            <w:r>
              <w:rPr>
                <w:color w:val="1C3A36"/>
                <w:sz w:val="14"/>
              </w:rPr>
              <w:t>2026-08-08</w:t>
            </w:r>
          </w:p>
        </w:tc>
      </w:tr>
      <w:tr>
        <w:trPr>
          <w:cantSplit/>
        </w:trPr>
        <w:tc>
          <w:tcPr>
            <w:tcW w:type="dxa" w:w="720"/>
          </w:tcPr>
          <w:p>
            <w:pPr>
              <w:spacing w:after="20"/>
            </w:pPr>
            <w:r>
              <w:rPr>
                <w:color w:val="1C3A36"/>
                <w:sz w:val="14"/>
              </w:rPr>
              <w:t>C-01</w:t>
            </w:r>
          </w:p>
        </w:tc>
        <w:tc>
          <w:tcPr>
            <w:tcW w:type="dxa" w:w="1037"/>
          </w:tcPr>
          <w:p>
            <w:pPr>
              <w:spacing w:after="20"/>
              <w:jc w:val="right"/>
            </w:pPr>
            <w:r>
              <w:rPr>
                <w:color w:val="1C3A36"/>
                <w:sz w:val="14"/>
              </w:rPr>
              <w:t>Country</w:t>
            </w:r>
          </w:p>
        </w:tc>
        <w:tc>
          <w:tcPr>
            <w:tcW w:type="dxa" w:w="1224"/>
          </w:tcPr>
          <w:p>
            <w:pPr>
              <w:spacing w:after="20"/>
              <w:jc w:val="right"/>
            </w:pPr>
            <w:r>
              <w:rPr>
                <w:color w:val="1C3A36"/>
                <w:sz w:val="14"/>
              </w:rPr>
              <w:t>Supporting</w:t>
            </w:r>
          </w:p>
        </w:tc>
        <w:tc>
          <w:tcPr>
            <w:tcW w:type="dxa" w:w="3859"/>
          </w:tcPr>
          <w:p>
            <w:pPr>
              <w:spacing w:after="20"/>
              <w:jc w:val="right"/>
            </w:pPr>
            <w:r>
              <w:rPr>
                <w:color w:val="1C3A36"/>
                <w:sz w:val="14"/>
              </w:rPr>
              <w:t>UAE real GDP growth 2025 actual — IMF: UAE GDP projected to expand 4.8% in 2025, driven by non-hydrocarbon growth of 4.6% and a 5.3% rebound in hydrocarbon GDP. World Bank…</w:t>
            </w:r>
          </w:p>
        </w:tc>
        <w:tc>
          <w:tcPr>
            <w:tcW w:type="dxa" w:w="2160"/>
          </w:tcPr>
          <w:p>
            <w:pPr>
              <w:spacing w:after="20"/>
              <w:jc w:val="right"/>
            </w:pPr>
            <w:r>
              <w:rPr>
                <w:color w:val="1C3A36"/>
                <w:sz w:val="14"/>
              </w:rPr>
              <w:t>IMF — 2025 Article IV Consultation,…</w:t>
            </w:r>
          </w:p>
        </w:tc>
        <w:tc>
          <w:tcPr>
            <w:tcW w:type="dxa" w:w="1037"/>
          </w:tcPr>
          <w:p>
            <w:pPr>
              <w:spacing w:after="20"/>
              <w:jc w:val="right"/>
            </w:pPr>
            <w:r>
              <w:rPr>
                <w:color w:val="1C3A36"/>
                <w:sz w:val="14"/>
              </w:rPr>
              <w:t>2025-10-02</w:t>
            </w:r>
          </w:p>
        </w:tc>
      </w:tr>
      <w:tr>
        <w:trPr>
          <w:cantSplit/>
        </w:trPr>
        <w:tc>
          <w:tcPr>
            <w:tcW w:type="dxa" w:w="720"/>
          </w:tcPr>
          <w:p>
            <w:pPr>
              <w:spacing w:after="20"/>
            </w:pPr>
            <w:r>
              <w:rPr>
                <w:color w:val="1C3A36"/>
                <w:sz w:val="14"/>
              </w:rPr>
              <w:t>C-02</w:t>
            </w:r>
          </w:p>
        </w:tc>
        <w:tc>
          <w:tcPr>
            <w:tcW w:type="dxa" w:w="1037"/>
          </w:tcPr>
          <w:p>
            <w:pPr>
              <w:spacing w:after="20"/>
              <w:jc w:val="right"/>
            </w:pPr>
            <w:r>
              <w:rPr>
                <w:color w:val="1C3A36"/>
                <w:sz w:val="14"/>
              </w:rPr>
              <w:t>Country</w:t>
            </w:r>
          </w:p>
        </w:tc>
        <w:tc>
          <w:tcPr>
            <w:tcW w:type="dxa" w:w="1224"/>
          </w:tcPr>
          <w:p>
            <w:pPr>
              <w:spacing w:after="20"/>
              <w:jc w:val="right"/>
            </w:pPr>
            <w:r>
              <w:rPr>
                <w:color w:val="1C3A36"/>
                <w:sz w:val="14"/>
              </w:rPr>
              <w:t>Driver</w:t>
            </w:r>
          </w:p>
        </w:tc>
        <w:tc>
          <w:tcPr>
            <w:tcW w:type="dxa" w:w="3859"/>
          </w:tcPr>
          <w:p>
            <w:pPr>
              <w:spacing w:after="20"/>
              <w:jc w:val="right"/>
            </w:pPr>
            <w:r>
              <w:rPr>
                <w:color w:val="1C3A36"/>
                <w:sz w:val="14"/>
              </w:rPr>
              <w:t>UAE real GDP growth 2026-2027 forecast, non-oil specifically — IMF: 2026 growth projected to accelerate to 5.0%, driven by stronger hydrocarbon GDP (6.3%) with…</w:t>
            </w:r>
          </w:p>
        </w:tc>
        <w:tc>
          <w:tcPr>
            <w:tcW w:type="dxa" w:w="2160"/>
          </w:tcPr>
          <w:p>
            <w:pPr>
              <w:spacing w:after="20"/>
              <w:jc w:val="right"/>
            </w:pPr>
            <w:r>
              <w:rPr>
                <w:color w:val="1C3A36"/>
                <w:sz w:val="14"/>
              </w:rPr>
              <w:t>IMF 2025 Article IV; CBUAE Quarterly…</w:t>
            </w:r>
          </w:p>
        </w:tc>
        <w:tc>
          <w:tcPr>
            <w:tcW w:type="dxa" w:w="1037"/>
          </w:tcPr>
          <w:p>
            <w:pPr>
              <w:spacing w:after="20"/>
              <w:jc w:val="right"/>
            </w:pPr>
            <w:r>
              <w:rPr>
                <w:color w:val="1C3A36"/>
                <w:sz w:val="14"/>
              </w:rPr>
              <w:t>2025-10-02</w:t>
            </w:r>
          </w:p>
        </w:tc>
      </w:tr>
      <w:tr>
        <w:trPr>
          <w:cantSplit/>
        </w:trPr>
        <w:tc>
          <w:tcPr>
            <w:tcW w:type="dxa" w:w="720"/>
          </w:tcPr>
          <w:p>
            <w:pPr>
              <w:spacing w:after="20"/>
            </w:pPr>
            <w:r>
              <w:rPr>
                <w:color w:val="1C3A36"/>
                <w:sz w:val="14"/>
              </w:rPr>
              <w:t>C-03</w:t>
            </w:r>
          </w:p>
        </w:tc>
        <w:tc>
          <w:tcPr>
            <w:tcW w:type="dxa" w:w="1037"/>
          </w:tcPr>
          <w:p>
            <w:pPr>
              <w:spacing w:after="20"/>
              <w:jc w:val="right"/>
            </w:pPr>
            <w:r>
              <w:rPr>
                <w:color w:val="1C3A36"/>
                <w:sz w:val="14"/>
              </w:rPr>
              <w:t>Country</w:t>
            </w:r>
          </w:p>
        </w:tc>
        <w:tc>
          <w:tcPr>
            <w:tcW w:type="dxa" w:w="1224"/>
          </w:tcPr>
          <w:p>
            <w:pPr>
              <w:spacing w:after="20"/>
              <w:jc w:val="right"/>
            </w:pPr>
            <w:r>
              <w:rPr>
                <w:color w:val="1C3A36"/>
                <w:sz w:val="14"/>
              </w:rPr>
              <w:t>Driver</w:t>
            </w:r>
          </w:p>
        </w:tc>
        <w:tc>
          <w:tcPr>
            <w:tcW w:type="dxa" w:w="3859"/>
          </w:tcPr>
          <w:p>
            <w:pPr>
              <w:spacing w:after="20"/>
              <w:jc w:val="right"/>
            </w:pPr>
            <w:r>
              <w:rPr>
                <w:color w:val="1C3A36"/>
                <w:sz w:val="14"/>
              </w:rPr>
              <w:t>UAE CPI inflation 2025 actual and 2026-2027 forecast — Inflation averaged 1.3% in 2025, with declines in transport costs and textile prices and favourable food prices.…</w:t>
            </w:r>
          </w:p>
        </w:tc>
        <w:tc>
          <w:tcPr>
            <w:tcW w:type="dxa" w:w="2160"/>
          </w:tcPr>
          <w:p>
            <w:pPr>
              <w:spacing w:after="20"/>
              <w:jc w:val="right"/>
            </w:pPr>
            <w:r>
              <w:rPr>
                <w:color w:val="1C3A36"/>
                <w:sz w:val="14"/>
              </w:rPr>
              <w:t>Central Bank of the UAE — Quarterly…</w:t>
            </w:r>
          </w:p>
        </w:tc>
        <w:tc>
          <w:tcPr>
            <w:tcW w:type="dxa" w:w="1037"/>
          </w:tcPr>
          <w:p>
            <w:pPr>
              <w:spacing w:after="20"/>
              <w:jc w:val="right"/>
            </w:pPr>
            <w:r>
              <w:rPr>
                <w:color w:val="1C3A36"/>
                <w:sz w:val="14"/>
              </w:rPr>
              <w:t>2026-03-01</w:t>
            </w:r>
          </w:p>
        </w:tc>
      </w:tr>
      <w:tr>
        <w:trPr>
          <w:cantSplit/>
        </w:trPr>
        <w:tc>
          <w:tcPr>
            <w:tcW w:type="dxa" w:w="720"/>
          </w:tcPr>
          <w:p>
            <w:pPr>
              <w:spacing w:after="20"/>
            </w:pPr>
            <w:r>
              <w:rPr>
                <w:color w:val="1C3A36"/>
                <w:sz w:val="14"/>
              </w:rPr>
              <w:t>C-04</w:t>
            </w:r>
          </w:p>
        </w:tc>
        <w:tc>
          <w:tcPr>
            <w:tcW w:type="dxa" w:w="1037"/>
          </w:tcPr>
          <w:p>
            <w:pPr>
              <w:spacing w:after="20"/>
              <w:jc w:val="right"/>
            </w:pPr>
            <w:r>
              <w:rPr>
                <w:color w:val="1C3A36"/>
                <w:sz w:val="14"/>
              </w:rPr>
              <w:t>Country</w:t>
            </w:r>
          </w:p>
        </w:tc>
        <w:tc>
          <w:tcPr>
            <w:tcW w:type="dxa" w:w="1224"/>
          </w:tcPr>
          <w:p>
            <w:pPr>
              <w:spacing w:after="20"/>
              <w:jc w:val="right"/>
            </w:pPr>
            <w:r>
              <w:rPr>
                <w:color w:val="1C3A36"/>
                <w:sz w:val="14"/>
              </w:rPr>
              <w:t>Driver</w:t>
            </w:r>
          </w:p>
        </w:tc>
        <w:tc>
          <w:tcPr>
            <w:tcW w:type="dxa" w:w="3859"/>
          </w:tcPr>
          <w:p>
            <w:pPr>
              <w:spacing w:after="20"/>
              <w:jc w:val="right"/>
            </w:pPr>
            <w:r>
              <w:rPr>
                <w:color w:val="1C3A36"/>
                <w:sz w:val="14"/>
              </w:rPr>
              <w:t>UAE population growth and vehicle parc / registrations — UAE vehicle registrations reached 4.56 million by June 2025, up from 4.17 million a year earlier — +9.35% y/y, equal…</w:t>
            </w:r>
          </w:p>
        </w:tc>
        <w:tc>
          <w:tcPr>
            <w:tcW w:type="dxa" w:w="2160"/>
          </w:tcPr>
          <w:p>
            <w:pPr>
              <w:spacing w:after="20"/>
              <w:jc w:val="right"/>
            </w:pPr>
            <w:r>
              <w:rPr>
                <w:color w:val="1C3A36"/>
                <w:sz w:val="14"/>
              </w:rPr>
              <w:t>Khaleej Times / The Filipino Times…</w:t>
            </w:r>
          </w:p>
        </w:tc>
        <w:tc>
          <w:tcPr>
            <w:tcW w:type="dxa" w:w="1037"/>
          </w:tcPr>
          <w:p>
            <w:pPr>
              <w:spacing w:after="20"/>
              <w:jc w:val="right"/>
            </w:pPr>
            <w:r>
              <w:rPr>
                <w:color w:val="1C3A36"/>
                <w:sz w:val="14"/>
              </w:rPr>
              <w:t>2025-06-30</w:t>
            </w:r>
          </w:p>
        </w:tc>
      </w:tr>
      <w:tr>
        <w:trPr>
          <w:cantSplit/>
        </w:trPr>
        <w:tc>
          <w:tcPr>
            <w:tcW w:type="dxa" w:w="720"/>
          </w:tcPr>
          <w:p>
            <w:pPr>
              <w:spacing w:after="20"/>
            </w:pPr>
            <w:r>
              <w:rPr>
                <w:color w:val="1C3A36"/>
                <w:sz w:val="14"/>
              </w:rPr>
              <w:t>C-05</w:t>
            </w:r>
          </w:p>
        </w:tc>
        <w:tc>
          <w:tcPr>
            <w:tcW w:type="dxa" w:w="1037"/>
          </w:tcPr>
          <w:p>
            <w:pPr>
              <w:spacing w:after="20"/>
              <w:jc w:val="right"/>
            </w:pPr>
            <w:r>
              <w:rPr>
                <w:color w:val="1C3A36"/>
                <w:sz w:val="14"/>
              </w:rPr>
              <w:t>Country</w:t>
            </w:r>
          </w:p>
        </w:tc>
        <w:tc>
          <w:tcPr>
            <w:tcW w:type="dxa" w:w="1224"/>
          </w:tcPr>
          <w:p>
            <w:pPr>
              <w:spacing w:after="20"/>
              <w:jc w:val="right"/>
            </w:pPr>
            <w:r>
              <w:rPr>
                <w:color w:val="1C3A36"/>
                <w:sz w:val="14"/>
              </w:rPr>
              <w:t>Driver</w:t>
            </w:r>
          </w:p>
        </w:tc>
        <w:tc>
          <w:tcPr>
            <w:tcW w:type="dxa" w:w="3859"/>
          </w:tcPr>
          <w:p>
            <w:pPr>
              <w:spacing w:after="20"/>
              <w:jc w:val="right"/>
            </w:pPr>
            <w:r>
              <w:rPr>
                <w:color w:val="1C3A36"/>
                <w:sz w:val="14"/>
              </w:rPr>
              <w:t>UAE Central Bank Base Rate — CBUAE has maintained the Base Rate applicable to the Overnight Deposit Facility (ODF) at 3.65%. The most recent confirmation of the hold was…</w:t>
            </w:r>
          </w:p>
        </w:tc>
        <w:tc>
          <w:tcPr>
            <w:tcW w:type="dxa" w:w="2160"/>
          </w:tcPr>
          <w:p>
            <w:pPr>
              <w:spacing w:after="20"/>
              <w:jc w:val="right"/>
            </w:pPr>
            <w:r>
              <w:rPr>
                <w:color w:val="1C3A36"/>
                <w:sz w:val="14"/>
              </w:rPr>
              <w:t>Central Bank of the UAE — 'CBUAE…</w:t>
            </w:r>
          </w:p>
        </w:tc>
        <w:tc>
          <w:tcPr>
            <w:tcW w:type="dxa" w:w="1037"/>
          </w:tcPr>
          <w:p>
            <w:pPr>
              <w:spacing w:after="20"/>
              <w:jc w:val="right"/>
            </w:pPr>
            <w:r>
              <w:rPr>
                <w:color w:val="1C3A36"/>
                <w:sz w:val="14"/>
              </w:rPr>
              <w:t>2026-07-29</w:t>
            </w:r>
          </w:p>
        </w:tc>
      </w:tr>
      <w:tr>
        <w:trPr>
          <w:cantSplit/>
        </w:trPr>
        <w:tc>
          <w:tcPr>
            <w:tcW w:type="dxa" w:w="720"/>
          </w:tcPr>
          <w:p>
            <w:pPr>
              <w:spacing w:after="20"/>
            </w:pPr>
            <w:r>
              <w:rPr>
                <w:color w:val="1C3A36"/>
                <w:sz w:val="14"/>
              </w:rPr>
              <w:t>C-06</w:t>
            </w:r>
          </w:p>
        </w:tc>
        <w:tc>
          <w:tcPr>
            <w:tcW w:type="dxa" w:w="1037"/>
          </w:tcPr>
          <w:p>
            <w:pPr>
              <w:spacing w:after="20"/>
              <w:jc w:val="right"/>
            </w:pPr>
            <w:r>
              <w:rPr>
                <w:color w:val="1C3A36"/>
                <w:sz w:val="14"/>
              </w:rPr>
              <w:t>Country</w:t>
            </w:r>
          </w:p>
        </w:tc>
        <w:tc>
          <w:tcPr>
            <w:tcW w:type="dxa" w:w="1224"/>
          </w:tcPr>
          <w:p>
            <w:pPr>
              <w:spacing w:after="20"/>
              <w:jc w:val="right"/>
            </w:pPr>
            <w:r>
              <w:rPr>
                <w:color w:val="1C3A36"/>
                <w:sz w:val="14"/>
              </w:rPr>
              <w:t>Critical</w:t>
            </w:r>
          </w:p>
        </w:tc>
        <w:tc>
          <w:tcPr>
            <w:tcW w:type="dxa" w:w="3859"/>
          </w:tcPr>
          <w:p>
            <w:pPr>
              <w:spacing w:after="20"/>
              <w:jc w:val="right"/>
            </w:pPr>
            <w:r>
              <w:rPr>
                <w:color w:val="1C3A36"/>
                <w:sz w:val="14"/>
              </w:rPr>
              <w:t>UAE federal AED Treasury Bond curve — THE RISK-FREE ANCHOR — July 2026 auction (results announced ~30-Jul-2026): the Ministry of Finance completed the July 2026 auctions of…</w:t>
            </w:r>
          </w:p>
        </w:tc>
        <w:tc>
          <w:tcPr>
            <w:tcW w:type="dxa" w:w="2160"/>
          </w:tcPr>
          <w:p>
            <w:pPr>
              <w:spacing w:after="20"/>
              <w:jc w:val="right"/>
            </w:pPr>
            <w:r>
              <w:rPr>
                <w:color w:val="1C3A36"/>
                <w:sz w:val="14"/>
              </w:rPr>
              <w:t>UAE Ministry of Finance / WAM (Emirates…</w:t>
            </w:r>
          </w:p>
        </w:tc>
        <w:tc>
          <w:tcPr>
            <w:tcW w:type="dxa" w:w="1037"/>
          </w:tcPr>
          <w:p>
            <w:pPr>
              <w:spacing w:after="20"/>
              <w:jc w:val="right"/>
            </w:pPr>
            <w:r>
              <w:rPr>
                <w:color w:val="1C3A36"/>
                <w:sz w:val="14"/>
              </w:rPr>
              <w:t>2026-07-30</w:t>
            </w:r>
          </w:p>
        </w:tc>
      </w:tr>
      <w:tr>
        <w:trPr>
          <w:cantSplit/>
        </w:trPr>
        <w:tc>
          <w:tcPr>
            <w:tcW w:type="dxa" w:w="720"/>
          </w:tcPr>
          <w:p>
            <w:pPr>
              <w:spacing w:after="20"/>
            </w:pPr>
            <w:r>
              <w:rPr>
                <w:color w:val="1C3A36"/>
                <w:sz w:val="14"/>
              </w:rPr>
              <w:t>C-07</w:t>
            </w:r>
          </w:p>
        </w:tc>
        <w:tc>
          <w:tcPr>
            <w:tcW w:type="dxa" w:w="1037"/>
          </w:tcPr>
          <w:p>
            <w:pPr>
              <w:spacing w:after="20"/>
              <w:jc w:val="right"/>
            </w:pPr>
            <w:r>
              <w:rPr>
                <w:color w:val="1C3A36"/>
                <w:sz w:val="14"/>
              </w:rPr>
              <w:t>Country</w:t>
            </w:r>
          </w:p>
        </w:tc>
        <w:tc>
          <w:tcPr>
            <w:tcW w:type="dxa" w:w="1224"/>
          </w:tcPr>
          <w:p>
            <w:pPr>
              <w:spacing w:after="20"/>
              <w:jc w:val="right"/>
            </w:pPr>
            <w:r>
              <w:rPr>
                <w:color w:val="1C3A36"/>
                <w:sz w:val="14"/>
              </w:rPr>
              <w:t>Supporting</w:t>
            </w:r>
          </w:p>
        </w:tc>
        <w:tc>
          <w:tcPr>
            <w:tcW w:type="dxa" w:w="3859"/>
          </w:tcPr>
          <w:p>
            <w:pPr>
              <w:spacing w:after="20"/>
              <w:jc w:val="right"/>
            </w:pPr>
            <w:r>
              <w:rPr>
                <w:color w:val="1C3A36"/>
                <w:sz w:val="14"/>
              </w:rPr>
              <w:t>UAE federal AED T-Bond curve — prior auctions (path evidence) — May 2026 auction: AED 1.1bn issued, YTM 4.03% for the T-Bond tranche maturing September 2027 and 4.30% for…</w:t>
            </w:r>
          </w:p>
        </w:tc>
        <w:tc>
          <w:tcPr>
            <w:tcW w:type="dxa" w:w="2160"/>
          </w:tcPr>
          <w:p>
            <w:pPr>
              <w:spacing w:after="20"/>
              <w:jc w:val="right"/>
            </w:pPr>
            <w:r>
              <w:rPr>
                <w:color w:val="1C3A36"/>
                <w:sz w:val="14"/>
              </w:rPr>
              <w:t>UAE Ministry of Finance — 'UAE…</w:t>
            </w:r>
          </w:p>
        </w:tc>
        <w:tc>
          <w:tcPr>
            <w:tcW w:type="dxa" w:w="1037"/>
          </w:tcPr>
          <w:p>
            <w:pPr>
              <w:spacing w:after="20"/>
              <w:jc w:val="right"/>
            </w:pPr>
            <w:r>
              <w:rPr>
                <w:color w:val="1C3A36"/>
                <w:sz w:val="14"/>
              </w:rPr>
              <w:t>2026-05-23</w:t>
            </w:r>
          </w:p>
        </w:tc>
      </w:tr>
      <w:tr>
        <w:trPr>
          <w:cantSplit/>
        </w:trPr>
        <w:tc>
          <w:tcPr>
            <w:tcW w:type="dxa" w:w="720"/>
          </w:tcPr>
          <w:p>
            <w:pPr>
              <w:spacing w:after="20"/>
            </w:pPr>
            <w:r>
              <w:rPr>
                <w:color w:val="1C3A36"/>
                <w:sz w:val="14"/>
              </w:rPr>
              <w:t>C-08</w:t>
            </w:r>
          </w:p>
        </w:tc>
        <w:tc>
          <w:tcPr>
            <w:tcW w:type="dxa" w:w="1037"/>
          </w:tcPr>
          <w:p>
            <w:pPr>
              <w:spacing w:after="20"/>
              <w:jc w:val="right"/>
            </w:pPr>
            <w:r>
              <w:rPr>
                <w:color w:val="1C3A36"/>
                <w:sz w:val="14"/>
              </w:rPr>
              <w:t>Country</w:t>
            </w:r>
          </w:p>
        </w:tc>
        <w:tc>
          <w:tcPr>
            <w:tcW w:type="dxa" w:w="1224"/>
          </w:tcPr>
          <w:p>
            <w:pPr>
              <w:spacing w:after="20"/>
              <w:jc w:val="right"/>
            </w:pPr>
            <w:r>
              <w:rPr>
                <w:color w:val="1C3A36"/>
                <w:sz w:val="14"/>
              </w:rPr>
              <w:t>Driver</w:t>
            </w:r>
          </w:p>
        </w:tc>
        <w:tc>
          <w:tcPr>
            <w:tcW w:type="dxa" w:w="3859"/>
          </w:tcPr>
          <w:p>
            <w:pPr>
              <w:spacing w:after="20"/>
              <w:jc w:val="right"/>
            </w:pPr>
            <w:r>
              <w:rPr>
                <w:color w:val="1C3A36"/>
                <w:sz w:val="14"/>
              </w:rPr>
              <w:t>Abu Dhabi sovereign USD bond — 10-year point — Abu Dhabi's February 2026 dual-tranche USD issuance raised USD 3bn. The 10-year tranche priced with a 4.25% coupon at a…</w:t>
            </w:r>
          </w:p>
        </w:tc>
        <w:tc>
          <w:tcPr>
            <w:tcW w:type="dxa" w:w="2160"/>
          </w:tcPr>
          <w:p>
            <w:pPr>
              <w:spacing w:after="20"/>
              <w:jc w:val="right"/>
            </w:pPr>
            <w:r>
              <w:rPr>
                <w:color w:val="1C3A36"/>
                <w:sz w:val="14"/>
              </w:rPr>
              <w:t>Zawya — 'Abu Dhabi raises $3bln as…</w:t>
            </w:r>
          </w:p>
        </w:tc>
        <w:tc>
          <w:tcPr>
            <w:tcW w:type="dxa" w:w="1037"/>
          </w:tcPr>
          <w:p>
            <w:pPr>
              <w:spacing w:after="20"/>
              <w:jc w:val="right"/>
            </w:pPr>
            <w:r>
              <w:rPr>
                <w:color w:val="1C3A36"/>
                <w:sz w:val="14"/>
              </w:rPr>
              <w:t>2026-02-01</w:t>
            </w:r>
          </w:p>
        </w:tc>
      </w:tr>
      <w:tr>
        <w:trPr>
          <w:cantSplit/>
        </w:trPr>
        <w:tc>
          <w:tcPr>
            <w:tcW w:type="dxa" w:w="720"/>
          </w:tcPr>
          <w:p>
            <w:pPr>
              <w:spacing w:after="20"/>
            </w:pPr>
            <w:r>
              <w:rPr>
                <w:color w:val="1C3A36"/>
                <w:sz w:val="14"/>
              </w:rPr>
              <w:t>C-09</w:t>
            </w:r>
          </w:p>
        </w:tc>
        <w:tc>
          <w:tcPr>
            <w:tcW w:type="dxa" w:w="1037"/>
          </w:tcPr>
          <w:p>
            <w:pPr>
              <w:spacing w:after="20"/>
              <w:jc w:val="right"/>
            </w:pPr>
            <w:r>
              <w:rPr>
                <w:color w:val="1C3A36"/>
                <w:sz w:val="14"/>
              </w:rPr>
              <w:t>Country</w:t>
            </w:r>
          </w:p>
        </w:tc>
        <w:tc>
          <w:tcPr>
            <w:tcW w:type="dxa" w:w="1224"/>
          </w:tcPr>
          <w:p>
            <w:pPr>
              <w:spacing w:after="20"/>
              <w:jc w:val="right"/>
            </w:pPr>
            <w:r>
              <w:rPr>
                <w:color w:val="1C3A36"/>
                <w:sz w:val="14"/>
              </w:rPr>
              <w:t>Driver</w:t>
            </w:r>
          </w:p>
        </w:tc>
        <w:tc>
          <w:tcPr>
            <w:tcW w:type="dxa" w:w="3859"/>
          </w:tcPr>
          <w:p>
            <w:pPr>
              <w:spacing w:after="20"/>
              <w:jc w:val="right"/>
            </w:pPr>
            <w:r>
              <w:rPr>
                <w:color w:val="1C3A36"/>
                <w:sz w:val="14"/>
              </w:rPr>
              <w:t>UAE sovereign credit rating — Moody's — Moody's affirmed the United Arab Emirates at Aa2 with a stable outlook on 12-Jun-2026, citing robust public finances, high per-capita…</w:t>
            </w:r>
          </w:p>
        </w:tc>
        <w:tc>
          <w:tcPr>
            <w:tcW w:type="dxa" w:w="2160"/>
          </w:tcPr>
          <w:p>
            <w:pPr>
              <w:spacing w:after="20"/>
              <w:jc w:val="right"/>
            </w:pPr>
            <w:r>
              <w:rPr>
                <w:color w:val="1C3A36"/>
                <w:sz w:val="14"/>
              </w:rPr>
              <w:t>The National — 'UAE retains high Moody's…</w:t>
            </w:r>
          </w:p>
        </w:tc>
        <w:tc>
          <w:tcPr>
            <w:tcW w:type="dxa" w:w="1037"/>
          </w:tcPr>
          <w:p>
            <w:pPr>
              <w:spacing w:after="20"/>
              <w:jc w:val="right"/>
            </w:pPr>
            <w:r>
              <w:rPr>
                <w:color w:val="1C3A36"/>
                <w:sz w:val="14"/>
              </w:rPr>
              <w:t>2026-06-12</w:t>
            </w:r>
          </w:p>
        </w:tc>
      </w:tr>
      <w:tr>
        <w:trPr>
          <w:cantSplit/>
        </w:trPr>
        <w:tc>
          <w:tcPr>
            <w:tcW w:type="dxa" w:w="720"/>
          </w:tcPr>
          <w:p>
            <w:pPr>
              <w:spacing w:after="20"/>
            </w:pPr>
            <w:r>
              <w:rPr>
                <w:color w:val="1C3A36"/>
                <w:sz w:val="14"/>
              </w:rPr>
              <w:t>C-10</w:t>
            </w:r>
          </w:p>
        </w:tc>
        <w:tc>
          <w:tcPr>
            <w:tcW w:type="dxa" w:w="1037"/>
          </w:tcPr>
          <w:p>
            <w:pPr>
              <w:spacing w:after="20"/>
              <w:jc w:val="right"/>
            </w:pPr>
            <w:r>
              <w:rPr>
                <w:color w:val="1C3A36"/>
                <w:sz w:val="14"/>
              </w:rPr>
              <w:t>Country</w:t>
            </w:r>
          </w:p>
        </w:tc>
        <w:tc>
          <w:tcPr>
            <w:tcW w:type="dxa" w:w="1224"/>
          </w:tcPr>
          <w:p>
            <w:pPr>
              <w:spacing w:after="20"/>
              <w:jc w:val="right"/>
            </w:pPr>
            <w:r>
              <w:rPr>
                <w:color w:val="1C3A36"/>
                <w:sz w:val="14"/>
              </w:rPr>
              <w:t>Supporting</w:t>
            </w:r>
          </w:p>
        </w:tc>
        <w:tc>
          <w:tcPr>
            <w:tcW w:type="dxa" w:w="3859"/>
          </w:tcPr>
          <w:p>
            <w:pPr>
              <w:spacing w:after="20"/>
              <w:jc w:val="right"/>
            </w:pPr>
            <w:r>
              <w:rPr>
                <w:color w:val="1C3A36"/>
                <w:sz w:val="14"/>
              </w:rPr>
              <w:t>UAE sovereign credit rating — S&amp;P — S&amp;P Global Ratings affirmed the UAE sovereign rating at AA/A-1+ for both local and foreign currency, with a stable outlook, on 06-Mar-2026.</w:t>
            </w:r>
          </w:p>
        </w:tc>
        <w:tc>
          <w:tcPr>
            <w:tcW w:type="dxa" w:w="2160"/>
          </w:tcPr>
          <w:p>
            <w:pPr>
              <w:spacing w:after="20"/>
              <w:jc w:val="right"/>
            </w:pPr>
            <w:r>
              <w:rPr>
                <w:color w:val="1C3A36"/>
                <w:sz w:val="14"/>
              </w:rPr>
              <w:t>Gulf News — 'UAE earns top sovereign…</w:t>
            </w:r>
          </w:p>
        </w:tc>
        <w:tc>
          <w:tcPr>
            <w:tcW w:type="dxa" w:w="1037"/>
          </w:tcPr>
          <w:p>
            <w:pPr>
              <w:spacing w:after="20"/>
              <w:jc w:val="right"/>
            </w:pPr>
            <w:r>
              <w:rPr>
                <w:color w:val="1C3A36"/>
                <w:sz w:val="14"/>
              </w:rPr>
              <w:t>2026-03-06</w:t>
            </w:r>
          </w:p>
        </w:tc>
      </w:tr>
      <w:tr>
        <w:trPr>
          <w:cantSplit/>
        </w:trPr>
        <w:tc>
          <w:tcPr>
            <w:tcW w:type="dxa" w:w="720"/>
          </w:tcPr>
          <w:p>
            <w:pPr>
              <w:spacing w:after="20"/>
            </w:pPr>
            <w:r>
              <w:rPr>
                <w:color w:val="1C3A36"/>
                <w:sz w:val="14"/>
              </w:rPr>
              <w:t>C-11</w:t>
            </w:r>
          </w:p>
        </w:tc>
        <w:tc>
          <w:tcPr>
            <w:tcW w:type="dxa" w:w="1037"/>
          </w:tcPr>
          <w:p>
            <w:pPr>
              <w:spacing w:after="20"/>
              <w:jc w:val="right"/>
            </w:pPr>
            <w:r>
              <w:rPr>
                <w:color w:val="1C3A36"/>
                <w:sz w:val="14"/>
              </w:rPr>
              <w:t>Country</w:t>
            </w:r>
          </w:p>
        </w:tc>
        <w:tc>
          <w:tcPr>
            <w:tcW w:type="dxa" w:w="1224"/>
          </w:tcPr>
          <w:p>
            <w:pPr>
              <w:spacing w:after="20"/>
              <w:jc w:val="right"/>
            </w:pPr>
            <w:r>
              <w:rPr>
                <w:color w:val="1C3A36"/>
                <w:sz w:val="14"/>
              </w:rPr>
              <w:t>Supporting</w:t>
            </w:r>
          </w:p>
        </w:tc>
        <w:tc>
          <w:tcPr>
            <w:tcW w:type="dxa" w:w="3859"/>
          </w:tcPr>
          <w:p>
            <w:pPr>
              <w:spacing w:after="20"/>
              <w:jc w:val="right"/>
            </w:pPr>
            <w:r>
              <w:rPr>
                <w:color w:val="1C3A36"/>
                <w:sz w:val="14"/>
              </w:rPr>
              <w:t>UAE sovereign credit rating — Fitch — Fitch affirmed the UAE at AA- with a stable outlook on 23-May-2026.</w:t>
            </w:r>
          </w:p>
        </w:tc>
        <w:tc>
          <w:tcPr>
            <w:tcW w:type="dxa" w:w="2160"/>
          </w:tcPr>
          <w:p>
            <w:pPr>
              <w:spacing w:after="20"/>
              <w:jc w:val="right"/>
            </w:pPr>
            <w:r>
              <w:rPr>
                <w:color w:val="1C3A36"/>
                <w:sz w:val="14"/>
              </w:rPr>
              <w:t>Gulf News — 'UAE earns top sovereign…</w:t>
            </w:r>
          </w:p>
        </w:tc>
        <w:tc>
          <w:tcPr>
            <w:tcW w:type="dxa" w:w="1037"/>
          </w:tcPr>
          <w:p>
            <w:pPr>
              <w:spacing w:after="20"/>
              <w:jc w:val="right"/>
            </w:pPr>
            <w:r>
              <w:rPr>
                <w:color w:val="1C3A36"/>
                <w:sz w:val="14"/>
              </w:rPr>
              <w:t>2026-05-23</w:t>
            </w:r>
          </w:p>
        </w:tc>
      </w:tr>
      <w:tr>
        <w:trPr>
          <w:cantSplit/>
        </w:trPr>
        <w:tc>
          <w:tcPr>
            <w:tcW w:type="dxa" w:w="720"/>
          </w:tcPr>
          <w:p>
            <w:pPr>
              <w:spacing w:after="20"/>
            </w:pPr>
            <w:r>
              <w:rPr>
                <w:color w:val="1C3A36"/>
                <w:sz w:val="14"/>
              </w:rPr>
              <w:t>C-12</w:t>
            </w:r>
          </w:p>
        </w:tc>
        <w:tc>
          <w:tcPr>
            <w:tcW w:type="dxa" w:w="1037"/>
          </w:tcPr>
          <w:p>
            <w:pPr>
              <w:spacing w:after="20"/>
              <w:jc w:val="right"/>
            </w:pPr>
            <w:r>
              <w:rPr>
                <w:color w:val="1C3A36"/>
                <w:sz w:val="14"/>
              </w:rPr>
              <w:t>Country</w:t>
            </w:r>
          </w:p>
        </w:tc>
        <w:tc>
          <w:tcPr>
            <w:tcW w:type="dxa" w:w="1224"/>
          </w:tcPr>
          <w:p>
            <w:pPr>
              <w:spacing w:after="20"/>
              <w:jc w:val="right"/>
            </w:pPr>
            <w:r>
              <w:rPr>
                <w:color w:val="1C3A36"/>
                <w:sz w:val="14"/>
              </w:rPr>
              <w:t>Critical</w:t>
            </w:r>
          </w:p>
        </w:tc>
        <w:tc>
          <w:tcPr>
            <w:tcW w:type="dxa" w:w="3859"/>
          </w:tcPr>
          <w:p>
            <w:pPr>
              <w:spacing w:after="20"/>
              <w:jc w:val="right"/>
            </w:pPr>
            <w:r>
              <w:rPr>
                <w:color w:val="1C3A36"/>
                <w:sz w:val="14"/>
              </w:rPr>
              <w:t>Damodaran country risk premium — UNITED ARAB EMIRATES row, from the ORIGINAL ctryprem.html — Read live from the original file at pages.stern.nyu.edu. The file header reads…</w:t>
            </w:r>
          </w:p>
        </w:tc>
        <w:tc>
          <w:tcPr>
            <w:tcW w:type="dxa" w:w="2160"/>
          </w:tcPr>
          <w:p>
            <w:pPr>
              <w:spacing w:after="20"/>
              <w:jc w:val="right"/>
            </w:pPr>
            <w:r>
              <w:rPr>
                <w:color w:val="1C3A36"/>
                <w:sz w:val="14"/>
              </w:rPr>
              <w:t>Aswath Damodaran (NYU Stern) — Country…</w:t>
            </w:r>
          </w:p>
        </w:tc>
        <w:tc>
          <w:tcPr>
            <w:tcW w:type="dxa" w:w="1037"/>
          </w:tcPr>
          <w:p>
            <w:pPr>
              <w:spacing w:after="20"/>
              <w:jc w:val="right"/>
            </w:pPr>
            <w:r>
              <w:rPr>
                <w:color w:val="1C3A36"/>
                <w:sz w:val="14"/>
              </w:rPr>
              <w:t>2026-01-05</w:t>
            </w:r>
          </w:p>
        </w:tc>
      </w:tr>
      <w:tr>
        <w:trPr>
          <w:cantSplit/>
        </w:trPr>
        <w:tc>
          <w:tcPr>
            <w:tcW w:type="dxa" w:w="720"/>
          </w:tcPr>
          <w:p>
            <w:pPr>
              <w:spacing w:after="20"/>
            </w:pPr>
            <w:r>
              <w:rPr>
                <w:color w:val="1C3A36"/>
                <w:sz w:val="14"/>
              </w:rPr>
              <w:t>C-13</w:t>
            </w:r>
          </w:p>
        </w:tc>
        <w:tc>
          <w:tcPr>
            <w:tcW w:type="dxa" w:w="1037"/>
          </w:tcPr>
          <w:p>
            <w:pPr>
              <w:spacing w:after="20"/>
              <w:jc w:val="right"/>
            </w:pPr>
            <w:r>
              <w:rPr>
                <w:color w:val="1C3A36"/>
                <w:sz w:val="14"/>
              </w:rPr>
              <w:t>Country</w:t>
            </w:r>
          </w:p>
        </w:tc>
        <w:tc>
          <w:tcPr>
            <w:tcW w:type="dxa" w:w="1224"/>
          </w:tcPr>
          <w:p>
            <w:pPr>
              <w:spacing w:after="20"/>
              <w:jc w:val="right"/>
            </w:pPr>
            <w:r>
              <w:rPr>
                <w:color w:val="1C3A36"/>
                <w:sz w:val="14"/>
              </w:rPr>
              <w:t>Critical</w:t>
            </w:r>
          </w:p>
        </w:tc>
        <w:tc>
          <w:tcPr>
            <w:tcW w:type="dxa" w:w="3859"/>
          </w:tcPr>
          <w:p>
            <w:pPr>
              <w:spacing w:after="20"/>
              <w:jc w:val="right"/>
            </w:pPr>
            <w:r>
              <w:rPr>
                <w:color w:val="1C3A36"/>
                <w:sz w:val="14"/>
              </w:rPr>
              <w:t>Damodaran July-2026 mid-year update — DISCREPANCY FLAG — A Damodaran 'Equity Risk Premiums, by country - July 2026 Update' exists, published 03-Jul-2026, covering 157…</w:t>
            </w:r>
          </w:p>
        </w:tc>
        <w:tc>
          <w:tcPr>
            <w:tcW w:type="dxa" w:w="2160"/>
          </w:tcPr>
          <w:p>
            <w:pPr>
              <w:spacing w:after="20"/>
              <w:jc w:val="right"/>
            </w:pPr>
            <w:r>
              <w:rPr>
                <w:color w:val="1C3A36"/>
                <w:sz w:val="14"/>
              </w:rPr>
              <w:t>Aswath Damodaran — 'Equity Risk…</w:t>
            </w:r>
          </w:p>
        </w:tc>
        <w:tc>
          <w:tcPr>
            <w:tcW w:type="dxa" w:w="1037"/>
          </w:tcPr>
          <w:p>
            <w:pPr>
              <w:spacing w:after="20"/>
              <w:jc w:val="right"/>
            </w:pPr>
            <w:r>
              <w:rPr>
                <w:color w:val="1C3A36"/>
                <w:sz w:val="14"/>
              </w:rPr>
              <w:t>2026-07-03</w:t>
            </w:r>
          </w:p>
        </w:tc>
      </w:tr>
      <w:tr>
        <w:trPr>
          <w:cantSplit/>
        </w:trPr>
        <w:tc>
          <w:tcPr>
            <w:tcW w:type="dxa" w:w="720"/>
          </w:tcPr>
          <w:p>
            <w:pPr>
              <w:spacing w:after="20"/>
            </w:pPr>
            <w:r>
              <w:rPr>
                <w:color w:val="1C3A36"/>
                <w:sz w:val="14"/>
              </w:rPr>
              <w:t>C-14</w:t>
            </w:r>
          </w:p>
        </w:tc>
        <w:tc>
          <w:tcPr>
            <w:tcW w:type="dxa" w:w="1037"/>
          </w:tcPr>
          <w:p>
            <w:pPr>
              <w:spacing w:after="20"/>
              <w:jc w:val="right"/>
            </w:pPr>
            <w:r>
              <w:rPr>
                <w:color w:val="1C3A36"/>
                <w:sz w:val="14"/>
              </w:rPr>
              <w:t>Country</w:t>
            </w:r>
          </w:p>
        </w:tc>
        <w:tc>
          <w:tcPr>
            <w:tcW w:type="dxa" w:w="1224"/>
          </w:tcPr>
          <w:p>
            <w:pPr>
              <w:spacing w:after="20"/>
              <w:jc w:val="right"/>
            </w:pPr>
            <w:r>
              <w:rPr>
                <w:color w:val="1C3A36"/>
                <w:sz w:val="14"/>
              </w:rPr>
              <w:t>Critical</w:t>
            </w:r>
          </w:p>
        </w:tc>
        <w:tc>
          <w:tcPr>
            <w:tcW w:type="dxa" w:w="3859"/>
          </w:tcPr>
          <w:p>
            <w:pPr>
              <w:spacing w:after="20"/>
              <w:jc w:val="right"/>
            </w:pPr>
            <w:r>
              <w:rPr>
                <w:color w:val="1C3A36"/>
                <w:sz w:val="14"/>
              </w:rPr>
              <w:t>UAE federal corporate tax — 9% regime — The UAE corporate tax rate is 9%, charged on taxable profits above AED 375,000 annually, under the federal corporate tax regime.…</w:t>
            </w:r>
          </w:p>
        </w:tc>
        <w:tc>
          <w:tcPr>
            <w:tcW w:type="dxa" w:w="2160"/>
          </w:tcPr>
          <w:p>
            <w:pPr>
              <w:spacing w:after="20"/>
              <w:jc w:val="right"/>
            </w:pPr>
            <w:r>
              <w:rPr>
                <w:color w:val="1C3A36"/>
                <w:sz w:val="14"/>
              </w:rPr>
              <w:t>PwC Worldwide Tax Summaries — United…</w:t>
            </w:r>
          </w:p>
        </w:tc>
        <w:tc>
          <w:tcPr>
            <w:tcW w:type="dxa" w:w="1037"/>
          </w:tcPr>
          <w:p>
            <w:pPr>
              <w:spacing w:after="20"/>
              <w:jc w:val="right"/>
            </w:pPr>
            <w:r>
              <w:rPr>
                <w:color w:val="1C3A36"/>
                <w:sz w:val="14"/>
              </w:rPr>
              <w:t>2026-01-01</w:t>
            </w:r>
          </w:p>
        </w:tc>
      </w:tr>
      <w:tr>
        <w:trPr>
          <w:cantSplit/>
        </w:trPr>
        <w:tc>
          <w:tcPr>
            <w:tcW w:type="dxa" w:w="720"/>
          </w:tcPr>
          <w:p>
            <w:pPr>
              <w:spacing w:after="20"/>
            </w:pPr>
            <w:r>
              <w:rPr>
                <w:color w:val="1C3A36"/>
                <w:sz w:val="14"/>
              </w:rPr>
              <w:t>C-15</w:t>
            </w:r>
          </w:p>
        </w:tc>
        <w:tc>
          <w:tcPr>
            <w:tcW w:type="dxa" w:w="1037"/>
          </w:tcPr>
          <w:p>
            <w:pPr>
              <w:spacing w:after="20"/>
              <w:jc w:val="right"/>
            </w:pPr>
            <w:r>
              <w:rPr>
                <w:color w:val="1C3A36"/>
                <w:sz w:val="14"/>
              </w:rPr>
              <w:t>Country</w:t>
            </w:r>
          </w:p>
        </w:tc>
        <w:tc>
          <w:tcPr>
            <w:tcW w:type="dxa" w:w="1224"/>
          </w:tcPr>
          <w:p>
            <w:pPr>
              <w:spacing w:after="20"/>
              <w:jc w:val="right"/>
            </w:pPr>
            <w:r>
              <w:rPr>
                <w:color w:val="1C3A36"/>
                <w:sz w:val="14"/>
              </w:rPr>
              <w:t>Critical</w:t>
            </w:r>
          </w:p>
        </w:tc>
        <w:tc>
          <w:tcPr>
            <w:tcW w:type="dxa" w:w="3859"/>
          </w:tcPr>
          <w:p>
            <w:pPr>
              <w:spacing w:after="20"/>
              <w:jc w:val="right"/>
            </w:pPr>
            <w:r>
              <w:rPr>
                <w:color w:val="1C3A36"/>
                <w:sz w:val="14"/>
              </w:rPr>
              <w:t>UAE Domestic Minimum Top-up Tax (DMTT) — 15% — The UAE introduced a 15% Domestic Minimum Top-up Tax effective for financial years beginning on or after 1 January 2025, under…</w:t>
            </w:r>
          </w:p>
        </w:tc>
        <w:tc>
          <w:tcPr>
            <w:tcW w:type="dxa" w:w="2160"/>
          </w:tcPr>
          <w:p>
            <w:pPr>
              <w:spacing w:after="20"/>
              <w:jc w:val="right"/>
            </w:pPr>
            <w:r>
              <w:rPr>
                <w:color w:val="1C3A36"/>
                <w:sz w:val="14"/>
              </w:rPr>
              <w:t>UAE Ministry of Finance — Top-up Tax; EY…</w:t>
            </w:r>
          </w:p>
        </w:tc>
        <w:tc>
          <w:tcPr>
            <w:tcW w:type="dxa" w:w="1037"/>
          </w:tcPr>
          <w:p>
            <w:pPr>
              <w:spacing w:after="20"/>
              <w:jc w:val="right"/>
            </w:pPr>
            <w:r>
              <w:rPr>
                <w:color w:val="1C3A36"/>
                <w:sz w:val="14"/>
              </w:rPr>
              <w:t>2025-01-01</w:t>
            </w:r>
          </w:p>
        </w:tc>
      </w:tr>
      <w:tr>
        <w:trPr>
          <w:cantSplit/>
        </w:trPr>
        <w:tc>
          <w:tcPr>
            <w:tcW w:type="dxa" w:w="720"/>
          </w:tcPr>
          <w:p>
            <w:pPr>
              <w:spacing w:after="20"/>
            </w:pPr>
            <w:r>
              <w:rPr>
                <w:color w:val="1C3A36"/>
                <w:sz w:val="14"/>
              </w:rPr>
              <w:t>C-16</w:t>
            </w:r>
          </w:p>
        </w:tc>
        <w:tc>
          <w:tcPr>
            <w:tcW w:type="dxa" w:w="1037"/>
          </w:tcPr>
          <w:p>
            <w:pPr>
              <w:spacing w:after="20"/>
              <w:jc w:val="right"/>
            </w:pPr>
            <w:r>
              <w:rPr>
                <w:color w:val="1C3A36"/>
                <w:sz w:val="14"/>
              </w:rPr>
              <w:t>Country</w:t>
            </w:r>
          </w:p>
        </w:tc>
        <w:tc>
          <w:tcPr>
            <w:tcW w:type="dxa" w:w="1224"/>
          </w:tcPr>
          <w:p>
            <w:pPr>
              <w:spacing w:after="20"/>
              <w:jc w:val="right"/>
            </w:pPr>
            <w:r>
              <w:rPr>
                <w:color w:val="1C3A36"/>
                <w:sz w:val="14"/>
              </w:rPr>
              <w:t>Critical</w:t>
            </w:r>
          </w:p>
        </w:tc>
        <w:tc>
          <w:tcPr>
            <w:tcW w:type="dxa" w:w="3859"/>
          </w:tcPr>
          <w:p>
            <w:pPr>
              <w:spacing w:after="20"/>
              <w:jc w:val="right"/>
            </w:pPr>
            <w:r>
              <w:rPr>
                <w:color w:val="1C3A36"/>
                <w:sz w:val="14"/>
              </w:rPr>
              <w:t>ADNOC Distribution's own tax position — regime applicability — ADNOC Distribution is subject to corporate tax and is NOT covered by the upstream extraction carve-out.…</w:t>
            </w:r>
          </w:p>
        </w:tc>
        <w:tc>
          <w:tcPr>
            <w:tcW w:type="dxa" w:w="2160"/>
          </w:tcPr>
          <w:p>
            <w:pPr>
              <w:spacing w:after="20"/>
              <w:jc w:val="right"/>
            </w:pPr>
            <w:r>
              <w:rPr>
                <w:color w:val="1C3A36"/>
                <w:sz w:val="14"/>
              </w:rPr>
              <w:t>Gulf News — ADNOC Distribution results…</w:t>
            </w:r>
          </w:p>
        </w:tc>
        <w:tc>
          <w:tcPr>
            <w:tcW w:type="dxa" w:w="1037"/>
          </w:tcPr>
          <w:p>
            <w:pPr>
              <w:spacing w:after="20"/>
              <w:jc w:val="right"/>
            </w:pPr>
            <w:r>
              <w:rPr>
                <w:color w:val="1C3A36"/>
                <w:sz w:val="14"/>
              </w:rPr>
              <w:t>—</w:t>
            </w:r>
          </w:p>
        </w:tc>
      </w:tr>
      <w:tr>
        <w:trPr>
          <w:cantSplit/>
        </w:trPr>
        <w:tc>
          <w:tcPr>
            <w:tcW w:type="dxa" w:w="720"/>
          </w:tcPr>
          <w:p>
            <w:pPr>
              <w:spacing w:after="20"/>
            </w:pPr>
            <w:r>
              <w:rPr>
                <w:color w:val="1C3A36"/>
                <w:sz w:val="14"/>
              </w:rPr>
              <w:t>C-17</w:t>
            </w:r>
          </w:p>
        </w:tc>
        <w:tc>
          <w:tcPr>
            <w:tcW w:type="dxa" w:w="1037"/>
          </w:tcPr>
          <w:p>
            <w:pPr>
              <w:spacing w:after="20"/>
              <w:jc w:val="right"/>
            </w:pPr>
            <w:r>
              <w:rPr>
                <w:color w:val="1C3A36"/>
                <w:sz w:val="14"/>
              </w:rPr>
              <w:t>Country</w:t>
            </w:r>
          </w:p>
        </w:tc>
        <w:tc>
          <w:tcPr>
            <w:tcW w:type="dxa" w:w="1224"/>
          </w:tcPr>
          <w:p>
            <w:pPr>
              <w:spacing w:after="20"/>
              <w:jc w:val="right"/>
            </w:pPr>
            <w:r>
              <w:rPr>
                <w:color w:val="1C3A36"/>
                <w:sz w:val="14"/>
              </w:rPr>
              <w:t>Critical</w:t>
            </w:r>
          </w:p>
        </w:tc>
        <w:tc>
          <w:tcPr>
            <w:tcW w:type="dxa" w:w="3859"/>
          </w:tcPr>
          <w:p>
            <w:pPr>
              <w:spacing w:after="20"/>
              <w:jc w:val="right"/>
            </w:pPr>
            <w:r>
              <w:rPr>
                <w:color w:val="1C3A36"/>
                <w:sz w:val="14"/>
              </w:rPr>
              <w:t>UAE retail fuel pricing mechanism — deregulation and the monthly committee — The UAE Ministry of Energy deregulated fuel prices with effect from 1 August 2015, adopting a…</w:t>
            </w:r>
          </w:p>
        </w:tc>
        <w:tc>
          <w:tcPr>
            <w:tcW w:type="dxa" w:w="2160"/>
          </w:tcPr>
          <w:p>
            <w:pPr>
              <w:spacing w:after="20"/>
              <w:jc w:val="right"/>
            </w:pPr>
            <w:r>
              <w:rPr>
                <w:color w:val="1C3A36"/>
                <w:sz w:val="14"/>
              </w:rPr>
              <w:t>UAE Cabinet — 'Fuel Prices to be…</w:t>
            </w:r>
          </w:p>
        </w:tc>
        <w:tc>
          <w:tcPr>
            <w:tcW w:type="dxa" w:w="1037"/>
          </w:tcPr>
          <w:p>
            <w:pPr>
              <w:spacing w:after="20"/>
              <w:jc w:val="right"/>
            </w:pPr>
            <w:r>
              <w:rPr>
                <w:color w:val="1C3A36"/>
                <w:sz w:val="14"/>
              </w:rPr>
              <w:t>2015-08-01</w:t>
            </w:r>
          </w:p>
        </w:tc>
      </w:tr>
      <w:tr>
        <w:trPr>
          <w:cantSplit/>
        </w:trPr>
        <w:tc>
          <w:tcPr>
            <w:tcW w:type="dxa" w:w="720"/>
          </w:tcPr>
          <w:p>
            <w:pPr>
              <w:spacing w:after="20"/>
            </w:pPr>
            <w:r>
              <w:rPr>
                <w:color w:val="1C3A36"/>
                <w:sz w:val="14"/>
              </w:rPr>
              <w:t>C-18</w:t>
            </w:r>
          </w:p>
        </w:tc>
        <w:tc>
          <w:tcPr>
            <w:tcW w:type="dxa" w:w="1037"/>
          </w:tcPr>
          <w:p>
            <w:pPr>
              <w:spacing w:after="20"/>
              <w:jc w:val="right"/>
            </w:pPr>
            <w:r>
              <w:rPr>
                <w:color w:val="1C3A36"/>
                <w:sz w:val="14"/>
              </w:rPr>
              <w:t>Country</w:t>
            </w:r>
          </w:p>
        </w:tc>
        <w:tc>
          <w:tcPr>
            <w:tcW w:type="dxa" w:w="1224"/>
          </w:tcPr>
          <w:p>
            <w:pPr>
              <w:spacing w:after="20"/>
              <w:jc w:val="right"/>
            </w:pPr>
            <w:r>
              <w:rPr>
                <w:color w:val="1C3A36"/>
                <w:sz w:val="14"/>
              </w:rPr>
              <w:t>Critical</w:t>
            </w:r>
          </w:p>
        </w:tc>
        <w:tc>
          <w:tcPr>
            <w:tcW w:type="dxa" w:w="3859"/>
          </w:tcPr>
          <w:p>
            <w:pPr>
              <w:spacing w:after="20"/>
              <w:jc w:val="right"/>
            </w:pPr>
            <w:r>
              <w:rPr>
                <w:color w:val="1C3A36"/>
                <w:sz w:val="14"/>
              </w:rPr>
              <w:t>UAE retail fuel prices — August 2026 (current levels) — Announced 31-Jul-2026, effective 1 August 2026, uniform across all emirates and all retailers (ADNOC, ENOC, EPPCO and…</w:t>
            </w:r>
          </w:p>
        </w:tc>
        <w:tc>
          <w:tcPr>
            <w:tcW w:type="dxa" w:w="2160"/>
          </w:tcPr>
          <w:p>
            <w:pPr>
              <w:spacing w:after="20"/>
              <w:jc w:val="right"/>
            </w:pPr>
            <w:r>
              <w:rPr>
                <w:color w:val="1C3A36"/>
                <w:sz w:val="14"/>
              </w:rPr>
              <w:t>Khaleej Times — 'UAE petrol and diesel…</w:t>
            </w:r>
          </w:p>
        </w:tc>
        <w:tc>
          <w:tcPr>
            <w:tcW w:type="dxa" w:w="1037"/>
          </w:tcPr>
          <w:p>
            <w:pPr>
              <w:spacing w:after="20"/>
              <w:jc w:val="right"/>
            </w:pPr>
            <w:r>
              <w:rPr>
                <w:color w:val="1C3A36"/>
                <w:sz w:val="14"/>
              </w:rPr>
              <w:t>2026-08-01</w:t>
            </w:r>
          </w:p>
        </w:tc>
      </w:tr>
      <w:tr>
        <w:trPr>
          <w:cantSplit/>
        </w:trPr>
        <w:tc>
          <w:tcPr>
            <w:tcW w:type="dxa" w:w="720"/>
          </w:tcPr>
          <w:p>
            <w:pPr>
              <w:spacing w:after="20"/>
            </w:pPr>
            <w:r>
              <w:rPr>
                <w:color w:val="1C3A36"/>
                <w:sz w:val="14"/>
              </w:rPr>
              <w:t>C-19</w:t>
            </w:r>
          </w:p>
        </w:tc>
        <w:tc>
          <w:tcPr>
            <w:tcW w:type="dxa" w:w="1037"/>
          </w:tcPr>
          <w:p>
            <w:pPr>
              <w:spacing w:after="20"/>
              <w:jc w:val="right"/>
            </w:pPr>
            <w:r>
              <w:rPr>
                <w:color w:val="1C3A36"/>
                <w:sz w:val="14"/>
              </w:rPr>
              <w:t>Country</w:t>
            </w:r>
          </w:p>
        </w:tc>
        <w:tc>
          <w:tcPr>
            <w:tcW w:type="dxa" w:w="1224"/>
          </w:tcPr>
          <w:p>
            <w:pPr>
              <w:spacing w:after="20"/>
              <w:jc w:val="right"/>
            </w:pPr>
            <w:r>
              <w:rPr>
                <w:color w:val="1C3A36"/>
                <w:sz w:val="14"/>
              </w:rPr>
              <w:t>Critical</w:t>
            </w:r>
          </w:p>
        </w:tc>
        <w:tc>
          <w:tcPr>
            <w:tcW w:type="dxa" w:w="3859"/>
          </w:tcPr>
          <w:p>
            <w:pPr>
              <w:spacing w:after="20"/>
              <w:jc w:val="right"/>
            </w:pPr>
            <w:r>
              <w:rPr>
                <w:color w:val="1C3A36"/>
                <w:sz w:val="14"/>
              </w:rPr>
              <w:t>UAE retail fuel price path — full monthly 2026 series — Monthly UAE retail prices, AED/litre (Super 98 / Special 95 / E-Plus 91 / Diesel): January 2.53 / 2.42 / 2.34 / 2.55;…</w:t>
            </w:r>
          </w:p>
        </w:tc>
        <w:tc>
          <w:tcPr>
            <w:tcW w:type="dxa" w:w="2160"/>
          </w:tcPr>
          <w:p>
            <w:pPr>
              <w:spacing w:after="20"/>
              <w:jc w:val="right"/>
            </w:pPr>
            <w:r>
              <w:rPr>
                <w:color w:val="1C3A36"/>
                <w:sz w:val="14"/>
              </w:rPr>
              <w:t>OneClickDrive UAE Petrol Prices 2026…</w:t>
            </w:r>
          </w:p>
        </w:tc>
        <w:tc>
          <w:tcPr>
            <w:tcW w:type="dxa" w:w="1037"/>
          </w:tcPr>
          <w:p>
            <w:pPr>
              <w:spacing w:after="20"/>
              <w:jc w:val="right"/>
            </w:pPr>
            <w:r>
              <w:rPr>
                <w:color w:val="1C3A36"/>
                <w:sz w:val="14"/>
              </w:rPr>
              <w:t>2026-08-01</w:t>
            </w:r>
          </w:p>
        </w:tc>
      </w:tr>
      <w:tr>
        <w:trPr>
          <w:cantSplit/>
        </w:trPr>
        <w:tc>
          <w:tcPr>
            <w:tcW w:type="dxa" w:w="720"/>
          </w:tcPr>
          <w:p>
            <w:pPr>
              <w:spacing w:after="20"/>
            </w:pPr>
            <w:r>
              <w:rPr>
                <w:color w:val="1C3A36"/>
                <w:sz w:val="14"/>
              </w:rPr>
              <w:t>C-20</w:t>
            </w:r>
          </w:p>
        </w:tc>
        <w:tc>
          <w:tcPr>
            <w:tcW w:type="dxa" w:w="1037"/>
          </w:tcPr>
          <w:p>
            <w:pPr>
              <w:spacing w:after="20"/>
              <w:jc w:val="right"/>
            </w:pPr>
            <w:r>
              <w:rPr>
                <w:color w:val="1C3A36"/>
                <w:sz w:val="14"/>
              </w:rPr>
              <w:t>Country</w:t>
            </w:r>
          </w:p>
        </w:tc>
        <w:tc>
          <w:tcPr>
            <w:tcW w:type="dxa" w:w="1224"/>
          </w:tcPr>
          <w:p>
            <w:pPr>
              <w:spacing w:after="20"/>
              <w:jc w:val="right"/>
            </w:pPr>
            <w:r>
              <w:rPr>
                <w:color w:val="1C3A36"/>
                <w:sz w:val="14"/>
              </w:rPr>
              <w:t>Driver</w:t>
            </w:r>
          </w:p>
        </w:tc>
        <w:tc>
          <w:tcPr>
            <w:tcW w:type="dxa" w:w="3859"/>
          </w:tcPr>
          <w:p>
            <w:pPr>
              <w:spacing w:after="20"/>
              <w:jc w:val="right"/>
            </w:pPr>
            <w:r>
              <w:rPr>
                <w:color w:val="1C3A36"/>
                <w:sz w:val="14"/>
              </w:rPr>
              <w:t>UAE retail fuel price path — 2024 and 2025 (prior-period base) — Annual ranges: 2024 Special 95 AED 2.50-3.22, Super 98 AED 2.61-3.34. 2025 Special 95 AED 2.46-2.77, Super…</w:t>
            </w:r>
          </w:p>
        </w:tc>
        <w:tc>
          <w:tcPr>
            <w:tcW w:type="dxa" w:w="2160"/>
          </w:tcPr>
          <w:p>
            <w:pPr>
              <w:spacing w:after="20"/>
              <w:jc w:val="right"/>
            </w:pPr>
            <w:r>
              <w:rPr>
                <w:color w:val="1C3A36"/>
                <w:sz w:val="14"/>
              </w:rPr>
              <w:t>DubaiWheels UAE Petrol Price History…</w:t>
            </w:r>
          </w:p>
        </w:tc>
        <w:tc>
          <w:tcPr>
            <w:tcW w:type="dxa" w:w="1037"/>
          </w:tcPr>
          <w:p>
            <w:pPr>
              <w:spacing w:after="20"/>
              <w:jc w:val="right"/>
            </w:pPr>
            <w:r>
              <w:rPr>
                <w:color w:val="1C3A36"/>
                <w:sz w:val="14"/>
              </w:rPr>
              <w:t>2025-12-01</w:t>
            </w:r>
          </w:p>
        </w:tc>
      </w:tr>
      <w:tr>
        <w:trPr>
          <w:cantSplit/>
        </w:trPr>
        <w:tc>
          <w:tcPr>
            <w:tcW w:type="dxa" w:w="720"/>
          </w:tcPr>
          <w:p>
            <w:pPr>
              <w:spacing w:after="20"/>
            </w:pPr>
            <w:r>
              <w:rPr>
                <w:color w:val="1C3A36"/>
                <w:sz w:val="14"/>
              </w:rPr>
              <w:t>I-01</w:t>
            </w:r>
          </w:p>
        </w:tc>
        <w:tc>
          <w:tcPr>
            <w:tcW w:type="dxa" w:w="1037"/>
          </w:tcPr>
          <w:p>
            <w:pPr>
              <w:spacing w:after="20"/>
              <w:jc w:val="right"/>
            </w:pPr>
            <w:r>
              <w:rPr>
                <w:color w:val="1C3A36"/>
                <w:sz w:val="14"/>
              </w:rPr>
              <w:t>Industry</w:t>
            </w:r>
          </w:p>
        </w:tc>
        <w:tc>
          <w:tcPr>
            <w:tcW w:type="dxa" w:w="1224"/>
          </w:tcPr>
          <w:p>
            <w:pPr>
              <w:spacing w:after="20"/>
              <w:jc w:val="right"/>
            </w:pPr>
            <w:r>
              <w:rPr>
                <w:color w:val="1C3A36"/>
                <w:sz w:val="14"/>
              </w:rPr>
              <w:t>Driver</w:t>
            </w:r>
          </w:p>
        </w:tc>
        <w:tc>
          <w:tcPr>
            <w:tcW w:type="dxa" w:w="3859"/>
          </w:tcPr>
          <w:p>
            <w:pPr>
              <w:spacing w:after="20"/>
              <w:jc w:val="right"/>
            </w:pPr>
            <w:r>
              <w:rPr>
                <w:color w:val="1C3A36"/>
                <w:sz w:val="14"/>
              </w:rPr>
              <w:t>UAE fuel retail market structure and shares — ADNOC Distribution, ENOC and Emarat jointly controlled about 85% of UAE retail fuel volumes in 2025. ADNOC Distribution…</w:t>
            </w:r>
          </w:p>
        </w:tc>
        <w:tc>
          <w:tcPr>
            <w:tcW w:type="dxa" w:w="2160"/>
          </w:tcPr>
          <w:p>
            <w:pPr>
              <w:spacing w:after="20"/>
              <w:jc w:val="right"/>
            </w:pPr>
            <w:r>
              <w:rPr>
                <w:color w:val="1C3A36"/>
                <w:sz w:val="14"/>
              </w:rPr>
              <w:t>Mordor Intelligence — United Arab…</w:t>
            </w:r>
          </w:p>
        </w:tc>
        <w:tc>
          <w:tcPr>
            <w:tcW w:type="dxa" w:w="1037"/>
          </w:tcPr>
          <w:p>
            <w:pPr>
              <w:spacing w:after="20"/>
              <w:jc w:val="right"/>
            </w:pPr>
            <w:r>
              <w:rPr>
                <w:color w:val="1C3A36"/>
                <w:sz w:val="14"/>
              </w:rPr>
              <w:t>2025-12-31</w:t>
            </w:r>
          </w:p>
        </w:tc>
      </w:tr>
      <w:tr>
        <w:trPr>
          <w:cantSplit/>
        </w:trPr>
        <w:tc>
          <w:tcPr>
            <w:tcW w:type="dxa" w:w="720"/>
          </w:tcPr>
          <w:p>
            <w:pPr>
              <w:spacing w:after="20"/>
            </w:pPr>
            <w:r>
              <w:rPr>
                <w:color w:val="1C3A36"/>
                <w:sz w:val="14"/>
              </w:rPr>
              <w:t>I-02</w:t>
            </w:r>
          </w:p>
        </w:tc>
        <w:tc>
          <w:tcPr>
            <w:tcW w:type="dxa" w:w="1037"/>
          </w:tcPr>
          <w:p>
            <w:pPr>
              <w:spacing w:after="20"/>
              <w:jc w:val="right"/>
            </w:pPr>
            <w:r>
              <w:rPr>
                <w:color w:val="1C3A36"/>
                <w:sz w:val="14"/>
              </w:rPr>
              <w:t>Industry</w:t>
            </w:r>
          </w:p>
        </w:tc>
        <w:tc>
          <w:tcPr>
            <w:tcW w:type="dxa" w:w="1224"/>
          </w:tcPr>
          <w:p>
            <w:pPr>
              <w:spacing w:after="20"/>
              <w:jc w:val="right"/>
            </w:pPr>
            <w:r>
              <w:rPr>
                <w:color w:val="1C3A36"/>
                <w:sz w:val="14"/>
              </w:rPr>
              <w:t>Background</w:t>
            </w:r>
          </w:p>
        </w:tc>
        <w:tc>
          <w:tcPr>
            <w:tcW w:type="dxa" w:w="3859"/>
          </w:tcPr>
          <w:p>
            <w:pPr>
              <w:spacing w:after="20"/>
              <w:jc w:val="right"/>
            </w:pPr>
            <w:r>
              <w:rPr>
                <w:color w:val="1C3A36"/>
                <w:sz w:val="14"/>
              </w:rPr>
              <w:t>UAE fuel station market size and growth — The UAE fuel station market was valued at USD 17.40 billion in 2026 and is projected to grow at a 4.15% CAGR to USD 21.32 billion…</w:t>
            </w:r>
          </w:p>
        </w:tc>
        <w:tc>
          <w:tcPr>
            <w:tcW w:type="dxa" w:w="2160"/>
          </w:tcPr>
          <w:p>
            <w:pPr>
              <w:spacing w:after="20"/>
              <w:jc w:val="right"/>
            </w:pPr>
            <w:r>
              <w:rPr>
                <w:color w:val="1C3A36"/>
                <w:sz w:val="14"/>
              </w:rPr>
              <w:t>Mordor Intelligence — United Arab…</w:t>
            </w:r>
          </w:p>
        </w:tc>
        <w:tc>
          <w:tcPr>
            <w:tcW w:type="dxa" w:w="1037"/>
          </w:tcPr>
          <w:p>
            <w:pPr>
              <w:spacing w:after="20"/>
              <w:jc w:val="right"/>
            </w:pPr>
            <w:r>
              <w:rPr>
                <w:color w:val="1C3A36"/>
                <w:sz w:val="14"/>
              </w:rPr>
              <w:t>2026-01-01</w:t>
            </w:r>
          </w:p>
        </w:tc>
      </w:tr>
      <w:tr>
        <w:trPr>
          <w:cantSplit/>
        </w:trPr>
        <w:tc>
          <w:tcPr>
            <w:tcW w:type="dxa" w:w="720"/>
          </w:tcPr>
          <w:p>
            <w:pPr>
              <w:spacing w:after="20"/>
            </w:pPr>
            <w:r>
              <w:rPr>
                <w:color w:val="1C3A36"/>
                <w:sz w:val="14"/>
              </w:rPr>
              <w:t>I-03</w:t>
            </w:r>
          </w:p>
        </w:tc>
        <w:tc>
          <w:tcPr>
            <w:tcW w:type="dxa" w:w="1037"/>
          </w:tcPr>
          <w:p>
            <w:pPr>
              <w:spacing w:after="20"/>
              <w:jc w:val="right"/>
            </w:pPr>
            <w:r>
              <w:rPr>
                <w:color w:val="1C3A36"/>
                <w:sz w:val="14"/>
              </w:rPr>
              <w:t>Industry</w:t>
            </w:r>
          </w:p>
        </w:tc>
        <w:tc>
          <w:tcPr>
            <w:tcW w:type="dxa" w:w="1224"/>
          </w:tcPr>
          <w:p>
            <w:pPr>
              <w:spacing w:after="20"/>
              <w:jc w:val="right"/>
            </w:pPr>
            <w:r>
              <w:rPr>
                <w:color w:val="1C3A36"/>
                <w:sz w:val="14"/>
              </w:rPr>
              <w:t>Driver</w:t>
            </w:r>
          </w:p>
        </w:tc>
        <w:tc>
          <w:tcPr>
            <w:tcW w:type="dxa" w:w="3859"/>
          </w:tcPr>
          <w:p>
            <w:pPr>
              <w:spacing w:after="20"/>
              <w:jc w:val="right"/>
            </w:pPr>
            <w:r>
              <w:rPr>
                <w:color w:val="1C3A36"/>
                <w:sz w:val="14"/>
              </w:rPr>
              <w:t>Saudi Arabia fuel retail — licensing and consolidation regime — All activities relating to petroleum and petrochemical materials require prior licensing from the Saudi…</w:t>
            </w:r>
          </w:p>
        </w:tc>
        <w:tc>
          <w:tcPr>
            <w:tcW w:type="dxa" w:w="2160"/>
          </w:tcPr>
          <w:p>
            <w:pPr>
              <w:spacing w:after="20"/>
              <w:jc w:val="right"/>
            </w:pPr>
            <w:r>
              <w:rPr>
                <w:color w:val="1C3A36"/>
                <w:sz w:val="14"/>
              </w:rPr>
              <w:t>Saudi Press Agency; Zawya — 'Saudi:…</w:t>
            </w:r>
          </w:p>
        </w:tc>
        <w:tc>
          <w:tcPr>
            <w:tcW w:type="dxa" w:w="1037"/>
          </w:tcPr>
          <w:p>
            <w:pPr>
              <w:spacing w:after="20"/>
              <w:jc w:val="right"/>
            </w:pPr>
            <w:r>
              <w:rPr>
                <w:color w:val="1C3A36"/>
                <w:sz w:val="14"/>
              </w:rPr>
              <w:t>2026-06-01</w:t>
            </w:r>
          </w:p>
        </w:tc>
      </w:tr>
      <w:tr>
        <w:trPr>
          <w:cantSplit/>
        </w:trPr>
        <w:tc>
          <w:tcPr>
            <w:tcW w:type="dxa" w:w="720"/>
          </w:tcPr>
          <w:p>
            <w:pPr>
              <w:spacing w:after="20"/>
            </w:pPr>
            <w:r>
              <w:rPr>
                <w:color w:val="1C3A36"/>
                <w:sz w:val="14"/>
              </w:rPr>
              <w:t>I-04</w:t>
            </w:r>
          </w:p>
        </w:tc>
        <w:tc>
          <w:tcPr>
            <w:tcW w:type="dxa" w:w="1037"/>
          </w:tcPr>
          <w:p>
            <w:pPr>
              <w:spacing w:after="20"/>
              <w:jc w:val="right"/>
            </w:pPr>
            <w:r>
              <w:rPr>
                <w:color w:val="1C3A36"/>
                <w:sz w:val="14"/>
              </w:rPr>
              <w:t>Industry</w:t>
            </w:r>
          </w:p>
        </w:tc>
        <w:tc>
          <w:tcPr>
            <w:tcW w:type="dxa" w:w="1224"/>
          </w:tcPr>
          <w:p>
            <w:pPr>
              <w:spacing w:after="20"/>
              <w:jc w:val="right"/>
            </w:pPr>
            <w:r>
              <w:rPr>
                <w:color w:val="1C3A36"/>
                <w:sz w:val="14"/>
              </w:rPr>
              <w:t>Driver</w:t>
            </w:r>
          </w:p>
        </w:tc>
        <w:tc>
          <w:tcPr>
            <w:tcW w:type="dxa" w:w="3859"/>
          </w:tcPr>
          <w:p>
            <w:pPr>
              <w:spacing w:after="20"/>
              <w:jc w:val="right"/>
            </w:pPr>
            <w:r>
              <w:rPr>
                <w:color w:val="1C3A36"/>
                <w:sz w:val="14"/>
              </w:rPr>
              <w:t>ADNOC Distribution Saudi Arabia entry, network and competitors — ADNOC Distribution's Saudi network expanded 65% to 231 sites as at H1-2026, of which ~70% are DUCCO…</w:t>
            </w:r>
          </w:p>
        </w:tc>
        <w:tc>
          <w:tcPr>
            <w:tcW w:type="dxa" w:w="2160"/>
          </w:tcPr>
          <w:p>
            <w:pPr>
              <w:spacing w:after="20"/>
              <w:jc w:val="right"/>
            </w:pPr>
            <w:r>
              <w:rPr>
                <w:color w:val="1C3A36"/>
                <w:sz w:val="14"/>
              </w:rPr>
              <w:t>ADNOC Distribution H1-2026 earnings…</w:t>
            </w:r>
          </w:p>
        </w:tc>
        <w:tc>
          <w:tcPr>
            <w:tcW w:type="dxa" w:w="1037"/>
          </w:tcPr>
          <w:p>
            <w:pPr>
              <w:spacing w:after="20"/>
              <w:jc w:val="right"/>
            </w:pPr>
            <w:r>
              <w:rPr>
                <w:color w:val="1C3A36"/>
                <w:sz w:val="14"/>
              </w:rPr>
              <w:t>2026-06-30</w:t>
            </w:r>
          </w:p>
        </w:tc>
      </w:tr>
      <w:tr>
        <w:trPr>
          <w:cantSplit/>
        </w:trPr>
        <w:tc>
          <w:tcPr>
            <w:tcW w:type="dxa" w:w="720"/>
          </w:tcPr>
          <w:p>
            <w:pPr>
              <w:spacing w:after="20"/>
            </w:pPr>
            <w:r>
              <w:rPr>
                <w:color w:val="1C3A36"/>
                <w:sz w:val="14"/>
              </w:rPr>
              <w:t>I-05</w:t>
            </w:r>
          </w:p>
        </w:tc>
        <w:tc>
          <w:tcPr>
            <w:tcW w:type="dxa" w:w="1037"/>
          </w:tcPr>
          <w:p>
            <w:pPr>
              <w:spacing w:after="20"/>
              <w:jc w:val="right"/>
            </w:pPr>
            <w:r>
              <w:rPr>
                <w:color w:val="1C3A36"/>
                <w:sz w:val="14"/>
              </w:rPr>
              <w:t>Industry</w:t>
            </w:r>
          </w:p>
        </w:tc>
        <w:tc>
          <w:tcPr>
            <w:tcW w:type="dxa" w:w="1224"/>
          </w:tcPr>
          <w:p>
            <w:pPr>
              <w:spacing w:after="20"/>
              <w:jc w:val="right"/>
            </w:pPr>
            <w:r>
              <w:rPr>
                <w:color w:val="1C3A36"/>
                <w:sz w:val="14"/>
              </w:rPr>
              <w:t>Driver</w:t>
            </w:r>
          </w:p>
        </w:tc>
        <w:tc>
          <w:tcPr>
            <w:tcW w:type="dxa" w:w="3859"/>
          </w:tcPr>
          <w:p>
            <w:pPr>
              <w:spacing w:after="20"/>
              <w:jc w:val="right"/>
            </w:pPr>
            <w:r>
              <w:rPr>
                <w:color w:val="1C3A36"/>
                <w:sz w:val="14"/>
              </w:rPr>
              <w:t>Egypt fuel retail — TotalEnergies Marketing Egypt JV and EGP exposure — ADNOC Distribution completed the acquisition of a 50% stake in TotalEnergies Marketing Egypt LLC from…</w:t>
            </w:r>
          </w:p>
        </w:tc>
        <w:tc>
          <w:tcPr>
            <w:tcW w:type="dxa" w:w="2160"/>
          </w:tcPr>
          <w:p>
            <w:pPr>
              <w:spacing w:after="20"/>
              <w:jc w:val="right"/>
            </w:pPr>
            <w:r>
              <w:rPr>
                <w:color w:val="1C3A36"/>
                <w:sz w:val="14"/>
              </w:rPr>
              <w:t>ADNOC Distribution — completion…</w:t>
            </w:r>
          </w:p>
        </w:tc>
        <w:tc>
          <w:tcPr>
            <w:tcW w:type="dxa" w:w="1037"/>
          </w:tcPr>
          <w:p>
            <w:pPr>
              <w:spacing w:after="20"/>
              <w:jc w:val="right"/>
            </w:pPr>
            <w:r>
              <w:rPr>
                <w:color w:val="1C3A36"/>
                <w:sz w:val="14"/>
              </w:rPr>
              <w:t>2026-08-05</w:t>
            </w:r>
          </w:p>
        </w:tc>
      </w:tr>
      <w:tr>
        <w:trPr>
          <w:cantSplit/>
        </w:trPr>
        <w:tc>
          <w:tcPr>
            <w:tcW w:type="dxa" w:w="720"/>
          </w:tcPr>
          <w:p>
            <w:pPr>
              <w:spacing w:after="20"/>
            </w:pPr>
            <w:r>
              <w:rPr>
                <w:color w:val="1C3A36"/>
                <w:sz w:val="14"/>
              </w:rPr>
              <w:t>I-06</w:t>
            </w:r>
          </w:p>
        </w:tc>
        <w:tc>
          <w:tcPr>
            <w:tcW w:type="dxa" w:w="1037"/>
          </w:tcPr>
          <w:p>
            <w:pPr>
              <w:spacing w:after="20"/>
              <w:jc w:val="right"/>
            </w:pPr>
            <w:r>
              <w:rPr>
                <w:color w:val="1C3A36"/>
                <w:sz w:val="14"/>
              </w:rPr>
              <w:t>Industry</w:t>
            </w:r>
          </w:p>
        </w:tc>
        <w:tc>
          <w:tcPr>
            <w:tcW w:type="dxa" w:w="1224"/>
          </w:tcPr>
          <w:p>
            <w:pPr>
              <w:spacing w:after="20"/>
              <w:jc w:val="right"/>
            </w:pPr>
            <w:r>
              <w:rPr>
                <w:color w:val="1C3A36"/>
                <w:sz w:val="14"/>
              </w:rPr>
              <w:t>Driver</w:t>
            </w:r>
          </w:p>
        </w:tc>
        <w:tc>
          <w:tcPr>
            <w:tcW w:type="dxa" w:w="3859"/>
          </w:tcPr>
          <w:p>
            <w:pPr>
              <w:spacing w:after="20"/>
              <w:jc w:val="right"/>
            </w:pPr>
            <w:r>
              <w:rPr>
                <w:color w:val="1C3A36"/>
                <w:sz w:val="14"/>
              </w:rPr>
              <w:t>EV charging in the UAE — policy targets and adoption — The UAE National Electric Vehicles Policy, under the Net Zero 2050 strategy, targets 50% of vehicles on the road to be…</w:t>
            </w:r>
          </w:p>
        </w:tc>
        <w:tc>
          <w:tcPr>
            <w:tcW w:type="dxa" w:w="2160"/>
          </w:tcPr>
          <w:p>
            <w:pPr>
              <w:spacing w:after="20"/>
              <w:jc w:val="right"/>
            </w:pPr>
            <w:r>
              <w:rPr>
                <w:color w:val="1C3A36"/>
                <w:sz w:val="14"/>
              </w:rPr>
              <w:t>The Official Platform of the UAE…</w:t>
            </w:r>
          </w:p>
        </w:tc>
        <w:tc>
          <w:tcPr>
            <w:tcW w:type="dxa" w:w="1037"/>
          </w:tcPr>
          <w:p>
            <w:pPr>
              <w:spacing w:after="20"/>
              <w:jc w:val="right"/>
            </w:pPr>
            <w:r>
              <w:rPr>
                <w:color w:val="1C3A36"/>
                <w:sz w:val="14"/>
              </w:rPr>
              <w:t>2026-01-01</w:t>
            </w:r>
          </w:p>
        </w:tc>
      </w:tr>
      <w:tr>
        <w:trPr>
          <w:cantSplit/>
        </w:trPr>
        <w:tc>
          <w:tcPr>
            <w:tcW w:type="dxa" w:w="720"/>
          </w:tcPr>
          <w:p>
            <w:pPr>
              <w:spacing w:after="20"/>
            </w:pPr>
            <w:r>
              <w:rPr>
                <w:color w:val="1C3A36"/>
                <w:sz w:val="14"/>
              </w:rPr>
              <w:t>I-07</w:t>
            </w:r>
          </w:p>
        </w:tc>
        <w:tc>
          <w:tcPr>
            <w:tcW w:type="dxa" w:w="1037"/>
          </w:tcPr>
          <w:p>
            <w:pPr>
              <w:spacing w:after="20"/>
              <w:jc w:val="right"/>
            </w:pPr>
            <w:r>
              <w:rPr>
                <w:color w:val="1C3A36"/>
                <w:sz w:val="14"/>
              </w:rPr>
              <w:t>Industry</w:t>
            </w:r>
          </w:p>
        </w:tc>
        <w:tc>
          <w:tcPr>
            <w:tcW w:type="dxa" w:w="1224"/>
          </w:tcPr>
          <w:p>
            <w:pPr>
              <w:spacing w:after="20"/>
              <w:jc w:val="right"/>
            </w:pPr>
            <w:r>
              <w:rPr>
                <w:color w:val="1C3A36"/>
                <w:sz w:val="14"/>
              </w:rPr>
              <w:t>Driver</w:t>
            </w:r>
          </w:p>
        </w:tc>
        <w:tc>
          <w:tcPr>
            <w:tcW w:type="dxa" w:w="3859"/>
          </w:tcPr>
          <w:p>
            <w:pPr>
              <w:spacing w:after="20"/>
              <w:jc w:val="right"/>
            </w:pPr>
            <w:r>
              <w:rPr>
                <w:color w:val="1C3A36"/>
                <w:sz w:val="14"/>
              </w:rPr>
              <w:t>Peer multiple — Aldrees Petroleum and Transport Services (Tadawul: 4200) — CLOSEST REGIONAL PEER — Market cap SAR 11.97bn; enterprise value SAR 16.49bn; trailing P/E 26.13;…</w:t>
            </w:r>
          </w:p>
        </w:tc>
        <w:tc>
          <w:tcPr>
            <w:tcW w:type="dxa" w:w="2160"/>
          </w:tcPr>
          <w:p>
            <w:pPr>
              <w:spacing w:after="20"/>
              <w:jc w:val="right"/>
            </w:pPr>
            <w:r>
              <w:rPr>
                <w:color w:val="1C3A36"/>
                <w:sz w:val="14"/>
              </w:rPr>
              <w:t>StockAnalysis.com — Aldrees Petroleum…</w:t>
            </w:r>
          </w:p>
        </w:tc>
        <w:tc>
          <w:tcPr>
            <w:tcW w:type="dxa" w:w="1037"/>
          </w:tcPr>
          <w:p>
            <w:pPr>
              <w:spacing w:after="20"/>
              <w:jc w:val="right"/>
            </w:pPr>
            <w:r>
              <w:rPr>
                <w:color w:val="1C3A36"/>
                <w:sz w:val="14"/>
              </w:rPr>
              <w:t>2026-08-09</w:t>
            </w:r>
          </w:p>
        </w:tc>
      </w:tr>
      <w:tr>
        <w:trPr>
          <w:cantSplit/>
        </w:trPr>
        <w:tc>
          <w:tcPr>
            <w:tcW w:type="dxa" w:w="720"/>
          </w:tcPr>
          <w:p>
            <w:pPr>
              <w:spacing w:after="20"/>
            </w:pPr>
            <w:r>
              <w:rPr>
                <w:color w:val="1C3A36"/>
                <w:sz w:val="14"/>
              </w:rPr>
              <w:t>I-08</w:t>
            </w:r>
          </w:p>
        </w:tc>
        <w:tc>
          <w:tcPr>
            <w:tcW w:type="dxa" w:w="1037"/>
          </w:tcPr>
          <w:p>
            <w:pPr>
              <w:spacing w:after="20"/>
              <w:jc w:val="right"/>
            </w:pPr>
            <w:r>
              <w:rPr>
                <w:color w:val="1C3A36"/>
                <w:sz w:val="14"/>
              </w:rPr>
              <w:t>Industry</w:t>
            </w:r>
          </w:p>
        </w:tc>
        <w:tc>
          <w:tcPr>
            <w:tcW w:type="dxa" w:w="1224"/>
          </w:tcPr>
          <w:p>
            <w:pPr>
              <w:spacing w:after="20"/>
              <w:jc w:val="right"/>
            </w:pPr>
            <w:r>
              <w:rPr>
                <w:color w:val="1C3A36"/>
                <w:sz w:val="14"/>
              </w:rPr>
              <w:t>Supporting</w:t>
            </w:r>
          </w:p>
        </w:tc>
        <w:tc>
          <w:tcPr>
            <w:tcW w:type="dxa" w:w="3859"/>
          </w:tcPr>
          <w:p>
            <w:pPr>
              <w:spacing w:after="20"/>
              <w:jc w:val="right"/>
            </w:pPr>
            <w:r>
              <w:rPr>
                <w:color w:val="1C3A36"/>
                <w:sz w:val="14"/>
              </w:rPr>
              <w:t>Peer multiple — Saudi Automotive Services Company / SASCO (Tadawul: 4050) — used only as a cross-check — Market cap SAR 2.66bn; enterprise value SAR 7.27bn; trailing P/E…</w:t>
            </w:r>
          </w:p>
        </w:tc>
        <w:tc>
          <w:tcPr>
            <w:tcW w:type="dxa" w:w="2160"/>
          </w:tcPr>
          <w:p>
            <w:pPr>
              <w:spacing w:after="20"/>
              <w:jc w:val="right"/>
            </w:pPr>
            <w:r>
              <w:rPr>
                <w:color w:val="1C3A36"/>
                <w:sz w:val="14"/>
              </w:rPr>
              <w:t>StockAnalysis.com — Saudi Automotive…</w:t>
            </w:r>
          </w:p>
        </w:tc>
        <w:tc>
          <w:tcPr>
            <w:tcW w:type="dxa" w:w="1037"/>
          </w:tcPr>
          <w:p>
            <w:pPr>
              <w:spacing w:after="20"/>
              <w:jc w:val="right"/>
            </w:pPr>
            <w:r>
              <w:rPr>
                <w:color w:val="1C3A36"/>
                <w:sz w:val="14"/>
              </w:rPr>
              <w:t>2026-08-09</w:t>
            </w:r>
          </w:p>
        </w:tc>
      </w:tr>
      <w:tr>
        <w:trPr>
          <w:cantSplit/>
        </w:trPr>
        <w:tc>
          <w:tcPr>
            <w:tcW w:type="dxa" w:w="720"/>
          </w:tcPr>
          <w:p>
            <w:pPr>
              <w:spacing w:after="20"/>
            </w:pPr>
            <w:r>
              <w:rPr>
                <w:color w:val="1C3A36"/>
                <w:sz w:val="14"/>
              </w:rPr>
              <w:t>I-09</w:t>
            </w:r>
          </w:p>
        </w:tc>
        <w:tc>
          <w:tcPr>
            <w:tcW w:type="dxa" w:w="1037"/>
          </w:tcPr>
          <w:p>
            <w:pPr>
              <w:spacing w:after="20"/>
              <w:jc w:val="right"/>
            </w:pPr>
            <w:r>
              <w:rPr>
                <w:color w:val="1C3A36"/>
                <w:sz w:val="14"/>
              </w:rPr>
              <w:t>Industry</w:t>
            </w:r>
          </w:p>
        </w:tc>
        <w:tc>
          <w:tcPr>
            <w:tcW w:type="dxa" w:w="1224"/>
          </w:tcPr>
          <w:p>
            <w:pPr>
              <w:spacing w:after="20"/>
              <w:jc w:val="right"/>
            </w:pPr>
            <w:r>
              <w:rPr>
                <w:color w:val="1C3A36"/>
                <w:sz w:val="14"/>
              </w:rPr>
              <w:t>Supporting</w:t>
            </w:r>
          </w:p>
        </w:tc>
        <w:tc>
          <w:tcPr>
            <w:tcW w:type="dxa" w:w="3859"/>
          </w:tcPr>
          <w:p>
            <w:pPr>
              <w:spacing w:after="20"/>
              <w:jc w:val="right"/>
            </w:pPr>
            <w:r>
              <w:rPr>
                <w:color w:val="1C3A36"/>
                <w:sz w:val="14"/>
              </w:rPr>
              <w:t>Peer multiple — Alimentation Couche-Tard (TSX: ATD) — used only as a cross-check — Market cap CAD 85.65bn; enterprise value CAD 104.17bn; trailing P/E 20.23; forward P/E…</w:t>
            </w:r>
          </w:p>
        </w:tc>
        <w:tc>
          <w:tcPr>
            <w:tcW w:type="dxa" w:w="2160"/>
          </w:tcPr>
          <w:p>
            <w:pPr>
              <w:spacing w:after="20"/>
              <w:jc w:val="right"/>
            </w:pPr>
            <w:r>
              <w:rPr>
                <w:color w:val="1C3A36"/>
                <w:sz w:val="14"/>
              </w:rPr>
              <w:t>StockAnalysis.com — Alimentation…</w:t>
            </w:r>
          </w:p>
        </w:tc>
        <w:tc>
          <w:tcPr>
            <w:tcW w:type="dxa" w:w="1037"/>
          </w:tcPr>
          <w:p>
            <w:pPr>
              <w:spacing w:after="20"/>
              <w:jc w:val="right"/>
            </w:pPr>
            <w:r>
              <w:rPr>
                <w:color w:val="1C3A36"/>
                <w:sz w:val="14"/>
              </w:rPr>
              <w:t>2026-08-09</w:t>
            </w:r>
          </w:p>
        </w:tc>
      </w:tr>
      <w:tr>
        <w:trPr>
          <w:cantSplit/>
        </w:trPr>
        <w:tc>
          <w:tcPr>
            <w:tcW w:type="dxa" w:w="720"/>
          </w:tcPr>
          <w:p>
            <w:pPr>
              <w:spacing w:after="20"/>
            </w:pPr>
            <w:r>
              <w:rPr>
                <w:color w:val="1C3A36"/>
                <w:sz w:val="14"/>
              </w:rPr>
              <w:t>I-10</w:t>
            </w:r>
          </w:p>
        </w:tc>
        <w:tc>
          <w:tcPr>
            <w:tcW w:type="dxa" w:w="1037"/>
          </w:tcPr>
          <w:p>
            <w:pPr>
              <w:spacing w:after="20"/>
              <w:jc w:val="right"/>
            </w:pPr>
            <w:r>
              <w:rPr>
                <w:color w:val="1C3A36"/>
                <w:sz w:val="14"/>
              </w:rPr>
              <w:t>Industry</w:t>
            </w:r>
          </w:p>
        </w:tc>
        <w:tc>
          <w:tcPr>
            <w:tcW w:type="dxa" w:w="1224"/>
          </w:tcPr>
          <w:p>
            <w:pPr>
              <w:spacing w:after="20"/>
              <w:jc w:val="right"/>
            </w:pPr>
            <w:r>
              <w:rPr>
                <w:color w:val="1C3A36"/>
                <w:sz w:val="14"/>
              </w:rPr>
              <w:t>Supporting</w:t>
            </w:r>
          </w:p>
        </w:tc>
        <w:tc>
          <w:tcPr>
            <w:tcW w:type="dxa" w:w="3859"/>
          </w:tcPr>
          <w:p>
            <w:pPr>
              <w:spacing w:after="20"/>
              <w:jc w:val="right"/>
            </w:pPr>
            <w:r>
              <w:rPr>
                <w:color w:val="1C3A36"/>
                <w:sz w:val="14"/>
              </w:rPr>
              <w:t>Peer multiple — Casey's General Stores (NASDAQ: CASY) — used only as a cross-check — Market cap USD 30.86bn; enterprise value USD 33.24bn; trailing P/E 43.53; forward P/E…</w:t>
            </w:r>
          </w:p>
        </w:tc>
        <w:tc>
          <w:tcPr>
            <w:tcW w:type="dxa" w:w="2160"/>
          </w:tcPr>
          <w:p>
            <w:pPr>
              <w:spacing w:after="20"/>
              <w:jc w:val="right"/>
            </w:pPr>
            <w:r>
              <w:rPr>
                <w:color w:val="1C3A36"/>
                <w:sz w:val="14"/>
              </w:rPr>
              <w:t>StockAnalysis.com — Casey's General…</w:t>
            </w:r>
          </w:p>
        </w:tc>
        <w:tc>
          <w:tcPr>
            <w:tcW w:type="dxa" w:w="1037"/>
          </w:tcPr>
          <w:p>
            <w:pPr>
              <w:spacing w:after="20"/>
              <w:jc w:val="right"/>
            </w:pPr>
            <w:r>
              <w:rPr>
                <w:color w:val="1C3A36"/>
                <w:sz w:val="14"/>
              </w:rPr>
              <w:t>2026-08-09</w:t>
            </w:r>
          </w:p>
        </w:tc>
      </w:tr>
      <w:tr>
        <w:trPr>
          <w:cantSplit/>
        </w:trPr>
        <w:tc>
          <w:tcPr>
            <w:tcW w:type="dxa" w:w="720"/>
          </w:tcPr>
          <w:p>
            <w:pPr>
              <w:spacing w:after="20"/>
            </w:pPr>
            <w:r>
              <w:rPr>
                <w:color w:val="1C3A36"/>
                <w:sz w:val="14"/>
              </w:rPr>
              <w:t>I-11</w:t>
            </w:r>
          </w:p>
        </w:tc>
        <w:tc>
          <w:tcPr>
            <w:tcW w:type="dxa" w:w="1037"/>
          </w:tcPr>
          <w:p>
            <w:pPr>
              <w:spacing w:after="20"/>
              <w:jc w:val="right"/>
            </w:pPr>
            <w:r>
              <w:rPr>
                <w:color w:val="1C3A36"/>
                <w:sz w:val="14"/>
              </w:rPr>
              <w:t>Industry</w:t>
            </w:r>
          </w:p>
        </w:tc>
        <w:tc>
          <w:tcPr>
            <w:tcW w:type="dxa" w:w="1224"/>
          </w:tcPr>
          <w:p>
            <w:pPr>
              <w:spacing w:after="20"/>
              <w:jc w:val="right"/>
            </w:pPr>
            <w:r>
              <w:rPr>
                <w:color w:val="1C3A36"/>
                <w:sz w:val="14"/>
              </w:rPr>
              <w:t>Supporting</w:t>
            </w:r>
          </w:p>
        </w:tc>
        <w:tc>
          <w:tcPr>
            <w:tcW w:type="dxa" w:w="3859"/>
          </w:tcPr>
          <w:p>
            <w:pPr>
              <w:spacing w:after="20"/>
              <w:jc w:val="right"/>
            </w:pPr>
            <w:r>
              <w:rPr>
                <w:color w:val="1C3A36"/>
                <w:sz w:val="14"/>
              </w:rPr>
              <w:t>Peer multiple — Murphy USA (NYSE: MUSA) — used only as a cross-check — Market cap USD 9.56bn; enterprise value USD 12.12bn; trailing P/E 15.88; forward P/E 17.22; EV/EBITDA…</w:t>
            </w:r>
          </w:p>
        </w:tc>
        <w:tc>
          <w:tcPr>
            <w:tcW w:type="dxa" w:w="2160"/>
          </w:tcPr>
          <w:p>
            <w:pPr>
              <w:spacing w:after="20"/>
              <w:jc w:val="right"/>
            </w:pPr>
            <w:r>
              <w:rPr>
                <w:color w:val="1C3A36"/>
                <w:sz w:val="14"/>
              </w:rPr>
              <w:t>StockAnalysis.com — Murphy USA (MUSA)…</w:t>
            </w:r>
          </w:p>
        </w:tc>
        <w:tc>
          <w:tcPr>
            <w:tcW w:type="dxa" w:w="1037"/>
          </w:tcPr>
          <w:p>
            <w:pPr>
              <w:spacing w:after="20"/>
              <w:jc w:val="right"/>
            </w:pPr>
            <w:r>
              <w:rPr>
                <w:color w:val="1C3A36"/>
                <w:sz w:val="14"/>
              </w:rPr>
              <w:t>2026-08-09</w:t>
            </w:r>
          </w:p>
        </w:tc>
      </w:tr>
      <w:tr>
        <w:trPr>
          <w:cantSplit/>
        </w:trPr>
        <w:tc>
          <w:tcPr>
            <w:tcW w:type="dxa" w:w="720"/>
          </w:tcPr>
          <w:p>
            <w:pPr>
              <w:spacing w:after="20"/>
            </w:pPr>
            <w:r>
              <w:rPr>
                <w:color w:val="1C3A36"/>
                <w:sz w:val="14"/>
              </w:rPr>
              <w:t>I-12</w:t>
            </w:r>
          </w:p>
        </w:tc>
        <w:tc>
          <w:tcPr>
            <w:tcW w:type="dxa" w:w="1037"/>
          </w:tcPr>
          <w:p>
            <w:pPr>
              <w:spacing w:after="20"/>
              <w:jc w:val="right"/>
            </w:pPr>
            <w:r>
              <w:rPr>
                <w:color w:val="1C3A36"/>
                <w:sz w:val="14"/>
              </w:rPr>
              <w:t>Industry</w:t>
            </w:r>
          </w:p>
        </w:tc>
        <w:tc>
          <w:tcPr>
            <w:tcW w:type="dxa" w:w="1224"/>
          </w:tcPr>
          <w:p>
            <w:pPr>
              <w:spacing w:after="20"/>
              <w:jc w:val="right"/>
            </w:pPr>
            <w:r>
              <w:rPr>
                <w:color w:val="1C3A36"/>
                <w:sz w:val="14"/>
              </w:rPr>
              <w:t>Supporting</w:t>
            </w:r>
          </w:p>
        </w:tc>
        <w:tc>
          <w:tcPr>
            <w:tcW w:type="dxa" w:w="3859"/>
          </w:tcPr>
          <w:p>
            <w:pPr>
              <w:spacing w:after="20"/>
              <w:jc w:val="right"/>
            </w:pPr>
            <w:r>
              <w:rPr>
                <w:color w:val="1C3A36"/>
                <w:sz w:val="14"/>
              </w:rPr>
              <w:t>Peer multiple — OMV Petrom (BVB: SNP) — used only as a cross-check — Market cap RON 79.14bn; enterprise value RON 75.63bn; trailing P/E 28.56; forward P/E 14.61; EV/EBITDA…</w:t>
            </w:r>
          </w:p>
        </w:tc>
        <w:tc>
          <w:tcPr>
            <w:tcW w:type="dxa" w:w="2160"/>
          </w:tcPr>
          <w:p>
            <w:pPr>
              <w:spacing w:after="20"/>
              <w:jc w:val="right"/>
            </w:pPr>
            <w:r>
              <w:rPr>
                <w:color w:val="1C3A36"/>
                <w:sz w:val="14"/>
              </w:rPr>
              <w:t>StockAnalysis.com — OMV Petrom (BVB:SNP)…</w:t>
            </w:r>
          </w:p>
        </w:tc>
        <w:tc>
          <w:tcPr>
            <w:tcW w:type="dxa" w:w="1037"/>
          </w:tcPr>
          <w:p>
            <w:pPr>
              <w:spacing w:after="20"/>
              <w:jc w:val="right"/>
            </w:pPr>
            <w:r>
              <w:rPr>
                <w:color w:val="1C3A36"/>
                <w:sz w:val="14"/>
              </w:rPr>
              <w:t>2026-08-09</w:t>
            </w:r>
          </w:p>
        </w:tc>
      </w:tr>
      <w:tr>
        <w:trPr>
          <w:cantSplit/>
        </w:trPr>
        <w:tc>
          <w:tcPr>
            <w:tcW w:type="dxa" w:w="720"/>
          </w:tcPr>
          <w:p>
            <w:pPr>
              <w:spacing w:after="20"/>
            </w:pPr>
            <w:r>
              <w:rPr>
                <w:color w:val="1C3A36"/>
                <w:sz w:val="14"/>
              </w:rPr>
              <w:t>I-13</w:t>
            </w:r>
          </w:p>
        </w:tc>
        <w:tc>
          <w:tcPr>
            <w:tcW w:type="dxa" w:w="1037"/>
          </w:tcPr>
          <w:p>
            <w:pPr>
              <w:spacing w:after="20"/>
              <w:jc w:val="right"/>
            </w:pPr>
            <w:r>
              <w:rPr>
                <w:color w:val="1C3A36"/>
                <w:sz w:val="14"/>
              </w:rPr>
              <w:t>Industry</w:t>
            </w:r>
          </w:p>
        </w:tc>
        <w:tc>
          <w:tcPr>
            <w:tcW w:type="dxa" w:w="1224"/>
          </w:tcPr>
          <w:p>
            <w:pPr>
              <w:spacing w:after="20"/>
              <w:jc w:val="right"/>
            </w:pPr>
            <w:r>
              <w:rPr>
                <w:color w:val="1C3A36"/>
                <w:sz w:val="14"/>
              </w:rPr>
              <w:t>Supporting</w:t>
            </w:r>
          </w:p>
        </w:tc>
        <w:tc>
          <w:tcPr>
            <w:tcW w:type="dxa" w:w="3859"/>
          </w:tcPr>
          <w:p>
            <w:pPr>
              <w:spacing w:after="20"/>
              <w:jc w:val="right"/>
            </w:pPr>
            <w:r>
              <w:rPr>
                <w:color w:val="1C3A36"/>
                <w:sz w:val="14"/>
              </w:rPr>
              <w:t>Peer multiple — Vibra Energia (B3: VBBR3) — used only as a cross-check — Market cap BRL 40.82bn; enterprise value BRL 59.81bn; trailing P/E 13.79; forward P/E 6.34;…</w:t>
            </w:r>
          </w:p>
        </w:tc>
        <w:tc>
          <w:tcPr>
            <w:tcW w:type="dxa" w:w="2160"/>
          </w:tcPr>
          <w:p>
            <w:pPr>
              <w:spacing w:after="20"/>
              <w:jc w:val="right"/>
            </w:pPr>
            <w:r>
              <w:rPr>
                <w:color w:val="1C3A36"/>
                <w:sz w:val="14"/>
              </w:rPr>
              <w:t>StockAnalysis.com — Vibra Energia…</w:t>
            </w:r>
          </w:p>
        </w:tc>
        <w:tc>
          <w:tcPr>
            <w:tcW w:type="dxa" w:w="1037"/>
          </w:tcPr>
          <w:p>
            <w:pPr>
              <w:spacing w:after="20"/>
              <w:jc w:val="right"/>
            </w:pPr>
            <w:r>
              <w:rPr>
                <w:color w:val="1C3A36"/>
                <w:sz w:val="14"/>
              </w:rPr>
              <w:t>2026-08-09</w:t>
            </w:r>
          </w:p>
        </w:tc>
      </w:tr>
      <w:tr>
        <w:trPr>
          <w:cantSplit/>
        </w:trPr>
        <w:tc>
          <w:tcPr>
            <w:tcW w:type="dxa" w:w="720"/>
          </w:tcPr>
          <w:p>
            <w:pPr>
              <w:spacing w:after="20"/>
            </w:pPr>
            <w:r>
              <w:rPr>
                <w:color w:val="1C3A36"/>
                <w:sz w:val="14"/>
              </w:rPr>
              <w:t>I-14</w:t>
            </w:r>
          </w:p>
        </w:tc>
        <w:tc>
          <w:tcPr>
            <w:tcW w:type="dxa" w:w="1037"/>
          </w:tcPr>
          <w:p>
            <w:pPr>
              <w:spacing w:after="20"/>
              <w:jc w:val="right"/>
            </w:pPr>
            <w:r>
              <w:rPr>
                <w:color w:val="1C3A36"/>
                <w:sz w:val="14"/>
              </w:rPr>
              <w:t>Industry</w:t>
            </w:r>
          </w:p>
        </w:tc>
        <w:tc>
          <w:tcPr>
            <w:tcW w:type="dxa" w:w="1224"/>
          </w:tcPr>
          <w:p>
            <w:pPr>
              <w:spacing w:after="20"/>
              <w:jc w:val="right"/>
            </w:pPr>
            <w:r>
              <w:rPr>
                <w:color w:val="1C3A36"/>
                <w:sz w:val="14"/>
              </w:rPr>
              <w:t>Supporting</w:t>
            </w:r>
          </w:p>
        </w:tc>
        <w:tc>
          <w:tcPr>
            <w:tcW w:type="dxa" w:w="3859"/>
          </w:tcPr>
          <w:p>
            <w:pPr>
              <w:spacing w:after="20"/>
              <w:jc w:val="right"/>
            </w:pPr>
            <w:r>
              <w:rPr>
                <w:color w:val="1C3A36"/>
                <w:sz w:val="14"/>
              </w:rPr>
              <w:t>Peer multiple — Ultrapar Participacoes (NYSE: UGP, ADR of UGPA3) — used only as a cross-check — Market cap USD 6.56bn; enterprise value USD 9.71bn; trailing P/E 11.43;…</w:t>
            </w:r>
          </w:p>
        </w:tc>
        <w:tc>
          <w:tcPr>
            <w:tcW w:type="dxa" w:w="2160"/>
          </w:tcPr>
          <w:p>
            <w:pPr>
              <w:spacing w:after="20"/>
              <w:jc w:val="right"/>
            </w:pPr>
            <w:r>
              <w:rPr>
                <w:color w:val="1C3A36"/>
                <w:sz w:val="14"/>
              </w:rPr>
              <w:t>StockAnalysis.com — Ultrapar…</w:t>
            </w:r>
          </w:p>
        </w:tc>
        <w:tc>
          <w:tcPr>
            <w:tcW w:type="dxa" w:w="1037"/>
          </w:tcPr>
          <w:p>
            <w:pPr>
              <w:spacing w:after="20"/>
              <w:jc w:val="right"/>
            </w:pPr>
            <w:r>
              <w:rPr>
                <w:color w:val="1C3A36"/>
                <w:sz w:val="14"/>
              </w:rPr>
              <w:t>2026-08-09</w:t>
            </w:r>
          </w:p>
        </w:tc>
      </w:tr>
      <w:tr>
        <w:trPr>
          <w:cantSplit/>
        </w:trPr>
        <w:tc>
          <w:tcPr>
            <w:tcW w:type="dxa" w:w="720"/>
          </w:tcPr>
          <w:p>
            <w:pPr>
              <w:spacing w:after="20"/>
            </w:pPr>
            <w:r>
              <w:rPr>
                <w:color w:val="1C3A36"/>
                <w:sz w:val="14"/>
              </w:rPr>
              <w:t>I-15</w:t>
            </w:r>
          </w:p>
        </w:tc>
        <w:tc>
          <w:tcPr>
            <w:tcW w:type="dxa" w:w="1037"/>
          </w:tcPr>
          <w:p>
            <w:pPr>
              <w:spacing w:after="20"/>
              <w:jc w:val="right"/>
            </w:pPr>
            <w:r>
              <w:rPr>
                <w:color w:val="1C3A36"/>
                <w:sz w:val="14"/>
              </w:rPr>
              <w:t>Industry</w:t>
            </w:r>
          </w:p>
        </w:tc>
        <w:tc>
          <w:tcPr>
            <w:tcW w:type="dxa" w:w="1224"/>
          </w:tcPr>
          <w:p>
            <w:pPr>
              <w:spacing w:after="20"/>
              <w:jc w:val="right"/>
            </w:pPr>
            <w:r>
              <w:rPr>
                <w:color w:val="1C3A36"/>
                <w:sz w:val="14"/>
              </w:rPr>
              <w:t>Background</w:t>
            </w:r>
          </w:p>
        </w:tc>
        <w:tc>
          <w:tcPr>
            <w:tcW w:type="dxa" w:w="3859"/>
          </w:tcPr>
          <w:p>
            <w:pPr>
              <w:spacing w:after="20"/>
              <w:jc w:val="right"/>
            </w:pPr>
            <w:r>
              <w:rPr>
                <w:color w:val="1C3A36"/>
                <w:sz w:val="14"/>
              </w:rPr>
              <w:t>Peers requested but NOT LISTED — Jio-bp and Puma Energy — Jio-bp (Reliance BP Mobility Limited) is an unlisted joint venture between Reliance Industries (51%) and BP (49%);…</w:t>
            </w:r>
          </w:p>
        </w:tc>
        <w:tc>
          <w:tcPr>
            <w:tcW w:type="dxa" w:w="2160"/>
          </w:tcPr>
          <w:p>
            <w:pPr>
              <w:spacing w:after="20"/>
              <w:jc w:val="right"/>
            </w:pPr>
            <w:r>
              <w:rPr>
                <w:color w:val="1C3A36"/>
                <w:sz w:val="14"/>
              </w:rPr>
              <w:t>Wikipedia — Jio-bp; BP India press…</w:t>
            </w:r>
          </w:p>
        </w:tc>
        <w:tc>
          <w:tcPr>
            <w:tcW w:type="dxa" w:w="1037"/>
          </w:tcPr>
          <w:p>
            <w:pPr>
              <w:spacing w:after="20"/>
              <w:jc w:val="right"/>
            </w:pPr>
            <w:r>
              <w:rPr>
                <w:color w:val="1C3A36"/>
                <w:sz w:val="14"/>
              </w:rPr>
              <w:t>2026-08-09</w:t>
            </w:r>
          </w:p>
        </w:tc>
      </w:tr>
      <w:tr>
        <w:trPr>
          <w:cantSplit/>
        </w:trPr>
        <w:tc>
          <w:tcPr>
            <w:tcW w:type="dxa" w:w="720"/>
          </w:tcPr>
          <w:p>
            <w:pPr>
              <w:spacing w:after="20"/>
            </w:pPr>
            <w:r>
              <w:rPr>
                <w:color w:val="1C3A36"/>
                <w:sz w:val="14"/>
              </w:rPr>
              <w:t>CO-01</w:t>
            </w:r>
          </w:p>
        </w:tc>
        <w:tc>
          <w:tcPr>
            <w:tcW w:type="dxa" w:w="1037"/>
          </w:tcPr>
          <w:p>
            <w:pPr>
              <w:spacing w:after="20"/>
              <w:jc w:val="right"/>
            </w:pPr>
            <w:r>
              <w:rPr>
                <w:color w:val="1C3A36"/>
                <w:sz w:val="14"/>
              </w:rPr>
              <w:t>Company</w:t>
            </w:r>
          </w:p>
        </w:tc>
        <w:tc>
          <w:tcPr>
            <w:tcW w:type="dxa" w:w="1224"/>
          </w:tcPr>
          <w:p>
            <w:pPr>
              <w:spacing w:after="20"/>
              <w:jc w:val="right"/>
            </w:pPr>
            <w:r>
              <w:rPr>
                <w:color w:val="1C3A36"/>
                <w:sz w:val="14"/>
              </w:rPr>
              <w:t>Critical</w:t>
            </w:r>
          </w:p>
        </w:tc>
        <w:tc>
          <w:tcPr>
            <w:tcW w:type="dxa" w:w="3859"/>
          </w:tcPr>
          <w:p>
            <w:pPr>
              <w:spacing w:after="20"/>
              <w:jc w:val="right"/>
            </w:pPr>
            <w:r>
              <w:rPr>
                <w:color w:val="1C3A36"/>
                <w:sz w:val="14"/>
              </w:rPr>
              <w:t>ADNOC Distribution market data — price and capitalisation — Share price AED 4.070 at the close of 07-Aug-2026 (-0.25% on the day). Market capitalisation AED 50.86bn.…</w:t>
            </w:r>
          </w:p>
        </w:tc>
        <w:tc>
          <w:tcPr>
            <w:tcW w:type="dxa" w:w="2160"/>
          </w:tcPr>
          <w:p>
            <w:pPr>
              <w:spacing w:after="20"/>
              <w:jc w:val="right"/>
            </w:pPr>
            <w:r>
              <w:rPr>
                <w:color w:val="1C3A36"/>
                <w:sz w:val="14"/>
              </w:rPr>
              <w:t>StockAnalysis.com — Abu Dhabi National…</w:t>
            </w:r>
          </w:p>
        </w:tc>
        <w:tc>
          <w:tcPr>
            <w:tcW w:type="dxa" w:w="1037"/>
          </w:tcPr>
          <w:p>
            <w:pPr>
              <w:spacing w:after="20"/>
              <w:jc w:val="right"/>
            </w:pPr>
            <w:r>
              <w:rPr>
                <w:color w:val="1C3A36"/>
                <w:sz w:val="14"/>
              </w:rPr>
              <w:t>2026-08-07</w:t>
            </w:r>
          </w:p>
        </w:tc>
      </w:tr>
      <w:tr>
        <w:trPr>
          <w:cantSplit/>
        </w:trPr>
        <w:tc>
          <w:tcPr>
            <w:tcW w:type="dxa" w:w="720"/>
          </w:tcPr>
          <w:p>
            <w:pPr>
              <w:spacing w:after="20"/>
            </w:pPr>
            <w:r>
              <w:rPr>
                <w:color w:val="1C3A36"/>
                <w:sz w:val="14"/>
              </w:rPr>
              <w:t>CO-02</w:t>
            </w:r>
          </w:p>
        </w:tc>
        <w:tc>
          <w:tcPr>
            <w:tcW w:type="dxa" w:w="1037"/>
          </w:tcPr>
          <w:p>
            <w:pPr>
              <w:spacing w:after="20"/>
              <w:jc w:val="right"/>
            </w:pPr>
            <w:r>
              <w:rPr>
                <w:color w:val="1C3A36"/>
                <w:sz w:val="14"/>
              </w:rPr>
              <w:t>Company</w:t>
            </w:r>
          </w:p>
        </w:tc>
        <w:tc>
          <w:tcPr>
            <w:tcW w:type="dxa" w:w="1224"/>
          </w:tcPr>
          <w:p>
            <w:pPr>
              <w:spacing w:after="20"/>
              <w:jc w:val="right"/>
            </w:pPr>
            <w:r>
              <w:rPr>
                <w:color w:val="1C3A36"/>
                <w:sz w:val="14"/>
              </w:rPr>
              <w:t>Driver</w:t>
            </w:r>
          </w:p>
        </w:tc>
        <w:tc>
          <w:tcPr>
            <w:tcW w:type="dxa" w:w="3859"/>
          </w:tcPr>
          <w:p>
            <w:pPr>
              <w:spacing w:after="20"/>
              <w:jc w:val="right"/>
            </w:pPr>
            <w:r>
              <w:rPr>
                <w:color w:val="1C3A36"/>
                <w:sz w:val="14"/>
              </w:rPr>
              <w:t>ADNOC Distribution ownership — free float and parent stake — Free float was 23% of shares as at 31-Dec-2025, implying an ADNOC parent stake of ~77%. The float was built…</w:t>
            </w:r>
          </w:p>
        </w:tc>
        <w:tc>
          <w:tcPr>
            <w:tcW w:type="dxa" w:w="2160"/>
          </w:tcPr>
          <w:p>
            <w:pPr>
              <w:spacing w:after="20"/>
              <w:jc w:val="right"/>
            </w:pPr>
            <w:r>
              <w:rPr>
                <w:color w:val="1C3A36"/>
                <w:sz w:val="14"/>
              </w:rPr>
              <w:t>ADNOC Distribution Investor Relations;…</w:t>
            </w:r>
          </w:p>
        </w:tc>
        <w:tc>
          <w:tcPr>
            <w:tcW w:type="dxa" w:w="1037"/>
          </w:tcPr>
          <w:p>
            <w:pPr>
              <w:spacing w:after="20"/>
              <w:jc w:val="right"/>
            </w:pPr>
            <w:r>
              <w:rPr>
                <w:color w:val="1C3A36"/>
                <w:sz w:val="14"/>
              </w:rPr>
              <w:t>2025-12-31</w:t>
            </w:r>
          </w:p>
        </w:tc>
      </w:tr>
      <w:tr>
        <w:trPr>
          <w:cantSplit/>
        </w:trPr>
        <w:tc>
          <w:tcPr>
            <w:tcW w:type="dxa" w:w="720"/>
          </w:tcPr>
          <w:p>
            <w:pPr>
              <w:spacing w:after="20"/>
            </w:pPr>
            <w:r>
              <w:rPr>
                <w:color w:val="1C3A36"/>
                <w:sz w:val="14"/>
              </w:rPr>
              <w:t>CO-03</w:t>
            </w:r>
          </w:p>
        </w:tc>
        <w:tc>
          <w:tcPr>
            <w:tcW w:type="dxa" w:w="1037"/>
          </w:tcPr>
          <w:p>
            <w:pPr>
              <w:spacing w:after="20"/>
              <w:jc w:val="right"/>
            </w:pPr>
            <w:r>
              <w:rPr>
                <w:color w:val="1C3A36"/>
                <w:sz w:val="14"/>
              </w:rPr>
              <w:t>Company</w:t>
            </w:r>
          </w:p>
        </w:tc>
        <w:tc>
          <w:tcPr>
            <w:tcW w:type="dxa" w:w="1224"/>
          </w:tcPr>
          <w:p>
            <w:pPr>
              <w:spacing w:after="20"/>
              <w:jc w:val="right"/>
            </w:pPr>
            <w:r>
              <w:rPr>
                <w:color w:val="1C3A36"/>
                <w:sz w:val="14"/>
              </w:rPr>
              <w:t>Critical</w:t>
            </w:r>
          </w:p>
        </w:tc>
        <w:tc>
          <w:tcPr>
            <w:tcW w:type="dxa" w:w="3859"/>
          </w:tcPr>
          <w:p>
            <w:pPr>
              <w:spacing w:after="20"/>
              <w:jc w:val="right"/>
            </w:pPr>
            <w:r>
              <w:rPr>
                <w:color w:val="1C3A36"/>
                <w:sz w:val="14"/>
              </w:rPr>
              <w:t>ADNOC Distribution Q2 and H1 2026 results — headline (CONTEXT ONLY) — Reported 05-Aug-2026. Q2-2026: net profit USD 358m (AED 1.31bn), +94% y/y; revenue AED 13.2bn, +53%…</w:t>
            </w:r>
          </w:p>
        </w:tc>
        <w:tc>
          <w:tcPr>
            <w:tcW w:type="dxa" w:w="2160"/>
          </w:tcPr>
          <w:p>
            <w:pPr>
              <w:spacing w:after="20"/>
              <w:jc w:val="right"/>
            </w:pPr>
            <w:r>
              <w:rPr>
                <w:color w:val="1C3A36"/>
                <w:sz w:val="14"/>
              </w:rPr>
              <w:t>ADNOC Distribution H1-2026 results and…</w:t>
            </w:r>
          </w:p>
        </w:tc>
        <w:tc>
          <w:tcPr>
            <w:tcW w:type="dxa" w:w="1037"/>
          </w:tcPr>
          <w:p>
            <w:pPr>
              <w:spacing w:after="20"/>
              <w:jc w:val="right"/>
            </w:pPr>
            <w:r>
              <w:rPr>
                <w:color w:val="1C3A36"/>
                <w:sz w:val="14"/>
              </w:rPr>
              <w:t>2026-06-30</w:t>
            </w:r>
          </w:p>
        </w:tc>
      </w:tr>
      <w:tr>
        <w:trPr>
          <w:cantSplit/>
        </w:trPr>
        <w:tc>
          <w:tcPr>
            <w:tcW w:type="dxa" w:w="720"/>
          </w:tcPr>
          <w:p>
            <w:pPr>
              <w:spacing w:after="20"/>
            </w:pPr>
            <w:r>
              <w:rPr>
                <w:color w:val="1C3A36"/>
                <w:sz w:val="14"/>
              </w:rPr>
              <w:t>CO-04</w:t>
            </w:r>
          </w:p>
        </w:tc>
        <w:tc>
          <w:tcPr>
            <w:tcW w:type="dxa" w:w="1037"/>
          </w:tcPr>
          <w:p>
            <w:pPr>
              <w:spacing w:after="20"/>
              <w:jc w:val="right"/>
            </w:pPr>
            <w:r>
              <w:rPr>
                <w:color w:val="1C3A36"/>
                <w:sz w:val="14"/>
              </w:rPr>
              <w:t>Company</w:t>
            </w:r>
          </w:p>
        </w:tc>
        <w:tc>
          <w:tcPr>
            <w:tcW w:type="dxa" w:w="1224"/>
          </w:tcPr>
          <w:p>
            <w:pPr>
              <w:spacing w:after="20"/>
              <w:jc w:val="right"/>
            </w:pPr>
            <w:r>
              <w:rPr>
                <w:color w:val="1C3A36"/>
                <w:sz w:val="14"/>
              </w:rPr>
              <w:t>Driver</w:t>
            </w:r>
          </w:p>
        </w:tc>
        <w:tc>
          <w:tcPr>
            <w:tcW w:type="dxa" w:w="3859"/>
          </w:tcPr>
          <w:p>
            <w:pPr>
              <w:spacing w:after="20"/>
              <w:jc w:val="right"/>
            </w:pPr>
            <w:r>
              <w:rPr>
                <w:color w:val="1C3A36"/>
                <w:sz w:val="14"/>
              </w:rPr>
              <w:t>ADNOC Distribution non-fuel retail and property (CONTEXT ONLY) — Non-fuel retail gross profit rose from USD 67m in H1-2021 to USD 140m in H1-2026 — more than doubling over…</w:t>
            </w:r>
          </w:p>
        </w:tc>
        <w:tc>
          <w:tcPr>
            <w:tcW w:type="dxa" w:w="2160"/>
          </w:tcPr>
          <w:p>
            <w:pPr>
              <w:spacing w:after="20"/>
              <w:jc w:val="right"/>
            </w:pPr>
            <w:r>
              <w:rPr>
                <w:color w:val="1C3A36"/>
                <w:sz w:val="14"/>
              </w:rPr>
              <w:t>ADNOC Distribution H1-2026 earnings…</w:t>
            </w:r>
          </w:p>
        </w:tc>
        <w:tc>
          <w:tcPr>
            <w:tcW w:type="dxa" w:w="1037"/>
          </w:tcPr>
          <w:p>
            <w:pPr>
              <w:spacing w:after="20"/>
              <w:jc w:val="right"/>
            </w:pPr>
            <w:r>
              <w:rPr>
                <w:color w:val="1C3A36"/>
                <w:sz w:val="14"/>
              </w:rPr>
              <w:t>2026-06-30</w:t>
            </w:r>
          </w:p>
        </w:tc>
      </w:tr>
      <w:tr>
        <w:trPr>
          <w:cantSplit/>
        </w:trPr>
        <w:tc>
          <w:tcPr>
            <w:tcW w:type="dxa" w:w="720"/>
          </w:tcPr>
          <w:p>
            <w:pPr>
              <w:spacing w:after="20"/>
            </w:pPr>
            <w:r>
              <w:rPr>
                <w:color w:val="1C3A36"/>
                <w:sz w:val="14"/>
              </w:rPr>
              <w:t>CO-05</w:t>
            </w:r>
          </w:p>
        </w:tc>
        <w:tc>
          <w:tcPr>
            <w:tcW w:type="dxa" w:w="1037"/>
          </w:tcPr>
          <w:p>
            <w:pPr>
              <w:spacing w:after="20"/>
              <w:jc w:val="right"/>
            </w:pPr>
            <w:r>
              <w:rPr>
                <w:color w:val="1C3A36"/>
                <w:sz w:val="14"/>
              </w:rPr>
              <w:t>Company</w:t>
            </w:r>
          </w:p>
        </w:tc>
        <w:tc>
          <w:tcPr>
            <w:tcW w:type="dxa" w:w="1224"/>
          </w:tcPr>
          <w:p>
            <w:pPr>
              <w:spacing w:after="20"/>
              <w:jc w:val="right"/>
            </w:pPr>
            <w:r>
              <w:rPr>
                <w:color w:val="1C3A36"/>
                <w:sz w:val="14"/>
              </w:rPr>
              <w:t>Critical</w:t>
            </w:r>
          </w:p>
        </w:tc>
        <w:tc>
          <w:tcPr>
            <w:tcW w:type="dxa" w:w="3859"/>
          </w:tcPr>
          <w:p>
            <w:pPr>
              <w:spacing w:after="20"/>
              <w:jc w:val="right"/>
            </w:pPr>
            <w:r>
              <w:rPr>
                <w:color w:val="1C3A36"/>
                <w:sz w:val="14"/>
              </w:rPr>
              <w:t>ADNOC Distribution — Shell Downstream South Africa acquisition — On 07-Jul-2026 ADNOC Distribution signed an agreement to acquire 100% of Shell Downstream South Africa for…</w:t>
            </w:r>
          </w:p>
        </w:tc>
        <w:tc>
          <w:tcPr>
            <w:tcW w:type="dxa" w:w="2160"/>
          </w:tcPr>
          <w:p>
            <w:pPr>
              <w:spacing w:after="20"/>
              <w:jc w:val="right"/>
            </w:pPr>
            <w:r>
              <w:rPr>
                <w:color w:val="1C3A36"/>
                <w:sz w:val="14"/>
              </w:rPr>
              <w:t>ADNOC Distribution H1-2026 earnings…</w:t>
            </w:r>
          </w:p>
        </w:tc>
        <w:tc>
          <w:tcPr>
            <w:tcW w:type="dxa" w:w="1037"/>
          </w:tcPr>
          <w:p>
            <w:pPr>
              <w:spacing w:after="20"/>
              <w:jc w:val="right"/>
            </w:pPr>
            <w:r>
              <w:rPr>
                <w:color w:val="1C3A36"/>
                <w:sz w:val="14"/>
              </w:rPr>
              <w:t>2026-07-07</w:t>
            </w:r>
          </w:p>
        </w:tc>
      </w:tr>
      <w:tr>
        <w:trPr>
          <w:cantSplit/>
        </w:trPr>
        <w:tc>
          <w:tcPr>
            <w:tcW w:type="dxa" w:w="720"/>
          </w:tcPr>
          <w:p>
            <w:pPr>
              <w:spacing w:after="20"/>
            </w:pPr>
            <w:r>
              <w:rPr>
                <w:color w:val="1C3A36"/>
                <w:sz w:val="14"/>
              </w:rPr>
              <w:t>CO-06</w:t>
            </w:r>
          </w:p>
        </w:tc>
        <w:tc>
          <w:tcPr>
            <w:tcW w:type="dxa" w:w="1037"/>
          </w:tcPr>
          <w:p>
            <w:pPr>
              <w:spacing w:after="20"/>
              <w:jc w:val="right"/>
            </w:pPr>
            <w:r>
              <w:rPr>
                <w:color w:val="1C3A36"/>
                <w:sz w:val="14"/>
              </w:rPr>
              <w:t>Company</w:t>
            </w:r>
          </w:p>
        </w:tc>
        <w:tc>
          <w:tcPr>
            <w:tcW w:type="dxa" w:w="1224"/>
          </w:tcPr>
          <w:p>
            <w:pPr>
              <w:spacing w:after="20"/>
              <w:jc w:val="right"/>
            </w:pPr>
            <w:r>
              <w:rPr>
                <w:color w:val="1C3A36"/>
                <w:sz w:val="14"/>
              </w:rPr>
              <w:t>Critical</w:t>
            </w:r>
          </w:p>
        </w:tc>
        <w:tc>
          <w:tcPr>
            <w:tcW w:type="dxa" w:w="3859"/>
          </w:tcPr>
          <w:p>
            <w:pPr>
              <w:spacing w:after="20"/>
              <w:jc w:val="right"/>
            </w:pPr>
            <w:r>
              <w:rPr>
                <w:color w:val="1C3A36"/>
                <w:sz w:val="14"/>
              </w:rPr>
              <w:t>ADNOC Distribution dividend policy — The dividend policy provides for an annual dividend of USD 700 million (20.57 fils per share) for the years 2024-2030, or a minimum of…</w:t>
            </w:r>
          </w:p>
        </w:tc>
        <w:tc>
          <w:tcPr>
            <w:tcW w:type="dxa" w:w="2160"/>
          </w:tcPr>
          <w:p>
            <w:pPr>
              <w:spacing w:after="20"/>
              <w:jc w:val="right"/>
            </w:pPr>
            <w:r>
              <w:rPr>
                <w:color w:val="1C3A36"/>
                <w:sz w:val="14"/>
              </w:rPr>
              <w:t>ADNOC Distribution — Dividends /…</w:t>
            </w:r>
          </w:p>
        </w:tc>
        <w:tc>
          <w:tcPr>
            <w:tcW w:type="dxa" w:w="1037"/>
          </w:tcPr>
          <w:p>
            <w:pPr>
              <w:spacing w:after="20"/>
              <w:jc w:val="right"/>
            </w:pPr>
            <w:r>
              <w:rPr>
                <w:color w:val="1C3A36"/>
                <w:sz w:val="14"/>
              </w:rPr>
              <w:t>2026-04-01</w:t>
            </w:r>
          </w:p>
        </w:tc>
      </w:tr>
      <w:tr>
        <w:trPr>
          <w:cantSplit/>
        </w:trPr>
        <w:tc>
          <w:tcPr>
            <w:tcW w:type="dxa" w:w="720"/>
          </w:tcPr>
          <w:p>
            <w:pPr>
              <w:spacing w:after="20"/>
            </w:pPr>
            <w:r>
              <w:rPr>
                <w:color w:val="1C3A36"/>
                <w:sz w:val="14"/>
              </w:rPr>
              <w:t>CO-07</w:t>
            </w:r>
          </w:p>
        </w:tc>
        <w:tc>
          <w:tcPr>
            <w:tcW w:type="dxa" w:w="1037"/>
          </w:tcPr>
          <w:p>
            <w:pPr>
              <w:spacing w:after="20"/>
              <w:jc w:val="right"/>
            </w:pPr>
            <w:r>
              <w:rPr>
                <w:color w:val="1C3A36"/>
                <w:sz w:val="14"/>
              </w:rPr>
              <w:t>Company</w:t>
            </w:r>
          </w:p>
        </w:tc>
        <w:tc>
          <w:tcPr>
            <w:tcW w:type="dxa" w:w="1224"/>
          </w:tcPr>
          <w:p>
            <w:pPr>
              <w:spacing w:after="20"/>
              <w:jc w:val="right"/>
            </w:pPr>
            <w:r>
              <w:rPr>
                <w:color w:val="1C3A36"/>
                <w:sz w:val="14"/>
              </w:rPr>
              <w:t>Driver</w:t>
            </w:r>
          </w:p>
        </w:tc>
        <w:tc>
          <w:tcPr>
            <w:tcW w:type="dxa" w:w="3859"/>
          </w:tcPr>
          <w:p>
            <w:pPr>
              <w:spacing w:after="20"/>
              <w:jc w:val="right"/>
            </w:pPr>
            <w:r>
              <w:rPr>
                <w:color w:val="1C3A36"/>
                <w:sz w:val="14"/>
              </w:rPr>
              <w:t>ADNOC Distribution dividends declared 2025-2026 — FY2025: total dividend USD 700m (AED 2.57bn), comprising an interim of USD 525m (AED 1.9bn), equivalent to 15.4 fils per…</w:t>
            </w:r>
          </w:p>
        </w:tc>
        <w:tc>
          <w:tcPr>
            <w:tcW w:type="dxa" w:w="2160"/>
          </w:tcPr>
          <w:p>
            <w:pPr>
              <w:spacing w:after="20"/>
              <w:jc w:val="right"/>
            </w:pPr>
            <w:r>
              <w:rPr>
                <w:color w:val="1C3A36"/>
                <w:sz w:val="14"/>
              </w:rPr>
              <w:t>ADNOC Distribution — H1-2026 results…</w:t>
            </w:r>
          </w:p>
        </w:tc>
        <w:tc>
          <w:tcPr>
            <w:tcW w:type="dxa" w:w="1037"/>
          </w:tcPr>
          <w:p>
            <w:pPr>
              <w:spacing w:after="20"/>
              <w:jc w:val="right"/>
            </w:pPr>
            <w:r>
              <w:rPr>
                <w:color w:val="1C3A36"/>
                <w:sz w:val="14"/>
              </w:rPr>
              <w:t>2026-08-05</w:t>
            </w:r>
          </w:p>
        </w:tc>
      </w:tr>
      <w:tr>
        <w:trPr>
          <w:cantSplit/>
        </w:trPr>
        <w:tc>
          <w:tcPr>
            <w:tcW w:type="dxa" w:w="720"/>
          </w:tcPr>
          <w:p>
            <w:pPr>
              <w:spacing w:after="20"/>
            </w:pPr>
            <w:r>
              <w:rPr>
                <w:color w:val="1C3A36"/>
                <w:sz w:val="14"/>
              </w:rPr>
              <w:t>CO-08</w:t>
            </w:r>
          </w:p>
        </w:tc>
        <w:tc>
          <w:tcPr>
            <w:tcW w:type="dxa" w:w="1037"/>
          </w:tcPr>
          <w:p>
            <w:pPr>
              <w:spacing w:after="20"/>
              <w:jc w:val="right"/>
            </w:pPr>
            <w:r>
              <w:rPr>
                <w:color w:val="1C3A36"/>
                <w:sz w:val="14"/>
              </w:rPr>
              <w:t>Company</w:t>
            </w:r>
          </w:p>
        </w:tc>
        <w:tc>
          <w:tcPr>
            <w:tcW w:type="dxa" w:w="1224"/>
          </w:tcPr>
          <w:p>
            <w:pPr>
              <w:spacing w:after="20"/>
              <w:jc w:val="right"/>
            </w:pPr>
            <w:r>
              <w:rPr>
                <w:color w:val="1C3A36"/>
                <w:sz w:val="14"/>
              </w:rPr>
              <w:t>Critical</w:t>
            </w:r>
          </w:p>
        </w:tc>
        <w:tc>
          <w:tcPr>
            <w:tcW w:type="dxa" w:w="3859"/>
          </w:tcPr>
          <w:p>
            <w:pPr>
              <w:spacing w:after="20"/>
              <w:jc w:val="right"/>
            </w:pPr>
            <w:r>
              <w:rPr>
                <w:color w:val="1C3A36"/>
                <w:sz w:val="14"/>
              </w:rPr>
              <w:t>ADNOC supply agreement — the 45 fils/litre minimum margin backstop — ADNOC Distribution's supply agreement with parent ADNOC for refined petroleum products includes a…</w:t>
            </w:r>
          </w:p>
        </w:tc>
        <w:tc>
          <w:tcPr>
            <w:tcW w:type="dxa" w:w="2160"/>
          </w:tcPr>
          <w:p>
            <w:pPr>
              <w:spacing w:after="20"/>
              <w:jc w:val="right"/>
            </w:pPr>
            <w:r>
              <w:rPr>
                <w:color w:val="1C3A36"/>
                <w:sz w:val="14"/>
              </w:rPr>
              <w:t>ADNOC Distribution H1-2026 earnings…</w:t>
            </w:r>
          </w:p>
        </w:tc>
        <w:tc>
          <w:tcPr>
            <w:tcW w:type="dxa" w:w="1037"/>
          </w:tcPr>
          <w:p>
            <w:pPr>
              <w:spacing w:after="20"/>
              <w:jc w:val="right"/>
            </w:pPr>
            <w:r>
              <w:rPr>
                <w:color w:val="1C3A36"/>
                <w:sz w:val="14"/>
              </w:rPr>
              <w:t>2026-08-05</w:t>
            </w:r>
          </w:p>
        </w:tc>
      </w:tr>
      <w:tr>
        <w:trPr>
          <w:cantSplit/>
        </w:trPr>
        <w:tc>
          <w:tcPr>
            <w:tcW w:type="dxa" w:w="720"/>
          </w:tcPr>
          <w:p>
            <w:pPr>
              <w:spacing w:after="20"/>
            </w:pPr>
            <w:r>
              <w:rPr>
                <w:color w:val="1C3A36"/>
                <w:sz w:val="14"/>
              </w:rPr>
              <w:t>CO-09</w:t>
            </w:r>
          </w:p>
        </w:tc>
        <w:tc>
          <w:tcPr>
            <w:tcW w:type="dxa" w:w="1037"/>
          </w:tcPr>
          <w:p>
            <w:pPr>
              <w:spacing w:after="20"/>
              <w:jc w:val="right"/>
            </w:pPr>
            <w:r>
              <w:rPr>
                <w:color w:val="1C3A36"/>
                <w:sz w:val="14"/>
              </w:rPr>
              <w:t>Company</w:t>
            </w:r>
          </w:p>
        </w:tc>
        <w:tc>
          <w:tcPr>
            <w:tcW w:type="dxa" w:w="1224"/>
          </w:tcPr>
          <w:p>
            <w:pPr>
              <w:spacing w:after="20"/>
              <w:jc w:val="right"/>
            </w:pPr>
            <w:r>
              <w:rPr>
                <w:color w:val="1C3A36"/>
                <w:sz w:val="14"/>
              </w:rPr>
              <w:t>Driver</w:t>
            </w:r>
          </w:p>
        </w:tc>
        <w:tc>
          <w:tcPr>
            <w:tcW w:type="dxa" w:w="3859"/>
          </w:tcPr>
          <w:p>
            <w:pPr>
              <w:spacing w:after="20"/>
              <w:jc w:val="right"/>
            </w:pPr>
            <w:r>
              <w:rPr>
                <w:color w:val="1C3A36"/>
                <w:sz w:val="14"/>
              </w:rPr>
              <w:t>ADNOC Distribution guidance — capex, network and 2028-2030 targets — FY2026 capex guidance USD 250-300 million, weighted toward growth projects in H2. FY2026 network…</w:t>
            </w:r>
          </w:p>
        </w:tc>
        <w:tc>
          <w:tcPr>
            <w:tcW w:type="dxa" w:w="2160"/>
          </w:tcPr>
          <w:p>
            <w:pPr>
              <w:spacing w:after="20"/>
              <w:jc w:val="right"/>
            </w:pPr>
            <w:r>
              <w:rPr>
                <w:color w:val="1C3A36"/>
                <w:sz w:val="14"/>
              </w:rPr>
              <w:t>ADNOC Distribution H1-2026 earnings call…</w:t>
            </w:r>
          </w:p>
        </w:tc>
        <w:tc>
          <w:tcPr>
            <w:tcW w:type="dxa" w:w="1037"/>
          </w:tcPr>
          <w:p>
            <w:pPr>
              <w:spacing w:after="20"/>
              <w:jc w:val="right"/>
            </w:pPr>
            <w:r>
              <w:rPr>
                <w:color w:val="1C3A36"/>
                <w:sz w:val="14"/>
              </w:rPr>
              <w:t>2026-08-05</w:t>
            </w:r>
          </w:p>
        </w:tc>
      </w:tr>
      <w:tr>
        <w:trPr>
          <w:cantSplit/>
        </w:trPr>
        <w:tc>
          <w:tcPr>
            <w:tcW w:type="dxa" w:w="720"/>
          </w:tcPr>
          <w:p>
            <w:pPr>
              <w:spacing w:after="20"/>
            </w:pPr>
            <w:r>
              <w:rPr>
                <w:color w:val="1C3A36"/>
                <w:sz w:val="14"/>
              </w:rPr>
              <w:t>CO-10</w:t>
            </w:r>
          </w:p>
        </w:tc>
        <w:tc>
          <w:tcPr>
            <w:tcW w:type="dxa" w:w="1037"/>
          </w:tcPr>
          <w:p>
            <w:pPr>
              <w:spacing w:after="20"/>
              <w:jc w:val="right"/>
            </w:pPr>
            <w:r>
              <w:rPr>
                <w:color w:val="1C3A36"/>
                <w:sz w:val="14"/>
              </w:rPr>
              <w:t>Company</w:t>
            </w:r>
          </w:p>
        </w:tc>
        <w:tc>
          <w:tcPr>
            <w:tcW w:type="dxa" w:w="1224"/>
          </w:tcPr>
          <w:p>
            <w:pPr>
              <w:spacing w:after="20"/>
              <w:jc w:val="right"/>
            </w:pPr>
            <w:r>
              <w:rPr>
                <w:color w:val="1C3A36"/>
                <w:sz w:val="14"/>
              </w:rPr>
              <w:t>Driver</w:t>
            </w:r>
          </w:p>
        </w:tc>
        <w:tc>
          <w:tcPr>
            <w:tcW w:type="dxa" w:w="3859"/>
          </w:tcPr>
          <w:p>
            <w:pPr>
              <w:spacing w:after="20"/>
              <w:jc w:val="right"/>
            </w:pPr>
            <w:r>
              <w:rPr>
                <w:color w:val="1C3A36"/>
                <w:sz w:val="14"/>
              </w:rPr>
              <w:t>ADNOC Distribution debt and cost of debt evidence (CROSS-CHECK) — Company-level: ADNOC Distribution's board approved loan agreements worth approximately USD 2.25bn to…</w:t>
            </w:r>
          </w:p>
        </w:tc>
        <w:tc>
          <w:tcPr>
            <w:tcW w:type="dxa" w:w="2160"/>
          </w:tcPr>
          <w:p>
            <w:pPr>
              <w:spacing w:after="20"/>
              <w:jc w:val="right"/>
            </w:pPr>
            <w:r>
              <w:rPr>
                <w:color w:val="1C3A36"/>
                <w:sz w:val="14"/>
              </w:rPr>
              <w:t>ADNOC — 'ADNOC Successfully Completes…</w:t>
            </w:r>
          </w:p>
        </w:tc>
        <w:tc>
          <w:tcPr>
            <w:tcW w:type="dxa" w:w="1037"/>
          </w:tcPr>
          <w:p>
            <w:pPr>
              <w:spacing w:after="20"/>
              <w:jc w:val="right"/>
            </w:pPr>
            <w:r>
              <w:rPr>
                <w:color w:val="1C3A36"/>
                <w:sz w:val="14"/>
              </w:rPr>
              <w:t>2025-05-06</w:t>
            </w:r>
          </w:p>
        </w:tc>
      </w:tr>
      <w:tr>
        <w:trPr>
          <w:cantSplit/>
        </w:trPr>
        <w:tc>
          <w:tcPr>
            <w:tcW w:type="dxa" w:w="720"/>
          </w:tcPr>
          <w:p>
            <w:pPr>
              <w:spacing w:after="20"/>
            </w:pPr>
            <w:r>
              <w:rPr>
                <w:color w:val="1C3A36"/>
                <w:sz w:val="14"/>
              </w:rPr>
              <w:t>CO-11</w:t>
            </w:r>
          </w:p>
        </w:tc>
        <w:tc>
          <w:tcPr>
            <w:tcW w:type="dxa" w:w="1037"/>
          </w:tcPr>
          <w:p>
            <w:pPr>
              <w:spacing w:after="20"/>
              <w:jc w:val="right"/>
            </w:pPr>
            <w:r>
              <w:rPr>
                <w:color w:val="1C3A36"/>
                <w:sz w:val="14"/>
              </w:rPr>
              <w:t>Company</w:t>
            </w:r>
          </w:p>
        </w:tc>
        <w:tc>
          <w:tcPr>
            <w:tcW w:type="dxa" w:w="1224"/>
          </w:tcPr>
          <w:p>
            <w:pPr>
              <w:spacing w:after="20"/>
              <w:jc w:val="right"/>
            </w:pPr>
            <w:r>
              <w:rPr>
                <w:color w:val="1C3A36"/>
                <w:sz w:val="14"/>
              </w:rPr>
              <w:t>Background</w:t>
            </w:r>
          </w:p>
        </w:tc>
        <w:tc>
          <w:tcPr>
            <w:tcW w:type="dxa" w:w="3859"/>
          </w:tcPr>
          <w:p>
            <w:pPr>
              <w:spacing w:after="20"/>
              <w:jc w:val="right"/>
            </w:pPr>
            <w:r>
              <w:rPr>
                <w:color w:val="1C3A36"/>
                <w:sz w:val="14"/>
              </w:rPr>
              <w:t>Sell-side / analyst commentary — used only as a cross-check, never as a source for the model — Sixteen analysts covering ADNOC Distribution carry a consensus 'Buy' rating…</w:t>
            </w:r>
          </w:p>
        </w:tc>
        <w:tc>
          <w:tcPr>
            <w:tcW w:type="dxa" w:w="2160"/>
          </w:tcPr>
          <w:p>
            <w:pPr>
              <w:spacing w:after="20"/>
              <w:jc w:val="right"/>
            </w:pPr>
            <w:r>
              <w:rPr>
                <w:color w:val="1C3A36"/>
                <w:sz w:val="14"/>
              </w:rPr>
              <w:t>StockAnalysis.com consensus data…</w:t>
            </w:r>
          </w:p>
        </w:tc>
        <w:tc>
          <w:tcPr>
            <w:tcW w:type="dxa" w:w="1037"/>
          </w:tcPr>
          <w:p>
            <w:pPr>
              <w:spacing w:after="20"/>
              <w:jc w:val="right"/>
            </w:pPr>
            <w:r>
              <w:rPr>
                <w:color w:val="1C3A36"/>
                <w:sz w:val="14"/>
              </w:rPr>
              <w:t>2026-08-09</w:t>
            </w:r>
          </w:p>
        </w:tc>
      </w:tr>
      <w:tr>
        <w:trPr>
          <w:cantSplit/>
        </w:trPr>
        <w:tc>
          <w:tcPr>
            <w:tcW w:type="dxa" w:w="720"/>
          </w:tcPr>
          <w:p>
            <w:pPr>
              <w:spacing w:after="20"/>
            </w:pPr>
            <w:r>
              <w:rPr>
                <w:color w:val="1C3A36"/>
                <w:sz w:val="14"/>
              </w:rPr>
              <w:t>C-21</w:t>
            </w:r>
          </w:p>
        </w:tc>
        <w:tc>
          <w:tcPr>
            <w:tcW w:type="dxa" w:w="1037"/>
          </w:tcPr>
          <w:p>
            <w:pPr>
              <w:spacing w:after="20"/>
              <w:jc w:val="right"/>
            </w:pPr>
            <w:r>
              <w:rPr>
                <w:color w:val="1C3A36"/>
                <w:sz w:val="14"/>
              </w:rPr>
              <w:t>Country</w:t>
            </w:r>
          </w:p>
        </w:tc>
        <w:tc>
          <w:tcPr>
            <w:tcW w:type="dxa" w:w="1224"/>
          </w:tcPr>
          <w:p>
            <w:pPr>
              <w:spacing w:after="20"/>
              <w:jc w:val="right"/>
            </w:pPr>
            <w:r>
              <w:rPr>
                <w:color w:val="1C3A36"/>
                <w:sz w:val="14"/>
              </w:rPr>
              <w:t>Driver</w:t>
            </w:r>
          </w:p>
        </w:tc>
        <w:tc>
          <w:tcPr>
            <w:tcW w:type="dxa" w:w="3859"/>
          </w:tcPr>
          <w:p>
            <w:pPr>
              <w:spacing w:after="20"/>
              <w:jc w:val="right"/>
            </w:pPr>
            <w:r>
              <w:rPr>
                <w:color w:val="1C3A36"/>
                <w:sz w:val="14"/>
              </w:rPr>
              <w:t>FTSE ADX General Index — the published index of the subject's own exchange — Daily index history for the FTSE ADX General Index, the headline capitalisation-weighted index…</w:t>
            </w:r>
          </w:p>
        </w:tc>
        <w:tc>
          <w:tcPr>
            <w:tcW w:type="dxa" w:w="2160"/>
          </w:tcPr>
          <w:p>
            <w:pPr>
              <w:spacing w:after="20"/>
              <w:jc w:val="right"/>
            </w:pPr>
            <w:r>
              <w:rPr>
                <w:color w:val="1C3A36"/>
                <w:sz w:val="14"/>
              </w:rPr>
              <w:t>FTSE ADX General Index daily history</w:t>
            </w:r>
          </w:p>
        </w:tc>
        <w:tc>
          <w:tcPr>
            <w:tcW w:type="dxa" w:w="1037"/>
          </w:tcPr>
          <w:p>
            <w:pPr>
              <w:spacing w:after="20"/>
              <w:jc w:val="right"/>
            </w:pPr>
            <w:r>
              <w:rPr>
                <w:color w:val="1C3A36"/>
                <w:sz w:val="14"/>
              </w:rPr>
              <w:t>2026-07-24</w:t>
            </w:r>
          </w:p>
        </w:tc>
      </w:tr>
    </w:tbl>
    <w:p>
      <w:pPr>
        <w:spacing w:after="40"/>
      </w:pPr>
    </w:p>
    <w:p>
      <w:pPr>
        <w:spacing w:after="200" w:before="0"/>
      </w:pPr>
      <w:r>
        <w:rPr>
          <w:b w:val="0"/>
          <w:i/>
          <w:color w:val="6E7B77"/>
          <w:sz w:val="17"/>
        </w:rPr>
        <w:t>Table 37 — the full external research record: 56 items, of which 24 are drivers. Findings are abbreviated for the page; each item carries its full text, its source address and its access date in the accompanying bibliography.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184"/>
        <w:gridCol w:w="4752"/>
      </w:tblGrid>
      <w:tr>
        <w:trPr>
          <w:cantSplit/>
        </w:trPr>
        <w:tc>
          <w:tcPr>
            <w:tcW w:type="dxa" w:w="5184"/>
            <w:shd w:val="clear" w:color="auto" w:fill="EAF0EE"/>
          </w:tcPr>
          <w:p>
            <w:pPr>
              <w:spacing w:after="20"/>
            </w:pPr>
            <w:r>
              <w:rPr>
                <w:b/>
                <w:color w:val="1C3A36"/>
                <w:sz w:val="15"/>
              </w:rPr>
              <w:t>What was sought and not found</w:t>
            </w:r>
          </w:p>
        </w:tc>
        <w:tc>
          <w:tcPr>
            <w:tcW w:type="dxa" w:w="4752"/>
            <w:shd w:val="clear" w:color="auto" w:fill="EAF0EE"/>
          </w:tcPr>
          <w:p>
            <w:pPr>
              <w:spacing w:after="20"/>
            </w:pPr>
            <w:r>
              <w:rPr>
                <w:b/>
                <w:color w:val="1C3A36"/>
                <w:sz w:val="15"/>
              </w:rPr>
              <w:t>What was done instead</w:t>
            </w:r>
          </w:p>
        </w:tc>
      </w:tr>
      <w:tr>
        <w:trPr>
          <w:cantSplit/>
        </w:trPr>
        <w:tc>
          <w:tcPr>
            <w:tcW w:type="dxa" w:w="5184"/>
          </w:tcPr>
          <w:p>
            <w:pPr>
              <w:spacing w:after="20"/>
            </w:pPr>
            <w:r>
              <w:rPr>
                <w:color w:val="1C3A36"/>
                <w:sz w:val="15"/>
              </w:rPr>
              <w:t>Damodaran July-2026 UAE row from the original file — The canonical ctryprem.html still reads 'Last updated: January 5, 2026'. A July-2026 update exists (mature-market ERP 4.17%, US ERP 4.45%, equity volatility multiplier 1.5545, published 03-Jul-2026) but…</w:t>
            </w:r>
          </w:p>
        </w:tc>
        <w:tc>
          <w:tcPr>
            <w:tcW w:type="dxa" w:w="4752"/>
          </w:tcPr>
          <w:p>
            <w:pPr>
              <w:spacing w:after="20"/>
              <w:jc w:val="right"/>
            </w:pPr>
            <w:r>
              <w:rPr>
                <w:color w:val="1C3A36"/>
                <w:sz w:val="15"/>
              </w:rPr>
              <w:t>Attempt to source ctryprem.xlsx (the July-2026 workbook) directly and re-read the UAE row. Failing that, use the original-file January-2026 row (Aa2 / 0.42% / 0.64% / 4.87%) and disclose the vintage. Show the ERP choice as a…</w:t>
            </w:r>
          </w:p>
        </w:tc>
      </w:tr>
      <w:tr>
        <w:trPr>
          <w:cantSplit/>
        </w:trPr>
        <w:tc>
          <w:tcPr>
            <w:tcW w:type="dxa" w:w="5184"/>
          </w:tcPr>
          <w:p>
            <w:pPr>
              <w:spacing w:after="20"/>
            </w:pPr>
            <w:r>
              <w:rPr>
                <w:color w:val="1C3A36"/>
                <w:sz w:val="15"/>
              </w:rPr>
              <w:t>10-year AED risk-free point — The UAE has not issued a 10-year AED federal T-bond. The longest observed AED federal point is the January 2031 tranche (~4.5-year), yielding 4.48% at the July-2026 auction. A 10-year AED point must be constructed, not observed.</w:t>
            </w:r>
          </w:p>
        </w:tc>
        <w:tc>
          <w:tcPr>
            <w:tcW w:type="dxa" w:w="4752"/>
          </w:tcPr>
          <w:p>
            <w:pPr>
              <w:spacing w:after="20"/>
              <w:jc w:val="right"/>
            </w:pPr>
            <w:r>
              <w:rPr>
                <w:color w:val="1C3A36"/>
                <w:sz w:val="15"/>
              </w:rPr>
              <w:t>Extrapolate the AED curve using the Abu Dhabi USD 10Y spread of +25bp over UST (C-08) applied to the live UST 10Y of 4.68% (~4.93%), and disclose it explicitly as a construction. Do not present it as an observed yield.</w:t>
            </w:r>
          </w:p>
        </w:tc>
      </w:tr>
      <w:tr>
        <w:trPr>
          <w:cantSplit/>
        </w:trPr>
        <w:tc>
          <w:tcPr>
            <w:tcW w:type="dxa" w:w="5184"/>
          </w:tcPr>
          <w:p>
            <w:pPr>
              <w:spacing w:after="20"/>
            </w:pPr>
            <w:r>
              <w:rPr>
                <w:color w:val="1C3A36"/>
                <w:sz w:val="15"/>
              </w:rPr>
              <w:t>ADNOC Distribution effective tax rate — 9% vs 15% DMTT — The regime is established (federal 9% applies; upstream carve-out does not cover downstream retail; 15% DMTT applies to groups above EUR 750m consolidated revenue, which ADNOC Group clearly exceeds).…</w:t>
            </w:r>
          </w:p>
        </w:tc>
        <w:tc>
          <w:tcPr>
            <w:tcW w:type="dxa" w:w="4752"/>
          </w:tcPr>
          <w:p>
            <w:pPr>
              <w:spacing w:after="20"/>
              <w:jc w:val="right"/>
            </w:pPr>
            <w:r>
              <w:rPr>
                <w:color w:val="1C3A36"/>
                <w:sz w:val="15"/>
              </w:rPr>
              <w:t>flagged before issue candidate. Read the tax note and any DMTT disclosure from the audited FY2025 statements and H1-2026 interims before fixing the forecast tax rate. Treat 9% vs 15% as a dual-framing candidate if the filings…</w:t>
            </w:r>
          </w:p>
        </w:tc>
      </w:tr>
      <w:tr>
        <w:trPr>
          <w:cantSplit/>
        </w:trPr>
        <w:tc>
          <w:tcPr>
            <w:tcW w:type="dxa" w:w="5184"/>
          </w:tcPr>
          <w:p>
            <w:pPr>
              <w:spacing w:after="20"/>
            </w:pPr>
            <w:r>
              <w:rPr>
                <w:color w:val="1C3A36"/>
                <w:sz w:val="15"/>
              </w:rPr>
              <w:t>Complete 2025 monthly UAE retail fuel price series — Only five 2025 months were located (Feb, Mar, May, Sep, Dec) plus the annual range (Special 95 AED 2.46-2.77). The full 2026 monthly series WAS obtained but from a compiled tracker, not the Ministry of…</w:t>
            </w:r>
          </w:p>
        </w:tc>
        <w:tc>
          <w:tcPr>
            <w:tcW w:type="dxa" w:w="4752"/>
          </w:tcPr>
          <w:p>
            <w:pPr>
              <w:spacing w:after="20"/>
              <w:jc w:val="right"/>
            </w:pPr>
            <w:r>
              <w:rPr>
                <w:color w:val="1C3A36"/>
                <w:sz w:val="15"/>
              </w:rPr>
              <w:t>Complete the 2025 series and spot-check the 2026 series against the monthly UAE Fuel Price Committee announcements before fixing the price driver. The April-May 2026 diesel figure of AED 4.69 in particular sits far above the…</w:t>
            </w:r>
          </w:p>
        </w:tc>
      </w:tr>
      <w:tr>
        <w:trPr>
          <w:cantSplit/>
        </w:trPr>
        <w:tc>
          <w:tcPr>
            <w:tcW w:type="dxa" w:w="5184"/>
          </w:tcPr>
          <w:p>
            <w:pPr>
              <w:spacing w:after="20"/>
            </w:pPr>
            <w:r>
              <w:rPr>
                <w:color w:val="1C3A36"/>
                <w:sz w:val="15"/>
              </w:rPr>
              <w:t>45 fils/litre minimum margin — primary confirmation — The ~45 fils/litre guaranteed minimum margin under the ADNOC supply agreement is the single most consequential structural input in the study, and it was sourced from secondary reporting of an ADX filing…</w:t>
            </w:r>
          </w:p>
        </w:tc>
        <w:tc>
          <w:tcPr>
            <w:tcW w:type="dxa" w:w="4752"/>
          </w:tcPr>
          <w:p>
            <w:pPr>
              <w:spacing w:after="20"/>
              <w:jc w:val="right"/>
            </w:pPr>
            <w:r>
              <w:rPr>
                <w:color w:val="1C3A36"/>
                <w:sz w:val="15"/>
              </w:rPr>
              <w:t>Confirm the minimum margin, the mechanism, its duration and its renewal terms directly from the related-party / supply-agreement disclosure in the annual report before it is used as a driver.</w:t>
            </w:r>
          </w:p>
        </w:tc>
      </w:tr>
      <w:tr>
        <w:trPr>
          <w:cantSplit/>
        </w:trPr>
        <w:tc>
          <w:tcPr>
            <w:tcW w:type="dxa" w:w="5184"/>
          </w:tcPr>
          <w:p>
            <w:pPr>
              <w:spacing w:after="20"/>
            </w:pPr>
            <w:r>
              <w:rPr>
                <w:color w:val="1C3A36"/>
                <w:sz w:val="15"/>
              </w:rPr>
              <w:t>ADNOC Distribution's own debt stack, LC/FX split and marginal rate — No ADNOC Distribution-specific bond or sukuk was located. Loan-facility reporting dates from 2022. Only the parent's ADNOC Murban sukuk (4.75%, +60bp over UST, May-2025) is available as…</w:t>
            </w:r>
          </w:p>
        </w:tc>
        <w:tc>
          <w:tcPr>
            <w:tcW w:type="dxa" w:w="4752"/>
          </w:tcPr>
          <w:p>
            <w:pPr>
              <w:spacing w:after="20"/>
              <w:jc w:val="right"/>
            </w:pPr>
            <w:r>
              <w:rPr>
                <w:color w:val="1C3A36"/>
                <w:sz w:val="15"/>
              </w:rPr>
              <w:t>Under this study’s source rules, read the full balance-sheet debt from the filings and split local-currency versus foreign-currency tranches. Build Kd marginal and in AED, above the 4.48% sovereign.</w:t>
            </w:r>
          </w:p>
        </w:tc>
      </w:tr>
      <w:tr>
        <w:trPr>
          <w:cantSplit/>
        </w:trPr>
        <w:tc>
          <w:tcPr>
            <w:tcW w:type="dxa" w:w="5184"/>
          </w:tcPr>
          <w:p>
            <w:pPr>
              <w:spacing w:after="20"/>
            </w:pPr>
            <w:r>
              <w:rPr>
                <w:color w:val="1C3A36"/>
                <w:sz w:val="15"/>
              </w:rPr>
              <w:t>2026 UAE competitor station counts and EV share of new sales — ENOC (198, 2024) and Emarat (~100, undated) station counts are stale; no 2026 update found. UAE EV share of new car sales is a 2023 vintage (13%); no 2025 or 2026 figure found. UAE vehicle parc…</w:t>
            </w:r>
          </w:p>
        </w:tc>
        <w:tc>
          <w:tcPr>
            <w:tcW w:type="dxa" w:w="4752"/>
          </w:tcPr>
          <w:p>
            <w:pPr>
              <w:spacing w:after="20"/>
              <w:jc w:val="right"/>
            </w:pPr>
            <w:r>
              <w:rPr>
                <w:color w:val="1C3A36"/>
                <w:sz w:val="15"/>
              </w:rPr>
              <w:t>Flag as noted limitations in the list of risks. None is individually load-bearing, but the volume driver should not lean on the stale parc figure without the reconciliation described in C-04.</w:t>
            </w:r>
          </w:p>
        </w:tc>
      </w:tr>
      <w:tr>
        <w:trPr>
          <w:cantSplit/>
        </w:trPr>
        <w:tc>
          <w:tcPr>
            <w:tcW w:type="dxa" w:w="5184"/>
          </w:tcPr>
          <w:p>
            <w:pPr>
              <w:spacing w:after="20"/>
            </w:pPr>
            <w:r>
              <w:rPr>
                <w:color w:val="1C3A36"/>
                <w:sz w:val="15"/>
              </w:rPr>
              <w:t>Jio-bp and Puma Energy — not listed — Jio-bp is an unlisted Reliance (51%) / BP (49%) joint venture; the 2026 Reliance IPO in the pipeline is Jio Platforms, the telecom entity, not Jio-bp. Puma Energy is Trafigura-controlled and not listed on a public equity…</w:t>
            </w:r>
          </w:p>
        </w:tc>
        <w:tc>
          <w:tcPr>
            <w:tcW w:type="dxa" w:w="4752"/>
          </w:tcPr>
          <w:p>
            <w:pPr>
              <w:spacing w:after="20"/>
              <w:jc w:val="right"/>
            </w:pPr>
            <w:r>
              <w:rPr>
                <w:color w:val="1C3A36"/>
                <w:sz w:val="15"/>
              </w:rPr>
              <w:t>Recorded as a negative result. Neither enters the peer table. Seven usable listed peers were obtained without them.</w:t>
            </w:r>
          </w:p>
        </w:tc>
      </w:tr>
      <w:tr>
        <w:trPr>
          <w:cantSplit/>
        </w:trPr>
        <w:tc>
          <w:tcPr>
            <w:tcW w:type="dxa" w:w="5184"/>
          </w:tcPr>
          <w:p>
            <w:pPr>
              <w:spacing w:after="20"/>
            </w:pPr>
            <w:r>
              <w:rPr>
                <w:color w:val="1C3A36"/>
                <w:sz w:val="15"/>
              </w:rPr>
              <w:t>EIA STEO PDF not machine-readable — https://www.eia.gov/outlooks/steo/pdf/steo_full.pdf returned binary PDF content that could not be parsed, and the STEO prices HTML page returned no data. Brent/WTI forecast figures were taken from EIA-sourced secondary…</w:t>
            </w:r>
          </w:p>
        </w:tc>
        <w:tc>
          <w:tcPr>
            <w:tcW w:type="dxa" w:w="4752"/>
          </w:tcPr>
          <w:p>
            <w:pPr>
              <w:spacing w:after="20"/>
              <w:jc w:val="right"/>
            </w:pPr>
            <w:r>
              <w:rPr>
                <w:color w:val="1C3A36"/>
                <w:sz w:val="15"/>
              </w:rPr>
              <w:t>Re-verify the 4Q26 USD 70 and 2027 USD 65 Brent forecasts against the STEO tables directly before using them as the price-path driver.</w:t>
            </w:r>
          </w:p>
        </w:tc>
      </w:tr>
      <w:tr>
        <w:trPr>
          <w:cantSplit/>
        </w:trPr>
        <w:tc>
          <w:tcPr>
            <w:tcW w:type="dxa" w:w="5184"/>
          </w:tcPr>
          <w:p>
            <w:pPr>
              <w:spacing w:after="20"/>
            </w:pPr>
            <w:r>
              <w:rPr>
                <w:color w:val="1C3A36"/>
                <w:sz w:val="15"/>
              </w:rPr>
              <w:t>IMF 2026 Article IV for the UAE — Only the 2025 Article IV (October 2025) was located. The 2026-2027 GDP forecasts therefore predate the 2026 oil shock entirely.</w:t>
            </w:r>
          </w:p>
        </w:tc>
        <w:tc>
          <w:tcPr>
            <w:tcW w:type="dxa" w:w="4752"/>
          </w:tcPr>
          <w:p>
            <w:pPr>
              <w:spacing w:after="20"/>
              <w:jc w:val="right"/>
            </w:pPr>
            <w:r>
              <w:rPr>
                <w:color w:val="1C3A36"/>
                <w:sz w:val="15"/>
              </w:rPr>
              <w:t>Flag the vintage wherever the GDP forecast is cited. Do not present pre-shock 2026 forecasts as current.</w:t>
            </w:r>
          </w:p>
        </w:tc>
      </w:tr>
    </w:tbl>
    <w:p>
      <w:pPr>
        <w:spacing w:after="40"/>
      </w:pPr>
    </w:p>
    <w:p>
      <w:pPr>
        <w:spacing w:after="200" w:before="0"/>
      </w:pPr>
      <w:r>
        <w:rPr>
          <w:b w:val="0"/>
          <w:i/>
          <w:color w:val="6E7B77"/>
          <w:sz w:val="17"/>
        </w:rPr>
        <w:t>Table 38 — the negative results: 10 things that were looked for and either could not be obtained or contradicted a better source. They are published because a research record that lists only successes tells a reader nothing about how hard the gaps were pushed.</w:t>
      </w:r>
    </w:p>
    <w:p>
      <w:pPr>
        <w:spacing w:after="120" w:before="0"/>
      </w:pPr>
      <w:r>
        <w:rPr>
          <w:b w:val="0"/>
          <w:i w:val="0"/>
          <w:color w:val="1C3A36"/>
          <w:sz w:val="21"/>
        </w:rPr>
        <w:t>The company's own documents used to construct every historical figure in this study, all obtained from its own investor-relations channel: the audited consolidated financial statements for the years ended 31 December 2023, 2024 and 2025, each with the auditor's report and full notes; the reviewed condensed interim statements for the first and second quarters of 2026; the FY2025 management discussion and analysis and the second-quarter 2026 management discussion and analysis; the FY2025 and first- and second-quarter 2026 results presentations, which carry the volume, station-count, transaction and margin-per-litre disclosures no financial statement contains; and the 2025 integrated report.</w:t>
      </w:r>
    </w:p>
    <w:p>
      <w:pPr>
        <w:spacing w:after="120" w:before="280"/>
      </w:pPr>
      <w:r>
        <w:rPr>
          <w:b/>
          <w:i w:val="0"/>
          <w:color w:val="1C3A36"/>
          <w:sz w:val="30"/>
        </w:rPr>
        <w:t>Appendix C — three experts, three methods</w:t>
      </w:r>
    </w:p>
    <w:p>
      <w:pPr>
        <w:spacing w:after="120" w:before="0"/>
      </w:pPr>
      <w:r>
        <w:rPr>
          <w:b w:val="0"/>
          <w:i w:val="0"/>
          <w:color w:val="1C3A36"/>
          <w:sz w:val="21"/>
        </w:rPr>
        <w:t>Three analysts with genuinely different methods were asked the same question about the same company. They are labelled Expert 1, 2 and 3. Each states a worldview, says when the method works and when it fails, shows the whole working rather than an answer, names the one sensitivity that matters most, and states in advance what would prove them wrong.</w:t>
      </w:r>
    </w:p>
    <w:p>
      <w:pPr>
        <w:spacing w:after="80" w:before="200"/>
      </w:pPr>
      <w:r>
        <w:rPr>
          <w:b/>
          <w:i w:val="0"/>
          <w:color w:val="1C3A36"/>
          <w:sz w:val="24"/>
        </w:rPr>
        <w:t>C.1 Expert 1 — the cash-flow analyst</w:t>
      </w:r>
    </w:p>
    <w:p>
      <w:pPr>
        <w:spacing w:after="120" w:before="0"/>
      </w:pPr>
      <w:r>
        <w:rPr>
          <w:b w:val="0"/>
          <w:i w:val="0"/>
          <w:color w:val="1C3A36"/>
          <w:sz w:val="21"/>
        </w:rPr>
        <w:t>Worldview: a company is worth the cash it will generate for whoever owns the capital, discounted at what that capital costs. Every other method is a shortcut to that number, and shortcuts are useful only when the full calculation is impossible.</w:t>
      </w:r>
    </w:p>
    <w:p>
      <w:pPr>
        <w:spacing w:after="120" w:before="0"/>
      </w:pPr>
      <w:r>
        <w:rPr>
          <w:b w:val="0"/>
          <w:i w:val="0"/>
          <w:color w:val="1C3A36"/>
          <w:sz w:val="21"/>
        </w:rPr>
        <w:t>When it works: for a business with a stable, forecastable operating model, a capital structure that is not about to change, and a driver that can be counted. All three hold here — litres are counted, the margin per litre is disclosed, and the balance sheet carries AED 2,985 million of net debt against AED 50,250 million of market value. When it fails: when most of the value sits beyond the explicit forecast. That is the case here, at 74.9%, and this expert concedes it before being asked.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416"/>
        <w:gridCol w:w="1656"/>
      </w:tblGrid>
      <w:tr>
        <w:trPr>
          <w:cantSplit/>
        </w:trPr>
        <w:tc>
          <w:tcPr>
            <w:tcW w:type="dxa" w:w="7416"/>
            <w:shd w:val="clear" w:color="auto" w:fill="EAF0EE"/>
          </w:tcPr>
          <w:p>
            <w:pPr>
              <w:spacing w:after="20"/>
            </w:pPr>
            <w:r>
              <w:rPr>
                <w:b/>
                <w:color w:val="1C3A36"/>
                <w:sz w:val="17"/>
              </w:rPr>
              <w:t>Working — Frame A</w:t>
            </w:r>
          </w:p>
        </w:tc>
        <w:tc>
          <w:tcPr>
            <w:tcW w:type="dxa" w:w="1656"/>
            <w:shd w:val="clear" w:color="auto" w:fill="EAF0EE"/>
          </w:tcPr>
          <w:p>
            <w:pPr>
              <w:spacing w:after="20"/>
            </w:pPr>
            <w:r>
              <w:rPr>
                <w:b/>
                <w:color w:val="1C3A36"/>
                <w:sz w:val="17"/>
              </w:rPr>
              <w:t>AED million</w:t>
            </w:r>
          </w:p>
        </w:tc>
      </w:tr>
      <w:tr>
        <w:trPr>
          <w:cantSplit/>
        </w:trPr>
        <w:tc>
          <w:tcPr>
            <w:tcW w:type="dxa" w:w="7416"/>
          </w:tcPr>
          <w:p>
            <w:pPr>
              <w:spacing w:after="20"/>
            </w:pPr>
            <w:r>
              <w:rPr>
                <w:color w:val="1C3A36"/>
                <w:sz w:val="17"/>
              </w:rPr>
              <w:t>Free cash flow to the firm, FY2026</w:t>
            </w:r>
          </w:p>
        </w:tc>
        <w:tc>
          <w:tcPr>
            <w:tcW w:type="dxa" w:w="1656"/>
          </w:tcPr>
          <w:p>
            <w:pPr>
              <w:spacing w:after="20"/>
              <w:jc w:val="right"/>
            </w:pPr>
            <w:r>
              <w:rPr>
                <w:color w:val="1C3A36"/>
                <w:sz w:val="17"/>
              </w:rPr>
              <w:t>4,368</w:t>
            </w:r>
          </w:p>
        </w:tc>
      </w:tr>
      <w:tr>
        <w:trPr>
          <w:cantSplit/>
        </w:trPr>
        <w:tc>
          <w:tcPr>
            <w:tcW w:type="dxa" w:w="7416"/>
          </w:tcPr>
          <w:p>
            <w:pPr>
              <w:spacing w:after="20"/>
            </w:pPr>
            <w:r>
              <w:rPr>
                <w:color w:val="1C3A36"/>
                <w:sz w:val="17"/>
              </w:rPr>
              <w:t>Free cash flow to the firm, FY2027</w:t>
            </w:r>
          </w:p>
        </w:tc>
        <w:tc>
          <w:tcPr>
            <w:tcW w:type="dxa" w:w="1656"/>
          </w:tcPr>
          <w:p>
            <w:pPr>
              <w:spacing w:after="20"/>
              <w:jc w:val="right"/>
            </w:pPr>
            <w:r>
              <w:rPr>
                <w:color w:val="1C3A36"/>
                <w:sz w:val="17"/>
              </w:rPr>
              <w:t>3,598</w:t>
            </w:r>
          </w:p>
        </w:tc>
      </w:tr>
      <w:tr>
        <w:trPr>
          <w:cantSplit/>
        </w:trPr>
        <w:tc>
          <w:tcPr>
            <w:tcW w:type="dxa" w:w="7416"/>
          </w:tcPr>
          <w:p>
            <w:pPr>
              <w:spacing w:after="20"/>
            </w:pPr>
            <w:r>
              <w:rPr>
                <w:color w:val="1C3A36"/>
                <w:sz w:val="17"/>
              </w:rPr>
              <w:t>Free cash flow to the firm, FY2028</w:t>
            </w:r>
          </w:p>
        </w:tc>
        <w:tc>
          <w:tcPr>
            <w:tcW w:type="dxa" w:w="1656"/>
          </w:tcPr>
          <w:p>
            <w:pPr>
              <w:spacing w:after="20"/>
              <w:jc w:val="right"/>
            </w:pPr>
            <w:r>
              <w:rPr>
                <w:color w:val="1C3A36"/>
                <w:sz w:val="17"/>
              </w:rPr>
              <w:t>3,790</w:t>
            </w:r>
          </w:p>
        </w:tc>
      </w:tr>
      <w:tr>
        <w:trPr>
          <w:cantSplit/>
        </w:trPr>
        <w:tc>
          <w:tcPr>
            <w:tcW w:type="dxa" w:w="7416"/>
          </w:tcPr>
          <w:p>
            <w:pPr>
              <w:spacing w:after="20"/>
            </w:pPr>
            <w:r>
              <w:rPr>
                <w:color w:val="1C3A36"/>
                <w:sz w:val="17"/>
              </w:rPr>
              <w:t>Free cash flow to the firm, FY2029</w:t>
            </w:r>
          </w:p>
        </w:tc>
        <w:tc>
          <w:tcPr>
            <w:tcW w:type="dxa" w:w="1656"/>
          </w:tcPr>
          <w:p>
            <w:pPr>
              <w:spacing w:after="20"/>
              <w:jc w:val="right"/>
            </w:pPr>
            <w:r>
              <w:rPr>
                <w:color w:val="1C3A36"/>
                <w:sz w:val="17"/>
              </w:rPr>
              <w:t>4,009</w:t>
            </w:r>
          </w:p>
        </w:tc>
      </w:tr>
      <w:tr>
        <w:trPr>
          <w:cantSplit/>
        </w:trPr>
        <w:tc>
          <w:tcPr>
            <w:tcW w:type="dxa" w:w="7416"/>
          </w:tcPr>
          <w:p>
            <w:pPr>
              <w:spacing w:after="20"/>
            </w:pPr>
            <w:r>
              <w:rPr>
                <w:color w:val="1C3A36"/>
                <w:sz w:val="17"/>
              </w:rPr>
              <w:t>Free cash flow to the firm, FY2030</w:t>
            </w:r>
          </w:p>
        </w:tc>
        <w:tc>
          <w:tcPr>
            <w:tcW w:type="dxa" w:w="1656"/>
          </w:tcPr>
          <w:p>
            <w:pPr>
              <w:spacing w:after="20"/>
              <w:jc w:val="right"/>
            </w:pPr>
            <w:r>
              <w:rPr>
                <w:color w:val="1C3A36"/>
                <w:sz w:val="17"/>
              </w:rPr>
              <w:t>4,228</w:t>
            </w:r>
          </w:p>
        </w:tc>
      </w:tr>
      <w:tr>
        <w:trPr>
          <w:cantSplit/>
        </w:trPr>
        <w:tc>
          <w:tcPr>
            <w:tcW w:type="dxa" w:w="7416"/>
          </w:tcPr>
          <w:p>
            <w:pPr>
              <w:spacing w:after="20"/>
            </w:pPr>
            <w:r>
              <w:rPr>
                <w:color w:val="1C3A36"/>
                <w:sz w:val="17"/>
              </w:rPr>
              <w:t>Present value of the five years at 7.44% rising to 7.44%</w:t>
            </w:r>
          </w:p>
        </w:tc>
        <w:tc>
          <w:tcPr>
            <w:tcW w:type="dxa" w:w="1656"/>
          </w:tcPr>
          <w:p>
            <w:pPr>
              <w:spacing w:after="20"/>
              <w:jc w:val="right"/>
            </w:pPr>
            <w:r>
              <w:rPr>
                <w:color w:val="1C3A36"/>
                <w:sz w:val="17"/>
              </w:rPr>
              <w:t>16,202</w:t>
            </w:r>
          </w:p>
        </w:tc>
      </w:tr>
      <w:tr>
        <w:trPr>
          <w:cantSplit/>
        </w:trPr>
        <w:tc>
          <w:tcPr>
            <w:tcW w:type="dxa" w:w="7416"/>
          </w:tcPr>
          <w:p>
            <w:pPr>
              <w:spacing w:after="20"/>
            </w:pPr>
            <w:r>
              <w:rPr>
                <w:color w:val="1C3A36"/>
                <w:sz w:val="17"/>
              </w:rPr>
              <w:t>Terminal NOPAT</w:t>
            </w:r>
          </w:p>
        </w:tc>
        <w:tc>
          <w:tcPr>
            <w:tcW w:type="dxa" w:w="1656"/>
          </w:tcPr>
          <w:p>
            <w:pPr>
              <w:spacing w:after="20"/>
              <w:jc w:val="right"/>
            </w:pPr>
            <w:r>
              <w:rPr>
                <w:color w:val="1C3A36"/>
                <w:sz w:val="17"/>
              </w:rPr>
              <w:t>4,364</w:t>
            </w:r>
          </w:p>
        </w:tc>
      </w:tr>
      <w:tr>
        <w:trPr>
          <w:cantSplit/>
        </w:trPr>
        <w:tc>
          <w:tcPr>
            <w:tcW w:type="dxa" w:w="7416"/>
          </w:tcPr>
          <w:p>
            <w:pPr>
              <w:spacing w:after="20"/>
            </w:pPr>
            <w:r>
              <w:rPr>
                <w:color w:val="1C3A36"/>
                <w:sz w:val="17"/>
              </w:rPr>
              <w:t>Less terminal reinvestment at growth ÷ return on capital = 1.5% ÷ 25% = 6.0%</w:t>
            </w:r>
          </w:p>
        </w:tc>
        <w:tc>
          <w:tcPr>
            <w:tcW w:type="dxa" w:w="1656"/>
          </w:tcPr>
          <w:p>
            <w:pPr>
              <w:spacing w:after="20"/>
              <w:jc w:val="right"/>
            </w:pPr>
            <w:r>
              <w:rPr>
                <w:color w:val="1C3A36"/>
                <w:sz w:val="17"/>
              </w:rPr>
              <w:t>(262)</w:t>
            </w:r>
          </w:p>
        </w:tc>
      </w:tr>
      <w:tr>
        <w:trPr>
          <w:cantSplit/>
        </w:trPr>
        <w:tc>
          <w:tcPr>
            <w:tcW w:type="dxa" w:w="7416"/>
          </w:tcPr>
          <w:p>
            <w:pPr>
              <w:spacing w:after="20"/>
            </w:pPr>
            <w:r>
              <w:rPr>
                <w:color w:val="1C3A36"/>
                <w:sz w:val="17"/>
              </w:rPr>
              <w:t>Terminal free cash flow</w:t>
            </w:r>
          </w:p>
        </w:tc>
        <w:tc>
          <w:tcPr>
            <w:tcW w:type="dxa" w:w="1656"/>
          </w:tcPr>
          <w:p>
            <w:pPr>
              <w:spacing w:after="20"/>
              <w:jc w:val="right"/>
            </w:pPr>
            <w:r>
              <w:rPr>
                <w:color w:val="1C3A36"/>
                <w:sz w:val="17"/>
              </w:rPr>
              <w:t>4,102</w:t>
            </w:r>
          </w:p>
        </w:tc>
      </w:tr>
      <w:tr>
        <w:trPr>
          <w:cantSplit/>
        </w:trPr>
        <w:tc>
          <w:tcPr>
            <w:tcW w:type="dxa" w:w="7416"/>
            <w:shd w:val="clear" w:color="auto" w:fill="F6F1E6"/>
          </w:tcPr>
          <w:p>
            <w:pPr>
              <w:spacing w:after="20"/>
            </w:pPr>
            <w:r>
              <w:rPr>
                <w:b/>
                <w:color w:val="1C3A36"/>
                <w:sz w:val="17"/>
              </w:rPr>
              <w:t>Divided by (7.44% − 1.5%) = 5.94%</w:t>
            </w:r>
          </w:p>
        </w:tc>
        <w:tc>
          <w:tcPr>
            <w:tcW w:type="dxa" w:w="1656"/>
            <w:shd w:val="clear" w:color="auto" w:fill="F6F1E6"/>
          </w:tcPr>
          <w:p>
            <w:pPr>
              <w:spacing w:after="20"/>
              <w:jc w:val="right"/>
            </w:pPr>
            <w:r>
              <w:rPr>
                <w:b/>
                <w:color w:val="1C3A36"/>
                <w:sz w:val="17"/>
              </w:rPr>
              <w:t>69,105</w:t>
            </w:r>
          </w:p>
        </w:tc>
      </w:tr>
      <w:tr>
        <w:trPr>
          <w:cantSplit/>
        </w:trPr>
        <w:tc>
          <w:tcPr>
            <w:tcW w:type="dxa" w:w="7416"/>
          </w:tcPr>
          <w:p>
            <w:pPr>
              <w:spacing w:after="20"/>
            </w:pPr>
            <w:r>
              <w:rPr>
                <w:color w:val="1C3A36"/>
                <w:sz w:val="17"/>
              </w:rPr>
              <w:t>Discounted back at the terminal-year factor</w:t>
            </w:r>
          </w:p>
        </w:tc>
        <w:tc>
          <w:tcPr>
            <w:tcW w:type="dxa" w:w="1656"/>
          </w:tcPr>
          <w:p>
            <w:pPr>
              <w:spacing w:after="20"/>
              <w:jc w:val="right"/>
            </w:pPr>
            <w:r>
              <w:rPr>
                <w:color w:val="1C3A36"/>
                <w:sz w:val="17"/>
              </w:rPr>
              <w:t>48,280</w:t>
            </w:r>
          </w:p>
        </w:tc>
      </w:tr>
      <w:tr>
        <w:trPr>
          <w:cantSplit/>
        </w:trPr>
        <w:tc>
          <w:tcPr>
            <w:tcW w:type="dxa" w:w="7416"/>
          </w:tcPr>
          <w:p>
            <w:pPr>
              <w:spacing w:after="20"/>
            </w:pPr>
            <w:r>
              <w:rPr>
                <w:color w:val="1C3A36"/>
                <w:sz w:val="17"/>
              </w:rPr>
              <w:t>ENTERPRISE VALUE</w:t>
            </w:r>
          </w:p>
        </w:tc>
        <w:tc>
          <w:tcPr>
            <w:tcW w:type="dxa" w:w="1656"/>
          </w:tcPr>
          <w:p>
            <w:pPr>
              <w:spacing w:after="20"/>
              <w:jc w:val="right"/>
            </w:pPr>
            <w:r>
              <w:rPr>
                <w:color w:val="1C3A36"/>
                <w:sz w:val="17"/>
              </w:rPr>
              <w:t>64,482</w:t>
            </w:r>
          </w:p>
        </w:tc>
      </w:tr>
      <w:tr>
        <w:trPr>
          <w:cantSplit/>
        </w:trPr>
        <w:tc>
          <w:tcPr>
            <w:tcW w:type="dxa" w:w="7416"/>
            <w:shd w:val="clear" w:color="auto" w:fill="F6F1E6"/>
          </w:tcPr>
          <w:p>
            <w:pPr>
              <w:spacing w:after="20"/>
            </w:pPr>
            <w:r>
              <w:rPr>
                <w:b/>
                <w:color w:val="1C3A36"/>
                <w:sz w:val="17"/>
              </w:rPr>
              <w:t>Less net debt, leases and minorities</w:t>
            </w:r>
          </w:p>
        </w:tc>
        <w:tc>
          <w:tcPr>
            <w:tcW w:type="dxa" w:w="1656"/>
            <w:shd w:val="clear" w:color="auto" w:fill="F6F1E6"/>
          </w:tcPr>
          <w:p>
            <w:pPr>
              <w:spacing w:after="20"/>
              <w:jc w:val="right"/>
            </w:pPr>
            <w:r>
              <w:rPr>
                <w:b/>
                <w:color w:val="1C3A36"/>
                <w:sz w:val="17"/>
              </w:rPr>
              <w:t>(4,662)</w:t>
            </w:r>
          </w:p>
        </w:tc>
      </w:tr>
      <w:tr>
        <w:trPr>
          <w:cantSplit/>
        </w:trPr>
        <w:tc>
          <w:tcPr>
            <w:tcW w:type="dxa" w:w="7416"/>
            <w:shd w:val="clear" w:color="auto" w:fill="F6F1E6"/>
          </w:tcPr>
          <w:p>
            <w:pPr>
              <w:spacing w:after="20"/>
            </w:pPr>
            <w:r>
              <w:rPr>
                <w:b/>
                <w:color w:val="1C3A36"/>
                <w:sz w:val="17"/>
              </w:rPr>
              <w:t>Equity value</w:t>
            </w:r>
          </w:p>
        </w:tc>
        <w:tc>
          <w:tcPr>
            <w:tcW w:type="dxa" w:w="1656"/>
            <w:shd w:val="clear" w:color="auto" w:fill="F6F1E6"/>
          </w:tcPr>
          <w:p>
            <w:pPr>
              <w:spacing w:after="20"/>
              <w:jc w:val="right"/>
            </w:pPr>
            <w:r>
              <w:rPr>
                <w:b/>
                <w:color w:val="1C3A36"/>
                <w:sz w:val="17"/>
              </w:rPr>
              <w:t>59,820</w:t>
            </w:r>
          </w:p>
        </w:tc>
      </w:tr>
      <w:tr>
        <w:trPr>
          <w:cantSplit/>
        </w:trPr>
        <w:tc>
          <w:tcPr>
            <w:tcW w:type="dxa" w:w="7416"/>
          </w:tcPr>
          <w:p>
            <w:pPr>
              <w:spacing w:after="20"/>
            </w:pPr>
            <w:r>
              <w:rPr>
                <w:color w:val="1C3A36"/>
                <w:sz w:val="17"/>
              </w:rPr>
              <w:t>VALUE PER SHARE (AED)</w:t>
            </w:r>
          </w:p>
        </w:tc>
        <w:tc>
          <w:tcPr>
            <w:tcW w:type="dxa" w:w="1656"/>
          </w:tcPr>
          <w:p>
            <w:pPr>
              <w:spacing w:after="20"/>
              <w:jc w:val="right"/>
            </w:pPr>
            <w:r>
              <w:rPr>
                <w:color w:val="1C3A36"/>
                <w:sz w:val="17"/>
              </w:rPr>
              <w:t>4.79</w:t>
            </w:r>
          </w:p>
        </w:tc>
      </w:tr>
      <w:tr>
        <w:trPr>
          <w:cantSplit/>
        </w:trPr>
        <w:tc>
          <w:tcPr>
            <w:tcW w:type="dxa" w:w="7416"/>
          </w:tcPr>
          <w:p>
            <w:pPr>
              <w:spacing w:after="20"/>
            </w:pPr>
            <w:r>
              <w:rPr>
                <w:color w:val="1C3A36"/>
                <w:sz w:val="17"/>
              </w:rPr>
              <w:t>The same working on Frame B (AED)</w:t>
            </w:r>
          </w:p>
        </w:tc>
        <w:tc>
          <w:tcPr>
            <w:tcW w:type="dxa" w:w="1656"/>
          </w:tcPr>
          <w:p>
            <w:pPr>
              <w:spacing w:after="20"/>
              <w:jc w:val="right"/>
            </w:pPr>
            <w:r>
              <w:rPr>
                <w:color w:val="1C3A36"/>
                <w:sz w:val="17"/>
              </w:rPr>
              <w:t>5.10</w:t>
            </w:r>
          </w:p>
        </w:tc>
      </w:tr>
    </w:tbl>
    <w:p>
      <w:pPr>
        <w:spacing w:after="40"/>
      </w:pPr>
    </w:p>
    <w:p>
      <w:pPr>
        <w:spacing w:after="120" w:before="0"/>
      </w:pPr>
      <w:r>
        <w:rPr>
          <w:b w:val="0"/>
          <w:i w:val="0"/>
          <w:color w:val="1C3A36"/>
          <w:sz w:val="21"/>
        </w:rPr>
        <w:t>Named sensitivity: the terminal discount rate, and it is not close. Every fifty basis points on it is worth roughly AED 0.36 a share — moving from 7.44% to 8.44% takes the answer from AED 4.79 to AED 4.12, below the traded price. At 74.9% terminal weight this expert is mostly forecasting one number, and says so.</w:t>
      </w:r>
    </w:p>
    <w:p>
      <w:pPr>
        <w:spacing w:after="120" w:before="0"/>
      </w:pPr>
      <w:r>
        <w:rPr>
          <w:b w:val="0"/>
          <w:i w:val="0"/>
          <w:color w:val="1C3A36"/>
          <w:sz w:val="21"/>
        </w:rPr>
        <w:t>Falsifier, stated in advance: "If total fuel volume in FY2027 comes in below 15,432 million litres — three per cent below my forecast of 15,909 million — then the volume path underneath my whole build is wrong, and so is the terminal that grows out of it. I would not adjust; I would rebuild."</w:t>
      </w:r>
    </w:p>
    <w:p>
      <w:pPr>
        <w:spacing w:after="80" w:before="200"/>
      </w:pPr>
      <w:r>
        <w:rPr>
          <w:b/>
          <w:i w:val="0"/>
          <w:color w:val="1C3A36"/>
          <w:sz w:val="24"/>
        </w:rPr>
        <w:t>C.2 Expert 2 — the asset-and-return analyst</w:t>
      </w:r>
    </w:p>
    <w:p>
      <w:pPr>
        <w:spacing w:after="120" w:before="0"/>
      </w:pPr>
      <w:r>
        <w:rPr>
          <w:b w:val="0"/>
          <w:i w:val="0"/>
          <w:color w:val="1C3A36"/>
          <w:sz w:val="21"/>
        </w:rPr>
        <w:t>Worldview: forecasts are opinions and the balance sheet is a fact. Start from what the company owns, ask what return it earns on it, and pay the multiple of book that the return justifies. Never pay for growth that has not yet been earned.</w:t>
      </w:r>
    </w:p>
    <w:p>
      <w:pPr>
        <w:spacing w:after="120" w:before="0"/>
      </w:pPr>
      <w:r>
        <w:rPr>
          <w:b w:val="0"/>
          <w:i w:val="0"/>
          <w:color w:val="1C3A36"/>
          <w:sz w:val="21"/>
        </w:rPr>
        <w:t>When it works: for asset-heavy businesses in markets where forecasting is genuinely hard — and a network of 1,045 service stations on freehold and leasehold land is as asset-heavy as retail gets. When it fails: when the equity base is small relative to the earnings it supports, which makes the return look extraordinary and the justified multiple explosive. That is exactly the condition here, and it is why this expert's number should be read as a floor rather than a valuation.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416"/>
        <w:gridCol w:w="1656"/>
      </w:tblGrid>
      <w:tr>
        <w:trPr>
          <w:cantSplit/>
        </w:trPr>
        <w:tc>
          <w:tcPr>
            <w:tcW w:type="dxa" w:w="7416"/>
            <w:shd w:val="clear" w:color="auto" w:fill="EAF0EE"/>
          </w:tcPr>
          <w:p>
            <w:pPr>
              <w:spacing w:after="20"/>
            </w:pPr>
            <w:r>
              <w:rPr>
                <w:b/>
                <w:color w:val="1C3A36"/>
                <w:sz w:val="17"/>
              </w:rPr>
              <w:t>Working</w:t>
            </w:r>
          </w:p>
        </w:tc>
        <w:tc>
          <w:tcPr>
            <w:tcW w:type="dxa" w:w="1656"/>
            <w:shd w:val="clear" w:color="auto" w:fill="EAF0EE"/>
          </w:tcPr>
          <w:p>
            <w:pPr>
              <w:spacing w:after="20"/>
            </w:pPr>
            <w:r>
              <w:rPr>
                <w:b/>
                <w:color w:val="1C3A36"/>
                <w:sz w:val="17"/>
              </w:rPr>
              <w:t>Value</w:t>
            </w:r>
          </w:p>
        </w:tc>
      </w:tr>
      <w:tr>
        <w:trPr>
          <w:cantSplit/>
        </w:trPr>
        <w:tc>
          <w:tcPr>
            <w:tcW w:type="dxa" w:w="7416"/>
          </w:tcPr>
          <w:p>
            <w:pPr>
              <w:spacing w:after="20"/>
            </w:pPr>
            <w:r>
              <w:rPr>
                <w:color w:val="1C3A36"/>
                <w:sz w:val="17"/>
              </w:rPr>
              <w:t>Equity attributable to shareholders (AED m)</w:t>
            </w:r>
          </w:p>
        </w:tc>
        <w:tc>
          <w:tcPr>
            <w:tcW w:type="dxa" w:w="1656"/>
          </w:tcPr>
          <w:p>
            <w:pPr>
              <w:spacing w:after="20"/>
              <w:jc w:val="right"/>
            </w:pPr>
            <w:r>
              <w:rPr>
                <w:color w:val="1C3A36"/>
                <w:sz w:val="17"/>
              </w:rPr>
              <w:t>3,230</w:t>
            </w:r>
          </w:p>
        </w:tc>
      </w:tr>
      <w:tr>
        <w:trPr>
          <w:cantSplit/>
        </w:trPr>
        <w:tc>
          <w:tcPr>
            <w:tcW w:type="dxa" w:w="7416"/>
          </w:tcPr>
          <w:p>
            <w:pPr>
              <w:spacing w:after="20"/>
            </w:pPr>
            <w:r>
              <w:rPr>
                <w:color w:val="1C3A36"/>
                <w:sz w:val="17"/>
              </w:rPr>
              <w:t>Shares in issue (millions)</w:t>
            </w:r>
          </w:p>
        </w:tc>
        <w:tc>
          <w:tcPr>
            <w:tcW w:type="dxa" w:w="1656"/>
          </w:tcPr>
          <w:p>
            <w:pPr>
              <w:spacing w:after="20"/>
              <w:jc w:val="right"/>
            </w:pPr>
            <w:r>
              <w:rPr>
                <w:color w:val="1C3A36"/>
                <w:sz w:val="17"/>
              </w:rPr>
              <w:t>12,500</w:t>
            </w:r>
          </w:p>
        </w:tc>
      </w:tr>
      <w:tr>
        <w:trPr>
          <w:cantSplit/>
        </w:trPr>
        <w:tc>
          <w:tcPr>
            <w:tcW w:type="dxa" w:w="7416"/>
          </w:tcPr>
          <w:p>
            <w:pPr>
              <w:spacing w:after="20"/>
            </w:pPr>
            <w:r>
              <w:rPr>
                <w:color w:val="1C3A36"/>
                <w:sz w:val="17"/>
              </w:rPr>
              <w:t>Book value per share (AED)</w:t>
            </w:r>
          </w:p>
        </w:tc>
        <w:tc>
          <w:tcPr>
            <w:tcW w:type="dxa" w:w="1656"/>
          </w:tcPr>
          <w:p>
            <w:pPr>
              <w:spacing w:after="20"/>
              <w:jc w:val="right"/>
            </w:pPr>
            <w:r>
              <w:rPr>
                <w:color w:val="1C3A36"/>
                <w:sz w:val="17"/>
              </w:rPr>
              <w:t>0.26</w:t>
            </w:r>
          </w:p>
        </w:tc>
      </w:tr>
      <w:tr>
        <w:trPr>
          <w:cantSplit/>
        </w:trPr>
        <w:tc>
          <w:tcPr>
            <w:tcW w:type="dxa" w:w="7416"/>
          </w:tcPr>
          <w:p>
            <w:pPr>
              <w:spacing w:after="20"/>
            </w:pPr>
            <w:r>
              <w:rPr>
                <w:color w:val="1C3A36"/>
                <w:sz w:val="17"/>
              </w:rPr>
              <w:t>Return on equity, FY2023</w:t>
            </w:r>
          </w:p>
        </w:tc>
        <w:tc>
          <w:tcPr>
            <w:tcW w:type="dxa" w:w="1656"/>
          </w:tcPr>
          <w:p>
            <w:pPr>
              <w:spacing w:after="20"/>
              <w:jc w:val="right"/>
            </w:pPr>
            <w:r>
              <w:rPr>
                <w:color w:val="1C3A36"/>
                <w:sz w:val="17"/>
              </w:rPr>
              <w:t>74.9%</w:t>
            </w:r>
          </w:p>
        </w:tc>
      </w:tr>
      <w:tr>
        <w:trPr>
          <w:cantSplit/>
        </w:trPr>
        <w:tc>
          <w:tcPr>
            <w:tcW w:type="dxa" w:w="7416"/>
          </w:tcPr>
          <w:p>
            <w:pPr>
              <w:spacing w:after="20"/>
            </w:pPr>
            <w:r>
              <w:rPr>
                <w:color w:val="1C3A36"/>
                <w:sz w:val="17"/>
              </w:rPr>
              <w:t>Return on equity, FY2024</w:t>
            </w:r>
          </w:p>
        </w:tc>
        <w:tc>
          <w:tcPr>
            <w:tcW w:type="dxa" w:w="1656"/>
          </w:tcPr>
          <w:p>
            <w:pPr>
              <w:spacing w:after="20"/>
              <w:jc w:val="right"/>
            </w:pPr>
            <w:r>
              <w:rPr>
                <w:color w:val="1C3A36"/>
                <w:sz w:val="17"/>
              </w:rPr>
              <w:t>80.9%</w:t>
            </w:r>
          </w:p>
        </w:tc>
      </w:tr>
      <w:tr>
        <w:trPr>
          <w:cantSplit/>
        </w:trPr>
        <w:tc>
          <w:tcPr>
            <w:tcW w:type="dxa" w:w="7416"/>
          </w:tcPr>
          <w:p>
            <w:pPr>
              <w:spacing w:after="20"/>
            </w:pPr>
            <w:r>
              <w:rPr>
                <w:color w:val="1C3A36"/>
                <w:sz w:val="17"/>
              </w:rPr>
              <w:t>Return on equity, FY2025</w:t>
            </w:r>
          </w:p>
        </w:tc>
        <w:tc>
          <w:tcPr>
            <w:tcW w:type="dxa" w:w="1656"/>
          </w:tcPr>
          <w:p>
            <w:pPr>
              <w:spacing w:after="20"/>
              <w:jc w:val="right"/>
            </w:pPr>
            <w:r>
              <w:rPr>
                <w:color w:val="1C3A36"/>
                <w:sz w:val="17"/>
              </w:rPr>
              <w:t>86.5%</w:t>
            </w:r>
          </w:p>
        </w:tc>
      </w:tr>
      <w:tr>
        <w:trPr>
          <w:cantSplit/>
        </w:trPr>
        <w:tc>
          <w:tcPr>
            <w:tcW w:type="dxa" w:w="7416"/>
          </w:tcPr>
          <w:p>
            <w:pPr>
              <w:spacing w:after="20"/>
            </w:pPr>
            <w:r>
              <w:rPr>
                <w:color w:val="1C3A36"/>
                <w:sz w:val="17"/>
              </w:rPr>
              <w:t>Sustainable return — the three-year mean</w:t>
            </w:r>
          </w:p>
        </w:tc>
        <w:tc>
          <w:tcPr>
            <w:tcW w:type="dxa" w:w="1656"/>
          </w:tcPr>
          <w:p>
            <w:pPr>
              <w:spacing w:after="20"/>
              <w:jc w:val="right"/>
            </w:pPr>
            <w:r>
              <w:rPr>
                <w:color w:val="1C3A36"/>
                <w:sz w:val="17"/>
              </w:rPr>
              <w:t>80.8%</w:t>
            </w:r>
          </w:p>
        </w:tc>
      </w:tr>
      <w:tr>
        <w:trPr>
          <w:cantSplit/>
        </w:trPr>
        <w:tc>
          <w:tcPr>
            <w:tcW w:type="dxa" w:w="7416"/>
          </w:tcPr>
          <w:p>
            <w:pPr>
              <w:spacing w:after="20"/>
            </w:pPr>
            <w:r>
              <w:rPr>
                <w:color w:val="1C3A36"/>
                <w:sz w:val="17"/>
              </w:rPr>
              <w:t>Cost of equity</w:t>
            </w:r>
          </w:p>
        </w:tc>
        <w:tc>
          <w:tcPr>
            <w:tcW w:type="dxa" w:w="1656"/>
          </w:tcPr>
          <w:p>
            <w:pPr>
              <w:spacing w:after="20"/>
              <w:jc w:val="right"/>
            </w:pPr>
            <w:r>
              <w:rPr>
                <w:color w:val="1C3A36"/>
                <w:sz w:val="17"/>
              </w:rPr>
              <w:t>7.60%</w:t>
            </w:r>
          </w:p>
        </w:tc>
      </w:tr>
      <w:tr>
        <w:trPr>
          <w:cantSplit/>
        </w:trPr>
        <w:tc>
          <w:tcPr>
            <w:tcW w:type="dxa" w:w="7416"/>
          </w:tcPr>
          <w:p>
            <w:pPr>
              <w:spacing w:after="20"/>
            </w:pPr>
            <w:r>
              <w:rPr>
                <w:color w:val="1C3A36"/>
                <w:sz w:val="17"/>
              </w:rPr>
              <w:t>Long-run growth</w:t>
            </w:r>
          </w:p>
        </w:tc>
        <w:tc>
          <w:tcPr>
            <w:tcW w:type="dxa" w:w="1656"/>
          </w:tcPr>
          <w:p>
            <w:pPr>
              <w:spacing w:after="20"/>
              <w:jc w:val="right"/>
            </w:pPr>
            <w:r>
              <w:rPr>
                <w:color w:val="1C3A36"/>
                <w:sz w:val="17"/>
              </w:rPr>
              <w:t>1.5%</w:t>
            </w:r>
          </w:p>
        </w:tc>
      </w:tr>
      <w:tr>
        <w:trPr>
          <w:cantSplit/>
        </w:trPr>
        <w:tc>
          <w:tcPr>
            <w:tcW w:type="dxa" w:w="7416"/>
          </w:tcPr>
          <w:p>
            <w:pPr>
              <w:spacing w:after="20"/>
            </w:pPr>
            <w:r>
              <w:rPr>
                <w:color w:val="1C3A36"/>
                <w:sz w:val="17"/>
              </w:rPr>
              <w:t>Numerator: return less growth</w:t>
            </w:r>
          </w:p>
        </w:tc>
        <w:tc>
          <w:tcPr>
            <w:tcW w:type="dxa" w:w="1656"/>
          </w:tcPr>
          <w:p>
            <w:pPr>
              <w:spacing w:after="20"/>
              <w:jc w:val="right"/>
            </w:pPr>
            <w:r>
              <w:rPr>
                <w:color w:val="1C3A36"/>
                <w:sz w:val="17"/>
              </w:rPr>
              <w:t>79.27%</w:t>
            </w:r>
          </w:p>
        </w:tc>
      </w:tr>
      <w:tr>
        <w:trPr>
          <w:cantSplit/>
        </w:trPr>
        <w:tc>
          <w:tcPr>
            <w:tcW w:type="dxa" w:w="7416"/>
          </w:tcPr>
          <w:p>
            <w:pPr>
              <w:spacing w:after="20"/>
            </w:pPr>
            <w:r>
              <w:rPr>
                <w:color w:val="1C3A36"/>
                <w:sz w:val="17"/>
              </w:rPr>
              <w:t>Denominator: cost of equity less growth</w:t>
            </w:r>
          </w:p>
        </w:tc>
        <w:tc>
          <w:tcPr>
            <w:tcW w:type="dxa" w:w="1656"/>
          </w:tcPr>
          <w:p>
            <w:pPr>
              <w:spacing w:after="20"/>
              <w:jc w:val="right"/>
            </w:pPr>
            <w:r>
              <w:rPr>
                <w:color w:val="1C3A36"/>
                <w:sz w:val="17"/>
              </w:rPr>
              <w:t>6.10%</w:t>
            </w:r>
          </w:p>
        </w:tc>
      </w:tr>
      <w:tr>
        <w:trPr>
          <w:cantSplit/>
        </w:trPr>
        <w:tc>
          <w:tcPr>
            <w:tcW w:type="dxa" w:w="7416"/>
          </w:tcPr>
          <w:p>
            <w:pPr>
              <w:spacing w:after="20"/>
            </w:pPr>
            <w:r>
              <w:rPr>
                <w:color w:val="1C3A36"/>
                <w:sz w:val="17"/>
              </w:rPr>
              <w:t>Justified multiple of book</w:t>
            </w:r>
          </w:p>
        </w:tc>
        <w:tc>
          <w:tcPr>
            <w:tcW w:type="dxa" w:w="1656"/>
          </w:tcPr>
          <w:p>
            <w:pPr>
              <w:spacing w:after="20"/>
              <w:jc w:val="right"/>
            </w:pPr>
            <w:r>
              <w:rPr>
                <w:color w:val="1C3A36"/>
                <w:sz w:val="17"/>
              </w:rPr>
              <w:t>13.0x</w:t>
            </w:r>
          </w:p>
        </w:tc>
      </w:tr>
      <w:tr>
        <w:trPr>
          <w:cantSplit/>
        </w:trPr>
        <w:tc>
          <w:tcPr>
            <w:tcW w:type="dxa" w:w="7416"/>
            <w:shd w:val="clear" w:color="auto" w:fill="F6F1E6"/>
          </w:tcPr>
          <w:p>
            <w:pPr>
              <w:spacing w:after="20"/>
            </w:pPr>
            <w:r>
              <w:rPr>
                <w:b/>
                <w:color w:val="1C3A36"/>
                <w:sz w:val="17"/>
              </w:rPr>
              <w:t>VALUE PER SHARE (AED)</w:t>
            </w:r>
          </w:p>
        </w:tc>
        <w:tc>
          <w:tcPr>
            <w:tcW w:type="dxa" w:w="1656"/>
            <w:shd w:val="clear" w:color="auto" w:fill="F6F1E6"/>
          </w:tcPr>
          <w:p>
            <w:pPr>
              <w:spacing w:after="20"/>
              <w:jc w:val="right"/>
            </w:pPr>
            <w:r>
              <w:rPr>
                <w:b/>
                <w:color w:val="1C3A36"/>
                <w:sz w:val="17"/>
              </w:rPr>
              <w:t>3.36</w:t>
            </w:r>
          </w:p>
        </w:tc>
      </w:tr>
      <w:tr>
        <w:trPr>
          <w:cantSplit/>
        </w:trPr>
        <w:tc>
          <w:tcPr>
            <w:tcW w:type="dxa" w:w="7416"/>
            <w:shd w:val="clear" w:color="auto" w:fill="F6F1E6"/>
          </w:tcPr>
          <w:p>
            <w:pPr>
              <w:spacing w:after="20"/>
            </w:pPr>
            <w:r>
              <w:rPr>
                <w:b/>
                <w:color w:val="1C3A36"/>
                <w:sz w:val="17"/>
              </w:rPr>
              <w:t>Cross-check: return on capital employed, FY2025</w:t>
            </w:r>
          </w:p>
        </w:tc>
        <w:tc>
          <w:tcPr>
            <w:tcW w:type="dxa" w:w="1656"/>
            <w:shd w:val="clear" w:color="auto" w:fill="F6F1E6"/>
          </w:tcPr>
          <w:p>
            <w:pPr>
              <w:spacing w:after="20"/>
              <w:jc w:val="right"/>
            </w:pPr>
            <w:r>
              <w:rPr>
                <w:b/>
                <w:color w:val="1C3A36"/>
                <w:sz w:val="17"/>
              </w:rPr>
              <w:t>54.4%</w:t>
            </w:r>
          </w:p>
        </w:tc>
      </w:tr>
      <w:tr>
        <w:trPr>
          <w:cantSplit/>
        </w:trPr>
        <w:tc>
          <w:tcPr>
            <w:tcW w:type="dxa" w:w="7416"/>
          </w:tcPr>
          <w:p>
            <w:pPr>
              <w:spacing w:after="20"/>
            </w:pPr>
            <w:r>
              <w:rPr>
                <w:color w:val="1C3A36"/>
                <w:sz w:val="17"/>
              </w:rPr>
              <w:t>Cross-check: the traded price as a multiple of book</w:t>
            </w:r>
          </w:p>
        </w:tc>
        <w:tc>
          <w:tcPr>
            <w:tcW w:type="dxa" w:w="1656"/>
          </w:tcPr>
          <w:p>
            <w:pPr>
              <w:spacing w:after="20"/>
              <w:jc w:val="right"/>
            </w:pPr>
            <w:r>
              <w:rPr>
                <w:color w:val="1C3A36"/>
                <w:sz w:val="17"/>
              </w:rPr>
              <w:t>15.6x</w:t>
            </w:r>
          </w:p>
        </w:tc>
      </w:tr>
    </w:tbl>
    <w:p>
      <w:pPr>
        <w:spacing w:after="40"/>
      </w:pPr>
    </w:p>
    <w:p>
      <w:pPr>
        <w:spacing w:after="120" w:before="0"/>
      </w:pPr>
      <w:r>
        <w:rPr>
          <w:b w:val="0"/>
          <w:i w:val="0"/>
          <w:color w:val="1C3A36"/>
          <w:sz w:val="21"/>
        </w:rPr>
        <w:t>Named sensitivity: the sustainable return. If it settles at the FY2023 reading of 74.9% rather than the three-year mean of 80.8%, the justified multiple falls from 13.0 to 12.0 times and the value from AED 3.36 to AED 3.11 a share — below the traded price. This lens is extremely sensitive to a number that has moved 11.6% across three years.</w:t>
      </w:r>
    </w:p>
    <w:p>
      <w:pPr>
        <w:spacing w:after="120" w:before="0"/>
      </w:pPr>
      <w:r>
        <w:rPr>
          <w:b w:val="0"/>
          <w:i w:val="0"/>
          <w:color w:val="1C3A36"/>
          <w:sz w:val="21"/>
        </w:rPr>
        <w:t>Falsifier: "If book equity per share rises above AED 0.52 — double today's — because the board retains earnings instead of distributing them, my return collapses arithmetically on an unchanged business and my method is measuring payout policy rather than performance. I would abandon the lens rather than defend it."</w:t>
      </w:r>
    </w:p>
    <w:p>
      <w:pPr>
        <w:spacing w:after="120" w:before="0"/>
      </w:pPr>
      <w:r>
        <w:rPr>
          <w:b w:val="0"/>
          <w:i w:val="0"/>
          <w:color w:val="1C3A36"/>
          <w:sz w:val="21"/>
        </w:rPr>
        <w:t>This expert adds one point the others miss. Return on capital employed — 54.4% in FY2025, rising in each of the three audited years — is immune to the payout objection, and it says this is a genuinely exceptional business earning roughly 7 times its cost of capital on the capital it actually employs. That is an argument for paying up. This expert declines to make it, because the method is a discipline against exactly that kind of reasoning.</w:t>
      </w:r>
    </w:p>
    <w:p>
      <w:pPr>
        <w:spacing w:after="80" w:before="200"/>
      </w:pPr>
      <w:r>
        <w:rPr>
          <w:b/>
          <w:i w:val="0"/>
          <w:color w:val="1C3A36"/>
          <w:sz w:val="24"/>
        </w:rPr>
        <w:t>C.3 Expert 3 — the market-implied analyst</w:t>
      </w:r>
    </w:p>
    <w:p>
      <w:pPr>
        <w:spacing w:after="120" w:before="0"/>
      </w:pPr>
      <w:r>
        <w:rPr>
          <w:b w:val="0"/>
          <w:i w:val="0"/>
          <w:color w:val="1C3A36"/>
          <w:sz w:val="21"/>
        </w:rPr>
        <w:t>Worldview: do not ask what a company is worth. Ask what the traded price already assumes, and then judge whether those assumptions are reasonable. It produces no independent value and is not meant to. It is a discipline against arguing with a price.</w:t>
      </w:r>
    </w:p>
    <w:p>
      <w:pPr>
        <w:spacing w:after="120" w:before="0"/>
      </w:pPr>
      <w:r>
        <w:rPr>
          <w:b w:val="0"/>
          <w:i w:val="0"/>
          <w:color w:val="1C3A36"/>
          <w:sz w:val="21"/>
        </w:rPr>
        <w:t>When it works: when a price and a model disagree and the question is which assumption is carrying the disagreement. When it fails: it can never tell a reader that a price is wrong — only what a reader is being asked to believe. It is also entirely dependent on the model it inverts: if the 74.9% terminal weight is a bad way to model this business, inverting it produces a precise answer to a badly posed question.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416"/>
        <w:gridCol w:w="1656"/>
      </w:tblGrid>
      <w:tr>
        <w:trPr>
          <w:cantSplit/>
        </w:trPr>
        <w:tc>
          <w:tcPr>
            <w:tcW w:type="dxa" w:w="7416"/>
            <w:shd w:val="clear" w:color="auto" w:fill="EAF0EE"/>
          </w:tcPr>
          <w:p>
            <w:pPr>
              <w:spacing w:after="20"/>
            </w:pPr>
            <w:r>
              <w:rPr>
                <w:b/>
                <w:color w:val="1C3A36"/>
                <w:sz w:val="17"/>
              </w:rPr>
              <w:t>What the traded price requires</w:t>
            </w:r>
          </w:p>
        </w:tc>
        <w:tc>
          <w:tcPr>
            <w:tcW w:type="dxa" w:w="1656"/>
            <w:shd w:val="clear" w:color="auto" w:fill="EAF0EE"/>
          </w:tcPr>
          <w:p>
            <w:pPr>
              <w:spacing w:after="20"/>
            </w:pPr>
            <w:r>
              <w:rPr>
                <w:b/>
                <w:color w:val="1C3A36"/>
                <w:sz w:val="17"/>
              </w:rPr>
              <w:t>Value</w:t>
            </w:r>
          </w:p>
        </w:tc>
      </w:tr>
      <w:tr>
        <w:trPr>
          <w:cantSplit/>
        </w:trPr>
        <w:tc>
          <w:tcPr>
            <w:tcW w:type="dxa" w:w="7416"/>
          </w:tcPr>
          <w:p>
            <w:pPr>
              <w:spacing w:after="20"/>
            </w:pPr>
            <w:r>
              <w:rPr>
                <w:color w:val="1C3A36"/>
                <w:sz w:val="17"/>
              </w:rPr>
              <w:t>Market price (AED)</w:t>
            </w:r>
          </w:p>
        </w:tc>
        <w:tc>
          <w:tcPr>
            <w:tcW w:type="dxa" w:w="1656"/>
          </w:tcPr>
          <w:p>
            <w:pPr>
              <w:spacing w:after="20"/>
              <w:jc w:val="right"/>
            </w:pPr>
            <w:r>
              <w:rPr>
                <w:color w:val="1C3A36"/>
                <w:sz w:val="17"/>
              </w:rPr>
              <w:t>4.02</w:t>
            </w:r>
          </w:p>
        </w:tc>
      </w:tr>
      <w:tr>
        <w:trPr>
          <w:cantSplit/>
        </w:trPr>
        <w:tc>
          <w:tcPr>
            <w:tcW w:type="dxa" w:w="7416"/>
          </w:tcPr>
          <w:p>
            <w:pPr>
              <w:spacing w:after="20"/>
            </w:pPr>
            <w:r>
              <w:rPr>
                <w:color w:val="1C3A36"/>
                <w:sz w:val="17"/>
              </w:rPr>
              <w:t>Value from the cash-flow model, Frame A (AED)</w:t>
            </w:r>
          </w:p>
        </w:tc>
        <w:tc>
          <w:tcPr>
            <w:tcW w:type="dxa" w:w="1656"/>
          </w:tcPr>
          <w:p>
            <w:pPr>
              <w:spacing w:after="20"/>
              <w:jc w:val="right"/>
            </w:pPr>
            <w:r>
              <w:rPr>
                <w:color w:val="1C3A36"/>
                <w:sz w:val="17"/>
              </w:rPr>
              <w:t>4.79</w:t>
            </w:r>
          </w:p>
        </w:tc>
      </w:tr>
      <w:tr>
        <w:trPr>
          <w:cantSplit/>
        </w:trPr>
        <w:tc>
          <w:tcPr>
            <w:tcW w:type="dxa" w:w="7416"/>
          </w:tcPr>
          <w:p>
            <w:pPr>
              <w:spacing w:after="20"/>
            </w:pPr>
            <w:r>
              <w:rPr>
                <w:color w:val="1C3A36"/>
                <w:sz w:val="17"/>
              </w:rPr>
              <w:t>Gap to be explained (AED a share)</w:t>
            </w:r>
          </w:p>
        </w:tc>
        <w:tc>
          <w:tcPr>
            <w:tcW w:type="dxa" w:w="1656"/>
          </w:tcPr>
          <w:p>
            <w:pPr>
              <w:spacing w:after="20"/>
              <w:jc w:val="right"/>
            </w:pPr>
            <w:r>
              <w:rPr>
                <w:color w:val="1C3A36"/>
                <w:sz w:val="17"/>
              </w:rPr>
              <w:t>0.77</w:t>
            </w:r>
          </w:p>
        </w:tc>
      </w:tr>
      <w:tr>
        <w:trPr>
          <w:cantSplit/>
        </w:trPr>
        <w:tc>
          <w:tcPr>
            <w:tcW w:type="dxa" w:w="7416"/>
          </w:tcPr>
          <w:p>
            <w:pPr>
              <w:spacing w:after="20"/>
            </w:pPr>
            <w:r>
              <w:rPr>
                <w:color w:val="1C3A36"/>
                <w:sz w:val="17"/>
              </w:rPr>
              <w:t>Equity value of that gap (AED m)</w:t>
            </w:r>
          </w:p>
        </w:tc>
        <w:tc>
          <w:tcPr>
            <w:tcW w:type="dxa" w:w="1656"/>
          </w:tcPr>
          <w:p>
            <w:pPr>
              <w:spacing w:after="20"/>
              <w:jc w:val="right"/>
            </w:pPr>
            <w:r>
              <w:rPr>
                <w:color w:val="1C3A36"/>
                <w:sz w:val="17"/>
              </w:rPr>
              <w:t>9,570</w:t>
            </w:r>
          </w:p>
        </w:tc>
      </w:tr>
      <w:tr>
        <w:trPr>
          <w:cantSplit/>
        </w:trPr>
        <w:tc>
          <w:tcPr>
            <w:tcW w:type="dxa" w:w="7416"/>
          </w:tcPr>
          <w:p>
            <w:pPr>
              <w:spacing w:after="20"/>
            </w:pPr>
            <w:r>
              <w:rPr>
                <w:color w:val="1C3A36"/>
                <w:sz w:val="17"/>
              </w:rPr>
              <w:t>EXPLANATION 1 — terminal growth. The model assumes</w:t>
            </w:r>
          </w:p>
        </w:tc>
        <w:tc>
          <w:tcPr>
            <w:tcW w:type="dxa" w:w="1656"/>
          </w:tcPr>
          <w:p>
            <w:pPr>
              <w:spacing w:after="20"/>
              <w:jc w:val="right"/>
            </w:pPr>
            <w:r>
              <w:rPr>
                <w:color w:val="1C3A36"/>
                <w:sz w:val="17"/>
              </w:rPr>
              <w:t>1.50%</w:t>
            </w:r>
          </w:p>
        </w:tc>
      </w:tr>
      <w:tr>
        <w:trPr>
          <w:cantSplit/>
        </w:trPr>
        <w:tc>
          <w:tcPr>
            <w:tcW w:type="dxa" w:w="7416"/>
            <w:shd w:val="clear" w:color="auto" w:fill="F6F1E6"/>
          </w:tcPr>
          <w:p>
            <w:pPr>
              <w:spacing w:after="20"/>
            </w:pPr>
            <w:r>
              <w:rPr>
                <w:b/>
                <w:color w:val="1C3A36"/>
                <w:sz w:val="17"/>
              </w:rPr>
              <w:t xml:space="preserve">   the price requires</w:t>
            </w:r>
          </w:p>
        </w:tc>
        <w:tc>
          <w:tcPr>
            <w:tcW w:type="dxa" w:w="1656"/>
            <w:shd w:val="clear" w:color="auto" w:fill="F6F1E6"/>
          </w:tcPr>
          <w:p>
            <w:pPr>
              <w:spacing w:after="20"/>
              <w:jc w:val="right"/>
            </w:pPr>
            <w:r>
              <w:rPr>
                <w:b/>
                <w:color w:val="1C3A36"/>
                <w:sz w:val="17"/>
              </w:rPr>
              <w:t>-0.42%</w:t>
            </w:r>
          </w:p>
        </w:tc>
      </w:tr>
      <w:tr>
        <w:trPr>
          <w:cantSplit/>
        </w:trPr>
        <w:tc>
          <w:tcPr>
            <w:tcW w:type="dxa" w:w="7416"/>
          </w:tcPr>
          <w:p>
            <w:pPr>
              <w:spacing w:after="20"/>
            </w:pPr>
            <w:r>
              <w:rPr>
                <w:color w:val="1C3A36"/>
                <w:sz w:val="17"/>
              </w:rPr>
              <w:t xml:space="preserve">   which in the first year is a volume loss of</w:t>
            </w:r>
          </w:p>
        </w:tc>
        <w:tc>
          <w:tcPr>
            <w:tcW w:type="dxa" w:w="1656"/>
          </w:tcPr>
          <w:p>
            <w:pPr>
              <w:spacing w:after="20"/>
              <w:jc w:val="right"/>
            </w:pPr>
            <w:r>
              <w:rPr>
                <w:color w:val="1C3A36"/>
                <w:sz w:val="17"/>
              </w:rPr>
              <w:t>46m litres</w:t>
            </w:r>
          </w:p>
        </w:tc>
      </w:tr>
      <w:tr>
        <w:trPr>
          <w:cantSplit/>
        </w:trPr>
        <w:tc>
          <w:tcPr>
            <w:tcW w:type="dxa" w:w="7416"/>
          </w:tcPr>
          <w:p>
            <w:pPr>
              <w:spacing w:after="20"/>
            </w:pPr>
            <w:r>
              <w:rPr>
                <w:color w:val="1C3A36"/>
                <w:sz w:val="17"/>
              </w:rPr>
              <w:t xml:space="preserve">   or, at the disclosed litres per transaction, fewer fills per year</w:t>
            </w:r>
          </w:p>
        </w:tc>
        <w:tc>
          <w:tcPr>
            <w:tcW w:type="dxa" w:w="1656"/>
          </w:tcPr>
          <w:p>
            <w:pPr>
              <w:spacing w:after="20"/>
              <w:jc w:val="right"/>
            </w:pPr>
            <w:r>
              <w:rPr>
                <w:color w:val="1C3A36"/>
                <w:sz w:val="17"/>
              </w:rPr>
              <w:t>0.9m</w:t>
            </w:r>
          </w:p>
        </w:tc>
      </w:tr>
      <w:tr>
        <w:trPr>
          <w:cantSplit/>
        </w:trPr>
        <w:tc>
          <w:tcPr>
            <w:tcW w:type="dxa" w:w="7416"/>
          </w:tcPr>
          <w:p>
            <w:pPr>
              <w:spacing w:after="20"/>
            </w:pPr>
            <w:r>
              <w:rPr>
                <w:color w:val="1C3A36"/>
                <w:sz w:val="17"/>
              </w:rPr>
              <w:t>EXPLANATION 2 — the terminal discount rate. The model assumes</w:t>
            </w:r>
          </w:p>
        </w:tc>
        <w:tc>
          <w:tcPr>
            <w:tcW w:type="dxa" w:w="1656"/>
          </w:tcPr>
          <w:p>
            <w:pPr>
              <w:spacing w:after="20"/>
              <w:jc w:val="right"/>
            </w:pPr>
            <w:r>
              <w:rPr>
                <w:color w:val="1C3A36"/>
                <w:sz w:val="17"/>
              </w:rPr>
              <w:t>7.44%</w:t>
            </w:r>
          </w:p>
        </w:tc>
      </w:tr>
      <w:tr>
        <w:trPr>
          <w:cantSplit/>
        </w:trPr>
        <w:tc>
          <w:tcPr>
            <w:tcW w:type="dxa" w:w="7416"/>
            <w:shd w:val="clear" w:color="auto" w:fill="F6F1E6"/>
          </w:tcPr>
          <w:p>
            <w:pPr>
              <w:spacing w:after="20"/>
            </w:pPr>
            <w:r>
              <w:rPr>
                <w:b/>
                <w:color w:val="1C3A36"/>
                <w:sz w:val="17"/>
              </w:rPr>
              <w:t xml:space="preserve">   the price requires</w:t>
            </w:r>
          </w:p>
        </w:tc>
        <w:tc>
          <w:tcPr>
            <w:tcW w:type="dxa" w:w="1656"/>
            <w:shd w:val="clear" w:color="auto" w:fill="F6F1E6"/>
          </w:tcPr>
          <w:p>
            <w:pPr>
              <w:spacing w:after="20"/>
              <w:jc w:val="right"/>
            </w:pPr>
            <w:r>
              <w:rPr>
                <w:b/>
                <w:color w:val="1C3A36"/>
                <w:sz w:val="17"/>
              </w:rPr>
              <w:t>8.62%</w:t>
            </w:r>
          </w:p>
        </w:tc>
      </w:tr>
      <w:tr>
        <w:trPr>
          <w:cantSplit/>
        </w:trPr>
        <w:tc>
          <w:tcPr>
            <w:tcW w:type="dxa" w:w="7416"/>
          </w:tcPr>
          <w:p>
            <w:pPr>
              <w:spacing w:after="20"/>
            </w:pPr>
            <w:r>
              <w:rPr>
                <w:color w:val="1C3A36"/>
                <w:sz w:val="17"/>
              </w:rPr>
              <w:t>EXPLANATION 3 — beta. The model assumes</w:t>
            </w:r>
          </w:p>
        </w:tc>
        <w:tc>
          <w:tcPr>
            <w:tcW w:type="dxa" w:w="1656"/>
          </w:tcPr>
          <w:p>
            <w:pPr>
              <w:spacing w:after="20"/>
              <w:jc w:val="right"/>
            </w:pPr>
            <w:r>
              <w:rPr>
                <w:color w:val="1C3A36"/>
                <w:sz w:val="17"/>
              </w:rPr>
              <w:t>0.65</w:t>
            </w:r>
          </w:p>
        </w:tc>
      </w:tr>
      <w:tr>
        <w:trPr>
          <w:cantSplit/>
        </w:trPr>
        <w:tc>
          <w:tcPr>
            <w:tcW w:type="dxa" w:w="7416"/>
            <w:shd w:val="clear" w:color="auto" w:fill="F6F1E6"/>
          </w:tcPr>
          <w:p>
            <w:pPr>
              <w:spacing w:after="20"/>
            </w:pPr>
            <w:r>
              <w:rPr>
                <w:b/>
                <w:color w:val="1C3A36"/>
                <w:sz w:val="17"/>
              </w:rPr>
              <w:t xml:space="preserve">   the price requires</w:t>
            </w:r>
          </w:p>
        </w:tc>
        <w:tc>
          <w:tcPr>
            <w:tcW w:type="dxa" w:w="1656"/>
            <w:shd w:val="clear" w:color="auto" w:fill="F6F1E6"/>
          </w:tcPr>
          <w:p>
            <w:pPr>
              <w:spacing w:after="20"/>
              <w:jc w:val="right"/>
            </w:pPr>
            <w:r>
              <w:rPr>
                <w:b/>
                <w:color w:val="1C3A36"/>
                <w:sz w:val="17"/>
              </w:rPr>
              <w:t>0.88</w:t>
            </w:r>
          </w:p>
        </w:tc>
      </w:tr>
      <w:tr>
        <w:trPr>
          <w:cantSplit/>
        </w:trPr>
        <w:tc>
          <w:tcPr>
            <w:tcW w:type="dxa" w:w="7416"/>
          </w:tcPr>
          <w:p>
            <w:pPr>
              <w:spacing w:after="20"/>
            </w:pPr>
            <w:r>
              <w:rPr>
                <w:color w:val="1C3A36"/>
                <w:sz w:val="17"/>
              </w:rPr>
              <w:t xml:space="preserve">   against the regression's own 90% upper bound of</w:t>
            </w:r>
          </w:p>
        </w:tc>
        <w:tc>
          <w:tcPr>
            <w:tcW w:type="dxa" w:w="1656"/>
          </w:tcPr>
          <w:p>
            <w:pPr>
              <w:spacing w:after="20"/>
              <w:jc w:val="right"/>
            </w:pPr>
            <w:r>
              <w:rPr>
                <w:color w:val="1C3A36"/>
                <w:sz w:val="17"/>
              </w:rPr>
              <w:t>0.79</w:t>
            </w:r>
          </w:p>
        </w:tc>
      </w:tr>
      <w:tr>
        <w:trPr>
          <w:cantSplit/>
        </w:trPr>
        <w:tc>
          <w:tcPr>
            <w:tcW w:type="dxa" w:w="7416"/>
          </w:tcPr>
          <w:p>
            <w:pPr>
              <w:spacing w:after="20"/>
            </w:pPr>
            <w:r>
              <w:rPr>
                <w:color w:val="1C3A36"/>
                <w:sz w:val="17"/>
              </w:rPr>
              <w:t>Value if any ONE of the three is true (AED)</w:t>
            </w:r>
          </w:p>
        </w:tc>
        <w:tc>
          <w:tcPr>
            <w:tcW w:type="dxa" w:w="1656"/>
          </w:tcPr>
          <w:p>
            <w:pPr>
              <w:spacing w:after="20"/>
              <w:jc w:val="right"/>
            </w:pPr>
            <w:r>
              <w:rPr>
                <w:color w:val="1C3A36"/>
                <w:sz w:val="17"/>
              </w:rPr>
              <w:t>4.02</w:t>
            </w:r>
          </w:p>
        </w:tc>
      </w:tr>
    </w:tbl>
    <w:p>
      <w:pPr>
        <w:spacing w:after="40"/>
      </w:pPr>
    </w:p>
    <w:p>
      <w:pPr>
        <w:spacing w:after="120" w:before="0"/>
      </w:pPr>
      <w:r>
        <w:rPr>
          <w:b w:val="0"/>
          <w:i w:val="0"/>
          <w:color w:val="1C3A36"/>
          <w:sz w:val="21"/>
        </w:rPr>
        <w:t>Named sensitivity: which explanation is chosen. They are not equivalent. The implied beta of 0.88 sits ABOVE the 90% upper bound of the regression, 0.79, so on the evidence available it is the least likely of the three. The implied terminal discount rate of 8.62% requires either that beta or a materially higher equity risk premium than the source file publishes. The implied growth rate is the only one of the three that is neither contradicted by the data nor dependent on a disputed premium — which is why this expert treats it as the operative explanation and why it is the study's crux.</w:t>
      </w:r>
    </w:p>
    <w:p>
      <w:pPr>
        <w:spacing w:after="120" w:before="0"/>
      </w:pPr>
      <w:r>
        <w:rPr>
          <w:b w:val="0"/>
          <w:i w:val="0"/>
          <w:color w:val="1C3A36"/>
          <w:sz w:val="21"/>
        </w:rPr>
        <w:t>Falsifier: "If total fuel volume grows at more than one per cent a year for three consecutive years from here — the company reported 5,376 million litres of retail volume in the first half of 2026 against 5,324 million a year earlier — then the market's implied permanent volume decline is refuted by observation and I would say the price, not the model, is the thing that needs explaining."</w:t>
      </w:r>
    </w:p>
    <w:p>
      <w:pPr>
        <w:spacing w:after="80" w:before="200"/>
      </w:pPr>
      <w:r>
        <w:rPr>
          <w:b/>
          <w:i w:val="0"/>
          <w:color w:val="1C3A36"/>
          <w:sz w:val="24"/>
        </w:rPr>
        <w:t>C.4 Cross-examination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816"/>
        <w:gridCol w:w="5328"/>
      </w:tblGrid>
      <w:tr>
        <w:trPr>
          <w:cantSplit/>
        </w:trPr>
        <w:tc>
          <w:tcPr>
            <w:tcW w:type="dxa" w:w="3816"/>
            <w:shd w:val="clear" w:color="auto" w:fill="EAF0EE"/>
          </w:tcPr>
          <w:p>
            <w:pPr>
              <w:spacing w:after="20"/>
            </w:pPr>
            <w:r>
              <w:rPr>
                <w:b/>
                <w:color w:val="1C3A36"/>
                <w:sz w:val="16"/>
              </w:rPr>
              <w:t>Challenge</w:t>
            </w:r>
          </w:p>
        </w:tc>
        <w:tc>
          <w:tcPr>
            <w:tcW w:type="dxa" w:w="5328"/>
            <w:shd w:val="clear" w:color="auto" w:fill="EAF0EE"/>
          </w:tcPr>
          <w:p>
            <w:pPr>
              <w:spacing w:after="20"/>
            </w:pPr>
            <w:r>
              <w:rPr>
                <w:b/>
                <w:color w:val="1C3A36"/>
                <w:sz w:val="16"/>
              </w:rPr>
              <w:t>Conceded or rejected</w:t>
            </w:r>
          </w:p>
        </w:tc>
      </w:tr>
      <w:tr>
        <w:trPr>
          <w:cantSplit/>
        </w:trPr>
        <w:tc>
          <w:tcPr>
            <w:tcW w:type="dxa" w:w="3816"/>
          </w:tcPr>
          <w:p>
            <w:pPr>
              <w:spacing w:after="20"/>
            </w:pPr>
            <w:r>
              <w:rPr>
                <w:color w:val="1C3A36"/>
                <w:sz w:val="16"/>
              </w:rPr>
              <w:t>Expert 2 to Expert 1: "Three-quarters of your value is a perpetuity. You are not forecasting cash flow, you are forecasting one growth rate and one discount rate."</w:t>
            </w:r>
          </w:p>
        </w:tc>
        <w:tc>
          <w:tcPr>
            <w:tcW w:type="dxa" w:w="5328"/>
          </w:tcPr>
          <w:p>
            <w:pPr>
              <w:spacing w:after="20"/>
              <w:jc w:val="right"/>
            </w:pPr>
            <w:r>
              <w:rPr>
                <w:color w:val="1C3A36"/>
                <w:sz w:val="16"/>
              </w:rPr>
              <w:t>CONCEDED, without qualification. Expert 1 accepts that 74.9% terminal weight makes this mostly a terminal valuation and points to the published grid as the only honest response: across the plausible combinations of terminal cost of capital and growth the answer runs AED 3.81 to AED 6.73, and the whole of that range is published including the corner below the traded price.</w:t>
            </w:r>
          </w:p>
        </w:tc>
      </w:tr>
      <w:tr>
        <w:trPr>
          <w:cantSplit/>
        </w:trPr>
        <w:tc>
          <w:tcPr>
            <w:tcW w:type="dxa" w:w="3816"/>
          </w:tcPr>
          <w:p>
            <w:pPr>
              <w:spacing w:after="20"/>
            </w:pPr>
            <w:r>
              <w:rPr>
                <w:color w:val="1C3A36"/>
                <w:sz w:val="16"/>
              </w:rPr>
              <w:t>Expert 1 to Expert 2: "Your justified multiple is 15 times book because book is artificially small. Pay out everything and any business looks like this."</w:t>
            </w:r>
          </w:p>
        </w:tc>
        <w:tc>
          <w:tcPr>
            <w:tcW w:type="dxa" w:w="5328"/>
          </w:tcPr>
          <w:p>
            <w:pPr>
              <w:spacing w:after="20"/>
              <w:jc w:val="right"/>
            </w:pPr>
            <w:r>
              <w:rPr>
                <w:color w:val="1C3A36"/>
                <w:sz w:val="16"/>
              </w:rPr>
              <w:t>REJECTED, with a concession attached. Expert 2 answers that book equity is book equity and a valuation method does not get to imagine a different balance sheet — but concedes the lens carries the lowest weight in the study for precisely this reason, and that return on capital employed of 54.4% is the cleaner statistic. Expert 2 declines to switch to it, because the lens is meant to be a floor.</w:t>
            </w:r>
          </w:p>
        </w:tc>
      </w:tr>
      <w:tr>
        <w:trPr>
          <w:cantSplit/>
        </w:trPr>
        <w:tc>
          <w:tcPr>
            <w:tcW w:type="dxa" w:w="3816"/>
          </w:tcPr>
          <w:p>
            <w:pPr>
              <w:spacing w:after="20"/>
            </w:pPr>
            <w:r>
              <w:rPr>
                <w:color w:val="1C3A36"/>
                <w:sz w:val="16"/>
              </w:rPr>
              <w:t>Expert 3 to Experts 1 and 2: "You have both produced numbers above the market price and neither of you can say why the market is wrong."</w:t>
            </w:r>
          </w:p>
        </w:tc>
        <w:tc>
          <w:tcPr>
            <w:tcW w:type="dxa" w:w="5328"/>
          </w:tcPr>
          <w:p>
            <w:pPr>
              <w:spacing w:after="20"/>
              <w:jc w:val="right"/>
            </w:pPr>
            <w:r>
              <w:rPr>
                <w:color w:val="1C3A36"/>
                <w:sz w:val="16"/>
              </w:rPr>
              <w:t>CONCEDED, and it is the point of having Expert 3 in the room. Neither method contains a view about long-run fuel demand beyond the terminal growth rate each assumes. Expert 3's contribution is to convert that assumption into an observable quantity — 0.9 million fewer fills a year — that a reader can check against the company's own volume disclosure each quarter.</w:t>
            </w:r>
          </w:p>
        </w:tc>
      </w:tr>
      <w:tr>
        <w:trPr>
          <w:cantSplit/>
        </w:trPr>
        <w:tc>
          <w:tcPr>
            <w:tcW w:type="dxa" w:w="3816"/>
          </w:tcPr>
          <w:p>
            <w:pPr>
              <w:spacing w:after="20"/>
            </w:pPr>
            <w:r>
              <w:rPr>
                <w:color w:val="1C3A36"/>
                <w:sz w:val="16"/>
              </w:rPr>
              <w:t>Expert 2 to Expert 3: "Your inversion assumes the whole gap is terminal growth. It could be the discount rate, or a liquidity discount on a share with a twenty-three per cent free float."</w:t>
            </w:r>
          </w:p>
        </w:tc>
        <w:tc>
          <w:tcPr>
            <w:tcW w:type="dxa" w:w="5328"/>
          </w:tcPr>
          <w:p>
            <w:pPr>
              <w:spacing w:after="20"/>
              <w:jc w:val="right"/>
            </w:pPr>
            <w:r>
              <w:rPr>
                <w:color w:val="1C3A36"/>
                <w:sz w:val="16"/>
              </w:rPr>
              <w:t>CONCEDED IN PART. Expert 3 agrees the attribution is a choice and publishes all three inversions rather than one. On the free-float point Expert 3 goes further and concedes it is not tested anywhere in this study: a controlling shareholder holding roughly 77% of the equity is a real reason a share might trade below a computed value, and no lens here prices it.</w:t>
            </w:r>
          </w:p>
        </w:tc>
      </w:tr>
      <w:tr>
        <w:trPr>
          <w:cantSplit/>
        </w:trPr>
        <w:tc>
          <w:tcPr>
            <w:tcW w:type="dxa" w:w="3816"/>
          </w:tcPr>
          <w:p>
            <w:pPr>
              <w:spacing w:after="20"/>
            </w:pPr>
            <w:r>
              <w:rPr>
                <w:color w:val="1C3A36"/>
                <w:sz w:val="16"/>
              </w:rPr>
              <w:t>Expert 1 to Expert 3: "You invert MY model. If my terminal structure is wrong, your implied growth rate is a precise answer to the wrong question."</w:t>
            </w:r>
          </w:p>
        </w:tc>
        <w:tc>
          <w:tcPr>
            <w:tcW w:type="dxa" w:w="5328"/>
          </w:tcPr>
          <w:p>
            <w:pPr>
              <w:spacing w:after="20"/>
              <w:jc w:val="right"/>
            </w:pPr>
            <w:r>
              <w:rPr>
                <w:color w:val="1C3A36"/>
                <w:sz w:val="16"/>
              </w:rPr>
              <w:t>CONCEDED ENTIRELY. Expert 3 accepts the inversion inherits every structural assumption of the model it inverts, and that this is the method's deepest limitation rather than a detail. The defence offered is narrow: the inversion is still the cheapest available test of whether the disagreement is about the next five years or the fifty after them, and it shows clearly that it is the latter.</w:t>
            </w:r>
          </w:p>
        </w:tc>
      </w:tr>
      <w:tr>
        <w:trPr>
          <w:cantSplit/>
        </w:trPr>
        <w:tc>
          <w:tcPr>
            <w:tcW w:type="dxa" w:w="3816"/>
          </w:tcPr>
          <w:p>
            <w:pPr>
              <w:spacing w:after="20"/>
            </w:pPr>
            <w:r>
              <w:rPr>
                <w:color w:val="1C3A36"/>
                <w:sz w:val="16"/>
              </w:rPr>
              <w:t>Expert 3 to Expert 1: "Your Frame A and Frame B differ by AED 0.32 a share on a line that is not in the audited accounts at all."</w:t>
            </w:r>
          </w:p>
        </w:tc>
        <w:tc>
          <w:tcPr>
            <w:tcW w:type="dxa" w:w="5328"/>
          </w:tcPr>
          <w:p>
            <w:pPr>
              <w:spacing w:after="20"/>
              <w:jc w:val="right"/>
            </w:pPr>
            <w:r>
              <w:rPr>
                <w:color w:val="1C3A36"/>
                <w:sz w:val="16"/>
              </w:rPr>
              <w:t>CONCEDED, and the study is built around the concession. The inventory movement is a management disclosure with no reconciliation to the audited statements. That is why it is carried two ways, why neither frame is preferred, and why the two are never averaged into a single number that would hide the disagreement.</w:t>
            </w:r>
          </w:p>
        </w:tc>
      </w:tr>
      <w:tr>
        <w:trPr>
          <w:cantSplit/>
        </w:trPr>
        <w:tc>
          <w:tcPr>
            <w:tcW w:type="dxa" w:w="3816"/>
          </w:tcPr>
          <w:p>
            <w:pPr>
              <w:spacing w:after="20"/>
            </w:pPr>
            <w:r>
              <w:rPr>
                <w:color w:val="1C3A36"/>
                <w:sz w:val="16"/>
              </w:rPr>
              <w:t>Expert 2 to Expert 1: "Your model has the company accumulating cash for five years while paying a flat dividend. That is not what management will do."</w:t>
            </w:r>
          </w:p>
        </w:tc>
        <w:tc>
          <w:tcPr>
            <w:tcW w:type="dxa" w:w="5328"/>
          </w:tcPr>
          <w:p>
            <w:pPr>
              <w:spacing w:after="20"/>
              <w:jc w:val="right"/>
            </w:pPr>
            <w:r>
              <w:rPr>
                <w:color w:val="1C3A36"/>
                <w:sz w:val="16"/>
              </w:rPr>
              <w:t>CONCEDED as a limitation, rejected as an error. Expert 1 agrees the model distributes only the policy dividend and lets the balance accumulate, and that in practice the board would raise the payout, buy something, or both. But free cash flow to the FIRM is what the valuation discounts, and it is indifferent to how the cash is subsequently split. The accumulation is a presentational consequence, not a valuation one.</w:t>
            </w:r>
          </w:p>
        </w:tc>
      </w:tr>
    </w:tbl>
    <w:p>
      <w:pPr>
        <w:spacing w:after="40"/>
      </w:pPr>
    </w:p>
    <w:p>
      <w:pPr>
        <w:spacing w:after="200" w:before="0"/>
      </w:pPr>
      <w:r>
        <w:rPr>
          <w:b w:val="0"/>
          <w:i/>
          <w:color w:val="6E7B77"/>
          <w:sz w:val="17"/>
        </w:rPr>
        <w:t>Table 39 — every challenge, explicitly conceded or rejected. Four of the seven are conceded outright.</w:t>
      </w:r>
    </w:p>
    <w:p>
      <w:pPr>
        <w:spacing w:after="80" w:before="200"/>
      </w:pPr>
      <w:r>
        <w:rPr>
          <w:b/>
          <w:i w:val="0"/>
          <w:color w:val="1C3A36"/>
          <w:sz w:val="24"/>
        </w:rPr>
        <w:t>C.5 The three in one room</w:t>
      </w:r>
    </w:p>
    <w:p>
      <w:pPr>
        <w:spacing w:after="120" w:before="0"/>
      </w:pPr>
      <w:r>
        <w:rPr>
          <w:b w:val="0"/>
          <w:i w:val="0"/>
          <w:color w:val="1C3A36"/>
          <w:sz w:val="21"/>
        </w:rPr>
        <w:t>Put together, the disagreement narrows to one question, which is the useful outcome. All three agree on the audited history. All three agree the business earns an exceptional return on the capital it employs — 54.4% in FY2025 — and that the regulated margin with a parental floor beneath it is a genuine structural advantage rather than an accident of a good year. All three agree the FY2026 inventory windfall should not be capitalised. And all three produce a number ABOVE the traded price: AED 4.79 from Expert 1 on Frame A, AED 5.10 on Frame B, AED 3.36 from Expert 2 — the deliberate floor — against AED 4.02 in the market.</w:t>
      </w:r>
    </w:p>
    <w:p>
      <w:pPr>
        <w:spacing w:after="120" w:before="0"/>
      </w:pPr>
      <w:r>
        <w:rPr>
          <w:b w:val="0"/>
          <w:i w:val="0"/>
          <w:color w:val="1C3A36"/>
          <w:sz w:val="21"/>
        </w:rPr>
        <w:t>Where they part is what the long run holds. Expert 1 says the network grows with the vehicle parc and the shop, so 1.5% terminal growth. Expert 2 declines to forecast the long run at all and prices only the capital in place. Expert 3 says the market has already answered: -0.42%, a permanently shrinking volume base, which in observable units is roughly 0.9 million fewer fuel transactions every year. The room does not resolve it, and it should not: one side is forecasting and the other is inverting. What the room does is convert an argument about value into a quantity a reader can watch in the company's own quarterly volume disclosure.</w:t>
      </w:r>
    </w:p>
    <w:p>
      <w:pPr>
        <w:spacing w:after="40"/>
        <w:jc w:val="center"/>
      </w:pPr>
      <w:r>
        <w:drawing>
          <wp:inline xmlns:a="http://schemas.openxmlformats.org/drawingml/2006/main" xmlns:pic="http://schemas.openxmlformats.org/drawingml/2006/picture">
            <wp:extent cx="6035040" cy="2159088"/>
            <wp:docPr id="8" name="Picture 8"/>
            <wp:cNvGraphicFramePr>
              <a:graphicFrameLocks noChangeAspect="1"/>
            </wp:cNvGraphicFramePr>
            <a:graphic>
              <a:graphicData uri="http://schemas.openxmlformats.org/drawingml/2006/picture">
                <pic:pic>
                  <pic:nvPicPr>
                    <pic:cNvPr id="0" name="fig8_experts.png"/>
                    <pic:cNvPicPr/>
                  </pic:nvPicPr>
                  <pic:blipFill>
                    <a:blip r:embed="rId16"/>
                    <a:stretch>
                      <a:fillRect/>
                    </a:stretch>
                  </pic:blipFill>
                  <pic:spPr>
                    <a:xfrm>
                      <a:off x="0" y="0"/>
                      <a:ext cx="6035040" cy="2159088"/>
                    </a:xfrm>
                    <a:prstGeom prst="rect"/>
                  </pic:spPr>
                </pic:pic>
              </a:graphicData>
            </a:graphic>
          </wp:inline>
        </w:drawing>
      </w:r>
    </w:p>
    <w:p>
      <w:pPr>
        <w:spacing w:after="200" w:before="0"/>
      </w:pPr>
      <w:r>
        <w:rPr>
          <w:b w:val="0"/>
          <w:i/>
          <w:color w:val="6E7B77"/>
          <w:sz w:val="17"/>
        </w:rPr>
        <w:t>Figure 8 — three methods, three ranges, one traded price.</w:t>
      </w:r>
    </w:p>
    <w:p>
      <w:pPr>
        <w:spacing w:after="80" w:before="200"/>
      </w:pPr>
      <w:r>
        <w:rPr>
          <w:b/>
          <w:i w:val="0"/>
          <w:color w:val="1C3A36"/>
          <w:sz w:val="24"/>
        </w:rPr>
        <w:t>C.6 Divergence table — which assumption drives which gap</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368"/>
        <w:gridCol w:w="4824"/>
      </w:tblGrid>
      <w:tr>
        <w:trPr>
          <w:cantSplit/>
        </w:trPr>
        <w:tc>
          <w:tcPr>
            <w:tcW w:type="dxa" w:w="2952"/>
            <w:shd w:val="clear" w:color="auto" w:fill="EAF0EE"/>
          </w:tcPr>
          <w:p>
            <w:pPr>
              <w:spacing w:after="20"/>
            </w:pPr>
            <w:r>
              <w:rPr>
                <w:b/>
                <w:color w:val="1C3A36"/>
                <w:sz w:val="16"/>
              </w:rPr>
              <w:t>Pair</w:t>
            </w:r>
          </w:p>
        </w:tc>
        <w:tc>
          <w:tcPr>
            <w:tcW w:type="dxa" w:w="1368"/>
            <w:shd w:val="clear" w:color="auto" w:fill="EAF0EE"/>
          </w:tcPr>
          <w:p>
            <w:pPr>
              <w:spacing w:after="20"/>
            </w:pPr>
            <w:r>
              <w:rPr>
                <w:b/>
                <w:color w:val="1C3A36"/>
                <w:sz w:val="16"/>
              </w:rPr>
              <w:t>Gap (AED/share)</w:t>
            </w:r>
          </w:p>
        </w:tc>
        <w:tc>
          <w:tcPr>
            <w:tcW w:type="dxa" w:w="4824"/>
            <w:shd w:val="clear" w:color="auto" w:fill="EAF0EE"/>
          </w:tcPr>
          <w:p>
            <w:pPr>
              <w:spacing w:after="20"/>
            </w:pPr>
            <w:r>
              <w:rPr>
                <w:b/>
                <w:color w:val="1C3A36"/>
                <w:sz w:val="16"/>
              </w:rPr>
              <w:t>The single assumption that drives it</w:t>
            </w:r>
          </w:p>
        </w:tc>
      </w:tr>
      <w:tr>
        <w:trPr>
          <w:cantSplit/>
        </w:trPr>
        <w:tc>
          <w:tcPr>
            <w:tcW w:type="dxa" w:w="2952"/>
          </w:tcPr>
          <w:p>
            <w:pPr>
              <w:spacing w:after="20"/>
            </w:pPr>
            <w:r>
              <w:rPr>
                <w:color w:val="1C3A36"/>
                <w:sz w:val="16"/>
              </w:rPr>
              <w:t>Expert 1 (Frame A) less Expert 2</w:t>
            </w:r>
          </w:p>
        </w:tc>
        <w:tc>
          <w:tcPr>
            <w:tcW w:type="dxa" w:w="1368"/>
          </w:tcPr>
          <w:p>
            <w:pPr>
              <w:spacing w:after="20"/>
              <w:jc w:val="right"/>
            </w:pPr>
            <w:r>
              <w:rPr>
                <w:color w:val="1C3A36"/>
                <w:sz w:val="16"/>
              </w:rPr>
              <w:t>1.43</w:t>
            </w:r>
          </w:p>
        </w:tc>
        <w:tc>
          <w:tcPr>
            <w:tcW w:type="dxa" w:w="4824"/>
          </w:tcPr>
          <w:p>
            <w:pPr>
              <w:spacing w:after="20"/>
              <w:jc w:val="right"/>
            </w:pPr>
            <w:r>
              <w:rPr>
                <w:color w:val="1C3A36"/>
                <w:sz w:val="16"/>
              </w:rPr>
              <w:t>whether five years of forecast growth plus a perpetuity are credited at all. Expert 1 discounts them; Expert 2 refuses to pay for growth not yet earned. Nothing about the business is in dispute</w:t>
            </w:r>
          </w:p>
        </w:tc>
      </w:tr>
      <w:tr>
        <w:trPr>
          <w:cantSplit/>
        </w:trPr>
        <w:tc>
          <w:tcPr>
            <w:tcW w:type="dxa" w:w="2952"/>
          </w:tcPr>
          <w:p>
            <w:pPr>
              <w:spacing w:after="20"/>
            </w:pPr>
            <w:r>
              <w:rPr>
                <w:color w:val="1C3A36"/>
                <w:sz w:val="16"/>
              </w:rPr>
              <w:t>Expert 1 Frame A less Frame B</w:t>
            </w:r>
          </w:p>
        </w:tc>
        <w:tc>
          <w:tcPr>
            <w:tcW w:type="dxa" w:w="1368"/>
          </w:tcPr>
          <w:p>
            <w:pPr>
              <w:spacing w:after="20"/>
              <w:jc w:val="right"/>
            </w:pPr>
            <w:r>
              <w:rPr>
                <w:color w:val="1C3A36"/>
                <w:sz w:val="16"/>
              </w:rPr>
              <w:t>-0.32</w:t>
            </w:r>
          </w:p>
        </w:tc>
        <w:tc>
          <w:tcPr>
            <w:tcW w:type="dxa" w:w="4824"/>
          </w:tcPr>
          <w:p>
            <w:pPr>
              <w:spacing w:after="20"/>
              <w:jc w:val="right"/>
            </w:pPr>
            <w:r>
              <w:rPr>
                <w:color w:val="1C3A36"/>
                <w:sz w:val="16"/>
              </w:rPr>
              <w:t>the inventory judgement alone, and nothing else. AED 294 million a year carried in perpetuity against zero from FY2027. This is the number an average would have hidden</w:t>
            </w:r>
          </w:p>
        </w:tc>
      </w:tr>
      <w:tr>
        <w:trPr>
          <w:cantSplit/>
        </w:trPr>
        <w:tc>
          <w:tcPr>
            <w:tcW w:type="dxa" w:w="2952"/>
          </w:tcPr>
          <w:p>
            <w:pPr>
              <w:spacing w:after="20"/>
            </w:pPr>
            <w:r>
              <w:rPr>
                <w:color w:val="1C3A36"/>
                <w:sz w:val="16"/>
              </w:rPr>
              <w:t>Expert 1 (Frame A) less the traded price</w:t>
            </w:r>
          </w:p>
        </w:tc>
        <w:tc>
          <w:tcPr>
            <w:tcW w:type="dxa" w:w="1368"/>
          </w:tcPr>
          <w:p>
            <w:pPr>
              <w:spacing w:after="20"/>
              <w:jc w:val="right"/>
            </w:pPr>
            <w:r>
              <w:rPr>
                <w:color w:val="1C3A36"/>
                <w:sz w:val="16"/>
              </w:rPr>
              <w:t>0.77</w:t>
            </w:r>
          </w:p>
        </w:tc>
        <w:tc>
          <w:tcPr>
            <w:tcW w:type="dxa" w:w="4824"/>
          </w:tcPr>
          <w:p>
            <w:pPr>
              <w:spacing w:after="20"/>
              <w:jc w:val="right"/>
            </w:pPr>
            <w:r>
              <w:rPr>
                <w:color w:val="1C3A36"/>
                <w:sz w:val="16"/>
              </w:rPr>
              <w:t>terminal growth: 1.50% against the -0.42% the price implies. The explicit five years contribute only 25.1% of the value, so they cannot carry this gap</w:t>
            </w:r>
          </w:p>
        </w:tc>
      </w:tr>
      <w:tr>
        <w:trPr>
          <w:cantSplit/>
        </w:trPr>
        <w:tc>
          <w:tcPr>
            <w:tcW w:type="dxa" w:w="2952"/>
          </w:tcPr>
          <w:p>
            <w:pPr>
              <w:spacing w:after="20"/>
            </w:pPr>
            <w:r>
              <w:rPr>
                <w:color w:val="1C3A36"/>
                <w:sz w:val="16"/>
              </w:rPr>
              <w:t>Expert 2 less the traded price</w:t>
            </w:r>
          </w:p>
        </w:tc>
        <w:tc>
          <w:tcPr>
            <w:tcW w:type="dxa" w:w="1368"/>
          </w:tcPr>
          <w:p>
            <w:pPr>
              <w:spacing w:after="20"/>
              <w:jc w:val="right"/>
            </w:pPr>
            <w:r>
              <w:rPr>
                <w:color w:val="1C3A36"/>
                <w:sz w:val="16"/>
              </w:rPr>
              <w:t>-0.66</w:t>
            </w:r>
          </w:p>
        </w:tc>
        <w:tc>
          <w:tcPr>
            <w:tcW w:type="dxa" w:w="4824"/>
          </w:tcPr>
          <w:p>
            <w:pPr>
              <w:spacing w:after="20"/>
              <w:jc w:val="right"/>
            </w:pPr>
            <w:r>
              <w:rPr>
                <w:color w:val="1C3A36"/>
                <w:sz w:val="16"/>
              </w:rPr>
              <w:t>the sustainable return on equity of 80.8% against the cost of equity of 7.60%. At a sustainable return of 74.9% this gap closes entirely</w:t>
            </w:r>
          </w:p>
        </w:tc>
      </w:tr>
      <w:tr>
        <w:trPr>
          <w:cantSplit/>
        </w:trPr>
        <w:tc>
          <w:tcPr>
            <w:tcW w:type="dxa" w:w="2952"/>
          </w:tcPr>
          <w:p>
            <w:pPr>
              <w:spacing w:after="20"/>
            </w:pPr>
            <w:r>
              <w:rPr>
                <w:color w:val="1C3A36"/>
                <w:sz w:val="16"/>
              </w:rPr>
              <w:t>Normalised earnings less Expert 1 (Frame A)</w:t>
            </w:r>
          </w:p>
        </w:tc>
        <w:tc>
          <w:tcPr>
            <w:tcW w:type="dxa" w:w="1368"/>
          </w:tcPr>
          <w:p>
            <w:pPr>
              <w:spacing w:after="20"/>
              <w:jc w:val="right"/>
            </w:pPr>
            <w:r>
              <w:rPr>
                <w:color w:val="1C3A36"/>
                <w:sz w:val="16"/>
              </w:rPr>
              <w:t>-0.77</w:t>
            </w:r>
          </w:p>
        </w:tc>
        <w:tc>
          <w:tcPr>
            <w:tcW w:type="dxa" w:w="4824"/>
          </w:tcPr>
          <w:p>
            <w:pPr>
              <w:spacing w:after="20"/>
              <w:jc w:val="right"/>
            </w:pPr>
            <w:r>
              <w:rPr>
                <w:color w:val="1C3A36"/>
                <w:sz w:val="16"/>
              </w:rPr>
              <w:t>the discount rate and nothing else: 7.44% held flat against a glide to 7.44%. The normalised reading credits NO growth and still lands higher</w:t>
            </w:r>
          </w:p>
        </w:tc>
      </w:tr>
      <w:tr>
        <w:trPr>
          <w:cantSplit/>
        </w:trPr>
        <w:tc>
          <w:tcPr>
            <w:tcW w:type="dxa" w:w="2952"/>
          </w:tcPr>
          <w:p>
            <w:pPr>
              <w:spacing w:after="20"/>
            </w:pPr>
            <w:r>
              <w:rPr>
                <w:color w:val="1C3A36"/>
                <w:sz w:val="16"/>
              </w:rPr>
              <w:t>Dividend capitalisation less Expert 1 (Frame A)</w:t>
            </w:r>
          </w:p>
        </w:tc>
        <w:tc>
          <w:tcPr>
            <w:tcW w:type="dxa" w:w="1368"/>
          </w:tcPr>
          <w:p>
            <w:pPr>
              <w:spacing w:after="20"/>
              <w:jc w:val="right"/>
            </w:pPr>
            <w:r>
              <w:rPr>
                <w:color w:val="1C3A36"/>
                <w:sz w:val="16"/>
              </w:rPr>
              <w:t>-2.08</w:t>
            </w:r>
          </w:p>
        </w:tc>
        <w:tc>
          <w:tcPr>
            <w:tcW w:type="dxa" w:w="4824"/>
          </w:tcPr>
          <w:p>
            <w:pPr>
              <w:spacing w:after="20"/>
              <w:jc w:val="right"/>
            </w:pPr>
            <w:r>
              <w:rPr>
                <w:color w:val="1C3A36"/>
                <w:sz w:val="16"/>
              </w:rPr>
              <w:t>the difference between the cash the company distributes under a fixed policy and the cash the business generates. This is the gap that explains the traded price best of any in this table</w:t>
            </w:r>
          </w:p>
        </w:tc>
      </w:tr>
      <w:tr>
        <w:trPr>
          <w:cantSplit/>
        </w:trPr>
        <w:tc>
          <w:tcPr>
            <w:tcW w:type="dxa" w:w="2952"/>
          </w:tcPr>
          <w:p>
            <w:pPr>
              <w:spacing w:after="20"/>
            </w:pPr>
            <w:r>
              <w:rPr>
                <w:color w:val="1C3A36"/>
                <w:sz w:val="16"/>
              </w:rPr>
              <w:t>Weighted centre A less weighted centre B</w:t>
            </w:r>
          </w:p>
        </w:tc>
        <w:tc>
          <w:tcPr>
            <w:tcW w:type="dxa" w:w="1368"/>
          </w:tcPr>
          <w:p>
            <w:pPr>
              <w:spacing w:after="20"/>
              <w:jc w:val="right"/>
            </w:pPr>
            <w:r>
              <w:rPr>
                <w:color w:val="1C3A36"/>
                <w:sz w:val="16"/>
              </w:rPr>
              <w:t>-0.17</w:t>
            </w:r>
          </w:p>
        </w:tc>
        <w:tc>
          <w:tcPr>
            <w:tcW w:type="dxa" w:w="4824"/>
          </w:tcPr>
          <w:p>
            <w:pPr>
              <w:spacing w:after="20"/>
              <w:jc w:val="right"/>
            </w:pPr>
            <w:r>
              <w:rPr>
                <w:color w:val="1C3A36"/>
                <w:sz w:val="16"/>
              </w:rPr>
              <w:t>the contested judgement carried through all four methods and their weights</w:t>
            </w:r>
          </w:p>
        </w:tc>
      </w:tr>
    </w:tbl>
    <w:p>
      <w:pPr>
        <w:spacing w:after="40"/>
      </w:pPr>
    </w:p>
    <w:p>
      <w:pPr>
        <w:spacing w:after="200" w:before="0"/>
      </w:pPr>
      <w:r>
        <w:rPr>
          <w:b w:val="0"/>
          <w:i/>
          <w:color w:val="6E7B77"/>
          <w:sz w:val="17"/>
        </w:rPr>
        <w:t>Table 40 — every gap in this study isolated to the assumption that causes it. Read the third row and the sixth together: the model's disagreement with the market is entirely about the long run, and the market's price is almost exactly what the company's fixed dividend policy is worth.</w:t>
      </w:r>
    </w:p>
    <w:p>
      <w:pPr>
        <w:spacing w:after="120" w:before="280"/>
      </w:pPr>
      <w:r>
        <w:rPr>
          <w:b/>
          <w:i w:val="0"/>
          <w:color w:val="1C3A36"/>
          <w:sz w:val="30"/>
        </w:rPr>
        <w:t>About this study</w:t>
      </w:r>
    </w:p>
    <w:p>
      <w:pPr>
        <w:spacing w:after="120" w:before="0"/>
      </w:pPr>
      <w:r>
        <w:rPr>
          <w:b w:val="0"/>
          <w:i w:val="0"/>
          <w:color w:val="1C3A36"/>
          <w:sz w:val="21"/>
        </w:rPr>
        <w:t>This is an independent, educational valuation study. Every reported historical figure in it was constructed from the company's own audited consolidated financial statements for FY2023, FY2024 and FY2025 and its reviewed interim statements for the first and second quarters of 2026, together with its own management discussion and analysis, its results presentations and its integrated report — all obtained from the company's own investor-relations channel. No data vendor, broker note or press report was used as the source of any number about the company itself. External material was used only for the forecast drivers and the cost of capital, and every such item is listed in Appendix B with its value, its date and its source.</w:t>
      </w:r>
    </w:p>
    <w:p>
      <w:pPr>
        <w:spacing w:after="120" w:before="0"/>
      </w:pPr>
      <w:r>
        <w:rPr>
          <w:b w:val="0"/>
          <w:i w:val="0"/>
          <w:color w:val="1C3A36"/>
          <w:sz w:val="21"/>
        </w:rPr>
        <w:t>The forecast is built from the ground up: fuel is litres times margin per litre for each of the two disclosed fuel legs, non-fuel retail is revenue times its own disclosed gross margin, and gross margin is an output of that build rather than an input to it. The cost of capital is built bottom-up from the sovereign's own bond, the sovereign's own default spread, the country's own equity risk premium and a beta regressed from this share's own price history against its own local index. The balance sheet and cash flow are projected from the company's own disclosed working-capital days, and the balance sheet balances in every column.</w:t>
      </w:r>
    </w:p>
    <w:p>
      <w:pPr>
        <w:spacing w:after="120" w:before="0"/>
      </w:pPr>
      <w:r>
        <w:rPr>
          <w:b w:val="0"/>
          <w:i w:val="0"/>
          <w:color w:val="1C3A36"/>
          <w:sz w:val="21"/>
        </w:rPr>
        <w:t>The valuation model behind this document is a live formula model: every figure that can be derived from a driver is derived from it, and changing a driver reprices the valuation. The probability map in section 3 comes from a simulation calibrated across this market and tested by re-running it across the full price history without letting it see the future. Its performance on this individual share is reported honestly in section 3, including the finding that its three-month range is wider than this share warrants.</w:t>
      </w:r>
    </w:p>
    <w:p>
      <w:pPr>
        <w:spacing w:after="120" w:before="280"/>
      </w:pPr>
      <w:r>
        <w:rPr>
          <w:b/>
          <w:i w:val="0"/>
          <w:color w:val="1C3A36"/>
          <w:sz w:val="30"/>
        </w:rPr>
        <w:t>Disclosure</w:t>
      </w:r>
    </w:p>
    <w:p>
      <w:pPr>
        <w:spacing w:after="120" w:before="0"/>
      </w:pPr>
      <w:r>
        <w:rPr>
          <w:b w:val="0"/>
          <w:i w:val="0"/>
          <w:color w:val="1C3A36"/>
          <w:sz w:val="21"/>
        </w:rPr>
        <w:t>This document is educational analysis, not investment advice, and not a recommendation to buy, sell or hold any security. It contains no rating and no price target, and it never will: value is expressed here as a range and as a distribution, because that is what the evidence supports.</w:t>
      </w:r>
    </w:p>
    <w:p>
      <w:pPr>
        <w:spacing w:after="120" w:before="0"/>
      </w:pPr>
      <w:r>
        <w:rPr>
          <w:b w:val="0"/>
          <w:i w:val="0"/>
          <w:color w:val="1C3A36"/>
          <w:sz w:val="21"/>
        </w:rPr>
        <w:t>The author holds no position in the securities discussed and has no relationship with the company, its parent, its advisers or any party mentioned. No part of this study was commissioned, reviewed or approved by the company. Nothing in it should be read as a statement of fact about the future.</w:t>
      </w:r>
    </w:p>
    <w:p>
      <w:pPr>
        <w:spacing w:after="120" w:before="0"/>
      </w:pPr>
      <w:r>
        <w:rPr>
          <w:b w:val="0"/>
          <w:i w:val="0"/>
          <w:color w:val="1C3A36"/>
          <w:sz w:val="21"/>
        </w:rPr>
        <w:t>Figures are in AED unless stated otherwise. Historical figures are as filed and are not restated. Forecasts are the author's own and are wrong in ways that cannot be known in advance; the sensitivity tables, the two published frames of the contested judgement and the caveats in section 7 are the honest statement of how wrong they might be. Past performance is not a guide to future returns.</w:t>
      </w:r>
    </w:p>
    <w:p>
      <w:pPr>
        <w:spacing w:after="120" w:before="0"/>
      </w:pPr>
      <w:r>
        <w:rPr>
          <w:b w:val="0"/>
          <w:i w:val="0"/>
          <w:color w:val="6E7B77"/>
          <w:sz w:val="18"/>
        </w:rPr>
        <w:t>Prepared 2026-08-09 · price data to 2026-08-07 · Abu Dhabi National Oil Company for Distribution PJSC · Abu Dhabi Securities Exchange · ADNOCDIST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