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10 September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 ten annuals</w:t>
            </w:r>
          </w:p>
        </w:tc>
        <w:tc>
          <w:tcPr>
            <w:tcW w:type="dxa" w:w="2160"/>
          </w:tcPr>
          <w:p>
            <w:pPr>
              <w:spacing w:after="20"/>
              <w:jc w:val="left"/>
            </w:pPr>
            <w:r>
              <w:rPr>
                <w:color w:val="1C3A36"/>
                <w:sz w:val="16"/>
              </w:rPr>
              <w:t>Years to 30 June 2009, 2010, 2011, 2013, 2014, 2016, 2018, 2019, 2020 and 2021 (with each prior year as comparative)</w:t>
            </w:r>
          </w:p>
        </w:tc>
        <w:tc>
          <w:tcPr>
            <w:tcW w:type="dxa" w:w="1224"/>
          </w:tcPr>
          <w:p>
            <w:pPr>
              <w:spacing w:after="20"/>
              <w:jc w:val="left"/>
            </w:pPr>
            <w:r>
              <w:rPr>
                <w:color w:val="1C3A36"/>
                <w:sz w:val="16"/>
              </w:rPr>
              <w:t>2009 to Nov 2021</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1 Sep 2026</w:t>
            </w:r>
          </w:p>
        </w:tc>
        <w:tc>
          <w:tcPr>
            <w:tcW w:type="dxa" w:w="4752"/>
          </w:tcPr>
          <w:p>
            <w:pPr>
              <w:spacing w:after="20"/>
              <w:jc w:val="left"/>
            </w:pPr>
            <w:r>
              <w:rPr>
                <w:color w:val="1C3A36"/>
                <w:sz w:val="16"/>
              </w:rPr>
              <w:t>The eighteen-year reported history on which the forecasting method was tested before use; not a source of any forecast driver</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The ten annual statements for 2009 to 2021 in the first row were retrieved on 1 September 2026 and used only to test the forecasting method on the company's own history; no forecast driver is taken from them. Also indexed on the same portal but not used: the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14.41</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the total rating-basis premium less the mature-market premium</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9.41%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19.50% main operation rate, mid-corridor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i w:val="0"/>
          <w:color w:val="1C3A36"/>
          <w:sz w:val="18"/>
        </w:rPr>
        <w:t>REACHED — https://www.kimaegypt.com/InvestorsRelations.aspx</w:t>
      </w:r>
    </w:p>
    <w:p>
      <w:pPr>
        <w:spacing w:after="140" w:before="0"/>
      </w:pPr>
      <w:r>
        <w:rPr>
          <w:b w:val="0"/>
          <w:i w:val="0"/>
          <w:color w:val="6E7B77"/>
          <w:sz w:val="17"/>
        </w:rPr>
        <w:t>Reachable directly (HTTP 200) on 1 September 2026; the embedded Mist portal listing page timed out once and returned a 709-byte stub on retry, so the 8 August index was used.</w:t>
      </w:r>
    </w:p>
    <w:p>
      <w:pPr>
        <w:spacing w:after="100" w:before="0"/>
      </w:pPr>
      <w:r>
        <w:rPr>
          <w:b/>
          <w:i w:val="0"/>
          <w:color w:val="1C3A36"/>
          <w:sz w:val="18"/>
        </w:rPr>
        <w:t>REACHED — https://www.mistnews.com/mistsat/companies/mezanyat/</w:t>
      </w:r>
    </w:p>
    <w:p>
      <w:pPr>
        <w:spacing w:after="140" w:before="0"/>
      </w:pPr>
      <w:r>
        <w:rPr>
          <w:b w:val="0"/>
          <w:i w:val="0"/>
          <w:color w:val="6E7B77"/>
          <w:sz w:val="17"/>
        </w:rPr>
        <w:t>Ten older annual statements (years to June 2009, 2010, 2011, 2013, 2014, 2016, 2018, 2019, 2020, 2021) retrieved as real PDFs from the company's own portal for the calibration of the method on the company's history. The portal lists no annual for 2012, 2015 or 2017 and nothing older than 2009; no FY2025/26 annual had been published.</w:t>
      </w:r>
    </w:p>
    <w:p>
      <w:pPr>
        <w:spacing w:after="100" w:before="0"/>
      </w:pPr>
      <w:r>
        <w:rPr>
          <w:b/>
          <w:i w:val="0"/>
          <w:color w:val="1C3A36"/>
          <w:sz w:val="18"/>
        </w:rPr>
        <w:t>NOT REACHED — https://kima.com.eg/</w:t>
      </w:r>
    </w:p>
    <w:p>
      <w:pPr>
        <w:spacing w:after="140" w:before="0"/>
      </w:pPr>
      <w:r>
        <w:rPr>
          <w:b w:val="0"/>
          <w:i w:val="0"/>
          <w:color w:val="6E7B77"/>
          <w:sz w:val="17"/>
        </w:rPr>
        <w:t>Refused at the egress proxy; not the company's domain (kimaegypt.com is).</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r>
        <w:br w:type="page"/>
      </w:r>
    </w:p>
    <w:p>
      <w:pPr>
        <w:spacing w:after="100" w:before="240"/>
      </w:pPr>
      <w:r>
        <w:rPr>
          <w:b/>
          <w:i w:val="0"/>
          <w:color w:val="1C3A36"/>
          <w:sz w:val="28"/>
        </w:rPr>
        <w:t>6.  The full input register — every input, four fields, grouped by layer</w:t>
      </w:r>
    </w:p>
    <w:p>
      <w:pPr>
        <w:spacing w:after="100" w:before="0"/>
      </w:pPr>
      <w:r>
        <w:rPr>
          <w:b w:val="0"/>
          <w:i w:val="0"/>
          <w:color w:val="6E7B77"/>
          <w:sz w:val="18"/>
        </w:rPr>
        <w:t>Value, source-and-construction, date and layer for every input the study uses. Nothing in the deliverables is an orphan number.</w:t>
      </w:r>
    </w:p>
    <w:p>
      <w:pPr>
        <w:spacing w:after="100" w:before="160"/>
      </w:pPr>
      <w:r>
        <w:rPr>
          <w:b/>
          <w:i w:val="0"/>
          <w:color w:val="1C3A36"/>
          <w:sz w:val="21"/>
        </w:rPr>
        <w:t>L1 — Primary filing — the company's own statements  (193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abuk_carrying_price</w:t>
            </w:r>
          </w:p>
        </w:tc>
        <w:tc>
          <w:tcPr>
            <w:tcW w:type="dxa" w:w="1944"/>
          </w:tcPr>
          <w:p>
            <w:pPr>
              <w:spacing w:after="20"/>
              <w:jc w:val="left"/>
            </w:pPr>
            <w:r>
              <w:rPr>
                <w:color w:val="1C3A36"/>
                <w:sz w:val="14"/>
              </w:rPr>
              <w:t>81.7</w:t>
            </w:r>
          </w:p>
        </w:tc>
        <w:tc>
          <w:tcPr>
            <w:tcW w:type="dxa" w:w="1224"/>
          </w:tcPr>
          <w:p>
            <w:pPr>
              <w:spacing w:after="20"/>
              <w:jc w:val="left"/>
            </w:pPr>
            <w:r>
              <w:rPr>
                <w:color w:val="1C3A36"/>
                <w:sz w:val="14"/>
              </w:rPr>
              <w:t>EGP/share</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note 8-1 — the price the holding is carried at, being the 31-March market close</w:t>
            </w:r>
          </w:p>
        </w:tc>
      </w:tr>
      <w:tr>
        <w:tc>
          <w:tcPr>
            <w:tcW w:type="dxa" w:w="2448"/>
          </w:tcPr>
          <w:p>
            <w:pPr>
              <w:spacing w:after="20"/>
              <w:jc w:val="left"/>
            </w:pPr>
            <w:r>
              <w:rPr>
                <w:color w:val="1C3A36"/>
                <w:sz w:val="14"/>
              </w:rPr>
              <w:t>abuk_shares_held</w:t>
            </w:r>
          </w:p>
        </w:tc>
        <w:tc>
          <w:tcPr>
            <w:tcW w:type="dxa" w:w="1944"/>
          </w:tcPr>
          <w:p>
            <w:pPr>
              <w:spacing w:after="20"/>
              <w:jc w:val="left"/>
            </w:pPr>
            <w:r>
              <w:rPr>
                <w:color w:val="1C3A36"/>
                <w:sz w:val="14"/>
              </w:rPr>
              <w:t>10,262,324</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note 8-1 — the Abu Qir Fertilizers holding, carried at EGP 81.70 a share</w:t>
            </w:r>
          </w:p>
        </w:tc>
      </w:tr>
      <w:tr>
        <w:tc>
          <w:tcPr>
            <w:tcW w:type="dxa" w:w="2448"/>
          </w:tcPr>
          <w:p>
            <w:pPr>
              <w:spacing w:after="20"/>
              <w:jc w:val="left"/>
            </w:pPr>
            <w:r>
              <w:rPr>
                <w:color w:val="1C3A36"/>
                <w:sz w:val="14"/>
              </w:rPr>
              <w:t>amort_FY2223</w:t>
            </w:r>
          </w:p>
        </w:tc>
        <w:tc>
          <w:tcPr>
            <w:tcW w:type="dxa" w:w="1944"/>
          </w:tcPr>
          <w:p>
            <w:pPr>
              <w:spacing w:after="20"/>
              <w:jc w:val="left"/>
            </w:pPr>
            <w:r>
              <w:rPr>
                <w:color w:val="1C3A36"/>
                <w:sz w:val="14"/>
              </w:rPr>
              <w:t>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amortisation of intangible assets — Modelled split of the depreciation and amortisation charge; flagged</w:t>
            </w:r>
          </w:p>
        </w:tc>
      </w:tr>
      <w:tr>
        <w:tc>
          <w:tcPr>
            <w:tcW w:type="dxa" w:w="2448"/>
          </w:tcPr>
          <w:p>
            <w:pPr>
              <w:spacing w:after="20"/>
              <w:jc w:val="left"/>
            </w:pPr>
            <w:r>
              <w:rPr>
                <w:color w:val="1C3A36"/>
                <w:sz w:val="14"/>
              </w:rPr>
              <w:t>amort_FY2324</w:t>
            </w:r>
          </w:p>
        </w:tc>
        <w:tc>
          <w:tcPr>
            <w:tcW w:type="dxa" w:w="1944"/>
          </w:tcPr>
          <w:p>
            <w:pPr>
              <w:spacing w:after="20"/>
              <w:jc w:val="left"/>
            </w:pPr>
            <w:r>
              <w:rPr>
                <w:color w:val="1C3A36"/>
                <w:sz w:val="14"/>
              </w:rPr>
              <w:t>110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amortisation of intangible assets — Modelled split of the depreciation and amortisation charge; flagged</w:t>
            </w:r>
          </w:p>
        </w:tc>
      </w:tr>
      <w:tr>
        <w:tc>
          <w:tcPr>
            <w:tcW w:type="dxa" w:w="2448"/>
          </w:tcPr>
          <w:p>
            <w:pPr>
              <w:spacing w:after="20"/>
              <w:jc w:val="left"/>
            </w:pPr>
            <w:r>
              <w:rPr>
                <w:color w:val="1C3A36"/>
                <w:sz w:val="14"/>
              </w:rPr>
              <w:t>amort_FY2425</w:t>
            </w:r>
          </w:p>
        </w:tc>
        <w:tc>
          <w:tcPr>
            <w:tcW w:type="dxa" w:w="1944"/>
          </w:tcPr>
          <w:p>
            <w:pPr>
              <w:spacing w:after="20"/>
              <w:jc w:val="left"/>
            </w:pPr>
            <w:r>
              <w:rPr>
                <w:color w:val="1C3A36"/>
                <w:sz w:val="14"/>
              </w:rPr>
              <w:t>119.378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10 usufruct intangible</w:t>
            </w:r>
          </w:p>
        </w:tc>
      </w:tr>
      <w:tr>
        <w:tc>
          <w:tcPr>
            <w:tcW w:type="dxa" w:w="2448"/>
          </w:tcPr>
          <w:p>
            <w:pPr>
              <w:spacing w:after="20"/>
              <w:jc w:val="left"/>
            </w:pPr>
            <w:r>
              <w:rPr>
                <w:color w:val="1C3A36"/>
                <w:sz w:val="14"/>
              </w:rPr>
              <w:t>an_gran_nitrogen_pct</w:t>
            </w:r>
          </w:p>
        </w:tc>
        <w:tc>
          <w:tcPr>
            <w:tcW w:type="dxa" w:w="1944"/>
          </w:tcPr>
          <w:p>
            <w:pPr>
              <w:spacing w:after="20"/>
              <w:jc w:val="left"/>
            </w:pPr>
            <w:r>
              <w:rPr>
                <w:color w:val="1C3A36"/>
                <w:sz w:val="14"/>
              </w:rPr>
              <w:t>0.335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 where the product is named by its grade (granulated ammonium nitrate at 33.5% nitrogen)</w:t>
            </w:r>
          </w:p>
        </w:tc>
      </w:tr>
      <w:tr>
        <w:tc>
          <w:tcPr>
            <w:tcW w:type="dxa" w:w="2448"/>
          </w:tcPr>
          <w:p>
            <w:pPr>
              <w:spacing w:after="20"/>
              <w:jc w:val="left"/>
            </w:pPr>
            <w:r>
              <w:rPr>
                <w:color w:val="1C3A36"/>
                <w:sz w:val="14"/>
              </w:rPr>
              <w:t>anna_cost_egp</w:t>
            </w:r>
          </w:p>
        </w:tc>
        <w:tc>
          <w:tcPr>
            <w:tcW w:type="dxa" w:w="1944"/>
          </w:tcPr>
          <w:p>
            <w:pPr>
              <w:spacing w:after="20"/>
              <w:jc w:val="left"/>
            </w:pPr>
            <w:r>
              <w:rPr>
                <w:color w:val="1C3A36"/>
                <w:sz w:val="14"/>
              </w:rPr>
              <w:t>6,422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 — bank-approved investment cost, agreement of 25 June 2025</w:t>
            </w:r>
          </w:p>
        </w:tc>
      </w:tr>
      <w:tr>
        <w:tc>
          <w:tcPr>
            <w:tcW w:type="dxa" w:w="2448"/>
          </w:tcPr>
          <w:p>
            <w:pPr>
              <w:spacing w:after="20"/>
              <w:jc w:val="left"/>
            </w:pPr>
            <w:r>
              <w:rPr>
                <w:color w:val="1C3A36"/>
                <w:sz w:val="14"/>
              </w:rPr>
              <w:t>anna_cost_usd</w:t>
            </w:r>
          </w:p>
        </w:tc>
        <w:tc>
          <w:tcPr>
            <w:tcW w:type="dxa" w:w="1944"/>
          </w:tcPr>
          <w:p>
            <w:pPr>
              <w:spacing w:after="20"/>
              <w:jc w:val="left"/>
            </w:pPr>
            <w:r>
              <w:rPr>
                <w:color w:val="1C3A36"/>
                <w:sz w:val="14"/>
              </w:rPr>
              <w:t>278.385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anna_cwip_FY2425</w:t>
            </w:r>
          </w:p>
        </w:tc>
        <w:tc>
          <w:tcPr>
            <w:tcW w:type="dxa" w:w="1944"/>
          </w:tcPr>
          <w:p>
            <w:pPr>
              <w:spacing w:after="20"/>
              <w:jc w:val="left"/>
            </w:pPr>
            <w:r>
              <w:rPr>
                <w:color w:val="1C3A36"/>
                <w:sz w:val="14"/>
              </w:rPr>
              <w:t>3,746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project</w:t>
            </w:r>
          </w:p>
        </w:tc>
      </w:tr>
      <w:tr>
        <w:tc>
          <w:tcPr>
            <w:tcW w:type="dxa" w:w="2448"/>
          </w:tcPr>
          <w:p>
            <w:pPr>
              <w:spacing w:after="20"/>
              <w:jc w:val="left"/>
            </w:pPr>
            <w:r>
              <w:rPr>
                <w:color w:val="1C3A36"/>
                <w:sz w:val="14"/>
              </w:rPr>
              <w:t>anna_loan_egp</w:t>
            </w:r>
          </w:p>
        </w:tc>
        <w:tc>
          <w:tcPr>
            <w:tcW w:type="dxa" w:w="1944"/>
          </w:tcPr>
          <w:p>
            <w:pPr>
              <w:spacing w:after="20"/>
              <w:jc w:val="left"/>
            </w:pPr>
            <w:r>
              <w:rPr>
                <w:color w:val="1C3A36"/>
                <w:sz w:val="14"/>
              </w:rPr>
              <w:t>5,931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anna_loan_usd</w:t>
            </w:r>
          </w:p>
        </w:tc>
        <w:tc>
          <w:tcPr>
            <w:tcW w:type="dxa" w:w="1944"/>
          </w:tcPr>
          <w:p>
            <w:pPr>
              <w:spacing w:after="20"/>
              <w:jc w:val="left"/>
            </w:pPr>
            <w:r>
              <w:rPr>
                <w:color w:val="1C3A36"/>
                <w:sz w:val="14"/>
              </w:rPr>
              <w:t>82.945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anna_plan_sep2025</w:t>
            </w:r>
          </w:p>
        </w:tc>
        <w:tc>
          <w:tcPr>
            <w:tcW w:type="dxa" w:w="1944"/>
          </w:tcPr>
          <w:p>
            <w:pPr>
              <w:spacing w:after="20"/>
              <w:jc w:val="left"/>
            </w:pPr>
            <w:r>
              <w:rPr>
                <w:color w:val="1C3A36"/>
                <w:sz w:val="14"/>
              </w:rPr>
              <w:t>0.37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anna_progress_sep2025</w:t>
            </w:r>
          </w:p>
        </w:tc>
        <w:tc>
          <w:tcPr>
            <w:tcW w:type="dxa" w:w="1944"/>
          </w:tcPr>
          <w:p>
            <w:pPr>
              <w:spacing w:after="20"/>
              <w:jc w:val="left"/>
            </w:pPr>
            <w:r>
              <w:rPr>
                <w:color w:val="1C3A36"/>
                <w:sz w:val="14"/>
              </w:rPr>
              <w:t>0.129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physical progress against a 37% plan</w:t>
            </w:r>
          </w:p>
        </w:tc>
      </w:tr>
      <w:tr>
        <w:tc>
          <w:tcPr>
            <w:tcW w:type="dxa" w:w="2448"/>
          </w:tcPr>
          <w:p>
            <w:pPr>
              <w:spacing w:after="20"/>
              <w:jc w:val="left"/>
            </w:pPr>
            <w:r>
              <w:rPr>
                <w:color w:val="1C3A36"/>
                <w:sz w:val="14"/>
              </w:rPr>
              <w:t>bs_capital_FY2223</w:t>
            </w:r>
          </w:p>
        </w:tc>
        <w:tc>
          <w:tcPr>
            <w:tcW w:type="dxa" w:w="1944"/>
          </w:tcPr>
          <w:p>
            <w:pPr>
              <w:spacing w:after="20"/>
              <w:jc w:val="left"/>
            </w:pPr>
            <w:r>
              <w:rPr>
                <w:color w:val="1C3A36"/>
                <w:sz w:val="14"/>
              </w:rPr>
              <w:t>5,933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bs_capital_FY2324</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bs_capital_FY2425</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bs_capital_M9FY2526</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bs_cash_FY2223</w:t>
            </w:r>
          </w:p>
        </w:tc>
        <w:tc>
          <w:tcPr>
            <w:tcW w:type="dxa" w:w="1944"/>
          </w:tcPr>
          <w:p>
            <w:pPr>
              <w:spacing w:after="20"/>
              <w:jc w:val="left"/>
            </w:pPr>
            <w:r>
              <w:rPr>
                <w:color w:val="1C3A36"/>
                <w:sz w:val="14"/>
              </w:rPr>
              <w:t>1,416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bs_cash_FY2324</w:t>
            </w:r>
          </w:p>
        </w:tc>
        <w:tc>
          <w:tcPr>
            <w:tcW w:type="dxa" w:w="1944"/>
          </w:tcPr>
          <w:p>
            <w:pPr>
              <w:spacing w:after="20"/>
              <w:jc w:val="left"/>
            </w:pPr>
            <w:r>
              <w:rPr>
                <w:color w:val="1C3A36"/>
                <w:sz w:val="14"/>
              </w:rPr>
              <w:t>3,103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bs_cash_FY2425</w:t>
            </w:r>
          </w:p>
        </w:tc>
        <w:tc>
          <w:tcPr>
            <w:tcW w:type="dxa" w:w="1944"/>
          </w:tcPr>
          <w:p>
            <w:pPr>
              <w:spacing w:after="20"/>
              <w:jc w:val="left"/>
            </w:pPr>
            <w:r>
              <w:rPr>
                <w:color w:val="1C3A36"/>
                <w:sz w:val="14"/>
              </w:rPr>
              <w:t>3,057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bs_cash_M9FY2526</w:t>
            </w:r>
          </w:p>
        </w:tc>
        <w:tc>
          <w:tcPr>
            <w:tcW w:type="dxa" w:w="1944"/>
          </w:tcPr>
          <w:p>
            <w:pPr>
              <w:spacing w:after="20"/>
              <w:jc w:val="left"/>
            </w:pPr>
            <w:r>
              <w:rPr>
                <w:color w:val="1C3A36"/>
                <w:sz w:val="14"/>
              </w:rPr>
              <w:t>4,607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bs_cwip_FY2223</w:t>
            </w:r>
          </w:p>
        </w:tc>
        <w:tc>
          <w:tcPr>
            <w:tcW w:type="dxa" w:w="1944"/>
          </w:tcPr>
          <w:p>
            <w:pPr>
              <w:spacing w:after="20"/>
              <w:jc w:val="left"/>
            </w:pPr>
            <w:r>
              <w:rPr>
                <w:color w:val="1C3A36"/>
                <w:sz w:val="14"/>
              </w:rPr>
              <w:t>56.405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bs_cwip_FY2324</w:t>
            </w:r>
          </w:p>
        </w:tc>
        <w:tc>
          <w:tcPr>
            <w:tcW w:type="dxa" w:w="1944"/>
          </w:tcPr>
          <w:p>
            <w:pPr>
              <w:spacing w:after="20"/>
              <w:jc w:val="left"/>
            </w:pPr>
            <w:r>
              <w:rPr>
                <w:color w:val="1C3A36"/>
                <w:sz w:val="14"/>
              </w:rPr>
              <w:t>2,535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bs_cwip_FY2425</w:t>
            </w:r>
          </w:p>
        </w:tc>
        <w:tc>
          <w:tcPr>
            <w:tcW w:type="dxa" w:w="1944"/>
          </w:tcPr>
          <w:p>
            <w:pPr>
              <w:spacing w:after="20"/>
              <w:jc w:val="left"/>
            </w:pPr>
            <w:r>
              <w:rPr>
                <w:color w:val="1C3A36"/>
                <w:sz w:val="14"/>
              </w:rPr>
              <w:t>3,790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bs_cwip_M9FY2526</w:t>
            </w:r>
          </w:p>
        </w:tc>
        <w:tc>
          <w:tcPr>
            <w:tcW w:type="dxa" w:w="1944"/>
          </w:tcPr>
          <w:p>
            <w:pPr>
              <w:spacing w:after="20"/>
              <w:jc w:val="left"/>
            </w:pPr>
            <w:r>
              <w:rPr>
                <w:color w:val="1C3A36"/>
                <w:sz w:val="14"/>
              </w:rPr>
              <w:t>5,654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bs_debt_cur_FY2223</w:t>
            </w:r>
          </w:p>
        </w:tc>
        <w:tc>
          <w:tcPr>
            <w:tcW w:type="dxa" w:w="1944"/>
          </w:tcPr>
          <w:p>
            <w:pPr>
              <w:spacing w:after="20"/>
              <w:jc w:val="left"/>
            </w:pPr>
            <w:r>
              <w:rPr>
                <w:color w:val="1C3A36"/>
                <w:sz w:val="14"/>
              </w:rPr>
              <w:t>21.391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bs_debt_cur_FY2324</w:t>
            </w:r>
          </w:p>
        </w:tc>
        <w:tc>
          <w:tcPr>
            <w:tcW w:type="dxa" w:w="1944"/>
          </w:tcPr>
          <w:p>
            <w:pPr>
              <w:spacing w:after="20"/>
              <w:jc w:val="left"/>
            </w:pPr>
            <w:r>
              <w:rPr>
                <w:color w:val="1C3A36"/>
                <w:sz w:val="14"/>
              </w:rPr>
              <w:t>354.051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bs_debt_cur_FY2425</w:t>
            </w:r>
          </w:p>
        </w:tc>
        <w:tc>
          <w:tcPr>
            <w:tcW w:type="dxa" w:w="1944"/>
          </w:tcPr>
          <w:p>
            <w:pPr>
              <w:spacing w:after="20"/>
              <w:jc w:val="left"/>
            </w:pPr>
            <w:r>
              <w:rPr>
                <w:color w:val="1C3A36"/>
                <w:sz w:val="14"/>
              </w:rPr>
              <w:t>397.314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bs_debt_cur_M9FY2526</w:t>
            </w:r>
          </w:p>
        </w:tc>
        <w:tc>
          <w:tcPr>
            <w:tcW w:type="dxa" w:w="1944"/>
          </w:tcPr>
          <w:p>
            <w:pPr>
              <w:spacing w:after="20"/>
              <w:jc w:val="left"/>
            </w:pPr>
            <w:r>
              <w:rPr>
                <w:color w:val="1C3A36"/>
                <w:sz w:val="14"/>
              </w:rPr>
              <w:t>206.994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bs_debt_holdco_FY2223</w:t>
            </w:r>
          </w:p>
        </w:tc>
        <w:tc>
          <w:tcPr>
            <w:tcW w:type="dxa" w:w="1944"/>
          </w:tcPr>
          <w:p>
            <w:pPr>
              <w:spacing w:after="20"/>
              <w:jc w:val="left"/>
            </w:pPr>
            <w:r>
              <w:rPr>
                <w:color w:val="1C3A36"/>
                <w:sz w:val="14"/>
              </w:rPr>
              <w:t>50.266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bs_debt_holdco_FY2324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bs_debt_holdco_FY2425</w:t>
            </w:r>
          </w:p>
        </w:tc>
        <w:tc>
          <w:tcPr>
            <w:tcW w:type="dxa" w:w="1944"/>
          </w:tcPr>
          <w:p>
            <w:pPr>
              <w:spacing w:after="20"/>
              <w:jc w:val="left"/>
            </w:pPr>
            <w:r>
              <w:rPr>
                <w:color w:val="1C3A36"/>
                <w:sz w:val="14"/>
              </w:rPr>
              <w:t>596.896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bs_debt_holdco_M9FY2526</w:t>
            </w:r>
          </w:p>
        </w:tc>
        <w:tc>
          <w:tcPr>
            <w:tcW w:type="dxa" w:w="1944"/>
          </w:tcPr>
          <w:p>
            <w:pPr>
              <w:spacing w:after="20"/>
              <w:jc w:val="left"/>
            </w:pPr>
            <w:r>
              <w:rPr>
                <w:color w:val="1C3A36"/>
                <w:sz w:val="14"/>
              </w:rPr>
              <w:t>45.955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bs_debt_lt_FY2223</w:t>
            </w:r>
          </w:p>
        </w:tc>
        <w:tc>
          <w:tcPr>
            <w:tcW w:type="dxa" w:w="1944"/>
          </w:tcPr>
          <w:p>
            <w:pPr>
              <w:spacing w:after="20"/>
              <w:jc w:val="left"/>
            </w:pPr>
            <w:r>
              <w:rPr>
                <w:color w:val="1C3A36"/>
                <w:sz w:val="14"/>
              </w:rPr>
              <w:t>8,425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bs_debt_lt_FY2324</w:t>
            </w:r>
          </w:p>
        </w:tc>
        <w:tc>
          <w:tcPr>
            <w:tcW w:type="dxa" w:w="1944"/>
          </w:tcPr>
          <w:p>
            <w:pPr>
              <w:spacing w:after="20"/>
              <w:jc w:val="left"/>
            </w:pPr>
            <w:r>
              <w:rPr>
                <w:color w:val="1C3A36"/>
                <w:sz w:val="14"/>
              </w:rPr>
              <w:t>11,226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bs_debt_lt_FY2425</w:t>
            </w:r>
          </w:p>
        </w:tc>
        <w:tc>
          <w:tcPr>
            <w:tcW w:type="dxa" w:w="1944"/>
          </w:tcPr>
          <w:p>
            <w:pPr>
              <w:spacing w:after="20"/>
              <w:jc w:val="left"/>
            </w:pPr>
            <w:r>
              <w:rPr>
                <w:color w:val="1C3A36"/>
                <w:sz w:val="14"/>
              </w:rPr>
              <w:t>11,183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bs_debt_lt_M9FY2526</w:t>
            </w:r>
          </w:p>
        </w:tc>
        <w:tc>
          <w:tcPr>
            <w:tcW w:type="dxa" w:w="1944"/>
          </w:tcPr>
          <w:p>
            <w:pPr>
              <w:spacing w:after="20"/>
              <w:jc w:val="left"/>
            </w:pPr>
            <w:r>
              <w:rPr>
                <w:color w:val="1C3A36"/>
                <w:sz w:val="14"/>
              </w:rPr>
              <w:t>14,386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bs_doc_credits_M9FY2526</w:t>
            </w:r>
          </w:p>
        </w:tc>
        <w:tc>
          <w:tcPr>
            <w:tcW w:type="dxa" w:w="1944"/>
          </w:tcPr>
          <w:p>
            <w:pPr>
              <w:spacing w:after="20"/>
              <w:jc w:val="left"/>
            </w:pPr>
            <w:r>
              <w:rPr>
                <w:color w:val="1C3A36"/>
                <w:sz w:val="14"/>
              </w:rPr>
              <w:t>1,407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note 11 — letters of credit for goods and services, disclosed WITHIN the EGP 3,378.2mn inventory line. They are prepayments against goods not yet received, not stock: counting them as inventory overstates working capital and the days it implies (165 against 114)</w:t>
            </w:r>
          </w:p>
        </w:tc>
      </w:tr>
      <w:tr>
        <w:tc>
          <w:tcPr>
            <w:tcW w:type="dxa" w:w="2448"/>
          </w:tcPr>
          <w:p>
            <w:pPr>
              <w:spacing w:after="20"/>
              <w:jc w:val="left"/>
            </w:pPr>
            <w:r>
              <w:rPr>
                <w:color w:val="1C3A36"/>
                <w:sz w:val="14"/>
              </w:rPr>
              <w:t>bs_dtl_FY2223</w:t>
            </w:r>
          </w:p>
        </w:tc>
        <w:tc>
          <w:tcPr>
            <w:tcW w:type="dxa" w:w="1944"/>
          </w:tcPr>
          <w:p>
            <w:pPr>
              <w:spacing w:after="20"/>
              <w:jc w:val="left"/>
            </w:pPr>
            <w:r>
              <w:rPr>
                <w:color w:val="1C3A36"/>
                <w:sz w:val="14"/>
              </w:rPr>
              <w:t>1,469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bs_dtl_FY2324</w:t>
            </w:r>
          </w:p>
        </w:tc>
        <w:tc>
          <w:tcPr>
            <w:tcW w:type="dxa" w:w="1944"/>
          </w:tcPr>
          <w:p>
            <w:pPr>
              <w:spacing w:after="20"/>
              <w:jc w:val="left"/>
            </w:pPr>
            <w:r>
              <w:rPr>
                <w:color w:val="1C3A36"/>
                <w:sz w:val="14"/>
              </w:rPr>
              <w:t>1,001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bs_dtl_FY2425</w:t>
            </w:r>
          </w:p>
        </w:tc>
        <w:tc>
          <w:tcPr>
            <w:tcW w:type="dxa" w:w="1944"/>
          </w:tcPr>
          <w:p>
            <w:pPr>
              <w:spacing w:after="20"/>
              <w:jc w:val="left"/>
            </w:pPr>
            <w:r>
              <w:rPr>
                <w:color w:val="1C3A36"/>
                <w:sz w:val="14"/>
              </w:rPr>
              <w:t>990.863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bs_dtl_M9FY2526</w:t>
            </w:r>
          </w:p>
        </w:tc>
        <w:tc>
          <w:tcPr>
            <w:tcW w:type="dxa" w:w="1944"/>
          </w:tcPr>
          <w:p>
            <w:pPr>
              <w:spacing w:after="20"/>
              <w:jc w:val="left"/>
            </w:pPr>
            <w:r>
              <w:rPr>
                <w:color w:val="1C3A36"/>
                <w:sz w:val="14"/>
              </w:rPr>
              <w:t>961.184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bs_fixed_FY2223</w:t>
            </w:r>
          </w:p>
        </w:tc>
        <w:tc>
          <w:tcPr>
            <w:tcW w:type="dxa" w:w="1944"/>
          </w:tcPr>
          <w:p>
            <w:pPr>
              <w:spacing w:after="20"/>
              <w:jc w:val="left"/>
            </w:pPr>
            <w:r>
              <w:rPr>
                <w:color w:val="1C3A36"/>
                <w:sz w:val="14"/>
              </w:rPr>
              <w:t>11,300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bs_fixed_FY2324</w:t>
            </w:r>
          </w:p>
        </w:tc>
        <w:tc>
          <w:tcPr>
            <w:tcW w:type="dxa" w:w="1944"/>
          </w:tcPr>
          <w:p>
            <w:pPr>
              <w:spacing w:after="20"/>
              <w:jc w:val="left"/>
            </w:pPr>
            <w:r>
              <w:rPr>
                <w:color w:val="1C3A36"/>
                <w:sz w:val="14"/>
              </w:rPr>
              <w:t>14,144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bs_fixed_FY2425</w:t>
            </w:r>
          </w:p>
        </w:tc>
        <w:tc>
          <w:tcPr>
            <w:tcW w:type="dxa" w:w="1944"/>
          </w:tcPr>
          <w:p>
            <w:pPr>
              <w:spacing w:after="20"/>
              <w:jc w:val="left"/>
            </w:pPr>
            <w:r>
              <w:rPr>
                <w:color w:val="1C3A36"/>
                <w:sz w:val="14"/>
              </w:rPr>
              <w:t>13,587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bs_fixed_M9FY2526</w:t>
            </w:r>
          </w:p>
        </w:tc>
        <w:tc>
          <w:tcPr>
            <w:tcW w:type="dxa" w:w="1944"/>
          </w:tcPr>
          <w:p>
            <w:pPr>
              <w:spacing w:after="20"/>
              <w:jc w:val="left"/>
            </w:pPr>
            <w:r>
              <w:rPr>
                <w:color w:val="1C3A36"/>
                <w:sz w:val="14"/>
              </w:rPr>
              <w:t>13,058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bs_fvoci_FY2223</w:t>
            </w:r>
          </w:p>
        </w:tc>
        <w:tc>
          <w:tcPr>
            <w:tcW w:type="dxa" w:w="1944"/>
          </w:tcPr>
          <w:p>
            <w:pPr>
              <w:spacing w:after="20"/>
              <w:jc w:val="left"/>
            </w:pPr>
            <w:r>
              <w:rPr>
                <w:color w:val="1C3A36"/>
                <w:sz w:val="14"/>
              </w:rPr>
              <w:t>1,855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bs_fvoci_FY2324</w:t>
            </w:r>
          </w:p>
        </w:tc>
        <w:tc>
          <w:tcPr>
            <w:tcW w:type="dxa" w:w="1944"/>
          </w:tcPr>
          <w:p>
            <w:pPr>
              <w:spacing w:after="20"/>
              <w:jc w:val="left"/>
            </w:pPr>
            <w:r>
              <w:rPr>
                <w:color w:val="1C3A36"/>
                <w:sz w:val="14"/>
              </w:rPr>
              <w:t>2,491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bs_fvoci_FY2425</w:t>
            </w:r>
          </w:p>
        </w:tc>
        <w:tc>
          <w:tcPr>
            <w:tcW w:type="dxa" w:w="1944"/>
          </w:tcPr>
          <w:p>
            <w:pPr>
              <w:spacing w:after="20"/>
              <w:jc w:val="left"/>
            </w:pPr>
            <w:r>
              <w:rPr>
                <w:color w:val="1C3A36"/>
                <w:sz w:val="14"/>
              </w:rPr>
              <w:t>2,163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bs_fvoci_M9FY2526</w:t>
            </w:r>
          </w:p>
        </w:tc>
        <w:tc>
          <w:tcPr>
            <w:tcW w:type="dxa" w:w="1944"/>
          </w:tcPr>
          <w:p>
            <w:pPr>
              <w:spacing w:after="20"/>
              <w:jc w:val="left"/>
            </w:pPr>
            <w:r>
              <w:rPr>
                <w:color w:val="1C3A36"/>
                <w:sz w:val="14"/>
              </w:rPr>
              <w:t>1,383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bs_intang_FY2223</w:t>
            </w:r>
          </w:p>
        </w:tc>
        <w:tc>
          <w:tcPr>
            <w:tcW w:type="dxa" w:w="1944"/>
          </w:tcPr>
          <w:p>
            <w:pPr>
              <w:spacing w:after="20"/>
              <w:jc w:val="left"/>
            </w:pPr>
            <w:r>
              <w:rPr>
                <w:color w:val="1C3A36"/>
                <w:sz w:val="14"/>
              </w:rPr>
              <w:t>1,909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bs_intang_FY2324</w:t>
            </w:r>
          </w:p>
        </w:tc>
        <w:tc>
          <w:tcPr>
            <w:tcW w:type="dxa" w:w="1944"/>
          </w:tcPr>
          <w:p>
            <w:pPr>
              <w:spacing w:after="20"/>
              <w:jc w:val="left"/>
            </w:pPr>
            <w:r>
              <w:rPr>
                <w:color w:val="1C3A36"/>
                <w:sz w:val="14"/>
              </w:rPr>
              <w:t>2,376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bs_intang_FY2425</w:t>
            </w:r>
          </w:p>
        </w:tc>
        <w:tc>
          <w:tcPr>
            <w:tcW w:type="dxa" w:w="1944"/>
          </w:tcPr>
          <w:p>
            <w:pPr>
              <w:spacing w:after="20"/>
              <w:jc w:val="left"/>
            </w:pPr>
            <w:r>
              <w:rPr>
                <w:color w:val="1C3A36"/>
                <w:sz w:val="14"/>
              </w:rPr>
              <w:t>2,257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bs_intang_M9FY2526</w:t>
            </w:r>
          </w:p>
        </w:tc>
        <w:tc>
          <w:tcPr>
            <w:tcW w:type="dxa" w:w="1944"/>
          </w:tcPr>
          <w:p>
            <w:pPr>
              <w:spacing w:after="20"/>
              <w:jc w:val="left"/>
            </w:pPr>
            <w:r>
              <w:rPr>
                <w:color w:val="1C3A36"/>
                <w:sz w:val="14"/>
              </w:rPr>
              <w:t>2,170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bs_inventory_FY2223</w:t>
            </w:r>
          </w:p>
        </w:tc>
        <w:tc>
          <w:tcPr>
            <w:tcW w:type="dxa" w:w="1944"/>
          </w:tcPr>
          <w:p>
            <w:pPr>
              <w:spacing w:after="20"/>
              <w:jc w:val="left"/>
            </w:pPr>
            <w:r>
              <w:rPr>
                <w:color w:val="1C3A36"/>
                <w:sz w:val="14"/>
              </w:rPr>
              <w:t>1,392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bs_inventory_FY2324</w:t>
            </w:r>
          </w:p>
        </w:tc>
        <w:tc>
          <w:tcPr>
            <w:tcW w:type="dxa" w:w="1944"/>
          </w:tcPr>
          <w:p>
            <w:pPr>
              <w:spacing w:after="20"/>
              <w:jc w:val="left"/>
            </w:pPr>
            <w:r>
              <w:rPr>
                <w:color w:val="1C3A36"/>
                <w:sz w:val="14"/>
              </w:rPr>
              <w:t>1,615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bs_inventory_FY2425</w:t>
            </w:r>
          </w:p>
        </w:tc>
        <w:tc>
          <w:tcPr>
            <w:tcW w:type="dxa" w:w="1944"/>
          </w:tcPr>
          <w:p>
            <w:pPr>
              <w:spacing w:after="20"/>
              <w:jc w:val="left"/>
            </w:pPr>
            <w:r>
              <w:rPr>
                <w:color w:val="1C3A36"/>
                <w:sz w:val="14"/>
              </w:rPr>
              <w:t>2,400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bs_inventory_M9FY2526</w:t>
            </w:r>
          </w:p>
        </w:tc>
        <w:tc>
          <w:tcPr>
            <w:tcW w:type="dxa" w:w="1944"/>
          </w:tcPr>
          <w:p>
            <w:pPr>
              <w:spacing w:after="20"/>
              <w:jc w:val="left"/>
            </w:pPr>
            <w:r>
              <w:rPr>
                <w:color w:val="1C3A36"/>
                <w:sz w:val="14"/>
              </w:rPr>
              <w:t>3,378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bs_invprop_FY2223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bs_invprop_FY2324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bs_invprop_FY2425</w:t>
            </w:r>
          </w:p>
        </w:tc>
        <w:tc>
          <w:tcPr>
            <w:tcW w:type="dxa" w:w="1944"/>
          </w:tcPr>
          <w:p>
            <w:pPr>
              <w:spacing w:after="20"/>
              <w:jc w:val="left"/>
            </w:pPr>
            <w:r>
              <w:rPr>
                <w:color w:val="1C3A36"/>
                <w:sz w:val="14"/>
              </w:rPr>
              <w:t>2,161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bs_invprop_M9FY2526</w:t>
            </w:r>
          </w:p>
        </w:tc>
        <w:tc>
          <w:tcPr>
            <w:tcW w:type="dxa" w:w="1944"/>
          </w:tcPr>
          <w:p>
            <w:pPr>
              <w:spacing w:after="20"/>
              <w:jc w:val="left"/>
            </w:pPr>
            <w:r>
              <w:rPr>
                <w:color w:val="1C3A36"/>
                <w:sz w:val="14"/>
              </w:rPr>
              <w:t>2,155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bs_loansext_FY2223</w:t>
            </w:r>
          </w:p>
        </w:tc>
        <w:tc>
          <w:tcPr>
            <w:tcW w:type="dxa" w:w="1944"/>
          </w:tcPr>
          <w:p>
            <w:pPr>
              <w:spacing w:after="20"/>
              <w:jc w:val="left"/>
            </w:pPr>
            <w:r>
              <w:rPr>
                <w:color w:val="1C3A36"/>
                <w:sz w:val="14"/>
              </w:rPr>
              <w:t>0.328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loans to others</w:t>
            </w:r>
          </w:p>
        </w:tc>
      </w:tr>
      <w:tr>
        <w:tc>
          <w:tcPr>
            <w:tcW w:type="dxa" w:w="2448"/>
          </w:tcPr>
          <w:p>
            <w:pPr>
              <w:spacing w:after="20"/>
              <w:jc w:val="left"/>
            </w:pPr>
            <w:r>
              <w:rPr>
                <w:color w:val="1C3A36"/>
                <w:sz w:val="14"/>
              </w:rPr>
              <w:t>bs_loansext_FY2324</w:t>
            </w:r>
          </w:p>
        </w:tc>
        <w:tc>
          <w:tcPr>
            <w:tcW w:type="dxa" w:w="1944"/>
          </w:tcPr>
          <w:p>
            <w:pPr>
              <w:spacing w:after="20"/>
              <w:jc w:val="left"/>
            </w:pPr>
            <w:r>
              <w:rPr>
                <w:color w:val="1C3A36"/>
                <w:sz w:val="14"/>
              </w:rPr>
              <w:t>0.298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loans to others</w:t>
            </w:r>
          </w:p>
        </w:tc>
      </w:tr>
      <w:tr>
        <w:tc>
          <w:tcPr>
            <w:tcW w:type="dxa" w:w="2448"/>
          </w:tcPr>
          <w:p>
            <w:pPr>
              <w:spacing w:after="20"/>
              <w:jc w:val="left"/>
            </w:pPr>
            <w:r>
              <w:rPr>
                <w:color w:val="1C3A36"/>
                <w:sz w:val="14"/>
              </w:rPr>
              <w:t>bs_loansext_FY2425</w:t>
            </w:r>
          </w:p>
        </w:tc>
        <w:tc>
          <w:tcPr>
            <w:tcW w:type="dxa" w:w="1944"/>
          </w:tcPr>
          <w:p>
            <w:pPr>
              <w:spacing w:after="20"/>
              <w:jc w:val="left"/>
            </w:pPr>
            <w:r>
              <w:rPr>
                <w:color w:val="1C3A36"/>
                <w:sz w:val="14"/>
              </w:rPr>
              <w:t>0.255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loans to others</w:t>
            </w:r>
          </w:p>
        </w:tc>
      </w:tr>
      <w:tr>
        <w:tc>
          <w:tcPr>
            <w:tcW w:type="dxa" w:w="2448"/>
          </w:tcPr>
          <w:p>
            <w:pPr>
              <w:spacing w:after="20"/>
              <w:jc w:val="left"/>
            </w:pPr>
            <w:r>
              <w:rPr>
                <w:color w:val="1C3A36"/>
                <w:sz w:val="14"/>
              </w:rPr>
              <w:t>bs_loansext_M9FY2526</w:t>
            </w:r>
          </w:p>
        </w:tc>
        <w:tc>
          <w:tcPr>
            <w:tcW w:type="dxa" w:w="1944"/>
          </w:tcPr>
          <w:p>
            <w:pPr>
              <w:spacing w:after="20"/>
              <w:jc w:val="left"/>
            </w:pPr>
            <w:r>
              <w:rPr>
                <w:color w:val="1C3A36"/>
                <w:sz w:val="14"/>
              </w:rPr>
              <w:t>0.238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loans to others</w:t>
            </w:r>
          </w:p>
        </w:tc>
      </w:tr>
      <w:tr>
        <w:tc>
          <w:tcPr>
            <w:tcW w:type="dxa" w:w="2448"/>
          </w:tcPr>
          <w:p>
            <w:pPr>
              <w:spacing w:after="20"/>
              <w:jc w:val="left"/>
            </w:pPr>
            <w:r>
              <w:rPr>
                <w:color w:val="1C3A36"/>
                <w:sz w:val="14"/>
              </w:rPr>
              <w:t>bs_otherfin_FY2223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other non-current financial assets</w:t>
            </w:r>
          </w:p>
        </w:tc>
      </w:tr>
      <w:tr>
        <w:tc>
          <w:tcPr>
            <w:tcW w:type="dxa" w:w="2448"/>
          </w:tcPr>
          <w:p>
            <w:pPr>
              <w:spacing w:after="20"/>
              <w:jc w:val="left"/>
            </w:pPr>
            <w:r>
              <w:rPr>
                <w:color w:val="1C3A36"/>
                <w:sz w:val="14"/>
              </w:rPr>
              <w:t>bs_otherfin_FY2324</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other non-current financial assets</w:t>
            </w:r>
          </w:p>
        </w:tc>
      </w:tr>
      <w:tr>
        <w:tc>
          <w:tcPr>
            <w:tcW w:type="dxa" w:w="2448"/>
          </w:tcPr>
          <w:p>
            <w:pPr>
              <w:spacing w:after="20"/>
              <w:jc w:val="left"/>
            </w:pPr>
            <w:r>
              <w:rPr>
                <w:color w:val="1C3A36"/>
                <w:sz w:val="14"/>
              </w:rPr>
              <w:t>bs_otherfin_FY2425</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other non-current financial assets</w:t>
            </w:r>
          </w:p>
        </w:tc>
      </w:tr>
      <w:tr>
        <w:tc>
          <w:tcPr>
            <w:tcW w:type="dxa" w:w="2448"/>
          </w:tcPr>
          <w:p>
            <w:pPr>
              <w:spacing w:after="20"/>
              <w:jc w:val="left"/>
            </w:pPr>
            <w:r>
              <w:rPr>
                <w:color w:val="1C3A36"/>
                <w:sz w:val="14"/>
              </w:rPr>
              <w:t>bs_otherfin_M9FY2526</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other non-current financial assets</w:t>
            </w:r>
          </w:p>
        </w:tc>
      </w:tr>
      <w:tr>
        <w:tc>
          <w:tcPr>
            <w:tcW w:type="dxa" w:w="2448"/>
          </w:tcPr>
          <w:p>
            <w:pPr>
              <w:spacing w:after="20"/>
              <w:jc w:val="left"/>
            </w:pPr>
            <w:r>
              <w:rPr>
                <w:color w:val="1C3A36"/>
                <w:sz w:val="14"/>
              </w:rPr>
              <w:t>bs_payables_FY2223</w:t>
            </w:r>
          </w:p>
        </w:tc>
        <w:tc>
          <w:tcPr>
            <w:tcW w:type="dxa" w:w="1944"/>
          </w:tcPr>
          <w:p>
            <w:pPr>
              <w:spacing w:after="20"/>
              <w:jc w:val="left"/>
            </w:pPr>
            <w:r>
              <w:rPr>
                <w:color w:val="1C3A36"/>
                <w:sz w:val="14"/>
              </w:rPr>
              <w:t>1,368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bs_payables_FY2324</w:t>
            </w:r>
          </w:p>
        </w:tc>
        <w:tc>
          <w:tcPr>
            <w:tcW w:type="dxa" w:w="1944"/>
          </w:tcPr>
          <w:p>
            <w:pPr>
              <w:spacing w:after="20"/>
              <w:jc w:val="left"/>
            </w:pPr>
            <w:r>
              <w:rPr>
                <w:color w:val="1C3A36"/>
                <w:sz w:val="14"/>
              </w:rPr>
              <w:t>1,587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bs_payables_FY2425</w:t>
            </w:r>
          </w:p>
        </w:tc>
        <w:tc>
          <w:tcPr>
            <w:tcW w:type="dxa" w:w="1944"/>
          </w:tcPr>
          <w:p>
            <w:pPr>
              <w:spacing w:after="20"/>
              <w:jc w:val="left"/>
            </w:pPr>
            <w:r>
              <w:rPr>
                <w:color w:val="1C3A36"/>
                <w:sz w:val="14"/>
              </w:rPr>
              <w:t>1,208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bs_payables_M9FY2526</w:t>
            </w:r>
          </w:p>
        </w:tc>
        <w:tc>
          <w:tcPr>
            <w:tcW w:type="dxa" w:w="1944"/>
          </w:tcPr>
          <w:p>
            <w:pPr>
              <w:spacing w:after="20"/>
              <w:jc w:val="left"/>
            </w:pPr>
            <w:r>
              <w:rPr>
                <w:color w:val="1C3A36"/>
                <w:sz w:val="14"/>
              </w:rPr>
              <w:t>1,539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bs_provisions_FY2223</w:t>
            </w:r>
          </w:p>
        </w:tc>
        <w:tc>
          <w:tcPr>
            <w:tcW w:type="dxa" w:w="1944"/>
          </w:tcPr>
          <w:p>
            <w:pPr>
              <w:spacing w:after="20"/>
              <w:jc w:val="left"/>
            </w:pPr>
            <w:r>
              <w:rPr>
                <w:color w:val="1C3A36"/>
                <w:sz w:val="14"/>
              </w:rPr>
              <w:t>144.359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bs_provisions_FY2324</w:t>
            </w:r>
          </w:p>
        </w:tc>
        <w:tc>
          <w:tcPr>
            <w:tcW w:type="dxa" w:w="1944"/>
          </w:tcPr>
          <w:p>
            <w:pPr>
              <w:spacing w:after="20"/>
              <w:jc w:val="left"/>
            </w:pPr>
            <w:r>
              <w:rPr>
                <w:color w:val="1C3A36"/>
                <w:sz w:val="14"/>
              </w:rPr>
              <w:t>432.156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bs_provisions_FY2425</w:t>
            </w:r>
          </w:p>
        </w:tc>
        <w:tc>
          <w:tcPr>
            <w:tcW w:type="dxa" w:w="1944"/>
          </w:tcPr>
          <w:p>
            <w:pPr>
              <w:spacing w:after="20"/>
              <w:jc w:val="left"/>
            </w:pPr>
            <w:r>
              <w:rPr>
                <w:color w:val="1C3A36"/>
                <w:sz w:val="14"/>
              </w:rPr>
              <w:t>309.113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bs_provisions_M9FY2526</w:t>
            </w:r>
          </w:p>
        </w:tc>
        <w:tc>
          <w:tcPr>
            <w:tcW w:type="dxa" w:w="1944"/>
          </w:tcPr>
          <w:p>
            <w:pPr>
              <w:spacing w:after="20"/>
              <w:jc w:val="left"/>
            </w:pPr>
            <w:r>
              <w:rPr>
                <w:color w:val="1C3A36"/>
                <w:sz w:val="14"/>
              </w:rPr>
              <w:t>291.769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bs_receivables_FY2223</w:t>
            </w:r>
          </w:p>
        </w:tc>
        <w:tc>
          <w:tcPr>
            <w:tcW w:type="dxa" w:w="1944"/>
          </w:tcPr>
          <w:p>
            <w:pPr>
              <w:spacing w:after="20"/>
              <w:jc w:val="left"/>
            </w:pPr>
            <w:r>
              <w:rPr>
                <w:color w:val="1C3A36"/>
                <w:sz w:val="14"/>
              </w:rPr>
              <w:t>798.577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bs_receivables_FY2324</w:t>
            </w:r>
          </w:p>
        </w:tc>
        <w:tc>
          <w:tcPr>
            <w:tcW w:type="dxa" w:w="1944"/>
          </w:tcPr>
          <w:p>
            <w:pPr>
              <w:spacing w:after="20"/>
              <w:jc w:val="left"/>
            </w:pPr>
            <w:r>
              <w:rPr>
                <w:color w:val="1C3A36"/>
                <w:sz w:val="14"/>
              </w:rPr>
              <w:t>858.39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bs_receivables_FY2425</w:t>
            </w:r>
          </w:p>
        </w:tc>
        <w:tc>
          <w:tcPr>
            <w:tcW w:type="dxa" w:w="1944"/>
          </w:tcPr>
          <w:p>
            <w:pPr>
              <w:spacing w:after="20"/>
              <w:jc w:val="left"/>
            </w:pPr>
            <w:r>
              <w:rPr>
                <w:color w:val="1C3A36"/>
                <w:sz w:val="14"/>
              </w:rPr>
              <w:t>631.047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bs_receivables_M9FY2526</w:t>
            </w:r>
          </w:p>
        </w:tc>
        <w:tc>
          <w:tcPr>
            <w:tcW w:type="dxa" w:w="1944"/>
          </w:tcPr>
          <w:p>
            <w:pPr>
              <w:spacing w:after="20"/>
              <w:jc w:val="left"/>
            </w:pPr>
            <w:r>
              <w:rPr>
                <w:color w:val="1C3A36"/>
                <w:sz w:val="14"/>
              </w:rPr>
              <w:t>1,230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bs_reserves_FY2223</w:t>
            </w:r>
          </w:p>
        </w:tc>
        <w:tc>
          <w:tcPr>
            <w:tcW w:type="dxa" w:w="1944"/>
          </w:tcPr>
          <w:p>
            <w:pPr>
              <w:spacing w:after="20"/>
              <w:jc w:val="left"/>
            </w:pPr>
            <w:r>
              <w:rPr>
                <w:color w:val="1C3A36"/>
                <w:sz w:val="14"/>
              </w:rPr>
              <w:t>1,317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bs_reserves_FY2324</w:t>
            </w:r>
          </w:p>
        </w:tc>
        <w:tc>
          <w:tcPr>
            <w:tcW w:type="dxa" w:w="1944"/>
          </w:tcPr>
          <w:p>
            <w:pPr>
              <w:spacing w:after="20"/>
              <w:jc w:val="left"/>
            </w:pPr>
            <w:r>
              <w:rPr>
                <w:color w:val="1C3A36"/>
                <w:sz w:val="14"/>
              </w:rPr>
              <w:t>4,627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bs_reserves_FY2425</w:t>
            </w:r>
          </w:p>
        </w:tc>
        <w:tc>
          <w:tcPr>
            <w:tcW w:type="dxa" w:w="1944"/>
          </w:tcPr>
          <w:p>
            <w:pPr>
              <w:spacing w:after="20"/>
              <w:jc w:val="left"/>
            </w:pPr>
            <w:r>
              <w:rPr>
                <w:color w:val="1C3A36"/>
                <w:sz w:val="14"/>
              </w:rPr>
              <w:t>5,430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bs_reserves_M9FY2526</w:t>
            </w:r>
          </w:p>
        </w:tc>
        <w:tc>
          <w:tcPr>
            <w:tcW w:type="dxa" w:w="1944"/>
          </w:tcPr>
          <w:p>
            <w:pPr>
              <w:spacing w:after="20"/>
              <w:jc w:val="left"/>
            </w:pPr>
            <w:r>
              <w:rPr>
                <w:color w:val="1C3A36"/>
                <w:sz w:val="14"/>
              </w:rPr>
              <w:t>6,273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budget_net_9M</w:t>
            </w:r>
          </w:p>
        </w:tc>
        <w:tc>
          <w:tcPr>
            <w:tcW w:type="dxa" w:w="1944"/>
          </w:tcPr>
          <w:p>
            <w:pPr>
              <w:spacing w:after="20"/>
              <w:jc w:val="left"/>
            </w:pPr>
            <w:r>
              <w:rPr>
                <w:color w:val="1C3A36"/>
                <w:sz w:val="14"/>
              </w:rPr>
              <w:t>1,022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the company's own budget column</w:t>
            </w:r>
          </w:p>
        </w:tc>
      </w:tr>
      <w:tr>
        <w:tc>
          <w:tcPr>
            <w:tcW w:type="dxa" w:w="2448"/>
          </w:tcPr>
          <w:p>
            <w:pPr>
              <w:spacing w:after="20"/>
              <w:jc w:val="left"/>
            </w:pPr>
            <w:r>
              <w:rPr>
                <w:color w:val="1C3A36"/>
                <w:sz w:val="14"/>
              </w:rPr>
              <w:t>capex_paid_9M_FY2526</w:t>
            </w:r>
          </w:p>
        </w:tc>
        <w:tc>
          <w:tcPr>
            <w:tcW w:type="dxa" w:w="1944"/>
          </w:tcPr>
          <w:p>
            <w:pPr>
              <w:spacing w:after="20"/>
              <w:jc w:val="left"/>
            </w:pPr>
            <w:r>
              <w:rPr>
                <w:color w:val="1C3A36"/>
                <w:sz w:val="14"/>
              </w:rPr>
              <w:t>1,949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cash-flow statement, payments to acquire fixed assets</w:t>
            </w:r>
          </w:p>
        </w:tc>
      </w:tr>
      <w:tr>
        <w:tc>
          <w:tcPr>
            <w:tcW w:type="dxa" w:w="2448"/>
          </w:tcPr>
          <w:p>
            <w:pPr>
              <w:spacing w:after="20"/>
              <w:jc w:val="left"/>
            </w:pPr>
            <w:r>
              <w:rPr>
                <w:color w:val="1C3A36"/>
                <w:sz w:val="14"/>
              </w:rPr>
              <w:t>capex_paid_FY2122</w:t>
            </w:r>
          </w:p>
        </w:tc>
        <w:tc>
          <w:tcPr>
            <w:tcW w:type="dxa" w:w="1944"/>
          </w:tcPr>
          <w:p>
            <w:pPr>
              <w:spacing w:after="20"/>
              <w:jc w:val="left"/>
            </w:pPr>
            <w:r>
              <w:rPr>
                <w:color w:val="1C3A36"/>
                <w:sz w:val="14"/>
              </w:rPr>
              <w:t>80.8472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2022 (comparative column of the FY2022/23 statements), cash-flow statement, payments to acquire fixed assets</w:t>
            </w:r>
          </w:p>
        </w:tc>
      </w:tr>
      <w:tr>
        <w:tc>
          <w:tcPr>
            <w:tcW w:type="dxa" w:w="2448"/>
          </w:tcPr>
          <w:p>
            <w:pPr>
              <w:spacing w:after="20"/>
              <w:jc w:val="left"/>
            </w:pPr>
            <w:r>
              <w:rPr>
                <w:color w:val="1C3A36"/>
                <w:sz w:val="14"/>
              </w:rPr>
              <w:t>capex_paid_FY2223</w:t>
            </w:r>
          </w:p>
        </w:tc>
        <w:tc>
          <w:tcPr>
            <w:tcW w:type="dxa" w:w="1944"/>
          </w:tcPr>
          <w:p>
            <w:pPr>
              <w:spacing w:after="20"/>
              <w:jc w:val="left"/>
            </w:pPr>
            <w:r>
              <w:rPr>
                <w:color w:val="1C3A36"/>
                <w:sz w:val="14"/>
              </w:rPr>
              <w:t>42.4702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cash-flow statement, payments to acquire fixed assets</w:t>
            </w:r>
          </w:p>
        </w:tc>
      </w:tr>
      <w:tr>
        <w:tc>
          <w:tcPr>
            <w:tcW w:type="dxa" w:w="2448"/>
          </w:tcPr>
          <w:p>
            <w:pPr>
              <w:spacing w:after="20"/>
              <w:jc w:val="left"/>
            </w:pPr>
            <w:r>
              <w:rPr>
                <w:color w:val="1C3A36"/>
                <w:sz w:val="14"/>
              </w:rPr>
              <w:t>capex_paid_FY2324</w:t>
            </w:r>
          </w:p>
        </w:tc>
        <w:tc>
          <w:tcPr>
            <w:tcW w:type="dxa" w:w="1944"/>
          </w:tcPr>
          <w:p>
            <w:pPr>
              <w:spacing w:after="20"/>
              <w:jc w:val="left"/>
            </w:pPr>
            <w:r>
              <w:rPr>
                <w:color w:val="1C3A36"/>
                <w:sz w:val="14"/>
              </w:rPr>
              <w:t>2,397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comparative column, payments to acquire fixed assets (projects under construction) — reconciles exactly to the disclosed investing total with the asset-sale and loan-collection lines</w:t>
            </w:r>
          </w:p>
        </w:tc>
      </w:tr>
      <w:tr>
        <w:tc>
          <w:tcPr>
            <w:tcW w:type="dxa" w:w="2448"/>
          </w:tcPr>
          <w:p>
            <w:pPr>
              <w:spacing w:after="20"/>
              <w:jc w:val="left"/>
            </w:pPr>
            <w:r>
              <w:rPr>
                <w:color w:val="1C3A36"/>
                <w:sz w:val="14"/>
              </w:rPr>
              <w:t>capex_paid_FY2425</w:t>
            </w:r>
          </w:p>
        </w:tc>
        <w:tc>
          <w:tcPr>
            <w:tcW w:type="dxa" w:w="1944"/>
          </w:tcPr>
          <w:p>
            <w:pPr>
              <w:spacing w:after="20"/>
              <w:jc w:val="left"/>
            </w:pPr>
            <w:r>
              <w:rPr>
                <w:color w:val="1C3A36"/>
                <w:sz w:val="14"/>
              </w:rPr>
              <w:t>1,545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payments to acquire fixed assets (projects under construction)</w:t>
            </w:r>
          </w:p>
        </w:tc>
      </w:tr>
      <w:tr>
        <w:tc>
          <w:tcPr>
            <w:tcW w:type="dxa" w:w="2448"/>
          </w:tcPr>
          <w:p>
            <w:pPr>
              <w:spacing w:after="20"/>
              <w:jc w:val="left"/>
            </w:pPr>
            <w:r>
              <w:rPr>
                <w:color w:val="1C3A36"/>
                <w:sz w:val="14"/>
              </w:rPr>
              <w:t>cogs_dep_FY2223</w:t>
            </w:r>
          </w:p>
        </w:tc>
        <w:tc>
          <w:tcPr>
            <w:tcW w:type="dxa" w:w="1944"/>
          </w:tcPr>
          <w:p>
            <w:pPr>
              <w:spacing w:after="20"/>
              <w:jc w:val="left"/>
            </w:pPr>
            <w:r>
              <w:rPr>
                <w:color w:val="1C3A36"/>
                <w:sz w:val="14"/>
              </w:rPr>
              <w:t>627.213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note 21 cost of sales</w:t>
            </w:r>
          </w:p>
        </w:tc>
      </w:tr>
      <w:tr>
        <w:tc>
          <w:tcPr>
            <w:tcW w:type="dxa" w:w="2448"/>
          </w:tcPr>
          <w:p>
            <w:pPr>
              <w:spacing w:after="20"/>
              <w:jc w:val="left"/>
            </w:pPr>
            <w:r>
              <w:rPr>
                <w:color w:val="1C3A36"/>
                <w:sz w:val="14"/>
              </w:rPr>
              <w:t>cogs_dep_FY2324</w:t>
            </w:r>
          </w:p>
        </w:tc>
        <w:tc>
          <w:tcPr>
            <w:tcW w:type="dxa" w:w="1944"/>
          </w:tcPr>
          <w:p>
            <w:pPr>
              <w:spacing w:after="20"/>
              <w:jc w:val="left"/>
            </w:pPr>
            <w:r>
              <w:rPr>
                <w:color w:val="1C3A36"/>
                <w:sz w:val="14"/>
              </w:rPr>
              <w:t>662.634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note 21 cost of sales</w:t>
            </w:r>
          </w:p>
        </w:tc>
      </w:tr>
      <w:tr>
        <w:tc>
          <w:tcPr>
            <w:tcW w:type="dxa" w:w="2448"/>
          </w:tcPr>
          <w:p>
            <w:pPr>
              <w:spacing w:after="20"/>
              <w:jc w:val="left"/>
            </w:pPr>
            <w:r>
              <w:rPr>
                <w:color w:val="1C3A36"/>
                <w:sz w:val="14"/>
              </w:rPr>
              <w:t>cogs_dep_FY2425</w:t>
            </w:r>
          </w:p>
        </w:tc>
        <w:tc>
          <w:tcPr>
            <w:tcW w:type="dxa" w:w="1944"/>
          </w:tcPr>
          <w:p>
            <w:pPr>
              <w:spacing w:after="20"/>
              <w:jc w:val="left"/>
            </w:pPr>
            <w:r>
              <w:rPr>
                <w:color w:val="1C3A36"/>
                <w:sz w:val="14"/>
              </w:rPr>
              <w:t>776.471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cogs_materials_FY2425</w:t>
            </w:r>
          </w:p>
        </w:tc>
        <w:tc>
          <w:tcPr>
            <w:tcW w:type="dxa" w:w="1944"/>
          </w:tcPr>
          <w:p>
            <w:pPr>
              <w:spacing w:after="20"/>
              <w:jc w:val="left"/>
            </w:pPr>
            <w:r>
              <w:rPr>
                <w:color w:val="1C3A36"/>
                <w:sz w:val="14"/>
              </w:rPr>
              <w:t>4,399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cogs_services_FY2425</w:t>
            </w:r>
          </w:p>
        </w:tc>
        <w:tc>
          <w:tcPr>
            <w:tcW w:type="dxa" w:w="1944"/>
          </w:tcPr>
          <w:p>
            <w:pPr>
              <w:spacing w:after="20"/>
              <w:jc w:val="left"/>
            </w:pPr>
            <w:r>
              <w:rPr>
                <w:color w:val="1C3A36"/>
                <w:sz w:val="14"/>
              </w:rPr>
              <w:t>62.557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cogs_wages_FY2425</w:t>
            </w:r>
          </w:p>
        </w:tc>
        <w:tc>
          <w:tcPr>
            <w:tcW w:type="dxa" w:w="1944"/>
          </w:tcPr>
          <w:p>
            <w:pPr>
              <w:spacing w:after="20"/>
              <w:jc w:val="left"/>
            </w:pPr>
            <w:r>
              <w:rPr>
                <w:color w:val="1C3A36"/>
                <w:sz w:val="14"/>
              </w:rPr>
              <w:t>212.857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dep_charge_FY2425</w:t>
            </w:r>
          </w:p>
        </w:tc>
        <w:tc>
          <w:tcPr>
            <w:tcW w:type="dxa" w:w="1944"/>
          </w:tcPr>
          <w:p>
            <w:pPr>
              <w:spacing w:after="20"/>
              <w:jc w:val="left"/>
            </w:pPr>
            <w:r>
              <w:rPr>
                <w:color w:val="1C3A36"/>
                <w:sz w:val="14"/>
              </w:rPr>
              <w:t>771.213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w:t>
            </w:r>
          </w:p>
        </w:tc>
      </w:tr>
      <w:tr>
        <w:tc>
          <w:tcPr>
            <w:tcW w:type="dxa" w:w="2448"/>
          </w:tcPr>
          <w:p>
            <w:pPr>
              <w:spacing w:after="20"/>
              <w:jc w:val="left"/>
            </w:pPr>
            <w:r>
              <w:rPr>
                <w:color w:val="1C3A36"/>
                <w:sz w:val="14"/>
              </w:rPr>
              <w:t>dep_rate_intangible</w:t>
            </w:r>
          </w:p>
        </w:tc>
        <w:tc>
          <w:tcPr>
            <w:tcW w:type="dxa" w:w="1944"/>
          </w:tcPr>
          <w:p>
            <w:pPr>
              <w:spacing w:after="20"/>
              <w:jc w:val="left"/>
            </w:pPr>
            <w:r>
              <w:rPr>
                <w:color w:val="1C3A36"/>
                <w:sz w:val="14"/>
              </w:rPr>
              <w:t>0.0475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w:t>
            </w:r>
          </w:p>
        </w:tc>
      </w:tr>
      <w:tr>
        <w:tc>
          <w:tcPr>
            <w:tcW w:type="dxa" w:w="2448"/>
          </w:tcPr>
          <w:p>
            <w:pPr>
              <w:spacing w:after="20"/>
              <w:jc w:val="left"/>
            </w:pPr>
            <w:r>
              <w:rPr>
                <w:color w:val="1C3A36"/>
                <w:sz w:val="14"/>
              </w:rPr>
              <w:t>dep_rate_kima2_machinery</w:t>
            </w:r>
          </w:p>
        </w:tc>
        <w:tc>
          <w:tcPr>
            <w:tcW w:type="dxa" w:w="1944"/>
          </w:tcPr>
          <w:p>
            <w:pPr>
              <w:spacing w:after="20"/>
              <w:jc w:val="left"/>
            </w:pPr>
            <w:r>
              <w:rPr>
                <w:color w:val="1C3A36"/>
                <w:sz w:val="14"/>
              </w:rPr>
              <w:t>0.0395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 depreciation rates</w:t>
            </w:r>
          </w:p>
        </w:tc>
      </w:tr>
      <w:tr>
        <w:tc>
          <w:tcPr>
            <w:tcW w:type="dxa" w:w="2448"/>
          </w:tcPr>
          <w:p>
            <w:pPr>
              <w:spacing w:after="20"/>
              <w:jc w:val="left"/>
            </w:pPr>
            <w:r>
              <w:rPr>
                <w:color w:val="1C3A36"/>
                <w:sz w:val="14"/>
              </w:rPr>
              <w:t>design_ammonia_tpd</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design_ammonia_tpy</w:t>
            </w:r>
          </w:p>
        </w:tc>
        <w:tc>
          <w:tcPr>
            <w:tcW w:type="dxa" w:w="1944"/>
          </w:tcPr>
          <w:p>
            <w:pPr>
              <w:spacing w:after="20"/>
              <w:jc w:val="left"/>
            </w:pPr>
            <w:r>
              <w:rPr>
                <w:color w:val="1C3A36"/>
                <w:sz w:val="14"/>
              </w:rPr>
              <w:t>438,000</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w:t>
            </w:r>
          </w:p>
        </w:tc>
      </w:tr>
      <w:tr>
        <w:tc>
          <w:tcPr>
            <w:tcW w:type="dxa" w:w="2448"/>
          </w:tcPr>
          <w:p>
            <w:pPr>
              <w:spacing w:after="20"/>
              <w:jc w:val="left"/>
            </w:pPr>
            <w:r>
              <w:rPr>
                <w:color w:val="1C3A36"/>
                <w:sz w:val="14"/>
              </w:rPr>
              <w:t>design_urea_tpd</w:t>
            </w:r>
          </w:p>
        </w:tc>
        <w:tc>
          <w:tcPr>
            <w:tcW w:type="dxa" w:w="1944"/>
          </w:tcPr>
          <w:p>
            <w:pPr>
              <w:spacing w:after="20"/>
              <w:jc w:val="left"/>
            </w:pPr>
            <w:r>
              <w:rPr>
                <w:color w:val="1C3A36"/>
                <w:sz w:val="14"/>
              </w:rPr>
              <w:t>1,575</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dividend_FY2324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proposed appropriation statement</w:t>
            </w:r>
          </w:p>
        </w:tc>
      </w:tr>
      <w:tr>
        <w:tc>
          <w:tcPr>
            <w:tcW w:type="dxa" w:w="2448"/>
          </w:tcPr>
          <w:p>
            <w:pPr>
              <w:spacing w:after="20"/>
              <w:jc w:val="left"/>
            </w:pPr>
            <w:r>
              <w:rPr>
                <w:color w:val="1C3A36"/>
                <w:sz w:val="14"/>
              </w:rPr>
              <w:t>dividend_FY2425</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proposed appropriation statement</w:t>
            </w:r>
          </w:p>
        </w:tc>
      </w:tr>
      <w:tr>
        <w:tc>
          <w:tcPr>
            <w:tcW w:type="dxa" w:w="2448"/>
          </w:tcPr>
          <w:p>
            <w:pPr>
              <w:spacing w:after="20"/>
              <w:jc w:val="left"/>
            </w:pPr>
            <w:r>
              <w:rPr>
                <w:color w:val="1C3A36"/>
                <w:sz w:val="14"/>
              </w:rPr>
              <w:t>export_levy_charged_FY2425</w:t>
            </w:r>
          </w:p>
        </w:tc>
        <w:tc>
          <w:tcPr>
            <w:tcW w:type="dxa" w:w="1944"/>
          </w:tcPr>
          <w:p>
            <w:pPr>
              <w:spacing w:after="20"/>
              <w:jc w:val="left"/>
            </w:pPr>
            <w:r>
              <w:rPr>
                <w:color w:val="1C3A36"/>
                <w:sz w:val="14"/>
              </w:rPr>
              <w:t>437.5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levy on the 175kt quota shortfall</w:t>
            </w:r>
          </w:p>
        </w:tc>
      </w:tr>
      <w:tr>
        <w:tc>
          <w:tcPr>
            <w:tcW w:type="dxa" w:w="2448"/>
          </w:tcPr>
          <w:p>
            <w:pPr>
              <w:spacing w:after="20"/>
              <w:jc w:val="left"/>
            </w:pPr>
            <w:r>
              <w:rPr>
                <w:color w:val="1C3A36"/>
                <w:sz w:val="14"/>
              </w:rPr>
              <w:t>export_price_FY2425_usd</w:t>
            </w:r>
          </w:p>
        </w:tc>
        <w:tc>
          <w:tcPr>
            <w:tcW w:type="dxa" w:w="1944"/>
          </w:tcPr>
          <w:p>
            <w:pPr>
              <w:spacing w:after="20"/>
              <w:jc w:val="left"/>
            </w:pPr>
            <w:r>
              <w:rPr>
                <w:color w:val="1C3A36"/>
                <w:sz w:val="14"/>
              </w:rPr>
              <w:t>385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Damietta urea stock — average export selling price for the year</w:t>
            </w:r>
          </w:p>
        </w:tc>
      </w:tr>
      <w:tr>
        <w:tc>
          <w:tcPr>
            <w:tcW w:type="dxa" w:w="2448"/>
          </w:tcPr>
          <w:p>
            <w:pPr>
              <w:spacing w:after="20"/>
              <w:jc w:val="left"/>
            </w:pPr>
            <w:r>
              <w:rPr>
                <w:color w:val="1C3A36"/>
                <w:sz w:val="14"/>
              </w:rPr>
              <w:t>fa_accum_dep_FY2425</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accumulated depreciation at 30 June 2025 — read by OCR off the rendered page; the accumulated-depreciation movement table reproduces it, and cost less accumulated reproduces the balance-sheet net book value of 13,587.193</w:t>
            </w:r>
          </w:p>
        </w:tc>
      </w:tr>
      <w:tr>
        <w:tc>
          <w:tcPr>
            <w:tcW w:type="dxa" w:w="2448"/>
          </w:tcPr>
          <w:p>
            <w:pPr>
              <w:spacing w:after="20"/>
              <w:jc w:val="left"/>
            </w:pPr>
            <w:r>
              <w:rPr>
                <w:color w:val="1C3A36"/>
                <w:sz w:val="14"/>
              </w:rPr>
              <w:t>fa_cost_gross_FY2425</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 cost column at 30 June 2025 — read by OCR off the rendered page; the cost movement table (opening balance plus additions less disposals) reproduces this figure exactly</w:t>
            </w:r>
          </w:p>
        </w:tc>
      </w:tr>
      <w:tr>
        <w:tc>
          <w:tcPr>
            <w:tcW w:type="dxa" w:w="2448"/>
          </w:tcPr>
          <w:p>
            <w:pPr>
              <w:spacing w:after="20"/>
              <w:jc w:val="left"/>
            </w:pPr>
            <w:r>
              <w:rPr>
                <w:color w:val="1C3A36"/>
                <w:sz w:val="14"/>
              </w:rPr>
              <w:t>fa_fully_dep_in_use_FY2425</w:t>
            </w:r>
          </w:p>
        </w:tc>
        <w:tc>
          <w:tcPr>
            <w:tcW w:type="dxa" w:w="1944"/>
          </w:tcPr>
          <w:p>
            <w:pPr>
              <w:spacing w:after="20"/>
              <w:jc w:val="left"/>
            </w:pPr>
            <w:r>
              <w:rPr>
                <w:color w:val="1C3A36"/>
                <w:sz w:val="14"/>
              </w:rPr>
              <w:t>220.4956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disclosure of assets fully depreciated and still in production — 1.3% of the depreciable base, which is what makes the gross-over-charge identity read close to a true weighted accounting life here rather than a longer economic cycle</w:t>
            </w:r>
          </w:p>
        </w:tc>
      </w:tr>
      <w:tr>
        <w:tc>
          <w:tcPr>
            <w:tcW w:type="dxa" w:w="2448"/>
          </w:tcPr>
          <w:p>
            <w:pPr>
              <w:spacing w:after="20"/>
              <w:jc w:val="left"/>
            </w:pPr>
            <w:r>
              <w:rPr>
                <w:color w:val="1C3A36"/>
                <w:sz w:val="14"/>
              </w:rPr>
              <w:t>fa_land_FY2425</w:t>
            </w:r>
          </w:p>
        </w:tc>
        <w:tc>
          <w:tcPr>
            <w:tcW w:type="dxa" w:w="1944"/>
          </w:tcPr>
          <w:p>
            <w:pPr>
              <w:spacing w:after="20"/>
              <w:jc w:val="left"/>
            </w:pPr>
            <w:r>
              <w:rPr>
                <w:color w:val="1C3A36"/>
                <w:sz w:val="14"/>
              </w:rPr>
              <w:t>1.6629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land, cross-checked against the total in note 4-6 — land is never depreciated and is removed before any life or age is derived</w:t>
            </w:r>
          </w:p>
        </w:tc>
      </w:tr>
      <w:tr>
        <w:tc>
          <w:tcPr>
            <w:tcW w:type="dxa" w:w="2448"/>
          </w:tcPr>
          <w:p>
            <w:pPr>
              <w:spacing w:after="20"/>
              <w:jc w:val="left"/>
            </w:pPr>
            <w:r>
              <w:rPr>
                <w:color w:val="1C3A36"/>
                <w:sz w:val="14"/>
              </w:rPr>
              <w:t>free_float</w:t>
            </w:r>
          </w:p>
        </w:tc>
        <w:tc>
          <w:tcPr>
            <w:tcW w:type="dxa" w:w="1944"/>
          </w:tcPr>
          <w:p>
            <w:pPr>
              <w:spacing w:after="20"/>
              <w:jc w:val="left"/>
            </w:pPr>
            <w:r>
              <w:rPr>
                <w:color w:val="1C3A36"/>
                <w:sz w:val="14"/>
              </w:rPr>
              <w:t>0.0618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fx_gain_Q1</w:t>
            </w:r>
          </w:p>
        </w:tc>
        <w:tc>
          <w:tcPr>
            <w:tcW w:type="dxa" w:w="1944"/>
          </w:tcPr>
          <w:p>
            <w:pPr>
              <w:spacing w:after="20"/>
              <w:jc w:val="left"/>
            </w:pPr>
            <w:r>
              <w:rPr>
                <w:color w:val="1C3A36"/>
                <w:sz w:val="14"/>
              </w:rPr>
              <w:t>357.162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income statement</w:t>
            </w:r>
          </w:p>
        </w:tc>
      </w:tr>
      <w:tr>
        <w:tc>
          <w:tcPr>
            <w:tcW w:type="dxa" w:w="2448"/>
          </w:tcPr>
          <w:p>
            <w:pPr>
              <w:spacing w:after="20"/>
              <w:jc w:val="left"/>
            </w:pPr>
            <w:r>
              <w:rPr>
                <w:color w:val="1C3A36"/>
                <w:sz w:val="14"/>
              </w:rPr>
              <w:t>fx_loss_9M</w:t>
            </w:r>
          </w:p>
        </w:tc>
        <w:tc>
          <w:tcPr>
            <w:tcW w:type="dxa" w:w="1944"/>
          </w:tcPr>
          <w:p>
            <w:pPr>
              <w:spacing w:after="20"/>
              <w:jc w:val="left"/>
            </w:pPr>
            <w:r>
              <w:rPr>
                <w:color w:val="1C3A36"/>
                <w:sz w:val="14"/>
              </w:rPr>
              <w:t>1,072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income statement</w:t>
            </w:r>
          </w:p>
        </w:tc>
      </w:tr>
      <w:tr>
        <w:tc>
          <w:tcPr>
            <w:tcW w:type="dxa" w:w="2448"/>
          </w:tcPr>
          <w:p>
            <w:pPr>
              <w:spacing w:after="20"/>
              <w:jc w:val="left"/>
            </w:pPr>
            <w:r>
              <w:rPr>
                <w:color w:val="1C3A36"/>
                <w:sz w:val="14"/>
              </w:rPr>
              <w:t>gas_abnormal_cum</w:t>
            </w:r>
          </w:p>
        </w:tc>
        <w:tc>
          <w:tcPr>
            <w:tcW w:type="dxa" w:w="1944"/>
          </w:tcPr>
          <w:p>
            <w:pPr>
              <w:spacing w:after="20"/>
              <w:jc w:val="left"/>
            </w:pPr>
            <w:r>
              <w:rPr>
                <w:color w:val="1C3A36"/>
                <w:sz w:val="14"/>
              </w:rPr>
              <w:t>781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cumulative since 1 July 2022</w:t>
            </w:r>
          </w:p>
        </w:tc>
      </w:tr>
      <w:tr>
        <w:tc>
          <w:tcPr>
            <w:tcW w:type="dxa" w:w="2448"/>
          </w:tcPr>
          <w:p>
            <w:pPr>
              <w:spacing w:after="20"/>
              <w:jc w:val="left"/>
            </w:pPr>
            <w:r>
              <w:rPr>
                <w:color w:val="1C3A36"/>
                <w:sz w:val="14"/>
              </w:rPr>
              <w:t>gas_abnormal_loss_FY2425</w:t>
            </w:r>
          </w:p>
        </w:tc>
        <w:tc>
          <w:tcPr>
            <w:tcW w:type="dxa" w:w="1944"/>
          </w:tcPr>
          <w:p>
            <w:pPr>
              <w:spacing w:after="20"/>
              <w:jc w:val="left"/>
            </w:pPr>
            <w:r>
              <w:rPr>
                <w:color w:val="1C3A36"/>
                <w:sz w:val="14"/>
              </w:rPr>
              <w:t>249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gas_august_m3_t</w:t>
            </w:r>
          </w:p>
        </w:tc>
        <w:tc>
          <w:tcPr>
            <w:tcW w:type="dxa" w:w="1944"/>
          </w:tcPr>
          <w:p>
            <w:pPr>
              <w:spacing w:after="20"/>
              <w:jc w:val="left"/>
            </w:pPr>
            <w:r>
              <w:rPr>
                <w:color w:val="1C3A36"/>
                <w:sz w:val="14"/>
              </w:rPr>
              <w:t>8,492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August 2025 actual, the plant idling and restarting</w:t>
            </w:r>
          </w:p>
        </w:tc>
      </w:tr>
      <w:tr>
        <w:tc>
          <w:tcPr>
            <w:tcW w:type="dxa" w:w="2448"/>
          </w:tcPr>
          <w:p>
            <w:pPr>
              <w:spacing w:after="20"/>
              <w:jc w:val="left"/>
            </w:pPr>
            <w:r>
              <w:rPr>
                <w:color w:val="1C3A36"/>
                <w:sz w:val="14"/>
              </w:rPr>
              <w:t>gas_contract_usd_mmbtu</w:t>
            </w:r>
          </w:p>
        </w:tc>
        <w:tc>
          <w:tcPr>
            <w:tcW w:type="dxa" w:w="1944"/>
          </w:tcPr>
          <w:p>
            <w:pPr>
              <w:spacing w:after="20"/>
              <w:jc w:val="left"/>
            </w:pPr>
            <w:r>
              <w:rPr>
                <w:color w:val="1C3A36"/>
                <w:sz w:val="14"/>
              </w:rPr>
              <w:t>5.75</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contingent liabilities — gas price raised from US$4.50 under the November 2021 decision</w:t>
            </w:r>
          </w:p>
        </w:tc>
      </w:tr>
      <w:tr>
        <w:tc>
          <w:tcPr>
            <w:tcW w:type="dxa" w:w="2448"/>
          </w:tcPr>
          <w:p>
            <w:pPr>
              <w:spacing w:after="20"/>
              <w:jc w:val="left"/>
            </w:pPr>
            <w:r>
              <w:rPr>
                <w:color w:val="1C3A36"/>
                <w:sz w:val="14"/>
              </w:rPr>
              <w:t>gas_loss_FY2425_m3</w:t>
            </w:r>
          </w:p>
        </w:tc>
        <w:tc>
          <w:tcPr>
            <w:tcW w:type="dxa" w:w="1944"/>
          </w:tcPr>
          <w:p>
            <w:pPr>
              <w:spacing w:after="20"/>
              <w:jc w:val="left"/>
            </w:pPr>
            <w:r>
              <w:rPr>
                <w:color w:val="1C3A36"/>
                <w:sz w:val="14"/>
              </w:rPr>
              <w:t>38,480,270</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gas_loss_Q1_egp</w:t>
            </w:r>
          </w:p>
        </w:tc>
        <w:tc>
          <w:tcPr>
            <w:tcW w:type="dxa" w:w="1944"/>
          </w:tcPr>
          <w:p>
            <w:pPr>
              <w:spacing w:after="20"/>
              <w:jc w:val="left"/>
            </w:pPr>
            <w:r>
              <w:rPr>
                <w:color w:val="1C3A36"/>
                <w:sz w:val="14"/>
              </w:rPr>
              <w:t>251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gas_loss_Q1_m3</w:t>
            </w:r>
          </w:p>
        </w:tc>
        <w:tc>
          <w:tcPr>
            <w:tcW w:type="dxa" w:w="1944"/>
          </w:tcPr>
          <w:p>
            <w:pPr>
              <w:spacing w:after="20"/>
              <w:jc w:val="left"/>
            </w:pPr>
            <w:r>
              <w:rPr>
                <w:color w:val="1C3A36"/>
                <w:sz w:val="14"/>
              </w:rPr>
              <w:t>31,313,235</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gas_standard_m3_t</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the standard rate</w:t>
            </w:r>
          </w:p>
        </w:tc>
      </w:tr>
      <w:tr>
        <w:tc>
          <w:tcPr>
            <w:tcW w:type="dxa" w:w="2448"/>
          </w:tcPr>
          <w:p>
            <w:pPr>
              <w:spacing w:after="20"/>
              <w:jc w:val="left"/>
            </w:pPr>
            <w:r>
              <w:rPr>
                <w:color w:val="1C3A36"/>
                <w:sz w:val="14"/>
              </w:rPr>
              <w:t>gas_usage_high_m3_t</w:t>
            </w:r>
          </w:p>
        </w:tc>
        <w:tc>
          <w:tcPr>
            <w:tcW w:type="dxa" w:w="1944"/>
          </w:tcPr>
          <w:p>
            <w:pPr>
              <w:spacing w:after="20"/>
              <w:jc w:val="left"/>
            </w:pPr>
            <w:r>
              <w:rPr>
                <w:color w:val="1C3A36"/>
                <w:sz w:val="14"/>
              </w:rPr>
              <w:t>1,771</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gas_usage_low_m3_t</w:t>
            </w:r>
          </w:p>
        </w:tc>
        <w:tc>
          <w:tcPr>
            <w:tcW w:type="dxa" w:w="1944"/>
          </w:tcPr>
          <w:p>
            <w:pPr>
              <w:spacing w:after="20"/>
              <w:jc w:val="left"/>
            </w:pPr>
            <w:r>
              <w:rPr>
                <w:color w:val="1C3A36"/>
                <w:sz w:val="14"/>
              </w:rPr>
              <w:t>1,025</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gross_margin_Q3</w:t>
            </w:r>
          </w:p>
        </w:tc>
        <w:tc>
          <w:tcPr>
            <w:tcW w:type="dxa" w:w="1944"/>
          </w:tcPr>
          <w:p>
            <w:pPr>
              <w:spacing w:after="20"/>
              <w:jc w:val="left"/>
            </w:pPr>
            <w:r>
              <w:rPr>
                <w:color w:val="1C3A36"/>
                <w:sz w:val="14"/>
              </w:rPr>
              <w:t>0.463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holdco_drawn_FY2425</w:t>
            </w:r>
          </w:p>
        </w:tc>
        <w:tc>
          <w:tcPr>
            <w:tcW w:type="dxa" w:w="1944"/>
          </w:tcPr>
          <w:p>
            <w:pPr>
              <w:spacing w:after="20"/>
              <w:jc w:val="left"/>
            </w:pPr>
            <w:r>
              <w:rPr>
                <w:color w:val="1C3A36"/>
                <w:sz w:val="14"/>
              </w:rPr>
              <w:t>500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18-2 holding-company loan</w:t>
            </w:r>
          </w:p>
        </w:tc>
      </w:tr>
      <w:tr>
        <w:tc>
          <w:tcPr>
            <w:tcW w:type="dxa" w:w="2448"/>
          </w:tcPr>
          <w:p>
            <w:pPr>
              <w:spacing w:after="20"/>
              <w:jc w:val="left"/>
            </w:pPr>
            <w:r>
              <w:rPr>
                <w:color w:val="1C3A36"/>
                <w:sz w:val="14"/>
              </w:rPr>
              <w:t>holdco_interest_FY2425</w:t>
            </w:r>
          </w:p>
        </w:tc>
        <w:tc>
          <w:tcPr>
            <w:tcW w:type="dxa" w:w="1944"/>
          </w:tcPr>
          <w:p>
            <w:pPr>
              <w:spacing w:after="20"/>
              <w:jc w:val="left"/>
            </w:pPr>
            <w:r>
              <w:rPr>
                <w:color w:val="1C3A36"/>
                <w:sz w:val="14"/>
              </w:rPr>
              <w:t>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holding_stake</w:t>
            </w:r>
          </w:p>
        </w:tc>
        <w:tc>
          <w:tcPr>
            <w:tcW w:type="dxa" w:w="1944"/>
          </w:tcPr>
          <w:p>
            <w:pPr>
              <w:spacing w:after="20"/>
              <w:jc w:val="left"/>
            </w:pPr>
            <w:r>
              <w:rPr>
                <w:color w:val="1C3A36"/>
                <w:sz w:val="14"/>
              </w:rPr>
              <w:t>0.6983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is_admin_9M</w:t>
            </w:r>
          </w:p>
        </w:tc>
        <w:tc>
          <w:tcPr>
            <w:tcW w:type="dxa" w:w="1944"/>
          </w:tcPr>
          <w:p>
            <w:pPr>
              <w:spacing w:after="20"/>
              <w:jc w:val="left"/>
            </w:pPr>
            <w:r>
              <w:rPr>
                <w:color w:val="1C3A36"/>
                <w:sz w:val="14"/>
              </w:rPr>
              <w:t>273.831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is_admin_FY2122</w:t>
            </w:r>
          </w:p>
        </w:tc>
        <w:tc>
          <w:tcPr>
            <w:tcW w:type="dxa" w:w="1944"/>
          </w:tcPr>
          <w:p>
            <w:pPr>
              <w:spacing w:after="20"/>
              <w:jc w:val="left"/>
            </w:pPr>
            <w:r>
              <w:rPr>
                <w:color w:val="1C3A36"/>
                <w:sz w:val="14"/>
              </w:rPr>
              <w:t>196.357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is_admin_FY2223</w:t>
            </w:r>
          </w:p>
        </w:tc>
        <w:tc>
          <w:tcPr>
            <w:tcW w:type="dxa" w:w="1944"/>
          </w:tcPr>
          <w:p>
            <w:pPr>
              <w:spacing w:after="20"/>
              <w:jc w:val="left"/>
            </w:pPr>
            <w:r>
              <w:rPr>
                <w:color w:val="1C3A36"/>
                <w:sz w:val="14"/>
              </w:rPr>
              <w:t>188.851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is_admin_FY2324</w:t>
            </w:r>
          </w:p>
        </w:tc>
        <w:tc>
          <w:tcPr>
            <w:tcW w:type="dxa" w:w="1944"/>
          </w:tcPr>
          <w:p>
            <w:pPr>
              <w:spacing w:after="20"/>
              <w:jc w:val="left"/>
            </w:pPr>
            <w:r>
              <w:rPr>
                <w:color w:val="1C3A36"/>
                <w:sz w:val="14"/>
              </w:rPr>
              <w:t>297.887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is_admin_FY2425</w:t>
            </w:r>
          </w:p>
        </w:tc>
        <w:tc>
          <w:tcPr>
            <w:tcW w:type="dxa" w:w="1944"/>
          </w:tcPr>
          <w:p>
            <w:pPr>
              <w:spacing w:after="20"/>
              <w:jc w:val="left"/>
            </w:pPr>
            <w:r>
              <w:rPr>
                <w:color w:val="1C3A36"/>
                <w:sz w:val="14"/>
              </w:rPr>
              <w:t>359.624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is_cogs_FY2122</w:t>
            </w:r>
          </w:p>
        </w:tc>
        <w:tc>
          <w:tcPr>
            <w:tcW w:type="dxa" w:w="1944"/>
          </w:tcPr>
          <w:p>
            <w:pPr>
              <w:spacing w:after="20"/>
              <w:jc w:val="left"/>
            </w:pPr>
            <w:r>
              <w:rPr>
                <w:color w:val="1C3A36"/>
                <w:sz w:val="14"/>
              </w:rPr>
              <w:t>2,323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is_cogs_FY2223</w:t>
            </w:r>
          </w:p>
        </w:tc>
        <w:tc>
          <w:tcPr>
            <w:tcW w:type="dxa" w:w="1944"/>
          </w:tcPr>
          <w:p>
            <w:pPr>
              <w:spacing w:after="20"/>
              <w:jc w:val="left"/>
            </w:pPr>
            <w:r>
              <w:rPr>
                <w:color w:val="1C3A36"/>
                <w:sz w:val="14"/>
              </w:rPr>
              <w:t>3,574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is_cogs_FY2324</w:t>
            </w:r>
          </w:p>
        </w:tc>
        <w:tc>
          <w:tcPr>
            <w:tcW w:type="dxa" w:w="1944"/>
          </w:tcPr>
          <w:p>
            <w:pPr>
              <w:spacing w:after="20"/>
              <w:jc w:val="left"/>
            </w:pPr>
            <w:r>
              <w:rPr>
                <w:color w:val="1C3A36"/>
                <w:sz w:val="14"/>
              </w:rPr>
              <w:t>4,396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is_cogs_FY2425</w:t>
            </w:r>
          </w:p>
        </w:tc>
        <w:tc>
          <w:tcPr>
            <w:tcW w:type="dxa" w:w="1944"/>
          </w:tcPr>
          <w:p>
            <w:pPr>
              <w:spacing w:after="20"/>
              <w:jc w:val="left"/>
            </w:pPr>
            <w:r>
              <w:rPr>
                <w:color w:val="1C3A36"/>
                <w:sz w:val="14"/>
              </w:rPr>
              <w:t>5,300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is_eps_FY2425</w:t>
            </w:r>
          </w:p>
        </w:tc>
        <w:tc>
          <w:tcPr>
            <w:tcW w:type="dxa" w:w="1944"/>
          </w:tcPr>
          <w:p>
            <w:pPr>
              <w:spacing w:after="20"/>
              <w:jc w:val="left"/>
            </w:pPr>
            <w:r>
              <w:rPr>
                <w:color w:val="1C3A36"/>
                <w:sz w:val="14"/>
              </w:rPr>
              <w:t>0.4968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is_gross_9M</w:t>
            </w:r>
          </w:p>
        </w:tc>
        <w:tc>
          <w:tcPr>
            <w:tcW w:type="dxa" w:w="1944"/>
          </w:tcPr>
          <w:p>
            <w:pPr>
              <w:spacing w:after="20"/>
              <w:jc w:val="left"/>
            </w:pPr>
            <w:r>
              <w:rPr>
                <w:color w:val="1C3A36"/>
                <w:sz w:val="14"/>
              </w:rPr>
              <w:t>3,135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is_gross_H1</w:t>
            </w:r>
          </w:p>
        </w:tc>
        <w:tc>
          <w:tcPr>
            <w:tcW w:type="dxa" w:w="1944"/>
          </w:tcPr>
          <w:p>
            <w:pPr>
              <w:spacing w:after="20"/>
              <w:jc w:val="left"/>
            </w:pPr>
            <w:r>
              <w:rPr>
                <w:color w:val="1C3A36"/>
                <w:sz w:val="14"/>
              </w:rPr>
              <w:t>1,673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is_gross_Q1</w:t>
            </w:r>
          </w:p>
        </w:tc>
        <w:tc>
          <w:tcPr>
            <w:tcW w:type="dxa" w:w="1944"/>
          </w:tcPr>
          <w:p>
            <w:pPr>
              <w:spacing w:after="20"/>
              <w:jc w:val="left"/>
            </w:pPr>
            <w:r>
              <w:rPr>
                <w:color w:val="1C3A36"/>
                <w:sz w:val="14"/>
              </w:rPr>
              <w:t>389.837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is_net_9M</w:t>
            </w:r>
          </w:p>
        </w:tc>
        <w:tc>
          <w:tcPr>
            <w:tcW w:type="dxa" w:w="1944"/>
          </w:tcPr>
          <w:p>
            <w:pPr>
              <w:spacing w:after="20"/>
              <w:jc w:val="left"/>
            </w:pPr>
            <w:r>
              <w:rPr>
                <w:color w:val="1C3A36"/>
                <w:sz w:val="14"/>
              </w:rPr>
              <w:t>531.31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is_net_FY2122</w:t>
            </w:r>
          </w:p>
        </w:tc>
        <w:tc>
          <w:tcPr>
            <w:tcW w:type="dxa" w:w="1944"/>
          </w:tcPr>
          <w:p>
            <w:pPr>
              <w:spacing w:after="20"/>
              <w:jc w:val="left"/>
            </w:pPr>
            <w:r>
              <w:rPr>
                <w:color w:val="1C3A36"/>
                <w:sz w:val="14"/>
              </w:rPr>
              <w:t>651.486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is_net_FY2223</w:t>
            </w:r>
          </w:p>
        </w:tc>
        <w:tc>
          <w:tcPr>
            <w:tcW w:type="dxa" w:w="1944"/>
          </w:tcPr>
          <w:p>
            <w:pPr>
              <w:spacing w:after="20"/>
              <w:jc w:val="left"/>
            </w:pPr>
            <w:r>
              <w:rPr>
                <w:color w:val="1C3A36"/>
                <w:sz w:val="14"/>
              </w:rPr>
              <w:t>1,151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is_net_FY2324</w:t>
            </w:r>
          </w:p>
        </w:tc>
        <w:tc>
          <w:tcPr>
            <w:tcW w:type="dxa" w:w="1944"/>
          </w:tcPr>
          <w:p>
            <w:pPr>
              <w:spacing w:after="20"/>
              <w:jc w:val="left"/>
            </w:pPr>
            <w:r>
              <w:rPr>
                <w:color w:val="1C3A36"/>
                <w:sz w:val="14"/>
              </w:rPr>
              <w:t>2,538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is_net_FY2425</w:t>
            </w:r>
          </w:p>
        </w:tc>
        <w:tc>
          <w:tcPr>
            <w:tcW w:type="dxa" w:w="1944"/>
          </w:tcPr>
          <w:p>
            <w:pPr>
              <w:spacing w:after="20"/>
              <w:jc w:val="left"/>
            </w:pPr>
            <w:r>
              <w:rPr>
                <w:color w:val="1C3A36"/>
                <w:sz w:val="14"/>
              </w:rPr>
              <w:t>986.964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is_net_H1</w:t>
            </w:r>
          </w:p>
        </w:tc>
        <w:tc>
          <w:tcPr>
            <w:tcW w:type="dxa" w:w="1944"/>
          </w:tcPr>
          <w:p>
            <w:pPr>
              <w:spacing w:after="20"/>
              <w:jc w:val="left"/>
            </w:pPr>
            <w:r>
              <w:rPr>
                <w:color w:val="1C3A36"/>
                <w:sz w:val="14"/>
              </w:rPr>
              <w:t>1,190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is_net_Q1</w:t>
            </w:r>
          </w:p>
        </w:tc>
        <w:tc>
          <w:tcPr>
            <w:tcW w:type="dxa" w:w="1944"/>
          </w:tcPr>
          <w:p>
            <w:pPr>
              <w:spacing w:after="20"/>
              <w:jc w:val="left"/>
            </w:pPr>
            <w:r>
              <w:rPr>
                <w:color w:val="1C3A36"/>
                <w:sz w:val="14"/>
              </w:rPr>
              <w:t>482.705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is_revenue_9M</w:t>
            </w:r>
          </w:p>
        </w:tc>
        <w:tc>
          <w:tcPr>
            <w:tcW w:type="dxa" w:w="1944"/>
          </w:tcPr>
          <w:p>
            <w:pPr>
              <w:spacing w:after="20"/>
              <w:jc w:val="left"/>
            </w:pPr>
            <w:r>
              <w:rPr>
                <w:color w:val="1C3A36"/>
                <w:sz w:val="14"/>
              </w:rPr>
              <w:t>7,315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is_revenue_FY2122</w:t>
            </w:r>
          </w:p>
        </w:tc>
        <w:tc>
          <w:tcPr>
            <w:tcW w:type="dxa" w:w="1944"/>
          </w:tcPr>
          <w:p>
            <w:pPr>
              <w:spacing w:after="20"/>
              <w:jc w:val="left"/>
            </w:pPr>
            <w:r>
              <w:rPr>
                <w:color w:val="1C3A36"/>
                <w:sz w:val="14"/>
              </w:rPr>
              <w:t>4,441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is_revenue_FY2223</w:t>
            </w:r>
          </w:p>
        </w:tc>
        <w:tc>
          <w:tcPr>
            <w:tcW w:type="dxa" w:w="1944"/>
          </w:tcPr>
          <w:p>
            <w:pPr>
              <w:spacing w:after="20"/>
              <w:jc w:val="left"/>
            </w:pPr>
            <w:r>
              <w:rPr>
                <w:color w:val="1C3A36"/>
                <w:sz w:val="14"/>
              </w:rPr>
              <w:t>6,612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is_revenue_FY2324</w:t>
            </w:r>
          </w:p>
        </w:tc>
        <w:tc>
          <w:tcPr>
            <w:tcW w:type="dxa" w:w="1944"/>
          </w:tcPr>
          <w:p>
            <w:pPr>
              <w:spacing w:after="20"/>
              <w:jc w:val="left"/>
            </w:pPr>
            <w:r>
              <w:rPr>
                <w:color w:val="1C3A36"/>
                <w:sz w:val="14"/>
              </w:rPr>
              <w:t>6,532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is_revenue_FY2425</w:t>
            </w:r>
          </w:p>
        </w:tc>
        <w:tc>
          <w:tcPr>
            <w:tcW w:type="dxa" w:w="1944"/>
          </w:tcPr>
          <w:p>
            <w:pPr>
              <w:spacing w:after="20"/>
              <w:jc w:val="left"/>
            </w:pPr>
            <w:r>
              <w:rPr>
                <w:color w:val="1C3A36"/>
                <w:sz w:val="14"/>
              </w:rPr>
              <w:t>8,603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is_revenue_H1</w:t>
            </w:r>
          </w:p>
        </w:tc>
        <w:tc>
          <w:tcPr>
            <w:tcW w:type="dxa" w:w="1944"/>
          </w:tcPr>
          <w:p>
            <w:pPr>
              <w:spacing w:after="20"/>
              <w:jc w:val="left"/>
            </w:pPr>
            <w:r>
              <w:rPr>
                <w:color w:val="1C3A36"/>
                <w:sz w:val="14"/>
              </w:rPr>
              <w:t>4,156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is_revenue_Q1</w:t>
            </w:r>
          </w:p>
        </w:tc>
        <w:tc>
          <w:tcPr>
            <w:tcW w:type="dxa" w:w="1944"/>
          </w:tcPr>
          <w:p>
            <w:pPr>
              <w:spacing w:after="20"/>
              <w:jc w:val="left"/>
            </w:pPr>
            <w:r>
              <w:rPr>
                <w:color w:val="1C3A36"/>
                <w:sz w:val="14"/>
              </w:rPr>
              <w:t>1,185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is_revenue_Q3</w:t>
            </w:r>
          </w:p>
        </w:tc>
        <w:tc>
          <w:tcPr>
            <w:tcW w:type="dxa" w:w="1944"/>
          </w:tcPr>
          <w:p>
            <w:pPr>
              <w:spacing w:after="20"/>
              <w:jc w:val="left"/>
            </w:pPr>
            <w:r>
              <w:rPr>
                <w:color w:val="1C3A36"/>
                <w:sz w:val="14"/>
              </w:rPr>
              <w:t>3,159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is_selling_9M</w:t>
            </w:r>
          </w:p>
        </w:tc>
        <w:tc>
          <w:tcPr>
            <w:tcW w:type="dxa" w:w="1944"/>
          </w:tcPr>
          <w:p>
            <w:pPr>
              <w:spacing w:after="20"/>
              <w:jc w:val="left"/>
            </w:pPr>
            <w:r>
              <w:rPr>
                <w:color w:val="1C3A36"/>
                <w:sz w:val="14"/>
              </w:rPr>
              <w:t>734.707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is_selling_FY2122</w:t>
            </w:r>
          </w:p>
        </w:tc>
        <w:tc>
          <w:tcPr>
            <w:tcW w:type="dxa" w:w="1944"/>
          </w:tcPr>
          <w:p>
            <w:pPr>
              <w:spacing w:after="20"/>
              <w:jc w:val="left"/>
            </w:pPr>
            <w:r>
              <w:rPr>
                <w:color w:val="1C3A36"/>
                <w:sz w:val="14"/>
              </w:rPr>
              <w:t>272.81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is_selling_FY2223</w:t>
            </w:r>
          </w:p>
        </w:tc>
        <w:tc>
          <w:tcPr>
            <w:tcW w:type="dxa" w:w="1944"/>
          </w:tcPr>
          <w:p>
            <w:pPr>
              <w:spacing w:after="20"/>
              <w:jc w:val="left"/>
            </w:pPr>
            <w:r>
              <w:rPr>
                <w:color w:val="1C3A36"/>
                <w:sz w:val="14"/>
              </w:rPr>
              <w:t>473.72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is_selling_FY2324</w:t>
            </w:r>
          </w:p>
        </w:tc>
        <w:tc>
          <w:tcPr>
            <w:tcW w:type="dxa" w:w="1944"/>
          </w:tcPr>
          <w:p>
            <w:pPr>
              <w:spacing w:after="20"/>
              <w:jc w:val="left"/>
            </w:pPr>
            <w:r>
              <w:rPr>
                <w:color w:val="1C3A36"/>
                <w:sz w:val="14"/>
              </w:rPr>
              <w:t>562.527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is_selling_FY2425</w:t>
            </w:r>
          </w:p>
        </w:tc>
        <w:tc>
          <w:tcPr>
            <w:tcW w:type="dxa" w:w="1944"/>
          </w:tcPr>
          <w:p>
            <w:pPr>
              <w:spacing w:after="20"/>
              <w:jc w:val="left"/>
            </w:pPr>
            <w:r>
              <w:rPr>
                <w:color w:val="1C3A36"/>
                <w:sz w:val="14"/>
              </w:rPr>
              <w:t>786.463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kima2_loan_FY2425</w:t>
            </w:r>
          </w:p>
        </w:tc>
        <w:tc>
          <w:tcPr>
            <w:tcW w:type="dxa" w:w="1944"/>
          </w:tcPr>
          <w:p>
            <w:pPr>
              <w:spacing w:after="20"/>
              <w:jc w:val="left"/>
            </w:pPr>
            <w:r>
              <w:rPr>
                <w:color w:val="1C3A36"/>
                <w:sz w:val="14"/>
              </w:rPr>
              <w:t>11,581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18-1 KIMA-2 bank consortium loan</w:t>
            </w:r>
          </w:p>
        </w:tc>
      </w:tr>
      <w:tr>
        <w:tc>
          <w:tcPr>
            <w:tcW w:type="dxa" w:w="2448"/>
          </w:tcPr>
          <w:p>
            <w:pPr>
              <w:spacing w:after="20"/>
              <w:jc w:val="left"/>
            </w:pPr>
            <w:r>
              <w:rPr>
                <w:color w:val="1C3A36"/>
                <w:sz w:val="14"/>
              </w:rPr>
              <w:t>kima2_usd_interest_FY2425</w:t>
            </w:r>
          </w:p>
        </w:tc>
        <w:tc>
          <w:tcPr>
            <w:tcW w:type="dxa" w:w="1944"/>
          </w:tcPr>
          <w:p>
            <w:pPr>
              <w:spacing w:after="20"/>
              <w:jc w:val="left"/>
            </w:pPr>
            <w:r>
              <w:rPr>
                <w:color w:val="1C3A36"/>
                <w:sz w:val="14"/>
              </w:rPr>
              <w:t>1,338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oneoff_reval_FY2324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 — gain on revaluation of investment property — One-off. Stripped from every margin and return in this study.</w:t>
            </w:r>
          </w:p>
        </w:tc>
      </w:tr>
      <w:tr>
        <w:tc>
          <w:tcPr>
            <w:tcW w:type="dxa" w:w="2448"/>
          </w:tcPr>
          <w:p>
            <w:pPr>
              <w:spacing w:after="20"/>
              <w:jc w:val="left"/>
            </w:pPr>
            <w:r>
              <w:rPr>
                <w:color w:val="1C3A36"/>
                <w:sz w:val="14"/>
              </w:rPr>
              <w:t>other_rev_FY2425</w:t>
            </w:r>
          </w:p>
        </w:tc>
        <w:tc>
          <w:tcPr>
            <w:tcW w:type="dxa" w:w="1944"/>
          </w:tcPr>
          <w:p>
            <w:pPr>
              <w:spacing w:after="20"/>
              <w:jc w:val="left"/>
            </w:pPr>
            <w:r>
              <w:rPr>
                <w:color w:val="1C3A36"/>
                <w:sz w:val="14"/>
              </w:rPr>
              <w:t>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 merchant nitric acid, plant rent and services</w:t>
            </w:r>
          </w:p>
        </w:tc>
      </w:tr>
      <w:tr>
        <w:tc>
          <w:tcPr>
            <w:tcW w:type="dxa" w:w="2448"/>
          </w:tcPr>
          <w:p>
            <w:pPr>
              <w:spacing w:after="20"/>
              <w:jc w:val="left"/>
            </w:pPr>
            <w:r>
              <w:rPr>
                <w:color w:val="1C3A36"/>
                <w:sz w:val="14"/>
              </w:rPr>
              <w:t>paid_capital</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par_value</w:t>
            </w:r>
          </w:p>
        </w:tc>
        <w:tc>
          <w:tcPr>
            <w:tcW w:type="dxa" w:w="1944"/>
          </w:tcPr>
          <w:p>
            <w:pPr>
              <w:spacing w:after="20"/>
              <w:jc w:val="left"/>
            </w:pPr>
            <w:r>
              <w:rPr>
                <w:color w:val="1C3A36"/>
                <w:sz w:val="14"/>
              </w:rPr>
              <w:t>5</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prod_ammonia_FY2425</w:t>
            </w:r>
          </w:p>
        </w:tc>
        <w:tc>
          <w:tcPr>
            <w:tcW w:type="dxa" w:w="1944"/>
          </w:tcPr>
          <w:p>
            <w:pPr>
              <w:spacing w:after="20"/>
              <w:jc w:val="left"/>
            </w:pPr>
            <w:r>
              <w:rPr>
                <w:color w:val="1C3A36"/>
                <w:sz w:val="14"/>
              </w:rPr>
              <w:t>318,242</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prod_an_gran_FY2425</w:t>
            </w:r>
          </w:p>
        </w:tc>
        <w:tc>
          <w:tcPr>
            <w:tcW w:type="dxa" w:w="1944"/>
          </w:tcPr>
          <w:p>
            <w:pPr>
              <w:spacing w:after="20"/>
              <w:jc w:val="left"/>
            </w:pPr>
            <w:r>
              <w:rPr>
                <w:color w:val="1C3A36"/>
                <w:sz w:val="14"/>
              </w:rPr>
              <w:t>17,887</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prod_ldan_FY2425</w:t>
            </w:r>
          </w:p>
        </w:tc>
        <w:tc>
          <w:tcPr>
            <w:tcW w:type="dxa" w:w="1944"/>
          </w:tcPr>
          <w:p>
            <w:pPr>
              <w:spacing w:after="20"/>
              <w:jc w:val="left"/>
            </w:pPr>
            <w:r>
              <w:rPr>
                <w:color w:val="1C3A36"/>
                <w:sz w:val="14"/>
              </w:rPr>
              <w:t>8,171</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prod_nitric_FY2425</w:t>
            </w:r>
          </w:p>
        </w:tc>
        <w:tc>
          <w:tcPr>
            <w:tcW w:type="dxa" w:w="1944"/>
          </w:tcPr>
          <w:p>
            <w:pPr>
              <w:spacing w:after="20"/>
              <w:jc w:val="left"/>
            </w:pPr>
            <w:r>
              <w:rPr>
                <w:color w:val="1C3A36"/>
                <w:sz w:val="14"/>
              </w:rPr>
              <w:t>35,590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prod_urea_FY2223</w:t>
            </w:r>
          </w:p>
        </w:tc>
        <w:tc>
          <w:tcPr>
            <w:tcW w:type="dxa" w:w="1944"/>
          </w:tcPr>
          <w:p>
            <w:pPr>
              <w:spacing w:after="20"/>
              <w:jc w:val="left"/>
            </w:pPr>
            <w:r>
              <w:rPr>
                <w:color w:val="1C3A36"/>
                <w:sz w:val="14"/>
              </w:rPr>
              <w:t>586,373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auditor's product cost table</w:t>
            </w:r>
          </w:p>
        </w:tc>
      </w:tr>
      <w:tr>
        <w:tc>
          <w:tcPr>
            <w:tcW w:type="dxa" w:w="2448"/>
          </w:tcPr>
          <w:p>
            <w:pPr>
              <w:spacing w:after="20"/>
              <w:jc w:val="left"/>
            </w:pPr>
            <w:r>
              <w:rPr>
                <w:color w:val="1C3A36"/>
                <w:sz w:val="14"/>
              </w:rPr>
              <w:t>prod_urea_FY2324</w:t>
            </w:r>
          </w:p>
        </w:tc>
        <w:tc>
          <w:tcPr>
            <w:tcW w:type="dxa" w:w="1944"/>
          </w:tcPr>
          <w:p>
            <w:pPr>
              <w:spacing w:after="20"/>
              <w:jc w:val="left"/>
            </w:pPr>
            <w:r>
              <w:rPr>
                <w:color w:val="1C3A36"/>
                <w:sz w:val="14"/>
              </w:rPr>
              <w:t>521,868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auditor's product cost table</w:t>
            </w:r>
          </w:p>
        </w:tc>
      </w:tr>
      <w:tr>
        <w:tc>
          <w:tcPr>
            <w:tcW w:type="dxa" w:w="2448"/>
          </w:tcPr>
          <w:p>
            <w:pPr>
              <w:spacing w:after="20"/>
              <w:jc w:val="left"/>
            </w:pPr>
            <w:r>
              <w:rPr>
                <w:color w:val="1C3A36"/>
                <w:sz w:val="14"/>
              </w:rPr>
              <w:t>prod_urea_FY2425</w:t>
            </w:r>
          </w:p>
        </w:tc>
        <w:tc>
          <w:tcPr>
            <w:tcW w:type="dxa" w:w="1944"/>
          </w:tcPr>
          <w:p>
            <w:pPr>
              <w:spacing w:after="20"/>
              <w:jc w:val="left"/>
            </w:pPr>
            <w:r>
              <w:rPr>
                <w:color w:val="1C3A36"/>
                <w:sz w:val="14"/>
              </w:rPr>
              <w:t>513,385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quota_delivered_14m</w:t>
            </w:r>
          </w:p>
        </w:tc>
        <w:tc>
          <w:tcPr>
            <w:tcW w:type="dxa" w:w="1944"/>
          </w:tcPr>
          <w:p>
            <w:pPr>
              <w:spacing w:after="20"/>
              <w:jc w:val="left"/>
            </w:pPr>
            <w:r>
              <w:rPr>
                <w:color w:val="1C3A36"/>
                <w:sz w:val="14"/>
              </w:rPr>
              <w:t>147,000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quota_required_14m</w:t>
            </w:r>
          </w:p>
        </w:tc>
        <w:tc>
          <w:tcPr>
            <w:tcW w:type="dxa" w:w="1944"/>
          </w:tcPr>
          <w:p>
            <w:pPr>
              <w:spacing w:after="20"/>
              <w:jc w:val="left"/>
            </w:pPr>
            <w:r>
              <w:rPr>
                <w:color w:val="1C3A36"/>
                <w:sz w:val="14"/>
              </w:rPr>
              <w:t>322,000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rev_export_FY2425</w:t>
            </w:r>
          </w:p>
        </w:tc>
        <w:tc>
          <w:tcPr>
            <w:tcW w:type="dxa" w:w="1944"/>
          </w:tcPr>
          <w:p>
            <w:pPr>
              <w:spacing w:after="20"/>
              <w:jc w:val="left"/>
            </w:pPr>
            <w:r>
              <w:rPr>
                <w:color w:val="1C3A36"/>
                <w:sz w:val="14"/>
              </w:rPr>
              <w:t>6,609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rev_local_FY2425</w:t>
            </w:r>
          </w:p>
        </w:tc>
        <w:tc>
          <w:tcPr>
            <w:tcW w:type="dxa" w:w="1944"/>
          </w:tcPr>
          <w:p>
            <w:pPr>
              <w:spacing w:after="20"/>
              <w:jc w:val="left"/>
            </w:pPr>
            <w:r>
              <w:rPr>
                <w:color w:val="1C3A36"/>
                <w:sz w:val="14"/>
              </w:rPr>
              <w:t>1,994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rev_services_FY2425</w:t>
            </w:r>
          </w:p>
        </w:tc>
        <w:tc>
          <w:tcPr>
            <w:tcW w:type="dxa" w:w="1944"/>
          </w:tcPr>
          <w:p>
            <w:pPr>
              <w:spacing w:after="20"/>
              <w:jc w:val="left"/>
            </w:pPr>
            <w:r>
              <w:rPr>
                <w:color w:val="1C3A36"/>
                <w:sz w:val="14"/>
              </w:rPr>
              <w:t>0.0044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sell_freight_FY2425</w:t>
            </w:r>
          </w:p>
        </w:tc>
        <w:tc>
          <w:tcPr>
            <w:tcW w:type="dxa" w:w="1944"/>
          </w:tcPr>
          <w:p>
            <w:pPr>
              <w:spacing w:after="20"/>
              <w:jc w:val="left"/>
            </w:pPr>
            <w:r>
              <w:rPr>
                <w:color w:val="1C3A36"/>
                <w:sz w:val="14"/>
              </w:rPr>
              <w:t>610.158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freight and commissions</w:t>
            </w:r>
          </w:p>
        </w:tc>
      </w:tr>
      <w:tr>
        <w:tc>
          <w:tcPr>
            <w:tcW w:type="dxa" w:w="2448"/>
          </w:tcPr>
          <w:p>
            <w:pPr>
              <w:spacing w:after="20"/>
              <w:jc w:val="left"/>
            </w:pPr>
            <w:r>
              <w:rPr>
                <w:color w:val="1C3A36"/>
                <w:sz w:val="14"/>
              </w:rPr>
              <w:t>sell_other_FY2425</w:t>
            </w:r>
          </w:p>
        </w:tc>
        <w:tc>
          <w:tcPr>
            <w:tcW w:type="dxa" w:w="1944"/>
          </w:tcPr>
          <w:p>
            <w:pPr>
              <w:spacing w:after="20"/>
              <w:jc w:val="left"/>
            </w:pPr>
            <w:r>
              <w:rPr>
                <w:color w:val="1C3A36"/>
                <w:sz w:val="14"/>
              </w:rPr>
              <w:t>176.305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selling materials, wages and other selling expense</w:t>
            </w:r>
          </w:p>
        </w:tc>
      </w:tr>
      <w:tr>
        <w:tc>
          <w:tcPr>
            <w:tcW w:type="dxa" w:w="2448"/>
          </w:tcPr>
          <w:p>
            <w:pPr>
              <w:spacing w:after="20"/>
              <w:jc w:val="left"/>
            </w:pPr>
            <w:r>
              <w:rPr>
                <w:color w:val="1C3A36"/>
                <w:sz w:val="14"/>
              </w:rPr>
              <w:t>shares_outstanding</w:t>
            </w:r>
          </w:p>
        </w:tc>
        <w:tc>
          <w:tcPr>
            <w:tcW w:type="dxa" w:w="1944"/>
          </w:tcPr>
          <w:p>
            <w:pPr>
              <w:spacing w:after="20"/>
              <w:jc w:val="left"/>
            </w:pPr>
            <w:r>
              <w:rPr>
                <w:color w:val="1C3A36"/>
                <w:sz w:val="14"/>
              </w:rPr>
              <w:t>1,986,578,999</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 capital</w:t>
            </w:r>
          </w:p>
        </w:tc>
      </w:tr>
      <w:tr>
        <w:tc>
          <w:tcPr>
            <w:tcW w:type="dxa" w:w="2448"/>
          </w:tcPr>
          <w:p>
            <w:pPr>
              <w:spacing w:after="20"/>
              <w:jc w:val="left"/>
            </w:pPr>
            <w:r>
              <w:rPr>
                <w:color w:val="1C3A36"/>
                <w:sz w:val="14"/>
              </w:rPr>
              <w:t>stoppage_cost_FY2324</w:t>
            </w:r>
          </w:p>
        </w:tc>
        <w:tc>
          <w:tcPr>
            <w:tcW w:type="dxa" w:w="1944"/>
          </w:tcPr>
          <w:p>
            <w:pPr>
              <w:spacing w:after="20"/>
              <w:jc w:val="left"/>
            </w:pPr>
            <w:r>
              <w:rPr>
                <w:color w:val="1C3A36"/>
                <w:sz w:val="14"/>
              </w:rPr>
              <w:t>152.742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comparative</w:t>
            </w:r>
          </w:p>
        </w:tc>
      </w:tr>
      <w:tr>
        <w:tc>
          <w:tcPr>
            <w:tcW w:type="dxa" w:w="2448"/>
          </w:tcPr>
          <w:p>
            <w:pPr>
              <w:spacing w:after="20"/>
              <w:jc w:val="left"/>
            </w:pPr>
            <w:r>
              <w:rPr>
                <w:color w:val="1C3A36"/>
                <w:sz w:val="14"/>
              </w:rPr>
              <w:t>stoppage_cost_FY2425</w:t>
            </w:r>
          </w:p>
        </w:tc>
        <w:tc>
          <w:tcPr>
            <w:tcW w:type="dxa" w:w="1944"/>
          </w:tcPr>
          <w:p>
            <w:pPr>
              <w:spacing w:after="20"/>
              <w:jc w:val="left"/>
            </w:pPr>
            <w:r>
              <w:rPr>
                <w:color w:val="1C3A36"/>
                <w:sz w:val="14"/>
              </w:rPr>
              <w:t>164.478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other expenses</w:t>
            </w:r>
          </w:p>
        </w:tc>
      </w:tr>
      <w:tr>
        <w:tc>
          <w:tcPr>
            <w:tcW w:type="dxa" w:w="2448"/>
          </w:tcPr>
          <w:p>
            <w:pPr>
              <w:spacing w:after="20"/>
              <w:jc w:val="left"/>
            </w:pPr>
            <w:r>
              <w:rPr>
                <w:color w:val="1C3A36"/>
                <w:sz w:val="14"/>
              </w:rPr>
              <w:t>tax_statutory</w:t>
            </w:r>
          </w:p>
        </w:tc>
        <w:tc>
          <w:tcPr>
            <w:tcW w:type="dxa" w:w="1944"/>
          </w:tcPr>
          <w:p>
            <w:pPr>
              <w:spacing w:after="20"/>
              <w:jc w:val="left"/>
            </w:pPr>
            <w:r>
              <w:rPr>
                <w:color w:val="1C3A36"/>
                <w:sz w:val="14"/>
              </w:rPr>
              <w:t>0.225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5-16 income tax</w:t>
            </w:r>
          </w:p>
        </w:tc>
      </w:tr>
      <w:tr>
        <w:tc>
          <w:tcPr>
            <w:tcW w:type="dxa" w:w="2448"/>
          </w:tcPr>
          <w:p>
            <w:pPr>
              <w:spacing w:after="20"/>
              <w:jc w:val="left"/>
            </w:pPr>
            <w:r>
              <w:rPr>
                <w:color w:val="1C3A36"/>
                <w:sz w:val="14"/>
              </w:rPr>
              <w:t>unitcost_ammonia_FY2425</w:t>
            </w:r>
          </w:p>
        </w:tc>
        <w:tc>
          <w:tcPr>
            <w:tcW w:type="dxa" w:w="1944"/>
          </w:tcPr>
          <w:p>
            <w:pPr>
              <w:spacing w:after="20"/>
              <w:jc w:val="left"/>
            </w:pPr>
            <w:r>
              <w:rPr>
                <w:color w:val="1C3A36"/>
                <w:sz w:val="14"/>
              </w:rPr>
              <w:t>9,114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unitcost_an_gran_FY2425</w:t>
            </w:r>
          </w:p>
        </w:tc>
        <w:tc>
          <w:tcPr>
            <w:tcW w:type="dxa" w:w="1944"/>
          </w:tcPr>
          <w:p>
            <w:pPr>
              <w:spacing w:after="20"/>
              <w:jc w:val="left"/>
            </w:pPr>
            <w:r>
              <w:rPr>
                <w:color w:val="1C3A36"/>
                <w:sz w:val="14"/>
              </w:rPr>
              <w:t>4,076</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unitcost_ldan_FY2425</w:t>
            </w:r>
          </w:p>
        </w:tc>
        <w:tc>
          <w:tcPr>
            <w:tcW w:type="dxa" w:w="1944"/>
          </w:tcPr>
          <w:p>
            <w:pPr>
              <w:spacing w:after="20"/>
              <w:jc w:val="left"/>
            </w:pPr>
            <w:r>
              <w:rPr>
                <w:color w:val="1C3A36"/>
                <w:sz w:val="14"/>
              </w:rPr>
              <w:t>8,154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unitcost_nitric_FY2425</w:t>
            </w:r>
          </w:p>
        </w:tc>
        <w:tc>
          <w:tcPr>
            <w:tcW w:type="dxa" w:w="1944"/>
          </w:tcPr>
          <w:p>
            <w:pPr>
              <w:spacing w:after="20"/>
              <w:jc w:val="left"/>
            </w:pPr>
            <w:r>
              <w:rPr>
                <w:color w:val="1C3A36"/>
                <w:sz w:val="14"/>
              </w:rPr>
              <w:t>610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unitcost_urea_FY2324</w:t>
            </w:r>
          </w:p>
        </w:tc>
        <w:tc>
          <w:tcPr>
            <w:tcW w:type="dxa" w:w="1944"/>
          </w:tcPr>
          <w:p>
            <w:pPr>
              <w:spacing w:after="20"/>
              <w:jc w:val="left"/>
            </w:pPr>
            <w:r>
              <w:rPr>
                <w:color w:val="1C3A36"/>
                <w:sz w:val="14"/>
              </w:rPr>
              <w:t>9,254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table, prior-year column</w:t>
            </w:r>
          </w:p>
        </w:tc>
      </w:tr>
      <w:tr>
        <w:tc>
          <w:tcPr>
            <w:tcW w:type="dxa" w:w="2448"/>
          </w:tcPr>
          <w:p>
            <w:pPr>
              <w:spacing w:after="20"/>
              <w:jc w:val="left"/>
            </w:pPr>
            <w:r>
              <w:rPr>
                <w:color w:val="1C3A36"/>
                <w:sz w:val="14"/>
              </w:rPr>
              <w:t>unitcost_urea_FY2425</w:t>
            </w:r>
          </w:p>
        </w:tc>
        <w:tc>
          <w:tcPr>
            <w:tcW w:type="dxa" w:w="1944"/>
          </w:tcPr>
          <w:p>
            <w:pPr>
              <w:spacing w:after="20"/>
              <w:jc w:val="left"/>
            </w:pPr>
            <w:r>
              <w:rPr>
                <w:color w:val="1C3A36"/>
                <w:sz w:val="14"/>
              </w:rPr>
              <w:t>7,509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urea_stock_shortfall_t</w:t>
            </w:r>
          </w:p>
        </w:tc>
        <w:tc>
          <w:tcPr>
            <w:tcW w:type="dxa" w:w="1944"/>
          </w:tcPr>
          <w:p>
            <w:pPr>
              <w:spacing w:after="20"/>
              <w:jc w:val="left"/>
            </w:pPr>
            <w:r>
              <w:rPr>
                <w:color w:val="1C3A36"/>
                <w:sz w:val="14"/>
              </w:rPr>
              <w:t>1,648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shortfall between warehouse records and the physical count at Damietta</w:t>
            </w:r>
          </w:p>
        </w:tc>
      </w:tr>
    </w:tbl>
    <w:p>
      <w:pPr>
        <w:spacing w:after="40"/>
      </w:pPr>
    </w:p>
    <w:p>
      <w:pPr>
        <w:spacing w:after="100" w:before="160"/>
      </w:pPr>
      <w:r>
        <w:rPr>
          <w:b/>
          <w:i w:val="0"/>
          <w:color w:val="1C3A36"/>
          <w:sz w:val="21"/>
        </w:rPr>
        <w:t>L2 — Primary market data  (15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abuk_spot_strike</w:t>
            </w:r>
          </w:p>
        </w:tc>
        <w:tc>
          <w:tcPr>
            <w:tcW w:type="dxa" w:w="1944"/>
          </w:tcPr>
          <w:p>
            <w:pPr>
              <w:spacing w:after="20"/>
              <w:jc w:val="left"/>
            </w:pPr>
            <w:r>
              <w:rPr>
                <w:color w:val="1C3A36"/>
                <w:sz w:val="14"/>
              </w:rPr>
              <w:t>94</w:t>
            </w:r>
          </w:p>
        </w:tc>
        <w:tc>
          <w:tcPr>
            <w:tcW w:type="dxa" w:w="1224"/>
          </w:tcPr>
          <w:p>
            <w:pPr>
              <w:spacing w:after="20"/>
              <w:jc w:val="left"/>
            </w:pPr>
            <w:r>
              <w:rPr>
                <w:color w:val="1C3A36"/>
                <w:sz w:val="14"/>
              </w:rPr>
              <w:t>EGP/share</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Abu Qir Fertilizers closing price on the Egyptian Exchange, 3 September 2026 — the SAME date and the SAME committed price file this study is struck at, the supplied-price file this edition is struck from. Read from that file rather than typed beside it, so a stake in a listed company and the company holding it are marked on one date</w:t>
            </w:r>
          </w:p>
        </w:tc>
      </w:tr>
      <w:tr>
        <w:tc>
          <w:tcPr>
            <w:tcW w:type="dxa" w:w="2448"/>
          </w:tcPr>
          <w:p>
            <w:pPr>
              <w:spacing w:after="20"/>
              <w:jc w:val="left"/>
            </w:pPr>
            <w:r>
              <w:rPr>
                <w:color w:val="1C3A36"/>
                <w:sz w:val="14"/>
              </w:rPr>
              <w:t>abuqir_market_cap</w:t>
            </w:r>
          </w:p>
        </w:tc>
        <w:tc>
          <w:tcPr>
            <w:tcW w:type="dxa" w:w="1944"/>
          </w:tcPr>
          <w:p>
            <w:pPr>
              <w:spacing w:after="20"/>
              <w:jc w:val="left"/>
            </w:pPr>
            <w:r>
              <w:rPr>
                <w:color w:val="1C3A36"/>
                <w:sz w:val="14"/>
              </w:rPr>
              <w:t>93,320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2026-08-05</w:t>
            </w:r>
          </w:p>
        </w:tc>
        <w:tc>
          <w:tcPr>
            <w:tcW w:type="dxa" w:w="7344"/>
          </w:tcPr>
          <w:p>
            <w:pPr>
              <w:spacing w:after="20"/>
              <w:jc w:val="left"/>
            </w:pPr>
            <w:r>
              <w:rPr>
                <w:color w:val="1C3A36"/>
                <w:sz w:val="14"/>
              </w:rPr>
              <w:t>Abu Qir Fertilizers (EGX: ABUK) market capitalisation at the 5 August 2026 close, EGP 73.77 a share — Investing.com / MarketScreener exchange data</w:t>
            </w:r>
          </w:p>
        </w:tc>
      </w:tr>
      <w:tr>
        <w:tc>
          <w:tcPr>
            <w:tcW w:type="dxa" w:w="2448"/>
          </w:tcPr>
          <w:p>
            <w:pPr>
              <w:spacing w:after="20"/>
              <w:jc w:val="left"/>
            </w:pPr>
            <w:r>
              <w:rPr>
                <w:color w:val="1C3A36"/>
                <w:sz w:val="14"/>
              </w:rPr>
              <w:t>country_risk_premium_rating</w:t>
            </w:r>
          </w:p>
        </w:tc>
        <w:tc>
          <w:tcPr>
            <w:tcW w:type="dxa" w:w="1944"/>
          </w:tcPr>
          <w:p>
            <w:pPr>
              <w:spacing w:after="20"/>
              <w:jc w:val="left"/>
            </w:pPr>
            <w:r>
              <w:rPr>
                <w:color w:val="1C3A36"/>
                <w:sz w:val="14"/>
              </w:rPr>
              <w:t>0.0971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DERIVED: erp_rating - mature_market_erp, the country component of the rating-basis equity premium (the workbook's own construction, recomputed rather than read from a second file)</w:t>
            </w:r>
          </w:p>
        </w:tc>
      </w:tr>
      <w:tr>
        <w:tc>
          <w:tcPr>
            <w:tcW w:type="dxa" w:w="2448"/>
          </w:tcPr>
          <w:p>
            <w:pPr>
              <w:spacing w:after="20"/>
              <w:jc w:val="left"/>
            </w:pPr>
            <w:r>
              <w:rPr>
                <w:color w:val="1C3A36"/>
                <w:sz w:val="14"/>
              </w:rPr>
              <w:t>erp_rating</w:t>
            </w:r>
          </w:p>
        </w:tc>
        <w:tc>
          <w:tcPr>
            <w:tcW w:type="dxa" w:w="1944"/>
          </w:tcPr>
          <w:p>
            <w:pPr>
              <w:spacing w:after="20"/>
              <w:jc w:val="left"/>
            </w:pPr>
            <w:r>
              <w:rPr>
                <w:color w:val="1C3A36"/>
                <w:sz w:val="14"/>
              </w:rPr>
              <w:t>0.1394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rating basis total equity risk premium</w:t>
            </w:r>
          </w:p>
        </w:tc>
      </w:tr>
      <w:tr>
        <w:tc>
          <w:tcPr>
            <w:tcW w:type="dxa" w:w="2448"/>
          </w:tcPr>
          <w:p>
            <w:pPr>
              <w:spacing w:after="20"/>
              <w:jc w:val="left"/>
            </w:pPr>
            <w:r>
              <w:rPr>
                <w:color w:val="1C3A36"/>
                <w:sz w:val="14"/>
              </w:rPr>
              <w:t>mature_market_erp</w:t>
            </w:r>
          </w:p>
        </w:tc>
        <w:tc>
          <w:tcPr>
            <w:tcW w:type="dxa" w:w="1944"/>
          </w:tcPr>
          <w:p>
            <w:pPr>
              <w:spacing w:after="20"/>
              <w:jc w:val="left"/>
            </w:pPr>
            <w:r>
              <w:rPr>
                <w:color w:val="1C3A36"/>
                <w:sz w:val="14"/>
              </w:rPr>
              <w:t>0.0423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mature-market equity risk premium</w:t>
            </w:r>
          </w:p>
        </w:tc>
      </w:tr>
      <w:tr>
        <w:tc>
          <w:tcPr>
            <w:tcW w:type="dxa" w:w="2448"/>
          </w:tcPr>
          <w:p>
            <w:pPr>
              <w:spacing w:after="20"/>
              <w:jc w:val="left"/>
            </w:pPr>
            <w:r>
              <w:rPr>
                <w:color w:val="1C3A36"/>
                <w:sz w:val="14"/>
              </w:rPr>
              <w:t>moodys_rating</w:t>
            </w:r>
          </w:p>
        </w:tc>
        <w:tc>
          <w:tcPr>
            <w:tcW w:type="dxa" w:w="1944"/>
          </w:tcPr>
          <w:p>
            <w:pPr>
              <w:spacing w:after="20"/>
              <w:jc w:val="left"/>
            </w:pPr>
            <w:r>
              <w:rPr>
                <w:color w:val="1C3A36"/>
                <w:sz w:val="14"/>
              </w:rPr>
              <w:t>Caa1</w:t>
            </w:r>
          </w:p>
        </w:tc>
        <w:tc>
          <w:tcPr>
            <w:tcW w:type="dxa" w:w="1224"/>
          </w:tcPr>
          <w:p>
            <w:pPr>
              <w:spacing w:after="20"/>
              <w:jc w:val="left"/>
            </w:pPr>
            <w:r>
              <w:rPr>
                <w:color w:val="1C3A36"/>
                <w:sz w:val="14"/>
              </w:rPr>
              <w:t>rating</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sovereign rating</w:t>
            </w:r>
          </w:p>
        </w:tc>
      </w:tr>
      <w:tr>
        <w:tc>
          <w:tcPr>
            <w:tcW w:type="dxa" w:w="2448"/>
          </w:tcPr>
          <w:p>
            <w:pPr>
              <w:spacing w:after="20"/>
              <w:jc w:val="left"/>
            </w:pPr>
            <w:r>
              <w:rPr>
                <w:color w:val="1C3A36"/>
                <w:sz w:val="14"/>
              </w:rPr>
              <w:t>rf_observed</w:t>
            </w:r>
          </w:p>
        </w:tc>
        <w:tc>
          <w:tcPr>
            <w:tcW w:type="dxa" w:w="1944"/>
          </w:tcPr>
          <w:p>
            <w:pPr>
              <w:spacing w:after="20"/>
              <w:jc w:val="left"/>
            </w:pPr>
            <w:r>
              <w:rPr>
                <w:color w:val="1C3A36"/>
                <w:sz w:val="14"/>
              </w:rPr>
              <w:t>0.23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 ten-year government bond yield, market quote</w:t>
            </w:r>
          </w:p>
        </w:tc>
      </w:tr>
      <w:tr>
        <w:tc>
          <w:tcPr>
            <w:tcW w:type="dxa" w:w="2448"/>
          </w:tcPr>
          <w:p>
            <w:pPr>
              <w:spacing w:after="20"/>
              <w:jc w:val="left"/>
            </w:pPr>
            <w:r>
              <w:rPr>
                <w:color w:val="1C3A36"/>
                <w:sz w:val="14"/>
              </w:rPr>
              <w:t>sov_spread_cds</w:t>
            </w:r>
          </w:p>
        </w:tc>
        <w:tc>
          <w:tcPr>
            <w:tcW w:type="dxa" w:w="1944"/>
          </w:tcPr>
          <w:p>
            <w:pPr>
              <w:spacing w:after="20"/>
              <w:jc w:val="left"/>
            </w:pPr>
            <w:r>
              <w:rPr>
                <w:color w:val="1C3A36"/>
                <w:sz w:val="14"/>
              </w:rPr>
              <w:t>0.0341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ten-year CDS spread</w:t>
            </w:r>
          </w:p>
        </w:tc>
      </w:tr>
      <w:tr>
        <w:tc>
          <w:tcPr>
            <w:tcW w:type="dxa" w:w="2448"/>
          </w:tcPr>
          <w:p>
            <w:pPr>
              <w:spacing w:after="20"/>
              <w:jc w:val="left"/>
            </w:pPr>
            <w:r>
              <w:rPr>
                <w:color w:val="1C3A36"/>
                <w:sz w:val="14"/>
              </w:rPr>
              <w:t>sov_spread_rating</w:t>
            </w:r>
          </w:p>
        </w:tc>
        <w:tc>
          <w:tcPr>
            <w:tcW w:type="dxa" w:w="1944"/>
          </w:tcPr>
          <w:p>
            <w:pPr>
              <w:spacing w:after="20"/>
              <w:jc w:val="left"/>
            </w:pPr>
            <w:r>
              <w:rPr>
                <w:color w:val="1C3A36"/>
                <w:sz w:val="14"/>
              </w:rPr>
              <w:t>0.0637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adjusted default spread</w:t>
            </w:r>
          </w:p>
        </w:tc>
      </w:tr>
      <w:tr>
        <w:tc>
          <w:tcPr>
            <w:tcW w:type="dxa" w:w="2448"/>
          </w:tcPr>
          <w:p>
            <w:pPr>
              <w:spacing w:after="20"/>
              <w:jc w:val="left"/>
            </w:pPr>
            <w:r>
              <w:rPr>
                <w:color w:val="1C3A36"/>
                <w:sz w:val="14"/>
              </w:rPr>
              <w:t>sovereign_bond_coupon</w:t>
            </w:r>
          </w:p>
        </w:tc>
        <w:tc>
          <w:tcPr>
            <w:tcW w:type="dxa" w:w="1944"/>
          </w:tcPr>
          <w:p>
            <w:pPr>
              <w:spacing w:after="20"/>
              <w:jc w:val="left"/>
            </w:pPr>
            <w:r>
              <w:rPr>
                <w:color w:val="1C3A36"/>
                <w:sz w:val="14"/>
              </w:rPr>
              <w:t>0.231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New EGP 120.9bn treasury bond maturing 21 May 2029, listed coupon — corroborates the yield above</w:t>
            </w:r>
          </w:p>
        </w:tc>
      </w:tr>
      <w:tr>
        <w:tc>
          <w:tcPr>
            <w:tcW w:type="dxa" w:w="2448"/>
          </w:tcPr>
          <w:p>
            <w:pPr>
              <w:spacing w:after="20"/>
              <w:jc w:val="left"/>
            </w:pPr>
            <w:r>
              <w:rPr>
                <w:color w:val="1C3A36"/>
                <w:sz w:val="14"/>
              </w:rPr>
              <w:t>spot_price</w:t>
            </w:r>
          </w:p>
        </w:tc>
        <w:tc>
          <w:tcPr>
            <w:tcW w:type="dxa" w:w="1944"/>
          </w:tcPr>
          <w:p>
            <w:pPr>
              <w:spacing w:after="20"/>
              <w:jc w:val="left"/>
            </w:pPr>
            <w:r>
              <w:rPr>
                <w:color w:val="1C3A36"/>
                <w:sz w:val="14"/>
              </w:rPr>
              <w:t>14.41</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EGCH closing price on the Egyptian Exchange, 3 September 2026. The previous edition was struck on the 6 August close of 13.98</w:t>
            </w:r>
          </w:p>
        </w:tc>
      </w:tr>
      <w:tr>
        <w:tc>
          <w:tcPr>
            <w:tcW w:type="dxa" w:w="2448"/>
          </w:tcPr>
          <w:p>
            <w:pPr>
              <w:spacing w:after="20"/>
              <w:jc w:val="left"/>
            </w:pPr>
            <w:r>
              <w:rPr>
                <w:color w:val="1C3A36"/>
                <w:sz w:val="14"/>
              </w:rPr>
              <w:t>spot_price_date</w:t>
            </w:r>
          </w:p>
        </w:tc>
        <w:tc>
          <w:tcPr>
            <w:tcW w:type="dxa" w:w="1944"/>
          </w:tcPr>
          <w:p>
            <w:pPr>
              <w:spacing w:after="20"/>
              <w:jc w:val="left"/>
            </w:pPr>
            <w:r>
              <w:rPr>
                <w:color w:val="1C3A36"/>
                <w:sz w:val="14"/>
              </w:rPr>
              <w:t>2026-09-03</w:t>
            </w:r>
          </w:p>
        </w:tc>
        <w:tc>
          <w:tcPr>
            <w:tcW w:type="dxa" w:w="1224"/>
          </w:tcPr>
          <w:p>
            <w:pPr>
              <w:spacing w:after="20"/>
              <w:jc w:val="left"/>
            </w:pPr>
            <w:r>
              <w:rPr>
                <w:color w:val="1C3A36"/>
                <w:sz w:val="14"/>
              </w:rPr>
              <w:t>date</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Egyptian Exchange closing session used as the study's anchor date</w:t>
            </w:r>
          </w:p>
        </w:tc>
      </w:tr>
      <w:tr>
        <w:tc>
          <w:tcPr>
            <w:tcW w:type="dxa" w:w="2448"/>
          </w:tcPr>
          <w:p>
            <w:pPr>
              <w:spacing w:after="20"/>
              <w:jc w:val="left"/>
            </w:pPr>
            <w:r>
              <w:rPr>
                <w:color w:val="1C3A36"/>
                <w:sz w:val="14"/>
              </w:rPr>
              <w:t>urea_fob_egypt</w:t>
            </w:r>
          </w:p>
        </w:tc>
        <w:tc>
          <w:tcPr>
            <w:tcW w:type="dxa" w:w="1944"/>
          </w:tcPr>
          <w:p>
            <w:pPr>
              <w:spacing w:after="20"/>
              <w:jc w:val="left"/>
            </w:pPr>
            <w:r>
              <w:rPr>
                <w:color w:val="1C3A36"/>
                <w:sz w:val="14"/>
              </w:rPr>
              <w:t>545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Listed granular urea free-on-board Egypt futures contract, front-month settle</w:t>
            </w:r>
          </w:p>
        </w:tc>
      </w:tr>
      <w:tr>
        <w:tc>
          <w:tcPr>
            <w:tcW w:type="dxa" w:w="2448"/>
          </w:tcPr>
          <w:p>
            <w:pPr>
              <w:spacing w:after="20"/>
              <w:jc w:val="left"/>
            </w:pPr>
            <w:r>
              <w:rPr>
                <w:color w:val="1C3A36"/>
                <w:sz w:val="14"/>
              </w:rPr>
              <w:t>usd_egp_anna_approval</w:t>
            </w:r>
          </w:p>
        </w:tc>
        <w:tc>
          <w:tcPr>
            <w:tcW w:type="dxa" w:w="1944"/>
          </w:tcPr>
          <w:p>
            <w:pPr>
              <w:spacing w:after="20"/>
              <w:jc w:val="left"/>
            </w:pPr>
            <w:r>
              <w:rPr>
                <w:color w:val="1C3A36"/>
                <w:sz w:val="14"/>
              </w:rPr>
              <w:t>50</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2025-06-25</w:t>
            </w:r>
          </w:p>
        </w:tc>
        <w:tc>
          <w:tcPr>
            <w:tcW w:type="dxa" w:w="7344"/>
          </w:tcPr>
          <w:p>
            <w:pPr>
              <w:spacing w:after="20"/>
              <w:jc w:val="left"/>
            </w:pPr>
            <w:r>
              <w:rPr>
                <w:color w:val="1C3A36"/>
                <w:sz w:val="14"/>
              </w:rPr>
              <w:t>The rate prevailing when the project cost was approved on 25 June 2025, used to state the dual-currency approved cost as one figure</w:t>
            </w:r>
          </w:p>
        </w:tc>
      </w:tr>
      <w:tr>
        <w:tc>
          <w:tcPr>
            <w:tcW w:type="dxa" w:w="2448"/>
          </w:tcPr>
          <w:p>
            <w:pPr>
              <w:spacing w:after="20"/>
              <w:jc w:val="left"/>
            </w:pPr>
            <w:r>
              <w:rPr>
                <w:color w:val="1C3A36"/>
                <w:sz w:val="14"/>
              </w:rPr>
              <w:t>usd_egp_spot</w:t>
            </w:r>
          </w:p>
        </w:tc>
        <w:tc>
          <w:tcPr>
            <w:tcW w:type="dxa" w:w="1944"/>
          </w:tcPr>
          <w:p>
            <w:pPr>
              <w:spacing w:after="20"/>
              <w:jc w:val="left"/>
            </w:pPr>
            <w:r>
              <w:rPr>
                <w:color w:val="1C3A36"/>
                <w:sz w:val="14"/>
              </w:rPr>
              <w:t>49.79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Market quote</w:t>
            </w:r>
          </w:p>
        </w:tc>
      </w:tr>
    </w:tbl>
    <w:p>
      <w:pPr>
        <w:spacing w:after="40"/>
      </w:pPr>
    </w:p>
    <w:p>
      <w:pPr>
        <w:spacing w:after="100" w:before="160"/>
      </w:pPr>
      <w:r>
        <w:rPr>
          <w:b/>
          <w:i w:val="0"/>
          <w:color w:val="1C3A36"/>
          <w:sz w:val="21"/>
        </w:rPr>
        <w:t>L3 — Official external (regulator, central bank, government)  (14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an_exempt_n_pct</w:t>
            </w:r>
          </w:p>
        </w:tc>
        <w:tc>
          <w:tcPr>
            <w:tcW w:type="dxa" w:w="1944"/>
          </w:tcPr>
          <w:p>
            <w:pPr>
              <w:spacing w:after="20"/>
              <w:jc w:val="left"/>
            </w:pPr>
            <w:r>
              <w:rPr>
                <w:color w:val="1C3A36"/>
                <w:sz w:val="14"/>
              </w:rPr>
              <w:t>0.342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2026-06-25</w:t>
            </w:r>
          </w:p>
        </w:tc>
        <w:tc>
          <w:tcPr>
            <w:tcW w:type="dxa" w:w="7344"/>
          </w:tcPr>
          <w:p>
            <w:pPr>
              <w:spacing w:after="20"/>
              <w:jc w:val="left"/>
            </w:pPr>
            <w:r>
              <w:rPr>
                <w:color w:val="1C3A36"/>
                <w:sz w:val="14"/>
              </w:rPr>
              <w:t>Decree No. 258 of 2026, exemption clause — pure ammonium nitrate whose nitrogen content EXCEEDS 34.2% is outside the 10% export duty, verified by joint Customs Authority and export-control sampling of the shipment. Free-zone shipments to productive enterprises are likewise exempt. A fact about the instrument, consumed by no calculation in this study: the duty is charged on the urea export leg, and urea is not exempt</w:t>
            </w:r>
          </w:p>
        </w:tc>
      </w:tr>
      <w:tr>
        <w:tc>
          <w:tcPr>
            <w:tcW w:type="dxa" w:w="2448"/>
          </w:tcPr>
          <w:p>
            <w:pPr>
              <w:spacing w:after="20"/>
              <w:jc w:val="left"/>
            </w:pPr>
            <w:r>
              <w:rPr>
                <w:color w:val="1C3A36"/>
                <w:sz w:val="14"/>
              </w:rPr>
              <w:t>cbe_inflation_target</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published medium-term inflation target (7% +/-2 for Q4 2026)</w:t>
            </w:r>
          </w:p>
        </w:tc>
      </w:tr>
      <w:tr>
        <w:tc>
          <w:tcPr>
            <w:tcW w:type="dxa" w:w="2448"/>
          </w:tcPr>
          <w:p>
            <w:pPr>
              <w:spacing w:after="20"/>
              <w:jc w:val="left"/>
            </w:pPr>
            <w:r>
              <w:rPr>
                <w:color w:val="1C3A36"/>
                <w:sz w:val="14"/>
              </w:rPr>
              <w:t>cpi_latest</w:t>
            </w:r>
          </w:p>
        </w:tc>
        <w:tc>
          <w:tcPr>
            <w:tcW w:type="dxa" w:w="1944"/>
          </w:tcPr>
          <w:p>
            <w:pPr>
              <w:spacing w:after="20"/>
              <w:jc w:val="left"/>
            </w:pPr>
            <w:r>
              <w:rPr>
                <w:color w:val="1C3A36"/>
                <w:sz w:val="14"/>
              </w:rPr>
              <w:t>0.143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headline urban consumer price inflation, official statistics</w:t>
            </w:r>
          </w:p>
        </w:tc>
      </w:tr>
      <w:tr>
        <w:tc>
          <w:tcPr>
            <w:tcW w:type="dxa" w:w="2448"/>
          </w:tcPr>
          <w:p>
            <w:pPr>
              <w:spacing w:after="20"/>
              <w:jc w:val="left"/>
            </w:pPr>
            <w:r>
              <w:rPr>
                <w:color w:val="1C3A36"/>
                <w:sz w:val="14"/>
              </w:rPr>
              <w:t>export_duty_2026</w:t>
            </w:r>
          </w:p>
        </w:tc>
        <w:tc>
          <w:tcPr>
            <w:tcW w:type="dxa" w:w="1944"/>
          </w:tcPr>
          <w:p>
            <w:pPr>
              <w:spacing w:after="20"/>
              <w:jc w:val="left"/>
            </w:pPr>
            <w:r>
              <w:rPr>
                <w:color w:val="1C3A36"/>
                <w:sz w:val="14"/>
              </w:rPr>
              <w:t>0</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2026-08-01</w:t>
            </w:r>
          </w:p>
        </w:tc>
        <w:tc>
          <w:tcPr>
            <w:tcW w:type="dxa" w:w="7344"/>
          </w:tcPr>
          <w:p>
            <w:pPr>
              <w:spacing w:after="20"/>
              <w:jc w:val="left"/>
            </w:pPr>
            <w:r>
              <w:rPr>
                <w:color w:val="1C3A36"/>
                <w:sz w:val="14"/>
              </w:rPr>
              <w:t>Ministerial Decision 340 of 2026, effective 1 August 2026, cancelling Decisions 190, 203 and 258 of 2026 and ending the 10% ad valorem export levy on nitrogen fertilisers. The Egyptian Customs Authority issued Circular 46 of 2026 to govern shipments whose declarations were opened before the levy ceased, which is the administrative trace a cancellation leaves and a rumour does not. This study strikes on 3 September 2026, so the rate in force at the strike is nil. The superseded chain is registered below with its own dates, because a duty that existed for three months is a fact about this year and the alternatives grid prices its return</w:t>
            </w:r>
          </w:p>
        </w:tc>
      </w:tr>
      <w:tr>
        <w:tc>
          <w:tcPr>
            <w:tcW w:type="dxa" w:w="2448"/>
          </w:tcPr>
          <w:p>
            <w:pPr>
              <w:spacing w:after="20"/>
              <w:jc w:val="left"/>
            </w:pPr>
            <w:r>
              <w:rPr>
                <w:color w:val="1C3A36"/>
                <w:sz w:val="14"/>
              </w:rPr>
              <w:t>export_duty_2026_superseded</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2026-06-25</w:t>
            </w:r>
          </w:p>
        </w:tc>
        <w:tc>
          <w:tcPr>
            <w:tcW w:type="dxa" w:w="7344"/>
          </w:tcPr>
          <w:p>
            <w:pPr>
              <w:spacing w:after="20"/>
              <w:jc w:val="left"/>
            </w:pPr>
            <w:r>
              <w:rPr>
                <w:color w:val="1C3A36"/>
                <w:sz w:val="14"/>
              </w:rPr>
              <w:t>Decree No. 258 of 2026 of the Minister of Investment and Foreign Trade, published in the Official Gazette on 25 June 2026 — 10% ad valorem on the FOB invoice value of nitrogen fertiliser exports, the invoice certified by the Chamber of Chemical Industries. It replaced a temporary US$90/t duty imposed in May 2026 for three months and was itself cancelled by Decision 340 of 2026 with effect from 1 August 2026. Pure ammonium nitrate above 34.2% nitrogen and free zone shipments were exempt — urea was neither. Retained as the alternative this study prices, not as the rate it charges</w:t>
            </w:r>
          </w:p>
        </w:tc>
      </w:tr>
      <w:tr>
        <w:tc>
          <w:tcPr>
            <w:tcW w:type="dxa" w:w="2448"/>
          </w:tcPr>
          <w:p>
            <w:pPr>
              <w:spacing w:after="20"/>
              <w:jc w:val="left"/>
            </w:pPr>
            <w:r>
              <w:rPr>
                <w:color w:val="1C3A36"/>
                <w:sz w:val="14"/>
              </w:rPr>
              <w:t>export_levy_egp_t</w:t>
            </w:r>
          </w:p>
        </w:tc>
        <w:tc>
          <w:tcPr>
            <w:tcW w:type="dxa" w:w="1944"/>
          </w:tcPr>
          <w:p>
            <w:pPr>
              <w:spacing w:after="20"/>
              <w:jc w:val="left"/>
            </w:pPr>
            <w:r>
              <w:rPr>
                <w:color w:val="1C3A36"/>
                <w:sz w:val="14"/>
              </w:rPr>
              <w:t>2,500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2021-06-03</w:t>
            </w:r>
          </w:p>
        </w:tc>
        <w:tc>
          <w:tcPr>
            <w:tcW w:type="dxa" w:w="7344"/>
          </w:tcPr>
          <w:p>
            <w:pPr>
              <w:spacing w:after="20"/>
              <w:jc w:val="left"/>
            </w:pPr>
            <w:r>
              <w:rPr>
                <w:color w:val="1C3A36"/>
                <w:sz w:val="14"/>
              </w:rPr>
              <w:t>Trade and industry ministry decree 241 of 2021 — levy on the quota shortfall</w:t>
            </w:r>
          </w:p>
        </w:tc>
      </w:tr>
      <w:tr>
        <w:tc>
          <w:tcPr>
            <w:tcW w:type="dxa" w:w="2448"/>
          </w:tcPr>
          <w:p>
            <w:pPr>
              <w:spacing w:after="20"/>
              <w:jc w:val="left"/>
            </w:pPr>
            <w:r>
              <w:rPr>
                <w:color w:val="1C3A36"/>
                <w:sz w:val="14"/>
              </w:rPr>
              <w:t>inflation_terminal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inflation embedded in the TERMINAL discount rate, taken from the house macro path and NOT typed here — the SAME figure terminal growth is set at, so the two cannot drift apart. (This sentence previously described the value as 5%, the central bank's Q4-2028 target, while the path supplies 7%: a 7% value carrying a 5% justification, which is exactly the kind of unfalsifiable typed rate this series does not permit. The value has always come from the path; only the sentence was wrong.) CORRECTED 1 September 2026: the 08-08-2026 edition built the terminal risk-free rate on the 7% Q4-2026 target while growing the perpetuity at 5%, a perpetual real decline of about 2% a year that no disclosure supports (the same defect the AMOC review found, L-055). Terminal growth, the terminal risk-free rate and the terminal currency wedge now share one inflation.</w:t>
            </w:r>
          </w:p>
        </w:tc>
      </w:tr>
      <w:tr>
        <w:tc>
          <w:tcPr>
            <w:tcW w:type="dxa" w:w="2448"/>
          </w:tcPr>
          <w:p>
            <w:pPr>
              <w:spacing w:after="20"/>
              <w:jc w:val="left"/>
            </w:pPr>
            <w:r>
              <w:rPr>
                <w:color w:val="1C3A36"/>
                <w:sz w:val="14"/>
              </w:rPr>
              <w:t>policy_rate</w:t>
            </w:r>
          </w:p>
        </w:tc>
        <w:tc>
          <w:tcPr>
            <w:tcW w:type="dxa" w:w="1944"/>
          </w:tcPr>
          <w:p>
            <w:pPr>
              <w:spacing w:after="20"/>
              <w:jc w:val="left"/>
            </w:pPr>
            <w:r>
              <w:rPr>
                <w:color w:val="1C3A36"/>
                <w:sz w:val="14"/>
              </w:rPr>
              <w:t>0.195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main operation rate, corridor 19.00/20.00</w:t>
            </w:r>
          </w:p>
        </w:tc>
      </w:tr>
      <w:tr>
        <w:tc>
          <w:tcPr>
            <w:tcW w:type="dxa" w:w="2448"/>
          </w:tcPr>
          <w:p>
            <w:pPr>
              <w:spacing w:after="20"/>
              <w:jc w:val="left"/>
            </w:pPr>
            <w:r>
              <w:rPr>
                <w:color w:val="1C3A36"/>
                <w:sz w:val="14"/>
              </w:rPr>
              <w:t>quota_domestic_share_2021</w:t>
            </w:r>
          </w:p>
        </w:tc>
        <w:tc>
          <w:tcPr>
            <w:tcW w:type="dxa" w:w="1944"/>
          </w:tcPr>
          <w:p>
            <w:pPr>
              <w:spacing w:after="20"/>
              <w:jc w:val="left"/>
            </w:pPr>
            <w:r>
              <w:rPr>
                <w:color w:val="1C3A36"/>
                <w:sz w:val="14"/>
              </w:rPr>
              <w:t>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 — share of output to the subsidised system</w:t>
            </w:r>
          </w:p>
        </w:tc>
      </w:tr>
      <w:tr>
        <w:tc>
          <w:tcPr>
            <w:tcW w:type="dxa" w:w="2448"/>
          </w:tcPr>
          <w:p>
            <w:pPr>
              <w:spacing w:after="20"/>
              <w:jc w:val="left"/>
            </w:pPr>
            <w:r>
              <w:rPr>
                <w:color w:val="1C3A36"/>
                <w:sz w:val="14"/>
              </w:rPr>
              <w:t>quota_free_local_2021</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w:t>
            </w:r>
          </w:p>
        </w:tc>
      </w:tr>
      <w:tr>
        <w:tc>
          <w:tcPr>
            <w:tcW w:type="dxa" w:w="2448"/>
          </w:tcPr>
          <w:p>
            <w:pPr>
              <w:spacing w:after="20"/>
              <w:jc w:val="left"/>
            </w:pPr>
            <w:r>
              <w:rPr>
                <w:color w:val="1C3A36"/>
                <w:sz w:val="14"/>
              </w:rPr>
              <w:t>quota_revision_sep2025</w:t>
            </w:r>
          </w:p>
        </w:tc>
        <w:tc>
          <w:tcPr>
            <w:tcW w:type="dxa" w:w="1944"/>
          </w:tcPr>
          <w:p>
            <w:pPr>
              <w:spacing w:after="20"/>
              <w:jc w:val="left"/>
            </w:pPr>
            <w:r>
              <w:rPr>
                <w:color w:val="1C3A36"/>
                <w:sz w:val="14"/>
              </w:rPr>
              <w:t>0.53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Cabinet decision of 8 September 2025 — industry export share after the revision</w:t>
            </w:r>
          </w:p>
        </w:tc>
      </w:tr>
      <w:tr>
        <w:tc>
          <w:tcPr>
            <w:tcW w:type="dxa" w:w="2448"/>
          </w:tcPr>
          <w:p>
            <w:pPr>
              <w:spacing w:after="20"/>
              <w:jc w:val="left"/>
            </w:pPr>
            <w:r>
              <w:rPr>
                <w:color w:val="1C3A36"/>
                <w:sz w:val="14"/>
              </w:rPr>
              <w:t>subsidised_price</w:t>
            </w:r>
          </w:p>
        </w:tc>
        <w:tc>
          <w:tcPr>
            <w:tcW w:type="dxa" w:w="1944"/>
          </w:tcPr>
          <w:p>
            <w:pPr>
              <w:spacing w:after="20"/>
              <w:jc w:val="left"/>
            </w:pPr>
            <w:r>
              <w:rPr>
                <w:color w:val="1C3A36"/>
                <w:sz w:val="14"/>
              </w:rPr>
              <w:t>6,000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Cooperative supply price for subsidised fertilizer</w:t>
            </w:r>
          </w:p>
        </w:tc>
      </w:tr>
      <w:tr>
        <w:tc>
          <w:tcPr>
            <w:tcW w:type="dxa" w:w="2448"/>
          </w:tcPr>
          <w:p>
            <w:pPr>
              <w:spacing w:after="20"/>
              <w:jc w:val="left"/>
            </w:pPr>
            <w:r>
              <w:rPr>
                <w:color w:val="1C3A36"/>
                <w:sz w:val="14"/>
              </w:rPr>
              <w:t>tbill_yield_range</w:t>
            </w:r>
          </w:p>
        </w:tc>
        <w:tc>
          <w:tcPr>
            <w:tcW w:type="dxa" w:w="1944"/>
          </w:tcPr>
          <w:p>
            <w:pPr>
              <w:spacing w:after="20"/>
              <w:jc w:val="left"/>
            </w:pPr>
            <w:r>
              <w:rPr>
                <w:color w:val="1C3A36"/>
                <w:sz w:val="14"/>
              </w:rPr>
              <w:t>0.2486, 0.2552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treasury-bill yields by tenor, secondary-market quotes (the central bank's own auction pages were unreachable); context only, no valuation figure depends on them</w:t>
            </w:r>
          </w:p>
        </w:tc>
      </w:tr>
      <w:tr>
        <w:tc>
          <w:tcPr>
            <w:tcW w:type="dxa" w:w="2448"/>
          </w:tcPr>
          <w:p>
            <w:pPr>
              <w:spacing w:after="20"/>
              <w:jc w:val="left"/>
            </w:pPr>
            <w:r>
              <w:rPr>
                <w:color w:val="1C3A36"/>
                <w:sz w:val="14"/>
              </w:rPr>
              <w:t>us_inflation_lt</w:t>
            </w:r>
          </w:p>
        </w:tc>
        <w:tc>
          <w:tcPr>
            <w:tcW w:type="dxa" w:w="1944"/>
          </w:tcPr>
          <w:p>
            <w:pPr>
              <w:spacing w:after="20"/>
              <w:jc w:val="left"/>
            </w:pPr>
            <w:r>
              <w:rPr>
                <w:color w:val="1C3A36"/>
                <w:sz w:val="14"/>
              </w:rPr>
              <w:t>0.024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Long-run United States inflation, the other leg of the purchasing-power wedge</w:t>
            </w:r>
          </w:p>
        </w:tc>
      </w:tr>
    </w:tbl>
    <w:p>
      <w:pPr>
        <w:spacing w:after="40"/>
      </w:pPr>
    </w:p>
    <w:p>
      <w:pPr>
        <w:spacing w:after="100" w:before="160"/>
      </w:pPr>
      <w:r>
        <w:rPr>
          <w:b/>
          <w:i w:val="0"/>
          <w:color w:val="1C3A36"/>
          <w:sz w:val="21"/>
        </w:rPr>
        <w:t>L4 — Industry and sector context  (23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abuqir_net_FY2025</w:t>
            </w:r>
          </w:p>
        </w:tc>
        <w:tc>
          <w:tcPr>
            <w:tcW w:type="dxa" w:w="1944"/>
          </w:tcPr>
          <w:p>
            <w:pPr>
              <w:spacing w:after="20"/>
              <w:jc w:val="left"/>
            </w:pPr>
            <w:r>
              <w:rPr>
                <w:color w:val="1C3A36"/>
                <w:sz w:val="14"/>
              </w:rPr>
              <w:t>7,980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net earnings as reported (stockanalysis.com company financials)</w:t>
            </w:r>
          </w:p>
        </w:tc>
      </w:tr>
      <w:tr>
        <w:tc>
          <w:tcPr>
            <w:tcW w:type="dxa" w:w="2448"/>
          </w:tcPr>
          <w:p>
            <w:pPr>
              <w:spacing w:after="20"/>
              <w:jc w:val="left"/>
            </w:pPr>
            <w:r>
              <w:rPr>
                <w:color w:val="1C3A36"/>
                <w:sz w:val="14"/>
              </w:rPr>
              <w:t>abuqir_revenue_FY2025</w:t>
            </w:r>
          </w:p>
        </w:tc>
        <w:tc>
          <w:tcPr>
            <w:tcW w:type="dxa" w:w="1944"/>
          </w:tcPr>
          <w:p>
            <w:pPr>
              <w:spacing w:after="20"/>
              <w:jc w:val="left"/>
            </w:pPr>
            <w:r>
              <w:rPr>
                <w:color w:val="1C3A36"/>
                <w:sz w:val="14"/>
              </w:rPr>
              <w:t>22,920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revenue as reported (stockanalysis.com company financials)</w:t>
            </w:r>
          </w:p>
        </w:tc>
      </w:tr>
      <w:tr>
        <w:tc>
          <w:tcPr>
            <w:tcW w:type="dxa" w:w="2448"/>
          </w:tcPr>
          <w:p>
            <w:pPr>
              <w:spacing w:after="20"/>
              <w:jc w:val="left"/>
            </w:pPr>
            <w:r>
              <w:rPr>
                <w:color w:val="1C3A36"/>
                <w:sz w:val="14"/>
              </w:rPr>
              <w:t>aggregator_share_count</w:t>
            </w:r>
          </w:p>
        </w:tc>
        <w:tc>
          <w:tcPr>
            <w:tcW w:type="dxa" w:w="1944"/>
          </w:tcPr>
          <w:p>
            <w:pPr>
              <w:spacing w:after="20"/>
              <w:jc w:val="left"/>
            </w:pPr>
            <w:r>
              <w:rPr>
                <w:color w:val="1C3A36"/>
                <w:sz w:val="14"/>
              </w:rPr>
              <w:t>197,950,000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widely visible market page, inconsistent with its own market-capitalisation figure by a factor of ten — recorded ONLY as a documented discrepancy, not used</w:t>
            </w:r>
          </w:p>
        </w:tc>
      </w:tr>
      <w:tr>
        <w:tc>
          <w:tcPr>
            <w:tcW w:type="dxa" w:w="2448"/>
          </w:tcPr>
          <w:p>
            <w:pPr>
              <w:spacing w:after="20"/>
              <w:jc w:val="left"/>
            </w:pPr>
            <w:r>
              <w:rPr>
                <w:color w:val="1C3A36"/>
                <w:sz w:val="14"/>
              </w:rPr>
              <w:t>an_price_usd_t</w:t>
            </w:r>
          </w:p>
        </w:tc>
        <w:tc>
          <w:tcPr>
            <w:tcW w:type="dxa" w:w="1944"/>
          </w:tcPr>
          <w:p>
            <w:pPr>
              <w:spacing w:after="20"/>
              <w:jc w:val="left"/>
            </w:pPr>
            <w:r>
              <w:rPr>
                <w:color w:val="1C3A36"/>
                <w:sz w:val="14"/>
              </w:rPr>
              <w:t>280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ammonium nitrate pricing — RETIRED as the ANNA pricing basis on 10-09-2026 in favour of the disclosed realisation below; kept registered because the sensitivity grid still prices the alternative</w:t>
            </w:r>
          </w:p>
        </w:tc>
      </w:tr>
      <w:tr>
        <w:tc>
          <w:tcPr>
            <w:tcW w:type="dxa" w:w="2448"/>
          </w:tcPr>
          <w:p>
            <w:pPr>
              <w:spacing w:after="20"/>
              <w:jc w:val="left"/>
            </w:pPr>
            <w:r>
              <w:rPr>
                <w:color w:val="1C3A36"/>
                <w:sz w:val="14"/>
              </w:rPr>
              <w:t>anna_nameplate_disclosed_tpd</w:t>
            </w:r>
          </w:p>
        </w:tc>
        <w:tc>
          <w:tcPr>
            <w:tcW w:type="dxa" w:w="1944"/>
          </w:tcPr>
          <w:p>
            <w:pPr>
              <w:spacing w:after="20"/>
              <w:jc w:val="left"/>
            </w:pPr>
            <w:r>
              <w:rPr>
                <w:color w:val="1C3A36"/>
                <w:sz w:val="14"/>
              </w:rPr>
              <w:t>800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2023-06-09</w:t>
            </w:r>
          </w:p>
        </w:tc>
        <w:tc>
          <w:tcPr>
            <w:tcW w:type="dxa" w:w="7344"/>
          </w:tcPr>
          <w:p>
            <w:pPr>
              <w:spacing w:after="20"/>
              <w:jc w:val="left"/>
            </w:pPr>
            <w:r>
              <w:rPr>
                <w:color w:val="1C3A36"/>
                <w:sz w:val="14"/>
              </w:rPr>
              <w:t>EPC award for this plant (Tecnimont S.p.A. with Orascom Construction, announced 9 June 2023): 600 t/day nitric acid converted to 800 t/day of fertilizer-grade granulated ammonium nitrate. FOUND BY EXTERNAL CRITIQUE 9 August 2026 -- the study had said 'no filing states it' and derived the plate from the ammonia surplus instead.</w:t>
            </w:r>
          </w:p>
        </w:tc>
      </w:tr>
      <w:tr>
        <w:tc>
          <w:tcPr>
            <w:tcW w:type="dxa" w:w="2448"/>
          </w:tcPr>
          <w:p>
            <w:pPr>
              <w:spacing w:after="20"/>
              <w:jc w:val="left"/>
            </w:pPr>
            <w:r>
              <w:rPr>
                <w:color w:val="1C3A36"/>
                <w:sz w:val="14"/>
              </w:rPr>
              <w:t>control_discount_eg_state</w:t>
            </w:r>
          </w:p>
        </w:tc>
        <w:tc>
          <w:tcPr>
            <w:tcW w:type="dxa" w:w="1944"/>
          </w:tcPr>
          <w:p>
            <w:pPr>
              <w:spacing w:after="20"/>
              <w:jc w:val="left"/>
            </w:pPr>
            <w:r>
              <w:rPr>
                <w:color w:val="1C3A36"/>
                <w:sz w:val="14"/>
              </w:rPr>
              <w:t>0.4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discount at which Egyptian state-controlled industrial assets have changed hands</w:t>
            </w:r>
          </w:p>
        </w:tc>
      </w:tr>
      <w:tr>
        <w:tc>
          <w:tcPr>
            <w:tcW w:type="dxa" w:w="2448"/>
          </w:tcPr>
          <w:p>
            <w:pPr>
              <w:spacing w:after="20"/>
              <w:jc w:val="left"/>
            </w:pPr>
            <w:r>
              <w:rPr>
                <w:color w:val="1C3A36"/>
                <w:sz w:val="14"/>
              </w:rPr>
              <w:t>egypt_urea_capacity</w:t>
            </w:r>
          </w:p>
        </w:tc>
        <w:tc>
          <w:tcPr>
            <w:tcW w:type="dxa" w:w="1944"/>
          </w:tcPr>
          <w:p>
            <w:pPr>
              <w:spacing w:after="20"/>
              <w:jc w:val="left"/>
            </w:pPr>
            <w:r>
              <w:rPr>
                <w:color w:val="1C3A36"/>
                <w:sz w:val="14"/>
              </w:rPr>
              <w:t>7,250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analysis of Egyptian nitrogen capacity across the named producers</w:t>
            </w:r>
          </w:p>
        </w:tc>
      </w:tr>
      <w:tr>
        <w:tc>
          <w:tcPr>
            <w:tcW w:type="dxa" w:w="2448"/>
          </w:tcPr>
          <w:p>
            <w:pPr>
              <w:spacing w:after="20"/>
              <w:jc w:val="left"/>
            </w:pPr>
            <w:r>
              <w:rPr>
                <w:color w:val="1C3A36"/>
                <w:sz w:val="14"/>
              </w:rPr>
              <w:t>erp_cds_damodaran</w:t>
            </w:r>
          </w:p>
        </w:tc>
        <w:tc>
          <w:tcPr>
            <w:tcW w:type="dxa" w:w="1944"/>
          </w:tcPr>
          <w:p>
            <w:pPr>
              <w:spacing w:after="20"/>
              <w:jc w:val="left"/>
            </w:pPr>
            <w:r>
              <w:rPr>
                <w:color w:val="1C3A36"/>
                <w:sz w:val="14"/>
              </w:rPr>
              <w:t>0.0941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2026-01-05</w:t>
            </w:r>
          </w:p>
        </w:tc>
        <w:tc>
          <w:tcPr>
            <w:tcW w:type="dxa" w:w="7344"/>
          </w:tcPr>
          <w:p>
            <w:pPr>
              <w:spacing w:after="20"/>
              <w:jc w:val="left"/>
            </w:pPr>
            <w:r>
              <w:rPr>
                <w:color w:val="1C3A36"/>
                <w:sz w:val="14"/>
              </w:rPr>
              <w:t>Country risk premium workbook, original file, Egypt row, equity risk premium based on the sovereign credit default swap. CORRECTED 9 August 2026: the study had 9.4247%, reconstructed from a 3.55% spread the file does not carry. Damodaran's Egypt row reads 3.41% and 9.41%.</w:t>
            </w:r>
          </w:p>
        </w:tc>
      </w:tr>
      <w:tr>
        <w:tc>
          <w:tcPr>
            <w:tcW w:type="dxa" w:w="2448"/>
          </w:tcPr>
          <w:p>
            <w:pPr>
              <w:spacing w:after="20"/>
              <w:jc w:val="left"/>
            </w:pPr>
            <w:r>
              <w:rPr>
                <w:color w:val="1C3A36"/>
                <w:sz w:val="14"/>
              </w:rPr>
              <w:t>erp_cds_superseded</w:t>
            </w:r>
          </w:p>
        </w:tc>
        <w:tc>
          <w:tcPr>
            <w:tcW w:type="dxa" w:w="1944"/>
          </w:tcPr>
          <w:p>
            <w:pPr>
              <w:spacing w:after="20"/>
              <w:jc w:val="left"/>
            </w:pPr>
            <w:r>
              <w:rPr>
                <w:color w:val="1C3A36"/>
                <w:sz w:val="14"/>
              </w:rPr>
              <w:t>0.0942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credit-default-swap equity risk premium this study carried BEFORE the correction of 9 August 2026, reconstructed at the time from a sovereign spread the source file does not carry. Registered as the historical fact it is so the correction note beside it is computed rather than typed.</w:t>
            </w:r>
          </w:p>
        </w:tc>
      </w:tr>
      <w:tr>
        <w:tc>
          <w:tcPr>
            <w:tcW w:type="dxa" w:w="2448"/>
          </w:tcPr>
          <w:p>
            <w:pPr>
              <w:spacing w:after="20"/>
              <w:jc w:val="left"/>
            </w:pPr>
            <w:r>
              <w:rPr>
                <w:color w:val="1C3A36"/>
                <w:sz w:val="14"/>
              </w:rPr>
              <w:t>greenfield_capex_usd_t_high</w:t>
            </w:r>
          </w:p>
        </w:tc>
        <w:tc>
          <w:tcPr>
            <w:tcW w:type="dxa" w:w="1944"/>
          </w:tcPr>
          <w:p>
            <w:pPr>
              <w:spacing w:after="20"/>
              <w:jc w:val="left"/>
            </w:pPr>
            <w:r>
              <w:rPr>
                <w:color w:val="1C3A36"/>
                <w:sz w:val="14"/>
              </w:rPr>
              <w:t>700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w:t>
            </w:r>
          </w:p>
        </w:tc>
      </w:tr>
      <w:tr>
        <w:tc>
          <w:tcPr>
            <w:tcW w:type="dxa" w:w="2448"/>
          </w:tcPr>
          <w:p>
            <w:pPr>
              <w:spacing w:after="20"/>
              <w:jc w:val="left"/>
            </w:pPr>
            <w:r>
              <w:rPr>
                <w:color w:val="1C3A36"/>
                <w:sz w:val="14"/>
              </w:rPr>
              <w:t>greenfield_capex_usd_t_low</w:t>
            </w:r>
          </w:p>
        </w:tc>
        <w:tc>
          <w:tcPr>
            <w:tcW w:type="dxa" w:w="1944"/>
          </w:tcPr>
          <w:p>
            <w:pPr>
              <w:spacing w:after="20"/>
              <w:jc w:val="left"/>
            </w:pPr>
            <w:r>
              <w:rPr>
                <w:color w:val="1C3A36"/>
                <w:sz w:val="14"/>
              </w:rPr>
              <w:t>550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 for a urea line with its own ammonia unit</w:t>
            </w:r>
          </w:p>
        </w:tc>
      </w:tr>
      <w:tr>
        <w:tc>
          <w:tcPr>
            <w:tcW w:type="dxa" w:w="2448"/>
          </w:tcPr>
          <w:p>
            <w:pPr>
              <w:spacing w:after="20"/>
              <w:jc w:val="left"/>
            </w:pPr>
            <w:r>
              <w:rPr>
                <w:color w:val="1C3A36"/>
                <w:sz w:val="14"/>
              </w:rPr>
              <w:t>local_sack_price_high</w:t>
            </w:r>
          </w:p>
        </w:tc>
        <w:tc>
          <w:tcPr>
            <w:tcW w:type="dxa" w:w="1944"/>
          </w:tcPr>
          <w:p>
            <w:pPr>
              <w:spacing w:after="20"/>
              <w:jc w:val="left"/>
            </w:pPr>
            <w:r>
              <w:rPr>
                <w:color w:val="1C3A36"/>
                <w:sz w:val="14"/>
              </w:rPr>
              <w:t>1,600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local_sack_price_low</w:t>
            </w:r>
          </w:p>
        </w:tc>
        <w:tc>
          <w:tcPr>
            <w:tcW w:type="dxa" w:w="1944"/>
          </w:tcPr>
          <w:p>
            <w:pPr>
              <w:spacing w:after="20"/>
              <w:jc w:val="left"/>
            </w:pPr>
            <w:r>
              <w:rPr>
                <w:color w:val="1C3A36"/>
                <w:sz w:val="14"/>
              </w:rPr>
              <w:t>1,400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mid_cycle_urea_usd_t</w:t>
            </w:r>
          </w:p>
        </w:tc>
        <w:tc>
          <w:tcPr>
            <w:tcW w:type="dxa" w:w="1944"/>
          </w:tcPr>
          <w:p>
            <w:pPr>
              <w:spacing w:after="20"/>
              <w:jc w:val="left"/>
            </w:pPr>
            <w:r>
              <w:rPr>
                <w:color w:val="1C3A36"/>
                <w:sz w:val="14"/>
              </w:rPr>
              <w:t>400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urea free-on-board Egypt: above the 2015-2020 average of roughly US$250 and well below the August 2026 quote of US$545</w:t>
            </w:r>
          </w:p>
        </w:tc>
      </w:tr>
      <w:tr>
        <w:tc>
          <w:tcPr>
            <w:tcW w:type="dxa" w:w="2448"/>
          </w:tcPr>
          <w:p>
            <w:pPr>
              <w:spacing w:after="20"/>
              <w:jc w:val="left"/>
            </w:pPr>
            <w:r>
              <w:rPr>
                <w:color w:val="1C3A36"/>
                <w:sz w:val="14"/>
              </w:rPr>
              <w:t>mideast_seaborne_share</w:t>
            </w:r>
          </w:p>
        </w:tc>
        <w:tc>
          <w:tcPr>
            <w:tcW w:type="dxa" w:w="1944"/>
          </w:tcPr>
          <w:p>
            <w:pPr>
              <w:spacing w:after="20"/>
              <w:jc w:val="left"/>
            </w:pPr>
            <w:r>
              <w:rPr>
                <w:color w:val="1C3A36"/>
                <w:sz w:val="14"/>
              </w:rPr>
              <w:t>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2026-03-01</w:t>
            </w:r>
          </w:p>
        </w:tc>
        <w:tc>
          <w:tcPr>
            <w:tcW w:type="dxa" w:w="7344"/>
          </w:tcPr>
          <w:p>
            <w:pPr>
              <w:spacing w:after="20"/>
              <w:jc w:val="left"/>
            </w:pPr>
            <w:r>
              <w:rPr>
                <w:color w:val="1C3A36"/>
                <w:sz w:val="14"/>
              </w:rPr>
              <w:t>Commodity research on Middle East share of seaborne ammonia and urea trade</w:t>
            </w:r>
          </w:p>
        </w:tc>
      </w:tr>
      <w:tr>
        <w:tc>
          <w:tcPr>
            <w:tcW w:type="dxa" w:w="2448"/>
          </w:tcPr>
          <w:p>
            <w:pPr>
              <w:spacing w:after="20"/>
              <w:jc w:val="left"/>
            </w:pPr>
            <w:r>
              <w:rPr>
                <w:color w:val="1C3A36"/>
                <w:sz w:val="14"/>
              </w:rPr>
              <w:t>peer_abuqir_capacity</w:t>
            </w:r>
          </w:p>
        </w:tc>
        <w:tc>
          <w:tcPr>
            <w:tcW w:type="dxa" w:w="1944"/>
          </w:tcPr>
          <w:p>
            <w:pPr>
              <w:spacing w:after="20"/>
              <w:jc w:val="left"/>
            </w:pPr>
            <w:r>
              <w:rPr>
                <w:color w:val="1C3A36"/>
                <w:sz w:val="14"/>
              </w:rPr>
              <w:t>2,000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peer_ev_ebitda_high</w:t>
            </w:r>
          </w:p>
        </w:tc>
        <w:tc>
          <w:tcPr>
            <w:tcW w:type="dxa" w:w="1944"/>
          </w:tcPr>
          <w:p>
            <w:pPr>
              <w:spacing w:after="20"/>
              <w:jc w:val="left"/>
            </w:pPr>
            <w:r>
              <w:rPr>
                <w:color w:val="1C3A36"/>
                <w:sz w:val="14"/>
              </w:rPr>
              <w:t>9.9</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median of the listed Egyptian fertilizer and industrial set identified in external review (Ezz Steel 4.35x, MOPCO 5.92x, Abu Qir ~8.2x, EFIC 11.52x, SKPC 17.61x)</w:t>
            </w:r>
          </w:p>
        </w:tc>
      </w:tr>
      <w:tr>
        <w:tc>
          <w:tcPr>
            <w:tcW w:type="dxa" w:w="2448"/>
          </w:tcPr>
          <w:p>
            <w:pPr>
              <w:spacing w:after="20"/>
              <w:jc w:val="left"/>
            </w:pPr>
            <w:r>
              <w:rPr>
                <w:color w:val="1C3A36"/>
                <w:sz w:val="14"/>
              </w:rPr>
              <w:t>peer_ev_ebitda_low</w:t>
            </w:r>
          </w:p>
        </w:tc>
        <w:tc>
          <w:tcPr>
            <w:tcW w:type="dxa" w:w="1944"/>
          </w:tcPr>
          <w:p>
            <w:pPr>
              <w:spacing w:after="20"/>
              <w:jc w:val="left"/>
            </w:pPr>
            <w:r>
              <w:rPr>
                <w:color w:val="1C3A36"/>
                <w:sz w:val="14"/>
              </w:rPr>
              <w:t>6</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low end of the observable Egyptian listed range. Ezz Steel trades near 4.4x and MOPCO near 5.9x on the same basis; 6.0x is set at the top of that industrial cluster and below the fertilizer comparables, as the conservative floor for a single-asset producer with a committed capital programme.</w:t>
            </w:r>
          </w:p>
        </w:tc>
      </w:tr>
      <w:tr>
        <w:tc>
          <w:tcPr>
            <w:tcW w:type="dxa" w:w="2448"/>
          </w:tcPr>
          <w:p>
            <w:pPr>
              <w:spacing w:after="20"/>
              <w:jc w:val="left"/>
            </w:pPr>
            <w:r>
              <w:rPr>
                <w:color w:val="1C3A36"/>
                <w:sz w:val="14"/>
              </w:rPr>
              <w:t>peer_mopco_capacity</w:t>
            </w:r>
          </w:p>
        </w:tc>
        <w:tc>
          <w:tcPr>
            <w:tcW w:type="dxa" w:w="1944"/>
          </w:tcPr>
          <w:p>
            <w:pPr>
              <w:spacing w:after="20"/>
              <w:jc w:val="left"/>
            </w:pPr>
            <w:r>
              <w:rPr>
                <w:color w:val="1C3A36"/>
                <w:sz w:val="14"/>
              </w:rPr>
              <w:t>1,800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peer_ncic_capacity</w:t>
            </w:r>
          </w:p>
        </w:tc>
        <w:tc>
          <w:tcPr>
            <w:tcW w:type="dxa" w:w="1944"/>
          </w:tcPr>
          <w:p>
            <w:pPr>
              <w:spacing w:after="20"/>
              <w:jc w:val="left"/>
            </w:pPr>
            <w:r>
              <w:rPr>
                <w:color w:val="1C3A36"/>
                <w:sz w:val="14"/>
              </w:rPr>
              <w:t>1,300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plant_distance_to_port_km</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km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Aswan to the Mediterranean export ports — the reason inland freight is a disclosed cost line of its own</w:t>
            </w:r>
          </w:p>
        </w:tc>
      </w:tr>
      <w:tr>
        <w:tc>
          <w:tcPr>
            <w:tcW w:type="dxa" w:w="2448"/>
          </w:tcPr>
          <w:p>
            <w:pPr>
              <w:spacing w:after="20"/>
              <w:jc w:val="left"/>
            </w:pPr>
            <w:r>
              <w:rPr>
                <w:color w:val="1C3A36"/>
                <w:sz w:val="14"/>
              </w:rPr>
              <w:t>sov_spread_cds_superseded</w:t>
            </w:r>
          </w:p>
        </w:tc>
        <w:tc>
          <w:tcPr>
            <w:tcW w:type="dxa" w:w="1944"/>
          </w:tcPr>
          <w:p>
            <w:pPr>
              <w:spacing w:after="20"/>
              <w:jc w:val="left"/>
            </w:pPr>
            <w:r>
              <w:rPr>
                <w:color w:val="1C3A36"/>
                <w:sz w:val="14"/>
              </w:rPr>
              <w:t>0.0355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sovereign credit-default-swap spread the superseded premium above was reconstructed from. It appears in no source file, which is why the premium built on it was corrected; it is registered here for the same reason as the premium.</w:t>
            </w:r>
          </w:p>
        </w:tc>
      </w:tr>
      <w:tr>
        <w:tc>
          <w:tcPr>
            <w:tcW w:type="dxa" w:w="2448"/>
          </w:tcPr>
          <w:p>
            <w:pPr>
              <w:spacing w:after="20"/>
              <w:jc w:val="left"/>
            </w:pPr>
            <w:r>
              <w:rPr>
                <w:color w:val="1C3A36"/>
                <w:sz w:val="14"/>
              </w:rPr>
              <w:t>stale_listing_share_count</w:t>
            </w:r>
          </w:p>
        </w:tc>
        <w:tc>
          <w:tcPr>
            <w:tcW w:type="dxa" w:w="1944"/>
          </w:tcPr>
          <w:p>
            <w:pPr>
              <w:spacing w:after="20"/>
              <w:jc w:val="left"/>
            </w:pPr>
            <w:r>
              <w:rPr>
                <w:color w:val="1C3A36"/>
                <w:sz w:val="14"/>
              </w:rPr>
              <w:t>394,042,710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stale exchange listing document surfaced in search — recorded ONLY as a documented discrepancy; it predates the March 2024 capital increase and is not used anywhere</w:t>
            </w:r>
          </w:p>
        </w:tc>
      </w:tr>
    </w:tbl>
    <w:p>
      <w:pPr>
        <w:spacing w:after="40"/>
      </w:pPr>
    </w:p>
    <w:p>
      <w:pPr>
        <w:spacing w:after="100" w:before="160"/>
      </w:pPr>
      <w:r>
        <w:rPr>
          <w:b/>
          <w:i w:val="0"/>
          <w:color w:val="1C3A36"/>
          <w:sz w:val="21"/>
        </w:rPr>
        <w:t>L5 — Constructed in this study  (65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abnormal_gas_path</w:t>
            </w:r>
          </w:p>
        </w:tc>
        <w:tc>
          <w:tcPr>
            <w:tcW w:type="dxa" w:w="1944"/>
          </w:tcPr>
          <w:p>
            <w:pPr>
              <w:spacing w:after="20"/>
              <w:jc w:val="left"/>
            </w:pPr>
            <w:r>
              <w:rPr>
                <w:color w:val="1C3A36"/>
                <w:sz w:val="14"/>
              </w:rPr>
              <w:t>150, 120, 100, 90, 80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stoppage and abnormal-gas cost, decaying as supply normalises from the EGP 164.5m charged in FY2024/25.</w:t>
            </w:r>
          </w:p>
        </w:tc>
      </w:tr>
      <w:tr>
        <w:tc>
          <w:tcPr>
            <w:tcW w:type="dxa" w:w="2448"/>
          </w:tcPr>
          <w:p>
            <w:pPr>
              <w:spacing w:after="20"/>
              <w:jc w:val="left"/>
            </w:pPr>
            <w:r>
              <w:rPr>
                <w:color w:val="1C3A36"/>
                <w:sz w:val="14"/>
              </w:rPr>
              <w:t>abuqir_da_estimate_pct_rev</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and FLAGGED: depreciation and amortisation as a share of revenue for a mature coastal nitrogen producer. Abu Qir does not publish a depreciation line in the sources reachable here, so the EBITDA denominator carries one estimated element and the multiple below is stated as approximate because of it.</w:t>
            </w:r>
          </w:p>
        </w:tc>
      </w:tr>
      <w:tr>
        <w:tc>
          <w:tcPr>
            <w:tcW w:type="dxa" w:w="2448"/>
          </w:tcPr>
          <w:p>
            <w:pPr>
              <w:spacing w:after="20"/>
              <w:jc w:val="left"/>
            </w:pPr>
            <w:r>
              <w:rPr>
                <w:color w:val="1C3A36"/>
                <w:sz w:val="14"/>
              </w:rPr>
              <w:t>ammonia_per_urea</w:t>
            </w:r>
          </w:p>
        </w:tc>
        <w:tc>
          <w:tcPr>
            <w:tcW w:type="dxa" w:w="1944"/>
          </w:tcPr>
          <w:p>
            <w:pPr>
              <w:spacing w:after="20"/>
              <w:jc w:val="left"/>
            </w:pPr>
            <w:r>
              <w:rPr>
                <w:color w:val="1C3A36"/>
                <w:sz w:val="14"/>
              </w:rPr>
              <w:t>0.6199</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ammonia output divided by FY2024/25 urea output, both from the auditor's product cost table</w:t>
            </w:r>
          </w:p>
        </w:tc>
      </w:tr>
      <w:tr>
        <w:tc>
          <w:tcPr>
            <w:tcW w:type="dxa" w:w="2448"/>
          </w:tcPr>
          <w:p>
            <w:pPr>
              <w:spacing w:after="20"/>
              <w:jc w:val="left"/>
            </w:pPr>
            <w:r>
              <w:rPr>
                <w:color w:val="1C3A36"/>
                <w:sz w:val="14"/>
              </w:rPr>
              <w:t>an_conversion_cost_FY2425</w:t>
            </w:r>
          </w:p>
        </w:tc>
        <w:tc>
          <w:tcPr>
            <w:tcW w:type="dxa" w:w="1944"/>
          </w:tcPr>
          <w:p>
            <w:pPr>
              <w:spacing w:after="20"/>
              <w:jc w:val="left"/>
            </w:pPr>
            <w:r>
              <w:rPr>
                <w:color w:val="1C3A36"/>
                <w:sz w:val="14"/>
              </w:rPr>
              <w:t>157.29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Constructed from the auditor's own product cost table: the disclosed granulated ammonium-nitrate unit cost less the ammonia embodied in it at the disclosed ammonia unit cost and the disclosed ammonia ratio. ADDED 9 August 2026 to replace a flat 32% cash-margin assumption on the whole new complex — the company discloses what a tonne of this exact product costs to make, and the study was assuming a margin instead of using it.</w:t>
            </w:r>
          </w:p>
        </w:tc>
      </w:tr>
      <w:tr>
        <w:tc>
          <w:tcPr>
            <w:tcW w:type="dxa" w:w="2448"/>
          </w:tcPr>
          <w:p>
            <w:pPr>
              <w:spacing w:after="20"/>
              <w:jc w:val="left"/>
            </w:pPr>
            <w:r>
              <w:rPr>
                <w:color w:val="1C3A36"/>
                <w:sz w:val="14"/>
              </w:rPr>
              <w:t>an_path</w:t>
            </w:r>
          </w:p>
        </w:tc>
        <w:tc>
          <w:tcPr>
            <w:tcW w:type="dxa" w:w="1944"/>
          </w:tcPr>
          <w:p>
            <w:pPr>
              <w:spacing w:after="20"/>
              <w:jc w:val="left"/>
            </w:pPr>
            <w:r>
              <w:rPr>
                <w:color w:val="1C3A36"/>
                <w:sz w:val="14"/>
              </w:rPr>
              <w:t>26000, 26000, 26000, 26000, 26000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nitrate volume path, flat on the FY2024/25 combined granulated and low-density output.</w:t>
            </w:r>
          </w:p>
        </w:tc>
      </w:tr>
      <w:tr>
        <w:tc>
          <w:tcPr>
            <w:tcW w:type="dxa" w:w="2448"/>
          </w:tcPr>
          <w:p>
            <w:pPr>
              <w:spacing w:after="20"/>
              <w:jc w:val="left"/>
            </w:pPr>
            <w:r>
              <w:rPr>
                <w:color w:val="1C3A36"/>
                <w:sz w:val="14"/>
              </w:rPr>
              <w:t>an_price_egp_t_FY2425</w:t>
            </w:r>
          </w:p>
        </w:tc>
        <w:tc>
          <w:tcPr>
            <w:tcW w:type="dxa" w:w="1944"/>
          </w:tcPr>
          <w:p>
            <w:pPr>
              <w:spacing w:after="20"/>
              <w:jc w:val="left"/>
            </w:pPr>
            <w:r>
              <w:rPr>
                <w:color w:val="1C3A36"/>
                <w:sz w:val="14"/>
              </w:rPr>
              <w:t>20,000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local revenue less the subsidised and free-market urea legs, over the combined nitrate tonnage</w:t>
            </w:r>
          </w:p>
        </w:tc>
      </w:tr>
      <w:tr>
        <w:tc>
          <w:tcPr>
            <w:tcW w:type="dxa" w:w="2448"/>
          </w:tcPr>
          <w:p>
            <w:pPr>
              <w:spacing w:after="20"/>
              <w:jc w:val="left"/>
            </w:pPr>
            <w:r>
              <w:rPr>
                <w:color w:val="1C3A36"/>
                <w:sz w:val="14"/>
              </w:rPr>
              <w:t>an_t_FY2526E</w:t>
            </w:r>
          </w:p>
        </w:tc>
        <w:tc>
          <w:tcPr>
            <w:tcW w:type="dxa" w:w="1944"/>
          </w:tcPr>
          <w:p>
            <w:pPr>
              <w:spacing w:after="20"/>
              <w:jc w:val="left"/>
            </w:pPr>
            <w:r>
              <w:rPr>
                <w:color w:val="1C3A36"/>
                <w:sz w:val="14"/>
              </w:rPr>
              <w:t>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Nitrate output for the study year, from the nine-month reviewed accounts and the disclosed quarterly detail</w:t>
            </w:r>
          </w:p>
        </w:tc>
      </w:tr>
      <w:tr>
        <w:tc>
          <w:tcPr>
            <w:tcW w:type="dxa" w:w="2448"/>
          </w:tcPr>
          <w:p>
            <w:pPr>
              <w:spacing w:after="20"/>
              <w:jc w:val="left"/>
            </w:pPr>
            <w:r>
              <w:rPr>
                <w:color w:val="1C3A36"/>
                <w:sz w:val="14"/>
              </w:rPr>
              <w:t>anna_capex_path</w:t>
            </w:r>
          </w:p>
        </w:tc>
        <w:tc>
          <w:tcPr>
            <w:tcW w:type="dxa" w:w="1944"/>
          </w:tcPr>
          <w:p>
            <w:pPr>
              <w:spacing w:after="20"/>
              <w:jc w:val="left"/>
            </w:pPr>
            <w:r>
              <w:rPr>
                <w:color w:val="1C3A36"/>
                <w:sz w:val="14"/>
              </w:rPr>
              <w:t>2,599, 3,100, 3,300, 3,200, 2,489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spending path, RE-ANCHORED 9 August 2026 on the observed run rate. The first year is the company's own nine-month actual extended to a full year (EGP 1,949.1m x 4/3 = EGP 2,598.8m); the remaining years complete the EGP 14,688m still to spend against the bank-approved cost. The first issue opened at EGP 3,000m, above anything the company has actually spent in a year.</w:t>
            </w:r>
          </w:p>
        </w:tc>
      </w:tr>
      <w:tr>
        <w:tc>
          <w:tcPr>
            <w:tcW w:type="dxa" w:w="2448"/>
          </w:tcPr>
          <w:p>
            <w:pPr>
              <w:spacing w:after="20"/>
              <w:jc w:val="left"/>
            </w:pPr>
            <w:r>
              <w:rPr>
                <w:color w:val="1C3A36"/>
                <w:sz w:val="14"/>
              </w:rPr>
              <w:t>anna_cash_margin</w:t>
            </w:r>
          </w:p>
        </w:tc>
        <w:tc>
          <w:tcPr>
            <w:tcW w:type="dxa" w:w="1944"/>
          </w:tcPr>
          <w:p>
            <w:pPr>
              <w:spacing w:after="20"/>
              <w:jc w:val="left"/>
            </w:pPr>
            <w:r>
              <w:rPr>
                <w:color w:val="1C3A36"/>
                <w:sz w:val="14"/>
              </w:rPr>
              <w:t>0.32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conversion margin on ammonium nitrate over its own ammonia feedstock</w:t>
            </w:r>
          </w:p>
        </w:tc>
      </w:tr>
      <w:tr>
        <w:tc>
          <w:tcPr>
            <w:tcW w:type="dxa" w:w="2448"/>
          </w:tcPr>
          <w:p>
            <w:pPr>
              <w:spacing w:after="20"/>
              <w:jc w:val="left"/>
            </w:pPr>
            <w:r>
              <w:rPr>
                <w:color w:val="1C3A36"/>
                <w:sz w:val="14"/>
              </w:rPr>
              <w:t>anna_nameplate</w:t>
            </w:r>
          </w:p>
        </w:tc>
        <w:tc>
          <w:tcPr>
            <w:tcW w:type="dxa" w:w="1944"/>
          </w:tcPr>
          <w:p>
            <w:pPr>
              <w:spacing w:after="20"/>
              <w:jc w:val="left"/>
            </w:pPr>
            <w:r>
              <w:rPr>
                <w:color w:val="1C3A36"/>
                <w:sz w:val="14"/>
              </w:rPr>
              <w:t>189,863</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no filing states the new plant's capacity. It is the ammonia design plate less the draw of urea at ITS design plate, converted at the ratio above.</w:t>
            </w:r>
          </w:p>
        </w:tc>
      </w:tr>
      <w:tr>
        <w:tc>
          <w:tcPr>
            <w:tcW w:type="dxa" w:w="2448"/>
          </w:tcPr>
          <w:p>
            <w:pPr>
              <w:spacing w:after="20"/>
              <w:jc w:val="left"/>
            </w:pPr>
            <w:r>
              <w:rPr>
                <w:color w:val="1C3A36"/>
                <w:sz w:val="14"/>
              </w:rPr>
              <w:t>anna_operating_days</w:t>
            </w:r>
          </w:p>
        </w:tc>
        <w:tc>
          <w:tcPr>
            <w:tcW w:type="dxa" w:w="1944"/>
          </w:tcPr>
          <w:p>
            <w:pPr>
              <w:spacing w:after="20"/>
              <w:jc w:val="left"/>
            </w:pPr>
            <w:r>
              <w:rPr>
                <w:color w:val="1C3A36"/>
                <w:sz w:val="14"/>
              </w:rPr>
              <w:t>330</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operating days a year for a continuous nitrate line, net of the turnaround the company takes annually</w:t>
            </w:r>
          </w:p>
        </w:tc>
      </w:tr>
      <w:tr>
        <w:tc>
          <w:tcPr>
            <w:tcW w:type="dxa" w:w="2448"/>
          </w:tcPr>
          <w:p>
            <w:pPr>
              <w:spacing w:after="20"/>
              <w:jc w:val="left"/>
            </w:pPr>
            <w:r>
              <w:rPr>
                <w:color w:val="1C3A36"/>
                <w:sz w:val="14"/>
              </w:rPr>
              <w:t>anna_util_base</w:t>
            </w:r>
          </w:p>
        </w:tc>
        <w:tc>
          <w:tcPr>
            <w:tcW w:type="dxa" w:w="1944"/>
          </w:tcPr>
          <w:p>
            <w:pPr>
              <w:spacing w:after="20"/>
              <w:jc w:val="left"/>
            </w:pPr>
            <w:r>
              <w:rPr>
                <w:color w:val="1C3A36"/>
                <w:sz w:val="14"/>
              </w:rPr>
              <w:t>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central case</w:t>
            </w:r>
          </w:p>
        </w:tc>
      </w:tr>
      <w:tr>
        <w:tc>
          <w:tcPr>
            <w:tcW w:type="dxa" w:w="2448"/>
          </w:tcPr>
          <w:p>
            <w:pPr>
              <w:spacing w:after="20"/>
              <w:jc w:val="left"/>
            </w:pPr>
            <w:r>
              <w:rPr>
                <w:color w:val="1C3A36"/>
                <w:sz w:val="14"/>
              </w:rPr>
              <w:t>anna_util_bull</w:t>
            </w:r>
          </w:p>
        </w:tc>
        <w:tc>
          <w:tcPr>
            <w:tcW w:type="dxa" w:w="1944"/>
          </w:tcPr>
          <w:p>
            <w:pPr>
              <w:spacing w:after="20"/>
              <w:jc w:val="left"/>
            </w:pPr>
            <w:r>
              <w:rPr>
                <w:color w:val="1C3A36"/>
                <w:sz w:val="14"/>
              </w:rPr>
              <w:t>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upside case</w:t>
            </w:r>
          </w:p>
        </w:tc>
      </w:tr>
      <w:tr>
        <w:tc>
          <w:tcPr>
            <w:tcW w:type="dxa" w:w="2448"/>
          </w:tcPr>
          <w:p>
            <w:pPr>
              <w:spacing w:after="20"/>
              <w:jc w:val="left"/>
            </w:pPr>
            <w:r>
              <w:rPr>
                <w:color w:val="1C3A36"/>
                <w:sz w:val="14"/>
              </w:rPr>
              <w:t>anna_winddown_cost</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capital-discipline case only: the cost of stopping the programme in the first forecast year — contract settlement and site preservation. No filing states it; it is the study's estimate and is flagged.</w:t>
            </w:r>
          </w:p>
        </w:tc>
      </w:tr>
      <w:tr>
        <w:tc>
          <w:tcPr>
            <w:tcW w:type="dxa" w:w="2448"/>
          </w:tcPr>
          <w:p>
            <w:pPr>
              <w:spacing w:after="20"/>
              <w:jc w:val="left"/>
            </w:pPr>
            <w:r>
              <w:rPr>
                <w:color w:val="1C3A36"/>
                <w:sz w:val="14"/>
              </w:rPr>
              <w:t>beta_ci90_low</w:t>
            </w:r>
          </w:p>
        </w:tc>
        <w:tc>
          <w:tcPr>
            <w:tcW w:type="dxa" w:w="1944"/>
          </w:tcPr>
          <w:p>
            <w:pPr>
              <w:spacing w:after="20"/>
              <w:jc w:val="left"/>
            </w:pPr>
            <w:r>
              <w:rPr>
                <w:color w:val="1C3A36"/>
                <w:sz w:val="14"/>
              </w:rPr>
              <w:t>0.7165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lower bound of the ninety-per-cent confidence interval of the same beta estimate — a five-year weekly regression of the stock's own returns on the EGX30 (253 weekly observations to 16 July 2026) — carried as the beta alternative. REPLACES the 08-08-2026 edition's thin-trading-adjusted beta, which belonged to a basket regression withdrawn as non-conforming.</w:t>
            </w:r>
          </w:p>
        </w:tc>
      </w:tr>
      <w:tr>
        <w:tc>
          <w:tcPr>
            <w:tcW w:type="dxa" w:w="2448"/>
          </w:tcPr>
          <w:p>
            <w:pPr>
              <w:spacing w:after="20"/>
              <w:jc w:val="left"/>
            </w:pPr>
            <w:r>
              <w:rPr>
                <w:color w:val="1C3A36"/>
                <w:sz w:val="14"/>
              </w:rPr>
              <w:t>capex_run_rate_FY2526E</w:t>
            </w:r>
          </w:p>
        </w:tc>
        <w:tc>
          <w:tcPr>
            <w:tcW w:type="dxa" w:w="1944"/>
          </w:tcPr>
          <w:p>
            <w:pPr>
              <w:spacing w:after="20"/>
              <w:jc w:val="left"/>
            </w:pPr>
            <w:r>
              <w:rPr>
                <w:color w:val="1C3A36"/>
                <w:sz w:val="14"/>
              </w:rPr>
              <w:t>2,599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nine-month actual extended to a full year — the company's own latest observed project spending rate, and the near-term anchor for the forecast path</w:t>
            </w:r>
          </w:p>
        </w:tc>
      </w:tr>
      <w:tr>
        <w:tc>
          <w:tcPr>
            <w:tcW w:type="dxa" w:w="2448"/>
          </w:tcPr>
          <w:p>
            <w:pPr>
              <w:spacing w:after="20"/>
              <w:jc w:val="left"/>
            </w:pPr>
            <w:r>
              <w:rPr>
                <w:color w:val="1C3A36"/>
                <w:sz w:val="14"/>
              </w:rPr>
              <w:t>cpi_path</w:t>
            </w:r>
          </w:p>
        </w:tc>
        <w:tc>
          <w:tcPr>
            <w:tcW w:type="dxa" w:w="1944"/>
          </w:tcPr>
          <w:p>
            <w:pPr>
              <w:spacing w:after="20"/>
              <w:jc w:val="left"/>
            </w:pPr>
            <w:r>
              <w:rPr>
                <w:color w:val="1C3A36"/>
                <w:sz w:val="14"/>
              </w:rPr>
              <w:t>0.14, 0.105, 0.0825, 0.0725, 0.07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from the single Egyptian inflation path this series uses for every Egyptian company it values (as of 2026-09-02), mapped onto this company's 30 June fiscal year end: each fiscal year takes half of each of the two calendar years it spans, and beyond the path's last published year its long-run rate. That path is 2026 16.0% / 2027 12.0% / 2028 9.0% / 2029 7.5% / 2030 7.0%. No number here is chosen for this study: a company cannot be valued in an economy the study beside it does not recognise, so no valuation in this series sets an inflation rate of its own. Until 3 September 2026 this array read 10.0 / 7.0 / 6.0 / 5.0 / 5.0 and ended at 5% while the same study already took 7% as the long-run rate.</w:t>
            </w:r>
          </w:p>
        </w:tc>
      </w:tr>
      <w:tr>
        <w:tc>
          <w:tcPr>
            <w:tcW w:type="dxa" w:w="2448"/>
          </w:tcPr>
          <w:p>
            <w:pPr>
              <w:spacing w:after="20"/>
              <w:jc w:val="left"/>
            </w:pPr>
            <w:r>
              <w:rPr>
                <w:color w:val="1C3A36"/>
                <w:sz w:val="14"/>
              </w:rPr>
              <w:t>dep_escalation</w:t>
            </w:r>
          </w:p>
        </w:tc>
        <w:tc>
          <w:tcPr>
            <w:tcW w:type="dxa" w:w="1944"/>
          </w:tcPr>
          <w:p>
            <w:pPr>
              <w:spacing w:after="20"/>
              <w:jc w:val="left"/>
            </w:pPr>
            <w:r>
              <w:rPr>
                <w:color w:val="1C3A36"/>
                <w:sz w:val="14"/>
              </w:rPr>
              <w:t>0.02</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escalation on the existing depreciation base, reflecting ordinary additions to the plant already in service</w:t>
            </w:r>
          </w:p>
        </w:tc>
      </w:tr>
      <w:tr>
        <w:tc>
          <w:tcPr>
            <w:tcW w:type="dxa" w:w="2448"/>
          </w:tcPr>
          <w:p>
            <w:pPr>
              <w:spacing w:after="20"/>
              <w:jc w:val="left"/>
            </w:pPr>
            <w:r>
              <w:rPr>
                <w:color w:val="1C3A36"/>
                <w:sz w:val="14"/>
              </w:rPr>
              <w:t>design_urea_tpy</w:t>
            </w:r>
          </w:p>
        </w:tc>
        <w:tc>
          <w:tcPr>
            <w:tcW w:type="dxa" w:w="1944"/>
          </w:tcPr>
          <w:p>
            <w:pPr>
              <w:spacing w:after="20"/>
              <w:jc w:val="left"/>
            </w:pPr>
            <w:r>
              <w:rPr>
                <w:color w:val="1C3A36"/>
                <w:sz w:val="14"/>
              </w:rPr>
              <w:t>574,875</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1,575 t/day contractual plate times 365 days</w:t>
            </w:r>
          </w:p>
        </w:tc>
      </w:tr>
      <w:tr>
        <w:tc>
          <w:tcPr>
            <w:tcW w:type="dxa" w:w="2448"/>
          </w:tcPr>
          <w:p>
            <w:pPr>
              <w:spacing w:after="20"/>
              <w:jc w:val="left"/>
            </w:pPr>
            <w:r>
              <w:rPr>
                <w:color w:val="1C3A36"/>
                <w:sz w:val="14"/>
              </w:rPr>
              <w:t>dio</w:t>
            </w:r>
          </w:p>
        </w:tc>
        <w:tc>
          <w:tcPr>
            <w:tcW w:type="dxa" w:w="1944"/>
          </w:tcPr>
          <w:p>
            <w:pPr>
              <w:spacing w:after="20"/>
              <w:jc w:val="left"/>
            </w:pPr>
            <w:r>
              <w:rPr>
                <w:color w:val="1C3A36"/>
                <w:sz w:val="14"/>
              </w:rPr>
              <w:t>165.2475</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inventory over cost of sales</w:t>
            </w:r>
          </w:p>
        </w:tc>
      </w:tr>
      <w:tr>
        <w:tc>
          <w:tcPr>
            <w:tcW w:type="dxa" w:w="2448"/>
          </w:tcPr>
          <w:p>
            <w:pPr>
              <w:spacing w:after="20"/>
              <w:jc w:val="left"/>
            </w:pPr>
            <w:r>
              <w:rPr>
                <w:color w:val="1C3A36"/>
                <w:sz w:val="14"/>
              </w:rPr>
              <w:t>dpo</w:t>
            </w:r>
          </w:p>
        </w:tc>
        <w:tc>
          <w:tcPr>
            <w:tcW w:type="dxa" w:w="1944"/>
          </w:tcPr>
          <w:p>
            <w:pPr>
              <w:spacing w:after="20"/>
              <w:jc w:val="left"/>
            </w:pPr>
            <w:r>
              <w:rPr>
                <w:color w:val="1C3A36"/>
                <w:sz w:val="14"/>
              </w:rPr>
              <w:t>83.1716</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payables over cost of sales</w:t>
            </w:r>
          </w:p>
        </w:tc>
      </w:tr>
      <w:tr>
        <w:tc>
          <w:tcPr>
            <w:tcW w:type="dxa" w:w="2448"/>
          </w:tcPr>
          <w:p>
            <w:pPr>
              <w:spacing w:after="20"/>
              <w:jc w:val="left"/>
            </w:pPr>
            <w:r>
              <w:rPr>
                <w:color w:val="1C3A36"/>
                <w:sz w:val="14"/>
              </w:rPr>
              <w:t>dso</w:t>
            </w:r>
          </w:p>
        </w:tc>
        <w:tc>
          <w:tcPr>
            <w:tcW w:type="dxa" w:w="1944"/>
          </w:tcPr>
          <w:p>
            <w:pPr>
              <w:spacing w:after="20"/>
              <w:jc w:val="left"/>
            </w:pPr>
            <w:r>
              <w:rPr>
                <w:color w:val="1C3A36"/>
                <w:sz w:val="14"/>
              </w:rPr>
              <w:t>26.7747</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receivables over revenue</w:t>
            </w:r>
          </w:p>
        </w:tc>
      </w:tr>
      <w:tr>
        <w:tc>
          <w:tcPr>
            <w:tcW w:type="dxa" w:w="2448"/>
          </w:tcPr>
          <w:p>
            <w:pPr>
              <w:spacing w:after="20"/>
              <w:jc w:val="left"/>
            </w:pPr>
            <w:r>
              <w:rPr>
                <w:color w:val="1C3A36"/>
                <w:sz w:val="14"/>
              </w:rPr>
              <w:t>expected_depreciation</w:t>
            </w:r>
          </w:p>
        </w:tc>
        <w:tc>
          <w:tcPr>
            <w:tcW w:type="dxa" w:w="1944"/>
          </w:tcPr>
          <w:p>
            <w:pPr>
              <w:spacing w:after="20"/>
              <w:jc w:val="left"/>
            </w:pPr>
            <w:r>
              <w:rPr>
                <w:color w:val="1C3A36"/>
                <w:sz w:val="14"/>
              </w:rPr>
              <w:t>0.0449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central bank's LONG-RUN 5% target against about 2.4% in the United States, on the same relative-purchasing-power identity the study states. CORRECTED 9 August 2026: the study previously asserted 4.5% flat while stating a derivation that produces a different number in every year. The wedge is now computed from the identity rather than asserted, and the currency path is built from it year by year.</w:t>
            </w:r>
          </w:p>
        </w:tc>
      </w:tr>
      <w:tr>
        <w:tc>
          <w:tcPr>
            <w:tcW w:type="dxa" w:w="2448"/>
          </w:tcPr>
          <w:p>
            <w:pPr>
              <w:spacing w:after="20"/>
              <w:jc w:val="left"/>
            </w:pPr>
            <w:r>
              <w:rPr>
                <w:color w:val="1C3A36"/>
                <w:sz w:val="14"/>
              </w:rPr>
              <w:t>export_tonnes_FY2425</w:t>
            </w:r>
          </w:p>
        </w:tc>
        <w:tc>
          <w:tcPr>
            <w:tcW w:type="dxa" w:w="1944"/>
          </w:tcPr>
          <w:p>
            <w:pPr>
              <w:spacing w:after="20"/>
              <w:jc w:val="left"/>
            </w:pPr>
            <w:r>
              <w:rPr>
                <w:color w:val="1C3A36"/>
                <w:sz w:val="14"/>
              </w:rPr>
              <w:t>350,318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export revenue divided by the auditor's disclosed average export price of US$385/t at an average rate of 49.0 — reconciles to 350.3kt</w:t>
            </w:r>
          </w:p>
        </w:tc>
      </w:tr>
      <w:tr>
        <w:tc>
          <w:tcPr>
            <w:tcW w:type="dxa" w:w="2448"/>
          </w:tcPr>
          <w:p>
            <w:pPr>
              <w:spacing w:after="20"/>
              <w:jc w:val="left"/>
            </w:pPr>
            <w:r>
              <w:rPr>
                <w:color w:val="1C3A36"/>
                <w:sz w:val="14"/>
              </w:rPr>
              <w:t>export_usd_FY2526E</w:t>
            </w:r>
          </w:p>
        </w:tc>
        <w:tc>
          <w:tcPr>
            <w:tcW w:type="dxa" w:w="1944"/>
          </w:tcPr>
          <w:p>
            <w:pPr>
              <w:spacing w:after="20"/>
              <w:jc w:val="left"/>
            </w:pPr>
            <w:r>
              <w:rPr>
                <w:color w:val="1C3A36"/>
                <w:sz w:val="14"/>
              </w:rPr>
              <w:t>505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Study-year export price: the auditor's disclosed first-quarter increase of 43% on the FY2024/25 realised price, moderated toward the forward curve, from the nine-month reviewed accounts and the disclosed quarterly detail</w:t>
            </w:r>
          </w:p>
        </w:tc>
      </w:tr>
      <w:tr>
        <w:tc>
          <w:tcPr>
            <w:tcW w:type="dxa" w:w="2448"/>
          </w:tcPr>
          <w:p>
            <w:pPr>
              <w:spacing w:after="20"/>
              <w:jc w:val="left"/>
            </w:pPr>
            <w:r>
              <w:rPr>
                <w:color w:val="1C3A36"/>
                <w:sz w:val="14"/>
              </w:rPr>
              <w:t>export_usd_path</w:t>
            </w:r>
          </w:p>
        </w:tc>
        <w:tc>
          <w:tcPr>
            <w:tcW w:type="dxa" w:w="1944"/>
          </w:tcPr>
          <w:p>
            <w:pPr>
              <w:spacing w:after="20"/>
              <w:jc w:val="left"/>
            </w:pPr>
            <w:r>
              <w:rPr>
                <w:color w:val="1C3A36"/>
                <w:sz w:val="14"/>
              </w:rPr>
              <w:t>530, 530, 530, 530, 530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Held FLAT in nominal dollars at the opening level. No forecast of a traded commodity price is defensible, which is the convention this house applies to the same class of input elsewhere; the previous path fell 17% over five years on a construction nothing sourced.</w:t>
            </w:r>
          </w:p>
        </w:tc>
      </w:tr>
      <w:tr>
        <w:tc>
          <w:tcPr>
            <w:tcW w:type="dxa" w:w="2448"/>
          </w:tcPr>
          <w:p>
            <w:pPr>
              <w:spacing w:after="20"/>
              <w:jc w:val="left"/>
            </w:pPr>
            <w:r>
              <w:rPr>
                <w:color w:val="1C3A36"/>
                <w:sz w:val="14"/>
              </w:rPr>
              <w:t>export_usd_path_bull</w:t>
            </w:r>
          </w:p>
        </w:tc>
        <w:tc>
          <w:tcPr>
            <w:tcW w:type="dxa" w:w="1944"/>
          </w:tcPr>
          <w:p>
            <w:pPr>
              <w:spacing w:after="20"/>
              <w:jc w:val="left"/>
            </w:pPr>
            <w:r>
              <w:rPr>
                <w:color w:val="1C3A36"/>
                <w:sz w:val="14"/>
              </w:rPr>
              <w:t>560, 545, 530, 520, 515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upside export price path: urea holds nearer the August 2026 quote.</w:t>
            </w:r>
          </w:p>
        </w:tc>
      </w:tr>
      <w:tr>
        <w:tc>
          <w:tcPr>
            <w:tcW w:type="dxa" w:w="2448"/>
          </w:tcPr>
          <w:p>
            <w:pPr>
              <w:spacing w:after="20"/>
              <w:jc w:val="left"/>
            </w:pPr>
            <w:r>
              <w:rPr>
                <w:color w:val="1C3A36"/>
                <w:sz w:val="14"/>
              </w:rPr>
              <w:t>fa_avg_age_years</w:t>
            </w:r>
          </w:p>
        </w:tc>
        <w:tc>
          <w:tcPr>
            <w:tcW w:type="dxa" w:w="1944"/>
          </w:tcPr>
          <w:p>
            <w:pPr>
              <w:spacing w:after="20"/>
              <w:jc w:val="left"/>
            </w:pPr>
            <w:r>
              <w:rPr>
                <w:color w:val="1C3A36"/>
                <w:sz w:val="14"/>
              </w:rPr>
              <w:t>4.4544</w:t>
            </w:r>
          </w:p>
        </w:tc>
        <w:tc>
          <w:tcPr>
            <w:tcW w:type="dxa" w:w="1224"/>
          </w:tcPr>
          <w:p>
            <w:pPr>
              <w:spacing w:after="20"/>
              <w:jc w:val="left"/>
            </w:pPr>
            <w:r>
              <w:rPr>
                <w:color w:val="1C3A36"/>
                <w:sz w:val="14"/>
              </w:rPr>
              <w:t>years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DERIVED BY IDENTITY, labelled as derived: accumulated depreciation over the year's own charge. Under straight-line depreciation accumulated equals age times charge, so the ratio is the charge-weighted average age of the base. THE THREE CONDITIONS THAT BREAK THAT IDENTITY ARE CHECKED AND CLEAR HERE. There is no residual value: the policy note writes off cost over the useful life and mentions none. No useful life has been reassessed: the disclosed rates are unchanged from the prior year's identical table. And the base was not assembled by acquisition — it is one plant, built and extended by this company. The corroboration is that only EGP 220mn, 1.3% of the base, is fully depreciated and still in production, so almost nothing is past its accounting life and the gross-over-charge life below reads close to a true weighted life rather than a longer economic cycle. 4.45 years against the 11.04 that half of that life would assume: this plant was rebuilt recently and has another complex still under construction.</w:t>
            </w:r>
          </w:p>
        </w:tc>
      </w:tr>
      <w:tr>
        <w:tc>
          <w:tcPr>
            <w:tcW w:type="dxa" w:w="2448"/>
          </w:tcPr>
          <w:p>
            <w:pPr>
              <w:spacing w:after="20"/>
              <w:jc w:val="left"/>
            </w:pPr>
            <w:r>
              <w:rPr>
                <w:color w:val="1C3A36"/>
                <w:sz w:val="14"/>
              </w:rPr>
              <w:t>fa_life_implied_years</w:t>
            </w:r>
          </w:p>
        </w:tc>
        <w:tc>
          <w:tcPr>
            <w:tcW w:type="dxa" w:w="1944"/>
          </w:tcPr>
          <w:p>
            <w:pPr>
              <w:spacing w:after="20"/>
              <w:jc w:val="left"/>
            </w:pPr>
            <w:r>
              <w:rPr>
                <w:color w:val="1C3A36"/>
                <w:sz w:val="14"/>
              </w:rPr>
              <w:t>22.0702</w:t>
            </w:r>
          </w:p>
        </w:tc>
        <w:tc>
          <w:tcPr>
            <w:tcW w:type="dxa" w:w="1224"/>
          </w:tcPr>
          <w:p>
            <w:pPr>
              <w:spacing w:after="20"/>
              <w:jc w:val="left"/>
            </w:pPr>
            <w:r>
              <w:rPr>
                <w:color w:val="1C3A36"/>
                <w:sz w:val="14"/>
              </w:rPr>
              <w:t>years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DERIVED BY IDENTITY, labelled as derived: the depreciable gross cost — cost less land, which is never depreciated — over the year's own charge. It is the replacement cycle the accounts themselves run, and it sits inside the disclosed range: note 5-2 gives 3.95% on the urea and ammonia machinery (25.3 years), 9.5% on the factories (10.5), 6.5% on the workshops (15.4), 6% on the factory buildings (16.7), 2 to 5% on the residential city and the water and sewage pipes (20 to 50) and 4.75% on the intangible (21.1). A weighted life cannot be read off the note because it publishes no class balances, so the identity supplies one and the disclosed range is what checks it.</w:t>
            </w:r>
          </w:p>
        </w:tc>
      </w:tr>
      <w:tr>
        <w:tc>
          <w:tcPr>
            <w:tcW w:type="dxa" w:w="2448"/>
          </w:tcPr>
          <w:p>
            <w:pPr>
              <w:spacing w:after="20"/>
              <w:jc w:val="left"/>
            </w:pPr>
            <w:r>
              <w:rPr>
                <w:color w:val="1C3A36"/>
                <w:sz w:val="14"/>
              </w:rPr>
              <w:t>fx_terminal_wedge</w:t>
            </w:r>
          </w:p>
        </w:tc>
        <w:tc>
          <w:tcPr>
            <w:tcW w:type="dxa" w:w="1944"/>
          </w:tcPr>
          <w:p>
            <w:pPr>
              <w:spacing w:after="20"/>
              <w:jc w:val="left"/>
            </w:pPr>
            <w:r>
              <w:rPr>
                <w:color w:val="1C3A36"/>
                <w:sz w:val="14"/>
              </w:rPr>
              <w:t>0.0254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DERIVED: the steady-state currency depreciation the terminal inflation (5%) implies against long-run US inflation (2.4%) on the relative purchasing-power identity — the same wedge that carries the dollar debt in the terminal year. RE-SET 1 September 2026 from a typed 2.5% so that the terminal currency, the terminal cost of debt and the last explicit year share one number.</w:t>
            </w:r>
          </w:p>
        </w:tc>
      </w:tr>
      <w:tr>
        <w:tc>
          <w:tcPr>
            <w:tcW w:type="dxa" w:w="2448"/>
          </w:tcPr>
          <w:p>
            <w:pPr>
              <w:spacing w:after="20"/>
              <w:jc w:val="left"/>
            </w:pPr>
            <w:r>
              <w:rPr>
                <w:color w:val="1C3A36"/>
                <w:sz w:val="14"/>
              </w:rPr>
              <w:t>g_terminal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Terminal growth from the house macro path: terminal inflation plus a STATED real growth of zero, so the real assumption is written down rather than inferred from the gap to the discount rate. It was 5% (+/-2) for Q4 2028. CORRECTED 9 August 2026 after external critique: the study previously used the 7% Q4-2026 target, which expires one quarter after the anchor date, as a perpetuity anchor -- and then defended it by calling 5% 'below the target', inverting the central bank's own target structure. A perpetuity takes the longest-horizon target there is.</w:t>
            </w:r>
          </w:p>
        </w:tc>
      </w:tr>
      <w:tr>
        <w:tc>
          <w:tcPr>
            <w:tcW w:type="dxa" w:w="2448"/>
          </w:tcPr>
          <w:p>
            <w:pPr>
              <w:spacing w:after="20"/>
              <w:jc w:val="left"/>
            </w:pPr>
            <w:r>
              <w:rPr>
                <w:color w:val="1C3A36"/>
                <w:sz w:val="14"/>
              </w:rPr>
              <w:t>g_terminal_alt</w:t>
            </w:r>
          </w:p>
        </w:tc>
        <w:tc>
          <w:tcPr>
            <w:tcW w:type="dxa" w:w="1944"/>
          </w:tcPr>
          <w:p>
            <w:pPr>
              <w:spacing w:after="20"/>
              <w:jc w:val="left"/>
            </w:pPr>
            <w:r>
              <w:rPr>
                <w:color w:val="1C3A36"/>
                <w:sz w:val="14"/>
              </w:rPr>
              <w:t>0.03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Constructed: the alternative terminal growth rate: two points below the terminal inflation of 5%, which is negative real maintenance growth. RE-SET 1 September 2026 from 5% (which had become identical to the base case once terminal growth moved to 5%).</w:t>
            </w:r>
          </w:p>
        </w:tc>
      </w:tr>
      <w:tr>
        <w:tc>
          <w:tcPr>
            <w:tcW w:type="dxa" w:w="2448"/>
          </w:tcPr>
          <w:p>
            <w:pPr>
              <w:spacing w:after="20"/>
              <w:jc w:val="left"/>
            </w:pPr>
            <w:r>
              <w:rPr>
                <w:color w:val="1C3A36"/>
                <w:sz w:val="14"/>
              </w:rPr>
              <w:t>gas_m3_per_t_ammonia_modelled</w:t>
            </w:r>
          </w:p>
        </w:tc>
        <w:tc>
          <w:tcPr>
            <w:tcW w:type="dxa" w:w="1944"/>
          </w:tcPr>
          <w:p>
            <w:pPr>
              <w:spacing w:after="20"/>
              <w:jc w:val="left"/>
            </w:pPr>
            <w:r>
              <w:rPr>
                <w:color w:val="1C3A36"/>
                <w:sz w:val="14"/>
              </w:rPr>
              <w:t>1,292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implied by setting gas at three quarters of the single disclosed materials line; inside the auditor's own disclosed 1,025-1,771 range</w:t>
            </w:r>
          </w:p>
        </w:tc>
      </w:tr>
      <w:tr>
        <w:tc>
          <w:tcPr>
            <w:tcW w:type="dxa" w:w="2448"/>
          </w:tcPr>
          <w:p>
            <w:pPr>
              <w:spacing w:after="20"/>
              <w:jc w:val="left"/>
            </w:pPr>
            <w:r>
              <w:rPr>
                <w:color w:val="1C3A36"/>
                <w:sz w:val="14"/>
              </w:rPr>
              <w:t>gas_realised_usd_mmbtu</w:t>
            </w:r>
          </w:p>
        </w:tc>
        <w:tc>
          <w:tcPr>
            <w:tcW w:type="dxa" w:w="1944"/>
          </w:tcPr>
          <w:p>
            <w:pPr>
              <w:spacing w:after="20"/>
              <w:jc w:val="left"/>
            </w:pPr>
            <w:r>
              <w:rPr>
                <w:color w:val="1C3A36"/>
                <w:sz w:val="14"/>
              </w:rPr>
              <w:t>4.68</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company's own Q1 disclosure values 31,313,235 m3 of lost gas at EGP 251m, or EGP 8.016/m3, which converts to about US$4.68/mmBtu at the prevailing rate — below the US$5.75 contract price, which the study carries as its downside case</w:t>
            </w:r>
          </w:p>
        </w:tc>
      </w:tr>
      <w:tr>
        <w:tc>
          <w:tcPr>
            <w:tcW w:type="dxa" w:w="2448"/>
          </w:tcPr>
          <w:p>
            <w:pPr>
              <w:spacing w:after="20"/>
              <w:jc w:val="left"/>
            </w:pPr>
            <w:r>
              <w:rPr>
                <w:color w:val="1C3A36"/>
                <w:sz w:val="14"/>
              </w:rPr>
              <w:t>gas_share_of_materials</w:t>
            </w:r>
          </w:p>
        </w:tc>
        <w:tc>
          <w:tcPr>
            <w:tcW w:type="dxa" w:w="1944"/>
          </w:tcPr>
          <w:p>
            <w:pPr>
              <w:spacing w:after="20"/>
              <w:jc w:val="left"/>
            </w:pPr>
            <w:r>
              <w:rPr>
                <w:color w:val="1C3A36"/>
                <w:sz w:val="14"/>
              </w:rPr>
              <w:t>0.75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the statements give a single materials line and do not split gas from the rest. Gas is set at three quarters of that line, which implies 1,292 m3 per tonne of ammonia — inside the auditor's own disclosed 1,025 to 1,771 range. This is the largest modelled allocation in the study.</w:t>
            </w:r>
          </w:p>
        </w:tc>
      </w:tr>
      <w:tr>
        <w:tc>
          <w:tcPr>
            <w:tcW w:type="dxa" w:w="2448"/>
          </w:tcPr>
          <w:p>
            <w:pPr>
              <w:spacing w:after="20"/>
              <w:jc w:val="left"/>
            </w:pPr>
            <w:r>
              <w:rPr>
                <w:color w:val="1C3A36"/>
                <w:sz w:val="14"/>
              </w:rPr>
              <w:t>kd_local</w:t>
            </w:r>
          </w:p>
        </w:tc>
        <w:tc>
          <w:tcPr>
            <w:tcW w:type="dxa" w:w="1944"/>
          </w:tcPr>
          <w:p>
            <w:pPr>
              <w:spacing w:after="20"/>
              <w:jc w:val="left"/>
            </w:pPr>
            <w:r>
              <w:rPr>
                <w:color w:val="1C3A36"/>
                <w:sz w:val="14"/>
              </w:rPr>
              <w:t>0.194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96,896,001 of interest on the EGP 500,000,000 holding-company facility drawn in FY2024/25 — the company's own latest local borrowing</w:t>
            </w:r>
          </w:p>
        </w:tc>
      </w:tr>
      <w:tr>
        <w:tc>
          <w:tcPr>
            <w:tcW w:type="dxa" w:w="2448"/>
          </w:tcPr>
          <w:p>
            <w:pPr>
              <w:spacing w:after="20"/>
              <w:jc w:val="left"/>
            </w:pPr>
            <w:r>
              <w:rPr>
                <w:color w:val="1C3A36"/>
                <w:sz w:val="14"/>
              </w:rPr>
              <w:t>kd_usd_lt</w:t>
            </w:r>
          </w:p>
        </w:tc>
        <w:tc>
          <w:tcPr>
            <w:tcW w:type="dxa" w:w="1944"/>
          </w:tcPr>
          <w:p>
            <w:pPr>
              <w:spacing w:after="20"/>
              <w:jc w:val="left"/>
            </w:pPr>
            <w:r>
              <w:rPr>
                <w:color w:val="1C3A36"/>
                <w:sz w:val="14"/>
              </w:rPr>
              <w:t>0.09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corporate dollar cost of debt</w:t>
            </w:r>
          </w:p>
        </w:tc>
      </w:tr>
      <w:tr>
        <w:tc>
          <w:tcPr>
            <w:tcW w:type="dxa" w:w="2448"/>
          </w:tcPr>
          <w:p>
            <w:pPr>
              <w:spacing w:after="20"/>
              <w:jc w:val="left"/>
            </w:pPr>
            <w:r>
              <w:rPr>
                <w:color w:val="1C3A36"/>
                <w:sz w:val="14"/>
              </w:rPr>
              <w:t>kd_usd_nominal</w:t>
            </w:r>
          </w:p>
        </w:tc>
        <w:tc>
          <w:tcPr>
            <w:tcW w:type="dxa" w:w="1944"/>
          </w:tcPr>
          <w:p>
            <w:pPr>
              <w:spacing w:after="20"/>
              <w:jc w:val="left"/>
            </w:pPr>
            <w:r>
              <w:rPr>
                <w:color w:val="1C3A36"/>
                <w:sz w:val="14"/>
              </w:rPr>
              <w:t>0.117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1,338.0m of FY2024/25 interest on a mean dollar balance of about US$233m</w:t>
            </w:r>
          </w:p>
        </w:tc>
      </w:tr>
      <w:tr>
        <w:tc>
          <w:tcPr>
            <w:tcW w:type="dxa" w:w="2448"/>
          </w:tcPr>
          <w:p>
            <w:pPr>
              <w:spacing w:after="20"/>
              <w:jc w:val="left"/>
            </w:pPr>
            <w:r>
              <w:rPr>
                <w:color w:val="1C3A36"/>
                <w:sz w:val="14"/>
              </w:rPr>
              <w:t>lens_weights</w:t>
            </w:r>
          </w:p>
        </w:tc>
        <w:tc>
          <w:tcPr>
            <w:tcW w:type="dxa" w:w="1944"/>
          </w:tcPr>
          <w:p>
            <w:pPr>
              <w:spacing w:after="20"/>
              <w:jc w:val="left"/>
            </w:pPr>
            <w:r>
              <w:rPr>
                <w:color w:val="1C3A36"/>
                <w:sz w:val="14"/>
              </w:rPr>
              <w:t>0.45, 0.2, 0.2, 0.15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RETIRED — this series no longer averages its methods — and consumed by nothing. It is kept in the register so a reader of the 01-09-2026 edition can see what changed, and it is recorded here as retired rather than deleted because a number that was published once should stay traceable. THE CENTRAL IS THE CLASS PRIMARY -- the cash-flow lens, which on this company is two-sided -- and every other lens is a cross-check published beside it, never weighted into it. What follows is the description of the retired construction, kept verbatim: Weights of the four lenses in the weighted central the 01-09-2026 edition published inside its field: cash flow with the programme carried through 45%, relative multiples 20%, normalised earnings 20%, book value 15%. SET IN THIS EDITION (1 September 2026): the 08-08-2026 edition published the field alone, with no central and no weights. Basis: the cash-flow lens is the primary lens and the only one that charges the capital programme, so it carries the largest weight; its carried-through side enters because that is the company's own stated plan, and the stopped side is published beside it as the contested judgement, never averaged in; the relative and normalised lenses are cross-checks at equal weight; book value, which prices what has been paid for rather than what it earns, the least. The bear and full readings are the low and high of the field across every lens, never the weighted extremes.</w:t>
            </w:r>
          </w:p>
        </w:tc>
      </w:tr>
      <w:tr>
        <w:tc>
          <w:tcPr>
            <w:tcW w:type="dxa" w:w="2448"/>
          </w:tcPr>
          <w:p>
            <w:pPr>
              <w:spacing w:after="20"/>
              <w:jc w:val="left"/>
            </w:pPr>
            <w:r>
              <w:rPr>
                <w:color w:val="1C3A36"/>
                <w:sz w:val="14"/>
              </w:rPr>
              <w:t>local_free_p_FY2526E</w:t>
            </w:r>
          </w:p>
        </w:tc>
        <w:tc>
          <w:tcPr>
            <w:tcW w:type="dxa" w:w="1944"/>
          </w:tcPr>
          <w:p>
            <w:pPr>
              <w:spacing w:after="20"/>
              <w:jc w:val="left"/>
            </w:pPr>
            <w:r>
              <w:rPr>
                <w:color w:val="1C3A36"/>
                <w:sz w:val="14"/>
              </w:rPr>
              <w:t>22,000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price for the study year, from the nine-month reviewed accounts and the disclosed quarterly detail</w:t>
            </w:r>
          </w:p>
        </w:tc>
      </w:tr>
      <w:tr>
        <w:tc>
          <w:tcPr>
            <w:tcW w:type="dxa" w:w="2448"/>
          </w:tcPr>
          <w:p>
            <w:pPr>
              <w:spacing w:after="20"/>
              <w:jc w:val="left"/>
            </w:pPr>
            <w:r>
              <w:rPr>
                <w:color w:val="1C3A36"/>
                <w:sz w:val="14"/>
              </w:rPr>
              <w:t>local_free_parity</w:t>
            </w:r>
          </w:p>
        </w:tc>
        <w:tc>
          <w:tcPr>
            <w:tcW w:type="dxa" w:w="1944"/>
          </w:tcPr>
          <w:p>
            <w:pPr>
              <w:spacing w:after="20"/>
              <w:jc w:val="left"/>
            </w:pPr>
            <w:r>
              <w:rPr>
                <w:color w:val="1C3A36"/>
                <w:sz w:val="14"/>
              </w:rPr>
              <w:t>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urea clears at about 90% of export parity, implied by the FY2024/25 note-20 local revenue net of the subsidised and nitrate legs</w:t>
            </w:r>
          </w:p>
        </w:tc>
      </w:tr>
      <w:tr>
        <w:tc>
          <w:tcPr>
            <w:tcW w:type="dxa" w:w="2448"/>
          </w:tcPr>
          <w:p>
            <w:pPr>
              <w:spacing w:after="20"/>
              <w:jc w:val="left"/>
            </w:pPr>
            <w:r>
              <w:rPr>
                <w:color w:val="1C3A36"/>
                <w:sz w:val="14"/>
              </w:rPr>
              <w:t>local_free_path</w:t>
            </w:r>
          </w:p>
        </w:tc>
        <w:tc>
          <w:tcPr>
            <w:tcW w:type="dxa" w:w="1944"/>
          </w:tcPr>
          <w:p>
            <w:pPr>
              <w:spacing w:after="20"/>
              <w:jc w:val="left"/>
            </w:pPr>
            <w:r>
              <w:rPr>
                <w:color w:val="1C3A36"/>
                <w:sz w:val="14"/>
              </w:rPr>
              <w:t>40000, 41000, 42000, 43000, 44000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volume path from the 37.1kt implied for FY2024/25.</w:t>
            </w:r>
          </w:p>
        </w:tc>
      </w:tr>
      <w:tr>
        <w:tc>
          <w:tcPr>
            <w:tcW w:type="dxa" w:w="2448"/>
          </w:tcPr>
          <w:p>
            <w:pPr>
              <w:spacing w:after="20"/>
              <w:jc w:val="left"/>
            </w:pPr>
            <w:r>
              <w:rPr>
                <w:color w:val="1C3A36"/>
                <w:sz w:val="14"/>
              </w:rPr>
              <w:t>local_free_price_FY2425</w:t>
            </w:r>
          </w:p>
        </w:tc>
        <w:tc>
          <w:tcPr>
            <w:tcW w:type="dxa" w:w="1944"/>
          </w:tcPr>
          <w:p>
            <w:pPr>
              <w:spacing w:after="20"/>
              <w:jc w:val="left"/>
            </w:pPr>
            <w:r>
              <w:rPr>
                <w:color w:val="1C3A36"/>
                <w:sz w:val="14"/>
              </w:rPr>
              <w:t>18,485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parity at the FY2024/25 realised price and rate, times the 90% local clearing ratio</w:t>
            </w:r>
          </w:p>
        </w:tc>
      </w:tr>
      <w:tr>
        <w:tc>
          <w:tcPr>
            <w:tcW w:type="dxa" w:w="2448"/>
          </w:tcPr>
          <w:p>
            <w:pPr>
              <w:spacing w:after="20"/>
              <w:jc w:val="left"/>
            </w:pPr>
            <w:r>
              <w:rPr>
                <w:color w:val="1C3A36"/>
                <w:sz w:val="14"/>
              </w:rPr>
              <w:t>local_free_t_FY2526E</w:t>
            </w:r>
          </w:p>
        </w:tc>
        <w:tc>
          <w:tcPr>
            <w:tcW w:type="dxa" w:w="1944"/>
          </w:tcPr>
          <w:p>
            <w:pPr>
              <w:spacing w:after="20"/>
              <w:jc w:val="left"/>
            </w:pPr>
            <w:r>
              <w:rPr>
                <w:color w:val="1C3A36"/>
                <w:sz w:val="14"/>
              </w:rPr>
              <w:t>40,000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volume for the study year, from the nine-month reviewed accounts and the disclosed quarterly detail</w:t>
            </w:r>
          </w:p>
        </w:tc>
      </w:tr>
      <w:tr>
        <w:tc>
          <w:tcPr>
            <w:tcW w:type="dxa" w:w="2448"/>
          </w:tcPr>
          <w:p>
            <w:pPr>
              <w:spacing w:after="20"/>
              <w:jc w:val="left"/>
            </w:pPr>
            <w:r>
              <w:rPr>
                <w:color w:val="1C3A36"/>
                <w:sz w:val="14"/>
              </w:rPr>
              <w:t>local_free_tonnes_FY2425</w:t>
            </w:r>
          </w:p>
        </w:tc>
        <w:tc>
          <w:tcPr>
            <w:tcW w:type="dxa" w:w="1944"/>
          </w:tcPr>
          <w:p>
            <w:pPr>
              <w:spacing w:after="20"/>
              <w:jc w:val="left"/>
            </w:pPr>
            <w:r>
              <w:rPr>
                <w:color w:val="1C3A36"/>
                <w:sz w:val="14"/>
              </w:rPr>
              <w:t>37,085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local revenue less the subsidised leg, divided by the implied free-market price</w:t>
            </w:r>
          </w:p>
        </w:tc>
      </w:tr>
      <w:tr>
        <w:tc>
          <w:tcPr>
            <w:tcW w:type="dxa" w:w="2448"/>
          </w:tcPr>
          <w:p>
            <w:pPr>
              <w:spacing w:after="20"/>
              <w:jc w:val="left"/>
            </w:pPr>
            <w:r>
              <w:rPr>
                <w:color w:val="1C3A36"/>
                <w:sz w:val="14"/>
              </w:rPr>
              <w:t>maint_capex_pct</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Maintenance capital expenditure as a share of revenue, RE-ANCHORED 9 August 2026 on the company's OWN pre-project cash-flow statements: EGP 123.3m spent across FY2021/22 and FY2022/23 on EGP 11,052.9m of revenue. The first issue of this study used a 3.0% mature-plant standard instead, which is 2.7 times what this company has ever spent to keep its plant running, and which no disclosure supports. The replacement-rate framing (gross fixed assets at the disclosed 3.95% machinery rate, 6.11% of revenue) is carried as the published alternative and as the downside case.</w:t>
            </w:r>
          </w:p>
        </w:tc>
      </w:tr>
      <w:tr>
        <w:tc>
          <w:tcPr>
            <w:tcW w:type="dxa" w:w="2448"/>
          </w:tcPr>
          <w:p>
            <w:pPr>
              <w:spacing w:after="20"/>
              <w:jc w:val="left"/>
            </w:pPr>
            <w:r>
              <w:rPr>
                <w:color w:val="1C3A36"/>
                <w:sz w:val="14"/>
              </w:rPr>
              <w:t>maint_capex_pct_observed</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two clean PRE-PROJECT years pooled — EGP 123.3m of capital expenditure on EGP 11,052.9m of revenue. This is what the plant costs to keep running when it is not building anything, from the company's own cash-flow statements.</w:t>
            </w:r>
          </w:p>
        </w:tc>
      </w:tr>
      <w:tr>
        <w:tc>
          <w:tcPr>
            <w:tcW w:type="dxa" w:w="2448"/>
          </w:tcPr>
          <w:p>
            <w:pPr>
              <w:spacing w:after="20"/>
              <w:jc w:val="left"/>
            </w:pPr>
            <w:r>
              <w:rPr>
                <w:color w:val="1C3A36"/>
                <w:sz w:val="14"/>
              </w:rPr>
              <w:t>maint_capex_pct_replacement</w:t>
            </w:r>
          </w:p>
        </w:tc>
        <w:tc>
          <w:tcPr>
            <w:tcW w:type="dxa" w:w="1944"/>
          </w:tcPr>
          <w:p>
            <w:pPr>
              <w:spacing w:after="20"/>
              <w:jc w:val="left"/>
            </w:pPr>
            <w:r>
              <w:rPr>
                <w:color w:val="1C3A36"/>
                <w:sz w:val="14"/>
              </w:rPr>
              <w:t>0.061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gross fixed assets at the disclosed 3.95% machinery depreciation rate, over first-forecast-year revenue — replacement-rate maintenance, the upper framing of the same driver</w:t>
            </w:r>
          </w:p>
        </w:tc>
      </w:tr>
      <w:tr>
        <w:tc>
          <w:tcPr>
            <w:tcW w:type="dxa" w:w="2448"/>
          </w:tcPr>
          <w:p>
            <w:pPr>
              <w:spacing w:after="20"/>
              <w:jc w:val="left"/>
            </w:pPr>
            <w:r>
              <w:rPr>
                <w:color w:val="1C3A36"/>
                <w:sz w:val="14"/>
              </w:rPr>
              <w:t>mmbtu_per_m3</w:t>
            </w:r>
          </w:p>
        </w:tc>
        <w:tc>
          <w:tcPr>
            <w:tcW w:type="dxa" w:w="1944"/>
          </w:tcPr>
          <w:p>
            <w:pPr>
              <w:spacing w:after="20"/>
              <w:jc w:val="left"/>
            </w:pPr>
            <w:r>
              <w:rPr>
                <w:color w:val="1C3A36"/>
                <w:sz w:val="14"/>
              </w:rPr>
              <w:t>0.0353</w:t>
            </w:r>
          </w:p>
        </w:tc>
        <w:tc>
          <w:tcPr>
            <w:tcW w:type="dxa" w:w="1224"/>
          </w:tcPr>
          <w:p>
            <w:pPr>
              <w:spacing w:after="20"/>
              <w:jc w:val="left"/>
            </w:pPr>
            <w:r>
              <w:rPr>
                <w:color w:val="1C3A36"/>
                <w:sz w:val="14"/>
              </w:rPr>
              <w:t>mmBtu/m3</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standard gross calorific conversion</w:t>
            </w:r>
          </w:p>
        </w:tc>
      </w:tr>
      <w:tr>
        <w:tc>
          <w:tcPr>
            <w:tcW w:type="dxa" w:w="2448"/>
          </w:tcPr>
          <w:p>
            <w:pPr>
              <w:spacing w:after="20"/>
              <w:jc w:val="left"/>
            </w:pPr>
            <w:r>
              <w:rPr>
                <w:color w:val="1C3A36"/>
                <w:sz w:val="14"/>
              </w:rPr>
              <w:t>nh3_per_t_an</w:t>
            </w:r>
          </w:p>
        </w:tc>
        <w:tc>
          <w:tcPr>
            <w:tcW w:type="dxa" w:w="1944"/>
          </w:tcPr>
          <w:p>
            <w:pPr>
              <w:spacing w:after="20"/>
              <w:jc w:val="left"/>
            </w:pPr>
            <w:r>
              <w:rPr>
                <w:color w:val="1C3A36"/>
                <w:sz w:val="14"/>
              </w:rPr>
              <w:t>0.43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ammonia per tonne of ammonium nitrate through the nitric-acid route plus direct neutralisation</w:t>
            </w:r>
          </w:p>
        </w:tc>
      </w:tr>
      <w:tr>
        <w:tc>
          <w:tcPr>
            <w:tcW w:type="dxa" w:w="2448"/>
          </w:tcPr>
          <w:p>
            <w:pPr>
              <w:spacing w:after="20"/>
              <w:jc w:val="left"/>
            </w:pPr>
            <w:r>
              <w:rPr>
                <w:color w:val="1C3A36"/>
                <w:sz w:val="14"/>
              </w:rPr>
              <w:t>other_rev_FY2526E</w:t>
            </w:r>
          </w:p>
        </w:tc>
        <w:tc>
          <w:tcPr>
            <w:tcW w:type="dxa" w:w="1944"/>
          </w:tcPr>
          <w:p>
            <w:pPr>
              <w:spacing w:after="20"/>
              <w:jc w:val="left"/>
            </w:pPr>
            <w:r>
              <w:rPr>
                <w:color w:val="1C3A36"/>
                <w:sz w:val="14"/>
              </w:rPr>
              <w:t>120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Other revenue for the study year, from the nine-month reviewed accounts and the disclosed quarterly detail</w:t>
            </w:r>
          </w:p>
        </w:tc>
      </w:tr>
      <w:tr>
        <w:tc>
          <w:tcPr>
            <w:tcW w:type="dxa" w:w="2448"/>
          </w:tcPr>
          <w:p>
            <w:pPr>
              <w:spacing w:after="20"/>
              <w:jc w:val="left"/>
            </w:pPr>
            <w:r>
              <w:rPr>
                <w:color w:val="1C3A36"/>
                <w:sz w:val="14"/>
              </w:rPr>
              <w:t>other_rev_path</w:t>
            </w:r>
          </w:p>
        </w:tc>
        <w:tc>
          <w:tcPr>
            <w:tcW w:type="dxa" w:w="1944"/>
          </w:tcPr>
          <w:p>
            <w:pPr>
              <w:spacing w:after="20"/>
              <w:jc w:val="left"/>
            </w:pPr>
            <w:r>
              <w:rPr>
                <w:color w:val="1C3A36"/>
                <w:sz w:val="14"/>
              </w:rPr>
              <w:t>140, 152, 163, 174, 186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merchant nitric acid, the ferrosilicon plant's rent and services.</w:t>
            </w:r>
          </w:p>
        </w:tc>
      </w:tr>
      <w:tr>
        <w:tc>
          <w:tcPr>
            <w:tcW w:type="dxa" w:w="2448"/>
          </w:tcPr>
          <w:p>
            <w:pPr>
              <w:spacing w:after="20"/>
              <w:jc w:val="left"/>
            </w:pPr>
            <w:r>
              <w:rPr>
                <w:color w:val="1C3A36"/>
                <w:sz w:val="14"/>
              </w:rPr>
              <w:t>prod_urea_FY2526E</w:t>
            </w:r>
          </w:p>
        </w:tc>
        <w:tc>
          <w:tcPr>
            <w:tcW w:type="dxa" w:w="1944"/>
          </w:tcPr>
          <w:p>
            <w:pPr>
              <w:spacing w:after="20"/>
              <w:jc w:val="left"/>
            </w:pPr>
            <w:r>
              <w:rPr>
                <w:color w:val="1C3A36"/>
                <w:sz w:val="14"/>
              </w:rPr>
              <w:t>520,000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Nine months reviewed output extended on the fourth-quarter run rate, from the nine-month reviewed accounts and the disclosed quarterly detail</w:t>
            </w:r>
          </w:p>
        </w:tc>
      </w:tr>
      <w:tr>
        <w:tc>
          <w:tcPr>
            <w:tcW w:type="dxa" w:w="2448"/>
          </w:tcPr>
          <w:p>
            <w:pPr>
              <w:spacing w:after="20"/>
              <w:jc w:val="left"/>
            </w:pPr>
            <w:r>
              <w:rPr>
                <w:color w:val="1C3A36"/>
                <w:sz w:val="14"/>
              </w:rPr>
              <w:t>q4_runrate_haircut</w:t>
            </w:r>
          </w:p>
        </w:tc>
        <w:tc>
          <w:tcPr>
            <w:tcW w:type="dxa" w:w="1944"/>
          </w:tcPr>
          <w:p>
            <w:pPr>
              <w:spacing w:after="20"/>
              <w:jc w:val="left"/>
            </w:pPr>
            <w:r>
              <w:rPr>
                <w:color w:val="1C3A36"/>
                <w:sz w:val="14"/>
              </w:rPr>
              <w:t>0.97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fourth quarter of FY2025/26 is run-rated on the third quarter's revenue with a 3% haircut for the summer gas curtailment the company discloses every year</w:t>
            </w:r>
          </w:p>
        </w:tc>
      </w:tr>
      <w:tr>
        <w:tc>
          <w:tcPr>
            <w:tcW w:type="dxa" w:w="2448"/>
          </w:tcPr>
          <w:p>
            <w:pPr>
              <w:spacing w:after="20"/>
              <w:jc w:val="left"/>
            </w:pPr>
            <w:r>
              <w:rPr>
                <w:color w:val="1C3A36"/>
                <w:sz w:val="14"/>
              </w:rPr>
              <w:t>real_rate_lt</w:t>
            </w:r>
          </w:p>
        </w:tc>
        <w:tc>
          <w:tcPr>
            <w:tcW w:type="dxa" w:w="1944"/>
          </w:tcPr>
          <w:p>
            <w:pPr>
              <w:spacing w:after="20"/>
              <w:jc w:val="left"/>
            </w:pPr>
            <w:r>
              <w:rPr>
                <w:color w:val="1C3A36"/>
                <w:sz w:val="14"/>
              </w:rPr>
              <w:t>0.035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house real-rate convention, used to build the terminal risk-free rate from its own components rather than from a spot yield</w:t>
            </w:r>
          </w:p>
        </w:tc>
      </w:tr>
      <w:tr>
        <w:tc>
          <w:tcPr>
            <w:tcW w:type="dxa" w:w="2448"/>
          </w:tcPr>
          <w:p>
            <w:pPr>
              <w:spacing w:after="20"/>
              <w:jc w:val="left"/>
            </w:pPr>
            <w:r>
              <w:rPr>
                <w:color w:val="1C3A36"/>
                <w:sz w:val="14"/>
              </w:rPr>
              <w:t>roc_terminal</w:t>
            </w:r>
          </w:p>
        </w:tc>
        <w:tc>
          <w:tcPr>
            <w:tcW w:type="dxa" w:w="1944"/>
          </w:tcPr>
          <w:p>
            <w:pPr>
              <w:spacing w:after="20"/>
              <w:jc w:val="left"/>
            </w:pPr>
            <w:r>
              <w:rPr>
                <w:color w:val="1C3A36"/>
                <w:sz w:val="14"/>
              </w:rPr>
              <w:t>0.18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terminal return on invested capital, which sets the terminal reinvestment rate as growth divided by return on capital</w:t>
            </w:r>
          </w:p>
        </w:tc>
      </w:tr>
      <w:tr>
        <w:tc>
          <w:tcPr>
            <w:tcW w:type="dxa" w:w="2448"/>
          </w:tcPr>
          <w:p>
            <w:pPr>
              <w:spacing w:after="20"/>
              <w:jc w:val="left"/>
            </w:pPr>
            <w:r>
              <w:rPr>
                <w:color w:val="1C3A36"/>
                <w:sz w:val="14"/>
              </w:rPr>
              <w:t>subsidised_p_FY2526E</w:t>
            </w:r>
          </w:p>
        </w:tc>
        <w:tc>
          <w:tcPr>
            <w:tcW w:type="dxa" w:w="1944"/>
          </w:tcPr>
          <w:p>
            <w:pPr>
              <w:spacing w:after="20"/>
              <w:jc w:val="left"/>
            </w:pPr>
            <w:r>
              <w:rPr>
                <w:color w:val="1C3A36"/>
                <w:sz w:val="14"/>
              </w:rPr>
              <w:t>6,720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Administered price for the study year, from the nine-month reviewed accounts and the disclosed quarterly detail</w:t>
            </w:r>
          </w:p>
        </w:tc>
      </w:tr>
      <w:tr>
        <w:tc>
          <w:tcPr>
            <w:tcW w:type="dxa" w:w="2448"/>
          </w:tcPr>
          <w:p>
            <w:pPr>
              <w:spacing w:after="20"/>
              <w:jc w:val="left"/>
            </w:pPr>
            <w:r>
              <w:rPr>
                <w:color w:val="1C3A36"/>
                <w:sz w:val="14"/>
              </w:rPr>
              <w:t>subsidised_p_path</w:t>
            </w:r>
          </w:p>
        </w:tc>
        <w:tc>
          <w:tcPr>
            <w:tcW w:type="dxa" w:w="1944"/>
          </w:tcPr>
          <w:p>
            <w:pPr>
              <w:spacing w:after="20"/>
              <w:jc w:val="left"/>
            </w:pPr>
            <w:r>
              <w:rPr>
                <w:color w:val="1C3A36"/>
                <w:sz w:val="14"/>
              </w:rPr>
              <w:t>7,526, 8,429, 9,272, 10,106, 10,915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administered subsidised price path from the EGP 6,000 cooperative supply price.</w:t>
            </w:r>
          </w:p>
        </w:tc>
      </w:tr>
      <w:tr>
        <w:tc>
          <w:tcPr>
            <w:tcW w:type="dxa" w:w="2448"/>
          </w:tcPr>
          <w:p>
            <w:pPr>
              <w:spacing w:after="20"/>
              <w:jc w:val="left"/>
            </w:pPr>
            <w:r>
              <w:rPr>
                <w:color w:val="1C3A36"/>
                <w:sz w:val="14"/>
              </w:rPr>
              <w:t>subsidised_t_FY2526E</w:t>
            </w:r>
          </w:p>
        </w:tc>
        <w:tc>
          <w:tcPr>
            <w:tcW w:type="dxa" w:w="1944"/>
          </w:tcPr>
          <w:p>
            <w:pPr>
              <w:spacing w:after="20"/>
              <w:jc w:val="left"/>
            </w:pPr>
            <w:r>
              <w:rPr>
                <w:color w:val="1C3A36"/>
                <w:sz w:val="14"/>
              </w:rPr>
              <w:t>150,000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Subsidised deliveries for the study year on the revised quota schedule, from the nine-month reviewed accounts and the disclosed quarterly detail</w:t>
            </w:r>
          </w:p>
        </w:tc>
      </w:tr>
      <w:tr>
        <w:tc>
          <w:tcPr>
            <w:tcW w:type="dxa" w:w="2448"/>
          </w:tcPr>
          <w:p>
            <w:pPr>
              <w:spacing w:after="20"/>
              <w:jc w:val="left"/>
            </w:pPr>
            <w:r>
              <w:rPr>
                <w:color w:val="1C3A36"/>
                <w:sz w:val="14"/>
              </w:rPr>
              <w:t>subsidised_t_path</w:t>
            </w:r>
          </w:p>
        </w:tc>
        <w:tc>
          <w:tcPr>
            <w:tcW w:type="dxa" w:w="1944"/>
          </w:tcPr>
          <w:p>
            <w:pPr>
              <w:spacing w:after="20"/>
              <w:jc w:val="left"/>
            </w:pPr>
            <w:r>
              <w:rPr>
                <w:color w:val="1C3A36"/>
                <w:sz w:val="14"/>
              </w:rPr>
              <w:t>155000, 160000, 165000, 170000, 175000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subsidised delivery path. The company met 147kt of a 322kt requirement in the fourteen months to August 2025, a 46% compliance rate the forecast does not assume away.</w:t>
            </w:r>
          </w:p>
        </w:tc>
      </w:tr>
      <w:tr>
        <w:tc>
          <w:tcPr>
            <w:tcW w:type="dxa" w:w="2448"/>
          </w:tcPr>
          <w:p>
            <w:pPr>
              <w:spacing w:after="20"/>
              <w:jc w:val="left"/>
            </w:pPr>
            <w:r>
              <w:rPr>
                <w:color w:val="1C3A36"/>
                <w:sz w:val="14"/>
              </w:rPr>
              <w:t>subsidised_tonnes_FY2425</w:t>
            </w:r>
          </w:p>
        </w:tc>
        <w:tc>
          <w:tcPr>
            <w:tcW w:type="dxa" w:w="1944"/>
          </w:tcPr>
          <w:p>
            <w:pPr>
              <w:spacing w:after="20"/>
              <w:jc w:val="left"/>
            </w:pPr>
            <w:r>
              <w:rPr>
                <w:color w:val="1C3A36"/>
                <w:sz w:val="14"/>
              </w:rPr>
              <w:t>126,000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auditor's 147kt delivered over fourteen months, annualised</w:t>
            </w:r>
          </w:p>
        </w:tc>
      </w:tr>
      <w:tr>
        <w:tc>
          <w:tcPr>
            <w:tcW w:type="dxa" w:w="2448"/>
          </w:tcPr>
          <w:p>
            <w:pPr>
              <w:spacing w:after="20"/>
              <w:jc w:val="left"/>
            </w:pPr>
            <w:r>
              <w:rPr>
                <w:color w:val="1C3A36"/>
                <w:sz w:val="14"/>
              </w:rPr>
              <w:t>urea_util</w:t>
            </w:r>
          </w:p>
        </w:tc>
        <w:tc>
          <w:tcPr>
            <w:tcW w:type="dxa" w:w="1944"/>
          </w:tcPr>
          <w:p>
            <w:pPr>
              <w:spacing w:after="20"/>
              <w:jc w:val="left"/>
            </w:pPr>
            <w:r>
              <w:rPr>
                <w:color w:val="1C3A36"/>
                <w:sz w:val="14"/>
              </w:rPr>
              <w:t>0.913, 0.922, 0.93, 0.939, 0.948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utilisation path. Audited output ran 586.4kt in FY2022/23 (2% above plate), 521.9kt in FY2023/24 and 513.4kt in FY2024/25; the path never returns to plate because the summer gas curtailment is structural.</w:t>
            </w:r>
          </w:p>
        </w:tc>
      </w:tr>
      <w:tr>
        <w:tc>
          <w:tcPr>
            <w:tcW w:type="dxa" w:w="2448"/>
          </w:tcPr>
          <w:p>
            <w:pPr>
              <w:spacing w:after="20"/>
              <w:jc w:val="left"/>
            </w:pPr>
            <w:r>
              <w:rPr>
                <w:color w:val="1C3A36"/>
                <w:sz w:val="14"/>
              </w:rPr>
              <w:t>usd_egp_FY2526E</w:t>
            </w:r>
          </w:p>
        </w:tc>
        <w:tc>
          <w:tcPr>
            <w:tcW w:type="dxa" w:w="1944"/>
          </w:tcPr>
          <w:p>
            <w:pPr>
              <w:spacing w:after="20"/>
              <w:jc w:val="left"/>
            </w:pPr>
            <w:r>
              <w:rPr>
                <w:color w:val="1C3A36"/>
                <w:sz w:val="14"/>
              </w:rPr>
              <w:t>49.6</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Average rate across the study year, from the nine-month reviewed accounts and the disclosed quarterly detail</w:t>
            </w:r>
          </w:p>
        </w:tc>
      </w:tr>
      <w:tr>
        <w:tc>
          <w:tcPr>
            <w:tcW w:type="dxa" w:w="2448"/>
          </w:tcPr>
          <w:p>
            <w:pPr>
              <w:spacing w:after="20"/>
              <w:jc w:val="left"/>
            </w:pPr>
            <w:r>
              <w:rPr>
                <w:color w:val="1C3A36"/>
                <w:sz w:val="14"/>
              </w:rPr>
              <w:t>usd_egp_avg_FY2425</w:t>
            </w:r>
          </w:p>
        </w:tc>
        <w:tc>
          <w:tcPr>
            <w:tcW w:type="dxa" w:w="1944"/>
          </w:tcPr>
          <w:p>
            <w:pPr>
              <w:spacing w:after="20"/>
              <w:jc w:val="left"/>
            </w:pPr>
            <w:r>
              <w:rPr>
                <w:color w:val="1C3A36"/>
                <w:sz w:val="14"/>
              </w:rPr>
              <w:t>49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rate that reconciles note 20 export revenue to the disclosed export price and the implied export tonnage</w:t>
            </w:r>
          </w:p>
        </w:tc>
      </w:tr>
      <w:tr>
        <w:tc>
          <w:tcPr>
            <w:tcW w:type="dxa" w:w="2448"/>
          </w:tcPr>
          <w:p>
            <w:pPr>
              <w:spacing w:after="20"/>
              <w:jc w:val="left"/>
            </w:pPr>
            <w:r>
              <w:rPr>
                <w:color w:val="1C3A36"/>
                <w:sz w:val="14"/>
              </w:rPr>
              <w:t>usd_egp_path</w:t>
            </w:r>
          </w:p>
        </w:tc>
        <w:tc>
          <w:tcPr>
            <w:tcW w:type="dxa" w:w="1944"/>
          </w:tcPr>
          <w:p>
            <w:pPr>
              <w:spacing w:after="20"/>
              <w:jc w:val="left"/>
            </w:pPr>
            <w:r>
              <w:rPr>
                <w:color w:val="1C3A36"/>
                <w:sz w:val="14"/>
              </w:rPr>
              <w:t>53.49, 55.89, 57.85, 59.32, 60.83</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not typed: the spot rate carried forward year by year on the relative purchasing-power identity (1 + Egyptian inflation on the path above) / (1 + long-run US inflation) — the same identity that carries the dollar debt at local-equivalent cost. The 08-08-2026 edition typed a 4.5%-a-year path beside a derivation that produced a different number in every year; the register now carries the derived path itself.</w:t>
            </w:r>
          </w:p>
        </w:tc>
      </w:tr>
    </w:tbl>
    <w:p>
      <w:pPr>
        <w:spacing w:after="40"/>
      </w:pPr>
    </w:p>
    <w:p>
      <w:r>
        <w:br w:type="page"/>
      </w:r>
    </w:p>
    <w:p>
      <w:pPr>
        <w:spacing w:after="100" w:before="240"/>
      </w:pPr>
      <w:r>
        <w:rPr>
          <w:b/>
          <w:i w:val="0"/>
          <w:color w:val="1C3A36"/>
          <w:sz w:val="28"/>
        </w:rPr>
        <w:t>The judgements,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5760"/>
        <w:gridCol w:w="5904"/>
      </w:tblGrid>
      <w:tr>
        <w:tc>
          <w:tcPr>
            <w:tcW w:type="dxa" w:w="2448"/>
            <w:shd w:val="clear" w:color="auto" w:fill="EAF0EE"/>
          </w:tcPr>
          <w:p>
            <w:pPr>
              <w:spacing w:after="20"/>
              <w:jc w:val="left"/>
            </w:pPr>
            <w:r>
              <w:rPr>
                <w:b/>
                <w:color w:val="1C3A36"/>
                <w:sz w:val="16"/>
              </w:rPr>
              <w:t>Judgement</w:t>
            </w:r>
          </w:p>
        </w:tc>
        <w:tc>
          <w:tcPr>
            <w:tcW w:type="dxa" w:w="5760"/>
            <w:shd w:val="clear" w:color="auto" w:fill="EAF0EE"/>
          </w:tcPr>
          <w:p>
            <w:pPr>
              <w:spacing w:after="20"/>
              <w:jc w:val="left"/>
            </w:pPr>
            <w:r>
              <w:rPr>
                <w:b/>
                <w:color w:val="1C3A36"/>
                <w:sz w:val="16"/>
              </w:rPr>
              <w:t>What was decided</w:t>
            </w:r>
          </w:p>
        </w:tc>
        <w:tc>
          <w:tcPr>
            <w:tcW w:type="dxa" w:w="5904"/>
            <w:shd w:val="clear" w:color="auto" w:fill="EAF0EE"/>
          </w:tcPr>
          <w:p>
            <w:pPr>
              <w:spacing w:after="20"/>
              <w:jc w:val="left"/>
            </w:pPr>
            <w:r>
              <w:rPr>
                <w:b/>
                <w:color w:val="1C3A36"/>
                <w:sz w:val="16"/>
              </w:rPr>
              <w:t>What would overturn it</w:t>
            </w:r>
          </w:p>
        </w:tc>
      </w:tr>
      <w:tr>
        <w:tc>
          <w:tcPr>
            <w:tcW w:type="dxa" w:w="2448"/>
          </w:tcPr>
          <w:p>
            <w:pPr>
              <w:spacing w:after="20"/>
              <w:jc w:val="left"/>
            </w:pPr>
            <w:r>
              <w:rPr>
                <w:color w:val="1C3A36"/>
                <w:sz w:val="16"/>
              </w:rPr>
              <w:t>The valuation lens</w:t>
            </w:r>
          </w:p>
        </w:tc>
        <w:tc>
          <w:tcPr>
            <w:tcW w:type="dxa" w:w="5760"/>
          </w:tcPr>
          <w:p>
            <w:pPr>
              <w:spacing w:after="20"/>
              <w:jc w:val="left"/>
            </w:pPr>
            <w:r>
              <w:rPr>
                <w:color w:val="1C3A36"/>
                <w:sz w:val="16"/>
              </w:rPr>
              <w:t>Free cash flow to the firm with a volume-times-price driver tree, because the revenue note and the balance sheet show a single operating business with no lending, rental or fee leg</w:t>
            </w:r>
          </w:p>
        </w:tc>
        <w:tc>
          <w:tcPr>
            <w:tcW w:type="dxa" w:w="5904"/>
          </w:tcPr>
          <w:p>
            <w:pPr>
              <w:spacing w:after="20"/>
              <w:jc w:val="left"/>
            </w:pPr>
            <w:r>
              <w:rPr>
                <w:color w:val="1C3A36"/>
                <w:sz w:val="16"/>
              </w:rPr>
              <w:t>A disclosed second segment of any size, or a change in the asset mix that made the balance sheet something other than a plant</w:t>
            </w:r>
          </w:p>
        </w:tc>
      </w:tr>
      <w:tr>
        <w:tc>
          <w:tcPr>
            <w:tcW w:type="dxa" w:w="2448"/>
          </w:tcPr>
          <w:p>
            <w:pPr>
              <w:spacing w:after="20"/>
              <w:jc w:val="left"/>
            </w:pPr>
            <w:r>
              <w:rPr>
                <w:color w:val="1C3A36"/>
                <w:sz w:val="16"/>
              </w:rPr>
              <w:t>The contested judgement — the capital programme</w:t>
            </w:r>
          </w:p>
        </w:tc>
        <w:tc>
          <w:tcPr>
            <w:tcW w:type="dxa" w:w="5760"/>
          </w:tcPr>
          <w:p>
            <w:pPr>
              <w:spacing w:after="20"/>
              <w:jc w:val="left"/>
            </w:pPr>
            <w:r>
              <w:rPr>
                <w:color w:val="1C3A36"/>
                <w:sz w:val="16"/>
              </w:rPr>
              <w:t>Computed BOTH ways and published side by side rather than averaged, because the two differ by EGP 3.53 a share</w:t>
            </w:r>
          </w:p>
        </w:tc>
        <w:tc>
          <w:tcPr>
            <w:tcW w:type="dxa" w:w="5904"/>
          </w:tcPr>
          <w:p>
            <w:pPr>
              <w:spacing w:after="20"/>
              <w:jc w:val="left"/>
            </w:pPr>
            <w:r>
              <w:rPr>
                <w:color w:val="1C3A36"/>
                <w:sz w:val="16"/>
              </w:rPr>
              <w:t>A dated commissioning schedule with a disclosed nameplate, which would collapse the two cases toward one</w:t>
            </w:r>
          </w:p>
        </w:tc>
      </w:tr>
      <w:tr>
        <w:tc>
          <w:tcPr>
            <w:tcW w:type="dxa" w:w="2448"/>
          </w:tcPr>
          <w:p>
            <w:pPr>
              <w:spacing w:after="20"/>
              <w:jc w:val="left"/>
            </w:pPr>
            <w:r>
              <w:rPr>
                <w:color w:val="1C3A36"/>
                <w:sz w:val="16"/>
              </w:rPr>
              <w:t>The gas share of the materials line</w:t>
            </w:r>
          </w:p>
        </w:tc>
        <w:tc>
          <w:tcPr>
            <w:tcW w:type="dxa" w:w="5760"/>
          </w:tcPr>
          <w:p>
            <w:pPr>
              <w:spacing w:after="20"/>
              <w:jc w:val="left"/>
            </w:pPr>
            <w:r>
              <w:rPr>
                <w:color w:val="1C3A36"/>
                <w:sz w:val="16"/>
              </w:rPr>
              <w:t>Three quarters of a single disclosed materials line, implying 1,292 cubic metres a tonne of ammonia — inside the auditor's own disclosed range</w:t>
            </w:r>
          </w:p>
        </w:tc>
        <w:tc>
          <w:tcPr>
            <w:tcW w:type="dxa" w:w="5904"/>
          </w:tcPr>
          <w:p>
            <w:pPr>
              <w:spacing w:after="20"/>
              <w:jc w:val="left"/>
            </w:pPr>
            <w:r>
              <w:rPr>
                <w:color w:val="1C3A36"/>
                <w:sz w:val="16"/>
              </w:rPr>
              <w:t>Any disclosure splitting that line, or a stated consumption rate</w:t>
            </w:r>
          </w:p>
        </w:tc>
      </w:tr>
      <w:tr>
        <w:tc>
          <w:tcPr>
            <w:tcW w:type="dxa" w:w="2448"/>
          </w:tcPr>
          <w:p>
            <w:pPr>
              <w:spacing w:after="20"/>
              <w:jc w:val="left"/>
            </w:pPr>
            <w:r>
              <w:rPr>
                <w:color w:val="1C3A36"/>
                <w:sz w:val="16"/>
              </w:rPr>
              <w:t>The new complex's nameplate</w:t>
            </w:r>
          </w:p>
        </w:tc>
        <w:tc>
          <w:tcPr>
            <w:tcW w:type="dxa" w:w="5760"/>
          </w:tcPr>
          <w:p>
            <w:pPr>
              <w:spacing w:after="20"/>
              <w:jc w:val="left"/>
            </w:pPr>
            <w:r>
              <w:rPr>
                <w:color w:val="1C3A36"/>
                <w:sz w:val="16"/>
              </w:rPr>
              <w:t>Derived from the ammonia design plate less urea's draw at its own plate</w:t>
            </w:r>
          </w:p>
        </w:tc>
        <w:tc>
          <w:tcPr>
            <w:tcW w:type="dxa" w:w="5904"/>
          </w:tcPr>
          <w:p>
            <w:pPr>
              <w:spacing w:after="20"/>
              <w:jc w:val="left"/>
            </w:pPr>
            <w:r>
              <w:rPr>
                <w:color w:val="1C3A36"/>
                <w:sz w:val="16"/>
              </w:rPr>
              <w:t>A filing stating the capacity, which no filing currently does</w:t>
            </w:r>
          </w:p>
        </w:tc>
      </w:tr>
      <w:tr>
        <w:tc>
          <w:tcPr>
            <w:tcW w:type="dxa" w:w="2448"/>
          </w:tcPr>
          <w:p>
            <w:pPr>
              <w:spacing w:after="20"/>
              <w:jc w:val="left"/>
            </w:pPr>
            <w:r>
              <w:rPr>
                <w:color w:val="1C3A36"/>
                <w:sz w:val="16"/>
              </w:rPr>
              <w:t>The cost of capital basis</w:t>
            </w:r>
          </w:p>
        </w:tc>
        <w:tc>
          <w:tcPr>
            <w:tcW w:type="dxa" w:w="5760"/>
          </w:tcPr>
          <w:p>
            <w:pPr>
              <w:spacing w:after="20"/>
              <w:jc w:val="left"/>
            </w:pPr>
            <w:r>
              <w:rPr>
                <w:color w:val="1C3A36"/>
                <w:sz w:val="16"/>
              </w:rPr>
              <w:t>The sovereign's own yield less its own default spread, with a country-loaded premium added back once; both premium bases published</w:t>
            </w:r>
          </w:p>
        </w:tc>
        <w:tc>
          <w:tcPr>
            <w:tcW w:type="dxa" w:w="5904"/>
          </w:tcPr>
          <w:p>
            <w:pPr>
              <w:spacing w:after="20"/>
              <w:jc w:val="left"/>
            </w:pPr>
            <w:r>
              <w:rPr>
                <w:color w:val="1C3A36"/>
                <w:sz w:val="16"/>
              </w:rPr>
              <w:t>Evidence that Egyptian equity risk clears below its sovereign, which would revalue every Egyptian equity and not only this one</w:t>
            </w:r>
          </w:p>
        </w:tc>
      </w:tr>
      <w:tr>
        <w:tc>
          <w:tcPr>
            <w:tcW w:type="dxa" w:w="2448"/>
          </w:tcPr>
          <w:p>
            <w:pPr>
              <w:spacing w:after="20"/>
              <w:jc w:val="left"/>
            </w:pPr>
            <w:r>
              <w:rPr>
                <w:color w:val="1C3A36"/>
                <w:sz w:val="16"/>
              </w:rPr>
              <w:t>The dividend assumption</w:t>
            </w:r>
          </w:p>
        </w:tc>
        <w:tc>
          <w:tcPr>
            <w:tcW w:type="dxa" w:w="5760"/>
          </w:tcPr>
          <w:p>
            <w:pPr>
              <w:spacing w:after="20"/>
              <w:jc w:val="left"/>
            </w:pPr>
            <w:r>
              <w:rPr>
                <w:color w:val="1C3A36"/>
                <w:sz w:val="16"/>
              </w:rPr>
              <w:t>Zero, sourced from two consecutive appropriation statements rather than assumed</w:t>
            </w:r>
          </w:p>
        </w:tc>
        <w:tc>
          <w:tcPr>
            <w:tcW w:type="dxa" w:w="5904"/>
          </w:tcPr>
          <w:p>
            <w:pPr>
              <w:spacing w:after="20"/>
              <w:jc w:val="left"/>
            </w:pPr>
            <w:r>
              <w:rPr>
                <w:color w:val="1C3A36"/>
                <w:sz w:val="16"/>
              </w:rPr>
              <w:t>A distribution proposed in any future appropriation statement</w:t>
            </w:r>
          </w:p>
        </w:tc>
      </w:tr>
      <w:tr>
        <w:tc>
          <w:tcPr>
            <w:tcW w:type="dxa" w:w="2448"/>
          </w:tcPr>
          <w:p>
            <w:pPr>
              <w:spacing w:after="20"/>
              <w:jc w:val="left"/>
            </w:pPr>
            <w:r>
              <w:rPr>
                <w:color w:val="1C3A36"/>
                <w:sz w:val="16"/>
              </w:rPr>
              <w:t>The terminal growth rate</w:t>
            </w:r>
          </w:p>
        </w:tc>
        <w:tc>
          <w:tcPr>
            <w:tcW w:type="dxa" w:w="5760"/>
          </w:tcPr>
          <w:p>
            <w:pPr>
              <w:spacing w:after="20"/>
              <w:jc w:val="left"/>
            </w:pPr>
            <w:r>
              <w:rPr>
                <w:color w:val="1C3A36"/>
                <w:sz w:val="16"/>
              </w:rPr>
              <w:t>The central bank's medium-term inflation target — nominal maintenance growth with no real growth assumed</w:t>
            </w:r>
          </w:p>
        </w:tc>
        <w:tc>
          <w:tcPr>
            <w:tcW w:type="dxa" w:w="5904"/>
          </w:tcPr>
          <w:p>
            <w:pPr>
              <w:spacing w:after="20"/>
              <w:jc w:val="left"/>
            </w:pPr>
            <w:r>
              <w:rPr>
                <w:color w:val="1C3A36"/>
                <w:sz w:val="16"/>
              </w:rPr>
              <w:t>A demonstrated ability to grow volumes, which needs gas the country does not currently have</w:t>
            </w:r>
          </w:p>
        </w:tc>
      </w:tr>
    </w:tbl>
    <w:p>
      <w:pPr>
        <w:spacing w:after="40"/>
      </w:pPr>
    </w:p>
    <w:p>
      <w:pPr>
        <w:spacing w:after="100" w:before="240"/>
      </w:pPr>
      <w:r>
        <w:rPr>
          <w:b/>
          <w:i w:val="0"/>
          <w:color w:val="1C3A36"/>
          <w:sz w:val="28"/>
        </w:rPr>
        <w:t>Negative results — what was searched for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3744"/>
        <w:gridCol w:w="6768"/>
      </w:tblGrid>
      <w:tr>
        <w:tc>
          <w:tcPr>
            <w:tcW w:type="dxa" w:w="3600"/>
            <w:shd w:val="clear" w:color="auto" w:fill="EAF0EE"/>
          </w:tcPr>
          <w:p>
            <w:pPr>
              <w:spacing w:after="20"/>
              <w:jc w:val="left"/>
            </w:pPr>
            <w:r>
              <w:rPr>
                <w:b/>
                <w:color w:val="1C3A36"/>
                <w:sz w:val="16"/>
              </w:rPr>
              <w:t>What was sought</w:t>
            </w:r>
          </w:p>
        </w:tc>
        <w:tc>
          <w:tcPr>
            <w:tcW w:type="dxa" w:w="3744"/>
            <w:shd w:val="clear" w:color="auto" w:fill="EAF0EE"/>
          </w:tcPr>
          <w:p>
            <w:pPr>
              <w:spacing w:after="20"/>
              <w:jc w:val="left"/>
            </w:pPr>
            <w:r>
              <w:rPr>
                <w:b/>
                <w:color w:val="1C3A36"/>
                <w:sz w:val="16"/>
              </w:rPr>
              <w:t>Where</w:t>
            </w:r>
          </w:p>
        </w:tc>
        <w:tc>
          <w:tcPr>
            <w:tcW w:type="dxa" w:w="6768"/>
            <w:shd w:val="clear" w:color="auto" w:fill="EAF0EE"/>
          </w:tcPr>
          <w:p>
            <w:pPr>
              <w:spacing w:after="20"/>
              <w:jc w:val="left"/>
            </w:pPr>
            <w:r>
              <w:rPr>
                <w:b/>
                <w:color w:val="1C3A36"/>
                <w:sz w:val="16"/>
              </w:rPr>
              <w:t>Outcome</w:t>
            </w:r>
          </w:p>
        </w:tc>
      </w:tr>
      <w:tr>
        <w:tc>
          <w:tcPr>
            <w:tcW w:type="dxa" w:w="3600"/>
          </w:tcPr>
          <w:p>
            <w:pPr>
              <w:spacing w:after="20"/>
              <w:jc w:val="left"/>
            </w:pPr>
            <w:r>
              <w:rPr>
                <w:color w:val="1C3A36"/>
                <w:sz w:val="16"/>
              </w:rPr>
              <w:t>An investor presentation or earnings-call transcript</w:t>
            </w:r>
          </w:p>
        </w:tc>
        <w:tc>
          <w:tcPr>
            <w:tcW w:type="dxa" w:w="3744"/>
          </w:tcPr>
          <w:p>
            <w:pPr>
              <w:spacing w:after="20"/>
              <w:jc w:val="left"/>
            </w:pPr>
            <w:r>
              <w:rPr>
                <w:color w:val="1C3A36"/>
                <w:sz w:val="16"/>
              </w:rPr>
              <w:t>The company's investor-relations portal and open search</w:t>
            </w:r>
          </w:p>
        </w:tc>
        <w:tc>
          <w:tcPr>
            <w:tcW w:type="dxa" w:w="6768"/>
          </w:tcPr>
          <w:p>
            <w:pPr>
              <w:spacing w:after="20"/>
              <w:jc w:val="left"/>
            </w:pPr>
            <w:r>
              <w:rPr>
                <w:color w:val="1C3A36"/>
                <w:sz w:val="16"/>
              </w:rPr>
              <w:t>None exists. The company publishes filings and disclosure reports only, so the volume, price and utilisation data such material normally carries was taken instead from the statutory auditor's own tables</w:t>
            </w:r>
          </w:p>
        </w:tc>
      </w:tr>
      <w:tr>
        <w:tc>
          <w:tcPr>
            <w:tcW w:type="dxa" w:w="3600"/>
          </w:tcPr>
          <w:p>
            <w:pPr>
              <w:spacing w:after="20"/>
              <w:jc w:val="left"/>
            </w:pPr>
            <w:r>
              <w:rPr>
                <w:color w:val="1C3A36"/>
                <w:sz w:val="16"/>
              </w:rPr>
              <w:t>A stated nameplate capacity for the new complex</w:t>
            </w:r>
          </w:p>
        </w:tc>
        <w:tc>
          <w:tcPr>
            <w:tcW w:type="dxa" w:w="3744"/>
          </w:tcPr>
          <w:p>
            <w:pPr>
              <w:spacing w:after="20"/>
              <w:jc w:val="left"/>
            </w:pPr>
            <w:r>
              <w:rPr>
                <w:color w:val="1C3A36"/>
                <w:sz w:val="16"/>
              </w:rPr>
              <w:t>All four audited years and all three interim filings</w:t>
            </w:r>
          </w:p>
        </w:tc>
        <w:tc>
          <w:tcPr>
            <w:tcW w:type="dxa" w:w="6768"/>
          </w:tcPr>
          <w:p>
            <w:pPr>
              <w:spacing w:after="20"/>
              <w:jc w:val="left"/>
            </w:pPr>
            <w:r>
              <w:rPr>
                <w:color w:val="1C3A36"/>
                <w:sz w:val="16"/>
              </w:rPr>
              <w:t>Not disclosed. The capacity used is derived and flagged as derived throughout</w:t>
            </w:r>
          </w:p>
        </w:tc>
      </w:tr>
      <w:tr>
        <w:tc>
          <w:tcPr>
            <w:tcW w:type="dxa" w:w="3600"/>
          </w:tcPr>
          <w:p>
            <w:pPr>
              <w:spacing w:after="20"/>
              <w:jc w:val="left"/>
            </w:pPr>
            <w:r>
              <w:rPr>
                <w:color w:val="1C3A36"/>
                <w:sz w:val="16"/>
              </w:rPr>
              <w:t>A maintenance capital-expenditure guide or investment plan beyond the project</w:t>
            </w:r>
          </w:p>
        </w:tc>
        <w:tc>
          <w:tcPr>
            <w:tcW w:type="dxa" w:w="3744"/>
          </w:tcPr>
          <w:p>
            <w:pPr>
              <w:spacing w:after="20"/>
              <w:jc w:val="left"/>
            </w:pPr>
            <w:r>
              <w:rPr>
                <w:color w:val="1C3A36"/>
                <w:sz w:val="16"/>
              </w:rPr>
              <w:t>Board reports inside the filings, and open search</w:t>
            </w:r>
          </w:p>
        </w:tc>
        <w:tc>
          <w:tcPr>
            <w:tcW w:type="dxa" w:w="6768"/>
          </w:tcPr>
          <w:p>
            <w:pPr>
              <w:spacing w:after="20"/>
              <w:jc w:val="left"/>
            </w:pPr>
            <w:r>
              <w:rPr>
                <w:color w:val="1C3A36"/>
                <w:sz w:val="16"/>
              </w:rPr>
              <w:t>None found. Maintenance capital expenditure is set at a mature-plant standard and sensitised</w:t>
            </w:r>
          </w:p>
        </w:tc>
      </w:tr>
      <w:tr>
        <w:tc>
          <w:tcPr>
            <w:tcW w:type="dxa" w:w="3600"/>
          </w:tcPr>
          <w:p>
            <w:pPr>
              <w:spacing w:after="20"/>
              <w:jc w:val="left"/>
            </w:pPr>
            <w:r>
              <w:rPr>
                <w:color w:val="1C3A36"/>
                <w:sz w:val="16"/>
              </w:rPr>
              <w:t>Separate audit reports for FY2023, FY2024 and FY2025</w:t>
            </w:r>
          </w:p>
        </w:tc>
        <w:tc>
          <w:tcPr>
            <w:tcW w:type="dxa" w:w="3744"/>
          </w:tcPr>
          <w:p>
            <w:pPr>
              <w:spacing w:after="20"/>
              <w:jc w:val="left"/>
            </w:pPr>
            <w:r>
              <w:rPr>
                <w:color w:val="1C3A36"/>
                <w:sz w:val="16"/>
              </w:rPr>
              <w:t>The portal's audit-reports section</w:t>
            </w:r>
          </w:p>
        </w:tc>
        <w:tc>
          <w:tcPr>
            <w:tcW w:type="dxa" w:w="6768"/>
          </w:tcPr>
          <w:p>
            <w:pPr>
              <w:spacing w:after="20"/>
              <w:jc w:val="left"/>
            </w:pPr>
            <w:r>
              <w:rPr>
                <w:color w:val="1C3A36"/>
                <w:sz w:val="16"/>
              </w:rPr>
              <w:t>That section holds only audit-committee reports and its newest item covers the period to 31 December 2021. The statutory auditor's reports for the years used are bound inside the annual statements themselves</w:t>
            </w:r>
          </w:p>
        </w:tc>
      </w:tr>
      <w:tr>
        <w:tc>
          <w:tcPr>
            <w:tcW w:type="dxa" w:w="3600"/>
          </w:tcPr>
          <w:p>
            <w:pPr>
              <w:spacing w:after="20"/>
              <w:jc w:val="left"/>
            </w:pPr>
            <w:r>
              <w:rPr>
                <w:color w:val="1C3A36"/>
                <w:sz w:val="16"/>
              </w:rPr>
              <w:t>Official treasury-bill auction results</w:t>
            </w:r>
          </w:p>
        </w:tc>
        <w:tc>
          <w:tcPr>
            <w:tcW w:type="dxa" w:w="3744"/>
          </w:tcPr>
          <w:p>
            <w:pPr>
              <w:spacing w:after="20"/>
              <w:jc w:val="left"/>
            </w:pPr>
            <w:r>
              <w:rPr>
                <w:color w:val="1C3A36"/>
                <w:sz w:val="16"/>
              </w:rPr>
              <w:t>The central bank's auction pages</w:t>
            </w:r>
          </w:p>
        </w:tc>
        <w:tc>
          <w:tcPr>
            <w:tcW w:type="dxa" w:w="6768"/>
          </w:tcPr>
          <w:p>
            <w:pPr>
              <w:spacing w:after="20"/>
              <w:jc w:val="left"/>
            </w:pPr>
            <w:r>
              <w:rPr>
                <w:color w:val="1C3A36"/>
                <w:sz w:val="16"/>
              </w:rPr>
              <w:t>Blocked to automated access. Secondary market quotes are carried instead, used for context only, and no valuation figure depends on them</w:t>
            </w:r>
          </w:p>
        </w:tc>
      </w:tr>
      <w:tr>
        <w:tc>
          <w:tcPr>
            <w:tcW w:type="dxa" w:w="3600"/>
          </w:tcPr>
          <w:p>
            <w:pPr>
              <w:spacing w:after="20"/>
              <w:jc w:val="left"/>
            </w:pPr>
            <w:r>
              <w:rPr>
                <w:color w:val="1C3A36"/>
                <w:sz w:val="16"/>
              </w:rPr>
              <w:t>The exchange's own stated share count</w:t>
            </w:r>
          </w:p>
        </w:tc>
        <w:tc>
          <w:tcPr>
            <w:tcW w:type="dxa" w:w="3744"/>
          </w:tcPr>
          <w:p>
            <w:pPr>
              <w:spacing w:after="20"/>
              <w:jc w:val="left"/>
            </w:pPr>
            <w:r>
              <w:rPr>
                <w:color w:val="1C3A36"/>
                <w:sz w:val="16"/>
              </w:rPr>
              <w:t>The exchange company page for the listing</w:t>
            </w:r>
          </w:p>
        </w:tc>
        <w:tc>
          <w:tcPr>
            <w:tcW w:type="dxa" w:w="6768"/>
          </w:tcPr>
          <w:p>
            <w:pPr>
              <w:spacing w:after="20"/>
              <w:jc w:val="left"/>
            </w:pPr>
            <w:r>
              <w:rPr>
                <w:color w:val="1C3A36"/>
                <w:sz w:val="16"/>
              </w:rPr>
              <w:t>Behind a bot challenge that refused every automated read. The share count is taken from note 14 of the audited statements instead</w:t>
            </w:r>
          </w:p>
        </w:tc>
      </w:tr>
    </w:tbl>
    <w:p>
      <w:pPr>
        <w:spacing w:after="40"/>
      </w:pPr>
    </w:p>
    <w:p>
      <w:pPr>
        <w:spacing w:after="100" w:before="240"/>
      </w:pPr>
      <w:r>
        <w:rPr>
          <w:b/>
          <w:i w:val="0"/>
          <w:color w:val="1C3A36"/>
          <w:sz w:val="28"/>
        </w:rPr>
        <w:t>Where a widely quoted third-party figure disagreed with the filings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896"/>
        <w:gridCol w:w="4896"/>
        <w:gridCol w:w="2160"/>
      </w:tblGrid>
      <w:tr>
        <w:tc>
          <w:tcPr>
            <w:tcW w:type="dxa" w:w="2160"/>
            <w:shd w:val="clear" w:color="auto" w:fill="EAF0EE"/>
          </w:tcPr>
          <w:p>
            <w:pPr>
              <w:spacing w:after="20"/>
              <w:jc w:val="left"/>
            </w:pPr>
            <w:r>
              <w:rPr>
                <w:b/>
                <w:color w:val="1C3A36"/>
                <w:sz w:val="15"/>
              </w:rPr>
              <w:t>Figure</w:t>
            </w:r>
          </w:p>
        </w:tc>
        <w:tc>
          <w:tcPr>
            <w:tcW w:type="dxa" w:w="4896"/>
            <w:shd w:val="clear" w:color="auto" w:fill="EAF0EE"/>
          </w:tcPr>
          <w:p>
            <w:pPr>
              <w:spacing w:after="20"/>
              <w:jc w:val="left"/>
            </w:pPr>
            <w:r>
              <w:rPr>
                <w:b/>
                <w:color w:val="1C3A36"/>
                <w:sz w:val="15"/>
              </w:rPr>
              <w:t>What third parties showed</w:t>
            </w:r>
          </w:p>
        </w:tc>
        <w:tc>
          <w:tcPr>
            <w:tcW w:type="dxa" w:w="4896"/>
            <w:shd w:val="clear" w:color="auto" w:fill="EAF0EE"/>
          </w:tcPr>
          <w:p>
            <w:pPr>
              <w:spacing w:after="20"/>
              <w:jc w:val="left"/>
            </w:pPr>
            <w:r>
              <w:rPr>
                <w:b/>
                <w:color w:val="1C3A36"/>
                <w:sz w:val="15"/>
              </w:rPr>
              <w:t>What the filings show</w:t>
            </w:r>
          </w:p>
        </w:tc>
        <w:tc>
          <w:tcPr>
            <w:tcW w:type="dxa" w:w="2160"/>
            <w:shd w:val="clear" w:color="auto" w:fill="EAF0EE"/>
          </w:tcPr>
          <w:p>
            <w:pPr>
              <w:spacing w:after="20"/>
              <w:jc w:val="left"/>
            </w:pPr>
            <w:r>
              <w:rPr>
                <w:b/>
                <w:color w:val="1C3A36"/>
                <w:sz w:val="15"/>
              </w:rPr>
              <w:t>Which was used</w:t>
            </w:r>
          </w:p>
        </w:tc>
      </w:tr>
      <w:tr>
        <w:tc>
          <w:tcPr>
            <w:tcW w:type="dxa" w:w="2160"/>
          </w:tcPr>
          <w:p>
            <w:pPr>
              <w:spacing w:after="20"/>
              <w:jc w:val="left"/>
            </w:pPr>
            <w:r>
              <w:rPr>
                <w:color w:val="1C3A36"/>
                <w:sz w:val="15"/>
              </w:rPr>
              <w:t>Shares outstanding</w:t>
            </w:r>
          </w:p>
        </w:tc>
        <w:tc>
          <w:tcPr>
            <w:tcW w:type="dxa" w:w="4896"/>
          </w:tcPr>
          <w:p>
            <w:pPr>
              <w:spacing w:after="20"/>
              <w:jc w:val="left"/>
            </w:pPr>
            <w:r>
              <w:rPr>
                <w:color w:val="1C3A36"/>
                <w:sz w:val="15"/>
              </w:rPr>
              <w:t>One widely visible market page reported 197.95 million shares, inconsistent with its own market-capitalisation figure by a factor of ten; a stale exchange listing document showed 394,042,710 shares</w:t>
            </w:r>
          </w:p>
        </w:tc>
        <w:tc>
          <w:tcPr>
            <w:tcW w:type="dxa" w:w="4896"/>
          </w:tcPr>
          <w:p>
            <w:pPr>
              <w:spacing w:after="20"/>
              <w:jc w:val="left"/>
            </w:pPr>
            <w:r>
              <w:rPr>
                <w:color w:val="1C3A36"/>
                <w:sz w:val="15"/>
              </w:rPr>
              <w:t>1,986,578,999 shares of EGP 5 par, paid-in capital EGP 9,932,895,000, note 14</w:t>
            </w:r>
          </w:p>
        </w:tc>
        <w:tc>
          <w:tcPr>
            <w:tcW w:type="dxa" w:w="2160"/>
          </w:tcPr>
          <w:p>
            <w:pPr>
              <w:spacing w:after="20"/>
              <w:jc w:val="left"/>
            </w:pPr>
            <w:r>
              <w:rPr>
                <w:color w:val="1C3A36"/>
                <w:sz w:val="15"/>
              </w:rPr>
              <w:t>The filing. The stale document predates the capital increase</w:t>
            </w:r>
          </w:p>
        </w:tc>
      </w:tr>
      <w:tr>
        <w:tc>
          <w:tcPr>
            <w:tcW w:type="dxa" w:w="2160"/>
          </w:tcPr>
          <w:p>
            <w:pPr>
              <w:spacing w:after="20"/>
              <w:jc w:val="left"/>
            </w:pPr>
            <w:r>
              <w:rPr>
                <w:color w:val="1C3A36"/>
                <w:sz w:val="15"/>
              </w:rPr>
              <w:t>Fiscal-year convention</w:t>
            </w:r>
          </w:p>
        </w:tc>
        <w:tc>
          <w:tcPr>
            <w:tcW w:type="dxa" w:w="4896"/>
          </w:tcPr>
          <w:p>
            <w:pPr>
              <w:spacing w:after="20"/>
              <w:jc w:val="left"/>
            </w:pPr>
            <w:r>
              <w:rPr>
                <w:color w:val="1C3A36"/>
                <w:sz w:val="15"/>
              </w:rPr>
              <w:t>Several sources present results on a calendar-year basis</w:t>
            </w:r>
          </w:p>
        </w:tc>
        <w:tc>
          <w:tcPr>
            <w:tcW w:type="dxa" w:w="4896"/>
          </w:tcPr>
          <w:p>
            <w:pPr>
              <w:spacing w:after="20"/>
              <w:jc w:val="left"/>
            </w:pPr>
            <w:r>
              <w:rPr>
                <w:color w:val="1C3A36"/>
                <w:sz w:val="15"/>
              </w:rPr>
              <w:t>The financial year ends 30 June; every statement is dated accordingly</w:t>
            </w:r>
          </w:p>
        </w:tc>
        <w:tc>
          <w:tcPr>
            <w:tcW w:type="dxa" w:w="2160"/>
          </w:tcPr>
          <w:p>
            <w:pPr>
              <w:spacing w:after="20"/>
              <w:jc w:val="left"/>
            </w:pPr>
            <w:r>
              <w:rPr>
                <w:color w:val="1C3A36"/>
                <w:sz w:val="15"/>
              </w:rPr>
              <w:t>The filing</w:t>
            </w:r>
          </w:p>
        </w:tc>
      </w:tr>
      <w:tr>
        <w:tc>
          <w:tcPr>
            <w:tcW w:type="dxa" w:w="2160"/>
          </w:tcPr>
          <w:p>
            <w:pPr>
              <w:spacing w:after="20"/>
              <w:jc w:val="left"/>
            </w:pPr>
            <w:r>
              <w:rPr>
                <w:color w:val="1C3A36"/>
                <w:sz w:val="15"/>
              </w:rPr>
              <w:t>FY2023/24 profitability</w:t>
            </w:r>
          </w:p>
        </w:tc>
        <w:tc>
          <w:tcPr>
            <w:tcW w:type="dxa" w:w="4896"/>
          </w:tcPr>
          <w:p>
            <w:pPr>
              <w:spacing w:after="20"/>
              <w:jc w:val="left"/>
            </w:pPr>
            <w:r>
              <w:rPr>
                <w:color w:val="1C3A36"/>
                <w:sz w:val="15"/>
              </w:rPr>
              <w:t>Reported net profit of EGP 2,537.9 million is widely quoted without qualification</w:t>
            </w:r>
          </w:p>
        </w:tc>
        <w:tc>
          <w:tcPr>
            <w:tcW w:type="dxa" w:w="4896"/>
          </w:tcPr>
          <w:p>
            <w:pPr>
              <w:spacing w:after="20"/>
              <w:jc w:val="left"/>
            </w:pPr>
            <w:r>
              <w:rPr>
                <w:color w:val="1C3A36"/>
                <w:sz w:val="15"/>
              </w:rPr>
              <w:t>That figure includes EGP 2,034.6 million of one-off investment-property revaluation gain</w:t>
            </w:r>
          </w:p>
        </w:tc>
        <w:tc>
          <w:tcPr>
            <w:tcW w:type="dxa" w:w="2160"/>
          </w:tcPr>
          <w:p>
            <w:pPr>
              <w:spacing w:after="20"/>
              <w:jc w:val="left"/>
            </w:pPr>
            <w:r>
              <w:rPr>
                <w:color w:val="1C3A36"/>
                <w:sz w:val="15"/>
              </w:rPr>
              <w:t>The underlying figure, used for every margin and return in the study</w:t>
            </w:r>
          </w:p>
        </w:tc>
      </w:tr>
    </w:tbl>
    <w:p>
      <w:pPr>
        <w:spacing w:after="40"/>
      </w:pPr>
    </w:p>
    <w:p>
      <w:pPr>
        <w:spacing w:after="100" w:before="240"/>
      </w:pPr>
      <w:r>
        <w:rPr>
          <w:b/>
          <w:i w:val="0"/>
          <w:color w:val="1C3A36"/>
          <w:sz w:val="28"/>
        </w:rPr>
        <w:t>7.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