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120" w:before="280"/>
      </w:pPr>
      <w:r>
        <w:rPr>
          <w:b/>
          <w:i w:val="0"/>
          <w:color w:val="1C3A36"/>
          <w:sz w:val="30"/>
        </w:rPr>
        <w:t>Fertiglobe plc (ADX: FERTIGLB) — Sources and Documentation</w:t>
      </w:r>
    </w:p>
    <w:p>
      <w:pPr>
        <w:spacing w:after="120" w:before="0"/>
      </w:pPr>
      <w:r>
        <w:rPr>
          <w:b w:val="0"/>
          <w:i w:val="0"/>
          <w:color w:val="6E7B77"/>
          <w:sz w:val="19"/>
        </w:rPr>
        <w:t>Companion document to the valuation study dated 9 August 2026. It records where every number in that study came from.</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document is. </w:t>
            </w:r>
            <w:r>
              <w:rPr>
                <w:color w:val="1C3A36"/>
                <w:sz w:val="19"/>
              </w:rPr>
              <w:t>The complete source record behind the valuation study. It lists every input the model uses, together with its value, the date the value belongs to, the document it was taken from and how it was constructed — so that a reader can retrace any figure in the study back to where it came from, and disagree with it on the evidence rather than on trust.</w:t>
            </w:r>
          </w:p>
          <w:p>
            <w:pPr>
              <w:spacing w:after="100"/>
            </w:pPr>
            <w:r>
              <w:rPr>
                <w:b/>
                <w:color w:val="1C3A36"/>
                <w:sz w:val="19"/>
              </w:rPr>
              <w:t xml:space="preserve">What it is not. </w:t>
            </w:r>
            <w:r>
              <w:rPr>
                <w:color w:val="1C3A36"/>
                <w:sz w:val="19"/>
              </w:rPr>
              <w:t>It is not a summary of the study and it carries no conclusions. Where a figure was derived rather than disclosed, the derivation is stated in the source column. Where something was looked for and not found, it appears at the end under what could not be sourced, rather than being quietly filled in.</w:t>
            </w:r>
          </w:p>
        </w:tc>
      </w:tr>
    </w:tbl>
    <w:p>
      <w:pPr>
        <w:spacing w:after="40"/>
      </w:pPr>
    </w:p>
    <w:p>
      <w:pPr>
        <w:spacing w:after="80" w:before="200"/>
      </w:pPr>
      <w:r>
        <w:rPr>
          <w:b/>
          <w:i w:val="0"/>
          <w:color w:val="1C3A36"/>
          <w:sz w:val="24"/>
        </w:rPr>
        <w:t>The four layers of research</w:t>
      </w:r>
    </w:p>
    <w:p>
      <w:pPr>
        <w:spacing w:after="120" w:before="0"/>
      </w:pPr>
      <w:r>
        <w:rPr>
          <w:b w:val="0"/>
          <w:i w:val="0"/>
          <w:color w:val="1C3A36"/>
          <w:sz w:val="19"/>
        </w:rPr>
        <w:t>Every input belongs to one of four layers of research — global, country, industry and company — and the company layer is shown split between the filed financial statements and the investor communications, because the two channels carry different kinds of fact and a reader is entitled to see how much of the analysis rests on each. A fifth heading, market, covers the traded price of the share itself.</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7560"/>
      </w:tblGrid>
      <w:tr>
        <w:trPr>
          <w:cantSplit/>
          <w:tblHeader/>
          <w:cantSplit/>
          <w:tblHeader/>
        </w:trPr>
        <w:tc>
          <w:tcPr>
            <w:tcW w:type="dxa" w:w="2520"/>
            <w:shd w:val="clear" w:color="auto" w:fill="EAF0EE"/>
          </w:tcPr>
          <w:p>
            <w:pPr>
              <w:spacing w:after="20"/>
            </w:pPr>
            <w:r>
              <w:rPr>
                <w:b/>
                <w:color w:val="1C3A36"/>
                <w:sz w:val="17"/>
              </w:rPr>
              <w:t>Layer</w:t>
            </w:r>
          </w:p>
        </w:tc>
        <w:tc>
          <w:tcPr>
            <w:tcW w:type="dxa" w:w="7560"/>
            <w:shd w:val="clear" w:color="auto" w:fill="EAF0EE"/>
          </w:tcPr>
          <w:p>
            <w:pPr>
              <w:spacing w:after="20"/>
            </w:pPr>
            <w:r>
              <w:rPr>
                <w:b/>
                <w:color w:val="1C3A36"/>
                <w:sz w:val="17"/>
              </w:rPr>
              <w:t>What it covers</w:t>
            </w:r>
          </w:p>
        </w:tc>
      </w:tr>
      <w:tr>
        <w:trPr>
          <w:cantSplit/>
          <w:cantSplit/>
        </w:trPr>
        <w:tc>
          <w:tcPr>
            <w:tcW w:type="dxa" w:w="2520"/>
          </w:tcPr>
          <w:p>
            <w:pPr>
              <w:spacing w:after="20"/>
            </w:pPr>
            <w:r>
              <w:rPr>
                <w:color w:val="1C3A36"/>
                <w:sz w:val="17"/>
              </w:rPr>
              <w:t>Global</w:t>
            </w:r>
          </w:p>
        </w:tc>
        <w:tc>
          <w:tcPr>
            <w:tcW w:type="dxa" w:w="7560"/>
          </w:tcPr>
          <w:p>
            <w:pPr>
              <w:spacing w:after="20"/>
            </w:pPr>
            <w:r>
              <w:rPr>
                <w:color w:val="1C3A36"/>
                <w:sz w:val="17"/>
              </w:rPr>
              <w:t>Worldwide interest rates, energy and commodity prices, and the trade and shipping conditions that frame every producer in the sector</w:t>
            </w:r>
          </w:p>
        </w:tc>
      </w:tr>
      <w:tr>
        <w:trPr>
          <w:cantSplit/>
          <w:cantSplit/>
        </w:trPr>
        <w:tc>
          <w:tcPr>
            <w:tcW w:type="dxa" w:w="2520"/>
          </w:tcPr>
          <w:p>
            <w:pPr>
              <w:spacing w:after="20"/>
            </w:pPr>
            <w:r>
              <w:rPr>
                <w:color w:val="1C3A36"/>
                <w:sz w:val="17"/>
              </w:rPr>
              <w:t>Country</w:t>
            </w:r>
          </w:p>
        </w:tc>
        <w:tc>
          <w:tcPr>
            <w:tcW w:type="dxa" w:w="7560"/>
          </w:tcPr>
          <w:p>
            <w:pPr>
              <w:spacing w:after="20"/>
            </w:pPr>
            <w:r>
              <w:rPr>
                <w:color w:val="1C3A36"/>
                <w:sz w:val="17"/>
              </w:rPr>
              <w:t>Sovereign data for each country the company operates in — credit rating, default spread, equity risk premium, corporate tax regime — and the dirham peg</w:t>
            </w:r>
          </w:p>
        </w:tc>
      </w:tr>
      <w:tr>
        <w:trPr>
          <w:cantSplit/>
          <w:cantSplit/>
        </w:trPr>
        <w:tc>
          <w:tcPr>
            <w:tcW w:type="dxa" w:w="2520"/>
          </w:tcPr>
          <w:p>
            <w:pPr>
              <w:spacing w:after="20"/>
            </w:pPr>
            <w:r>
              <w:rPr>
                <w:color w:val="1C3A36"/>
                <w:sz w:val="17"/>
              </w:rPr>
              <w:t>Industry</w:t>
            </w:r>
          </w:p>
        </w:tc>
        <w:tc>
          <w:tcPr>
            <w:tcW w:type="dxa" w:w="7560"/>
          </w:tcPr>
          <w:p>
            <w:pPr>
              <w:spacing w:after="20"/>
            </w:pPr>
            <w:r>
              <w:rPr>
                <w:color w:val="1C3A36"/>
                <w:sz w:val="17"/>
              </w:rPr>
              <w:t>Nitrogen fertiliser supply and demand, published benchmark prices by product and region, import tariffs, and the listed competitive set</w:t>
            </w:r>
          </w:p>
        </w:tc>
      </w:tr>
      <w:tr>
        <w:trPr>
          <w:cantSplit/>
          <w:cantSplit/>
        </w:trPr>
        <w:tc>
          <w:tcPr>
            <w:tcW w:type="dxa" w:w="2520"/>
          </w:tcPr>
          <w:p>
            <w:pPr>
              <w:spacing w:after="20"/>
            </w:pPr>
            <w:r>
              <w:rPr>
                <w:color w:val="1C3A36"/>
                <w:sz w:val="17"/>
              </w:rPr>
              <w:t>Company — filed financial statements</w:t>
            </w:r>
          </w:p>
        </w:tc>
        <w:tc>
          <w:tcPr>
            <w:tcW w:type="dxa" w:w="7560"/>
          </w:tcPr>
          <w:p>
            <w:pPr>
              <w:spacing w:after="20"/>
            </w:pPr>
            <w:r>
              <w:rPr>
                <w:color w:val="1C3A36"/>
                <w:sz w:val="17"/>
              </w:rPr>
              <w:t>The company's own audited annual and reviewed interim financial statements, and the notes to them. Every historical income statement, balance sheet and cash flow figure in the study comes from this layer and from nowhere else</w:t>
            </w:r>
          </w:p>
        </w:tc>
      </w:tr>
      <w:tr>
        <w:trPr>
          <w:cantSplit/>
          <w:cantSplit/>
        </w:trPr>
        <w:tc>
          <w:tcPr>
            <w:tcW w:type="dxa" w:w="2520"/>
          </w:tcPr>
          <w:p>
            <w:pPr>
              <w:spacing w:after="20"/>
            </w:pPr>
            <w:r>
              <w:rPr>
                <w:color w:val="1C3A36"/>
                <w:sz w:val="17"/>
              </w:rPr>
              <w:t>Company — investor communications</w:t>
            </w:r>
          </w:p>
        </w:tc>
        <w:tc>
          <w:tcPr>
            <w:tcW w:type="dxa" w:w="7560"/>
          </w:tcPr>
          <w:p>
            <w:pPr>
              <w:spacing w:after="20"/>
            </w:pPr>
            <w:r>
              <w:rPr>
                <w:color w:val="1C3A36"/>
                <w:sz w:val="17"/>
              </w:rPr>
              <w:t>Management discussion and analysis reports, investor presentations and the results-call transcript. These carry the sales volumes, installed capacity, utilisation, benchmark price tables and the delivered gas price — none of which appears anywhere in a financial statement</w:t>
            </w:r>
          </w:p>
        </w:tc>
      </w:tr>
      <w:tr>
        <w:trPr>
          <w:cantSplit/>
          <w:cantSplit/>
        </w:trPr>
        <w:tc>
          <w:tcPr>
            <w:tcW w:type="dxa" w:w="2520"/>
          </w:tcPr>
          <w:p>
            <w:pPr>
              <w:spacing w:after="20"/>
            </w:pPr>
            <w:r>
              <w:rPr>
                <w:color w:val="1C3A36"/>
                <w:sz w:val="17"/>
              </w:rPr>
              <w:t>Market</w:t>
            </w:r>
          </w:p>
        </w:tc>
        <w:tc>
          <w:tcPr>
            <w:tcW w:type="dxa" w:w="7560"/>
          </w:tcPr>
          <w:p>
            <w:pPr>
              <w:spacing w:after="20"/>
            </w:pPr>
            <w:r>
              <w:rPr>
                <w:color w:val="1C3A36"/>
                <w:sz w:val="17"/>
              </w:rPr>
              <w:t>The share's own traded price history on the Abu Dhabi Securities Exchange, and the local price library it was regressed against</w:t>
            </w:r>
          </w:p>
        </w:tc>
      </w:tr>
    </w:tbl>
    <w:p>
      <w:pPr>
        <w:spacing w:after="40"/>
      </w:pPr>
    </w:p>
    <w:p>
      <w:pPr>
        <w:spacing w:after="120" w:before="280"/>
      </w:pPr>
      <w:r>
        <w:rPr>
          <w:b/>
          <w:i w:val="0"/>
          <w:color w:val="1C3A36"/>
          <w:sz w:val="30"/>
        </w:rPr>
        <w:t>Primary documents relied upon</w:t>
      </w:r>
    </w:p>
    <w:p>
      <w:pPr>
        <w:spacing w:after="120" w:before="0"/>
      </w:pPr>
      <w:r>
        <w:rPr>
          <w:b w:val="0"/>
          <w:i w:val="0"/>
          <w:color w:val="1C3A36"/>
          <w:sz w:val="19"/>
        </w:rPr>
        <w:t>Every company document read for this study. All were obtained from the company's own investor relations pages, which responded normally on 9 August 2026: the investor relations landing page and the full results and reports archive were both reachable, and the four audited annual filings were downloaded and read in full at the addresses below (86, 80, 75 and 74 pages respectively). No company figure in this study comes from anywhere other than these documents.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76"/>
        <w:gridCol w:w="1584"/>
        <w:gridCol w:w="1584"/>
        <w:gridCol w:w="1080"/>
        <w:gridCol w:w="3456"/>
      </w:tblGrid>
      <w:tr>
        <w:trPr>
          <w:cantSplit/>
          <w:tblHeader/>
          <w:cantSplit/>
          <w:tblHeader/>
        </w:trPr>
        <w:tc>
          <w:tcPr>
            <w:tcW w:type="dxa" w:w="2376"/>
            <w:shd w:val="clear" w:color="auto" w:fill="EAF0EE"/>
          </w:tcPr>
          <w:p>
            <w:pPr>
              <w:spacing w:after="20"/>
            </w:pPr>
            <w:r>
              <w:rPr>
                <w:b/>
                <w:color w:val="1C3A36"/>
                <w:sz w:val="15"/>
              </w:rPr>
              <w:t>Document</w:t>
            </w:r>
          </w:p>
        </w:tc>
        <w:tc>
          <w:tcPr>
            <w:tcW w:type="dxa" w:w="1584"/>
            <w:shd w:val="clear" w:color="auto" w:fill="EAF0EE"/>
          </w:tcPr>
          <w:p>
            <w:pPr>
              <w:spacing w:after="20"/>
            </w:pPr>
            <w:r>
              <w:rPr>
                <w:b/>
                <w:color w:val="1C3A36"/>
                <w:sz w:val="15"/>
              </w:rPr>
              <w:t>Type</w:t>
            </w:r>
          </w:p>
        </w:tc>
        <w:tc>
          <w:tcPr>
            <w:tcW w:type="dxa" w:w="1584"/>
            <w:shd w:val="clear" w:color="auto" w:fill="EAF0EE"/>
          </w:tcPr>
          <w:p>
            <w:pPr>
              <w:spacing w:after="20"/>
            </w:pPr>
            <w:r>
              <w:rPr>
                <w:b/>
                <w:color w:val="1C3A36"/>
                <w:sz w:val="15"/>
              </w:rPr>
              <w:t>Period covered</w:t>
            </w:r>
          </w:p>
        </w:tc>
        <w:tc>
          <w:tcPr>
            <w:tcW w:type="dxa" w:w="1080"/>
            <w:shd w:val="clear" w:color="auto" w:fill="EAF0EE"/>
          </w:tcPr>
          <w:p>
            <w:pPr>
              <w:spacing w:after="20"/>
            </w:pPr>
            <w:r>
              <w:rPr>
                <w:b/>
                <w:color w:val="1C3A36"/>
                <w:sz w:val="15"/>
              </w:rPr>
              <w:t>Date</w:t>
            </w:r>
          </w:p>
        </w:tc>
        <w:tc>
          <w:tcPr>
            <w:tcW w:type="dxa" w:w="3456"/>
            <w:shd w:val="clear" w:color="auto" w:fill="EAF0EE"/>
          </w:tcPr>
          <w:p>
            <w:pPr>
              <w:spacing w:after="20"/>
            </w:pPr>
            <w:r>
              <w:rPr>
                <w:b/>
                <w:color w:val="1C3A36"/>
                <w:sz w:val="15"/>
              </w:rPr>
              <w:t>Where it was read</w:t>
            </w:r>
          </w:p>
        </w:tc>
      </w:tr>
      <w:tr>
        <w:trPr>
          <w:cantSplit/>
          <w:cantSplit/>
        </w:trPr>
        <w:tc>
          <w:tcPr>
            <w:tcW w:type="dxa" w:w="2376"/>
          </w:tcPr>
          <w:p>
            <w:pPr>
              <w:spacing w:after="20"/>
            </w:pPr>
            <w:r>
              <w:rPr>
                <w:color w:val="1C3A36"/>
                <w:sz w:val="15"/>
              </w:rPr>
              <w:t>Fertiglobe plc, Consolidated Financial Statements 2022</w:t>
            </w:r>
          </w:p>
        </w:tc>
        <w:tc>
          <w:tcPr>
            <w:tcW w:type="dxa" w:w="1584"/>
          </w:tcPr>
          <w:p>
            <w:pPr>
              <w:spacing w:after="20"/>
            </w:pPr>
            <w:r>
              <w:rPr>
                <w:color w:val="1C3A36"/>
                <w:sz w:val="15"/>
              </w:rPr>
              <w:t>Audited annual financial statements</w:t>
            </w:r>
          </w:p>
        </w:tc>
        <w:tc>
          <w:tcPr>
            <w:tcW w:type="dxa" w:w="1584"/>
          </w:tcPr>
          <w:p>
            <w:pPr>
              <w:spacing w:after="20"/>
            </w:pPr>
            <w:r>
              <w:rPr>
                <w:color w:val="1C3A36"/>
                <w:sz w:val="15"/>
              </w:rPr>
              <w:t>Year ended 31 Dec 2022</w:t>
            </w:r>
          </w:p>
        </w:tc>
        <w:tc>
          <w:tcPr>
            <w:tcW w:type="dxa" w:w="1080"/>
          </w:tcPr>
          <w:p>
            <w:pPr>
              <w:spacing w:after="20"/>
            </w:pPr>
            <w:r>
              <w:rPr>
                <w:color w:val="1C3A36"/>
                <w:sz w:val="15"/>
              </w:rPr>
              <w:t>14 Feb 2023</w:t>
            </w:r>
          </w:p>
        </w:tc>
        <w:tc>
          <w:tcPr>
            <w:tcW w:type="dxa" w:w="3456"/>
          </w:tcPr>
          <w:p>
            <w:pPr>
              <w:spacing w:after="20"/>
            </w:pPr>
            <w:r>
              <w:rPr>
                <w:color w:val="1C3A36"/>
                <w:sz w:val="15"/>
              </w:rPr>
              <w:t>https:/​/​fertiglobe.​com/​wp-​content/​uploads/​2024/​03/​Fertiglobe-​Consolidated-​2022-​Financial-​Statements-​vF.​pdf</w:t>
            </w:r>
          </w:p>
        </w:tc>
      </w:tr>
      <w:tr>
        <w:trPr>
          <w:cantSplit/>
          <w:cantSplit/>
        </w:trPr>
        <w:tc>
          <w:tcPr>
            <w:tcW w:type="dxa" w:w="2376"/>
          </w:tcPr>
          <w:p>
            <w:pPr>
              <w:spacing w:after="20"/>
            </w:pPr>
            <w:r>
              <w:rPr>
                <w:color w:val="1C3A36"/>
                <w:sz w:val="15"/>
              </w:rPr>
              <w:t>Fertiglobe plc, Consolidated Financial Statements 2023 (signed)</w:t>
            </w:r>
          </w:p>
        </w:tc>
        <w:tc>
          <w:tcPr>
            <w:tcW w:type="dxa" w:w="1584"/>
          </w:tcPr>
          <w:p>
            <w:pPr>
              <w:spacing w:after="20"/>
            </w:pPr>
            <w:r>
              <w:rPr>
                <w:color w:val="1C3A36"/>
                <w:sz w:val="15"/>
              </w:rPr>
              <w:t>Audited annual financial statements</w:t>
            </w:r>
          </w:p>
        </w:tc>
        <w:tc>
          <w:tcPr>
            <w:tcW w:type="dxa" w:w="1584"/>
          </w:tcPr>
          <w:p>
            <w:pPr>
              <w:spacing w:after="20"/>
            </w:pPr>
            <w:r>
              <w:rPr>
                <w:color w:val="1C3A36"/>
                <w:sz w:val="15"/>
              </w:rPr>
              <w:t>Year ended 31 Dec 2023</w:t>
            </w:r>
          </w:p>
        </w:tc>
        <w:tc>
          <w:tcPr>
            <w:tcW w:type="dxa" w:w="1080"/>
          </w:tcPr>
          <w:p>
            <w:pPr>
              <w:spacing w:after="20"/>
            </w:pPr>
            <w:r>
              <w:rPr>
                <w:color w:val="1C3A36"/>
                <w:sz w:val="15"/>
              </w:rPr>
              <w:t>29 Apr 2024</w:t>
            </w:r>
          </w:p>
        </w:tc>
        <w:tc>
          <w:tcPr>
            <w:tcW w:type="dxa" w:w="3456"/>
          </w:tcPr>
          <w:p>
            <w:pPr>
              <w:spacing w:after="20"/>
            </w:pPr>
            <w:r>
              <w:rPr>
                <w:color w:val="1C3A36"/>
                <w:sz w:val="15"/>
              </w:rPr>
              <w:t>https:/​/​fertiglobe.​com/​wp-​content/​uploads/​2024/​07/​EN-​Consolidated-​FY23-​Financial-​Statements-​signed-​FINAL.​pdf</w:t>
            </w:r>
          </w:p>
        </w:tc>
      </w:tr>
      <w:tr>
        <w:trPr>
          <w:cantSplit/>
          <w:cantSplit/>
        </w:trPr>
        <w:tc>
          <w:tcPr>
            <w:tcW w:type="dxa" w:w="2376"/>
          </w:tcPr>
          <w:p>
            <w:pPr>
              <w:spacing w:after="20"/>
            </w:pPr>
            <w:r>
              <w:rPr>
                <w:color w:val="1C3A36"/>
                <w:sz w:val="15"/>
              </w:rPr>
              <w:t>Fertiglobe plc, Consolidated Financial Statements 2024 (signed)</w:t>
            </w:r>
          </w:p>
        </w:tc>
        <w:tc>
          <w:tcPr>
            <w:tcW w:type="dxa" w:w="1584"/>
          </w:tcPr>
          <w:p>
            <w:pPr>
              <w:spacing w:after="20"/>
            </w:pPr>
            <w:r>
              <w:rPr>
                <w:color w:val="1C3A36"/>
                <w:sz w:val="15"/>
              </w:rPr>
              <w:t>Audited annual financial statements</w:t>
            </w:r>
          </w:p>
        </w:tc>
        <w:tc>
          <w:tcPr>
            <w:tcW w:type="dxa" w:w="1584"/>
          </w:tcPr>
          <w:p>
            <w:pPr>
              <w:spacing w:after="20"/>
            </w:pPr>
            <w:r>
              <w:rPr>
                <w:color w:val="1C3A36"/>
                <w:sz w:val="15"/>
              </w:rPr>
              <w:t>Year ended 31 Dec 2024</w:t>
            </w:r>
          </w:p>
        </w:tc>
        <w:tc>
          <w:tcPr>
            <w:tcW w:type="dxa" w:w="1080"/>
          </w:tcPr>
          <w:p>
            <w:pPr>
              <w:spacing w:after="20"/>
            </w:pPr>
            <w:r>
              <w:rPr>
                <w:color w:val="1C3A36"/>
                <w:sz w:val="15"/>
              </w:rPr>
              <w:t>18 Mar 2025</w:t>
            </w:r>
          </w:p>
        </w:tc>
        <w:tc>
          <w:tcPr>
            <w:tcW w:type="dxa" w:w="3456"/>
          </w:tcPr>
          <w:p>
            <w:pPr>
              <w:spacing w:after="20"/>
            </w:pPr>
            <w:r>
              <w:rPr>
                <w:color w:val="1C3A36"/>
                <w:sz w:val="15"/>
              </w:rPr>
              <w:t>https:/​/​fertiglobe.​com/​wp-​content/​uploads/​2025/​03/​En_​Fertiglobe-​plc-​Consolidated-​Financial-​Statements-​2024-​18-​March-​2025-​Signed.​pdf</w:t>
            </w:r>
          </w:p>
        </w:tc>
      </w:tr>
      <w:tr>
        <w:trPr>
          <w:cantSplit/>
          <w:cantSplit/>
        </w:trPr>
        <w:tc>
          <w:tcPr>
            <w:tcW w:type="dxa" w:w="2376"/>
          </w:tcPr>
          <w:p>
            <w:pPr>
              <w:spacing w:after="20"/>
            </w:pPr>
            <w:r>
              <w:rPr>
                <w:color w:val="1C3A36"/>
                <w:sz w:val="15"/>
              </w:rPr>
              <w:t>Fertiglobe plc, Consolidated Financial Statements 2025 (signed)</w:t>
            </w:r>
          </w:p>
        </w:tc>
        <w:tc>
          <w:tcPr>
            <w:tcW w:type="dxa" w:w="1584"/>
          </w:tcPr>
          <w:p>
            <w:pPr>
              <w:spacing w:after="20"/>
            </w:pPr>
            <w:r>
              <w:rPr>
                <w:color w:val="1C3A36"/>
                <w:sz w:val="15"/>
              </w:rPr>
              <w:t>Audited annual financial statements</w:t>
            </w:r>
          </w:p>
        </w:tc>
        <w:tc>
          <w:tcPr>
            <w:tcW w:type="dxa" w:w="1584"/>
          </w:tcPr>
          <w:p>
            <w:pPr>
              <w:spacing w:after="20"/>
            </w:pPr>
            <w:r>
              <w:rPr>
                <w:color w:val="1C3A36"/>
                <w:sz w:val="15"/>
              </w:rPr>
              <w:t>Year ended 31 Dec 2025</w:t>
            </w:r>
          </w:p>
        </w:tc>
        <w:tc>
          <w:tcPr>
            <w:tcW w:type="dxa" w:w="1080"/>
          </w:tcPr>
          <w:p>
            <w:pPr>
              <w:spacing w:after="20"/>
            </w:pPr>
            <w:r>
              <w:rPr>
                <w:color w:val="1C3A36"/>
                <w:sz w:val="15"/>
              </w:rPr>
              <w:t>4 Mar 2026</w:t>
            </w:r>
          </w:p>
        </w:tc>
        <w:tc>
          <w:tcPr>
            <w:tcW w:type="dxa" w:w="3456"/>
          </w:tcPr>
          <w:p>
            <w:pPr>
              <w:spacing w:after="20"/>
            </w:pPr>
            <w:r>
              <w:rPr>
                <w:color w:val="1C3A36"/>
                <w:sz w:val="15"/>
              </w:rPr>
              <w:t>https:/​/​fertiglobe.​com/​wp-​content/​uploads/​2026/​03/​Fertiglobe-​plc-​Consolidated-​FS-​4Mar26-​no-​nav.​pdf</w:t>
            </w:r>
          </w:p>
        </w:tc>
      </w:tr>
      <w:tr>
        <w:trPr>
          <w:cantSplit/>
          <w:cantSplit/>
        </w:trPr>
        <w:tc>
          <w:tcPr>
            <w:tcW w:type="dxa" w:w="2376"/>
          </w:tcPr>
          <w:p>
            <w:pPr>
              <w:spacing w:after="20"/>
            </w:pPr>
            <w:r>
              <w:rPr>
                <w:color w:val="1C3A36"/>
                <w:sz w:val="15"/>
              </w:rPr>
              <w:t>Fertiglobe plc, Condensed Consolidated Interim Financial Statements</w:t>
            </w:r>
          </w:p>
        </w:tc>
        <w:tc>
          <w:tcPr>
            <w:tcW w:type="dxa" w:w="1584"/>
          </w:tcPr>
          <w:p>
            <w:pPr>
              <w:spacing w:after="20"/>
            </w:pPr>
            <w:r>
              <w:rPr>
                <w:color w:val="1C3A36"/>
                <w:sz w:val="15"/>
              </w:rPr>
              <w:t>Interim financial statements</w:t>
            </w:r>
          </w:p>
        </w:tc>
        <w:tc>
          <w:tcPr>
            <w:tcW w:type="dxa" w:w="1584"/>
          </w:tcPr>
          <w:p>
            <w:pPr>
              <w:spacing w:after="20"/>
            </w:pPr>
            <w:r>
              <w:rPr>
                <w:color w:val="1C3A36"/>
                <w:sz w:val="15"/>
              </w:rPr>
              <w:t>Three months ended 31 Mar 2026</w:t>
            </w:r>
          </w:p>
        </w:tc>
        <w:tc>
          <w:tcPr>
            <w:tcW w:type="dxa" w:w="1080"/>
          </w:tcPr>
          <w:p>
            <w:pPr>
              <w:spacing w:after="20"/>
            </w:pPr>
            <w:r>
              <w:rPr>
                <w:color w:val="1C3A36"/>
                <w:sz w:val="15"/>
              </w:rPr>
              <w:t>29 Apr 2026</w:t>
            </w:r>
          </w:p>
        </w:tc>
        <w:tc>
          <w:tcPr>
            <w:tcW w:type="dxa" w:w="3456"/>
          </w:tcPr>
          <w:p>
            <w:pPr>
              <w:spacing w:after="20"/>
            </w:pPr>
            <w:r>
              <w:rPr>
                <w:color w:val="1C3A36"/>
                <w:sz w:val="15"/>
              </w:rPr>
              <w:t>https:/​/​fertiglobe.​com/​investor-​relations/​results-​reports/​ (results and reports archive)</w:t>
            </w:r>
          </w:p>
        </w:tc>
      </w:tr>
      <w:tr>
        <w:trPr>
          <w:cantSplit/>
          <w:cantSplit/>
        </w:trPr>
        <w:tc>
          <w:tcPr>
            <w:tcW w:type="dxa" w:w="2376"/>
          </w:tcPr>
          <w:p>
            <w:pPr>
              <w:spacing w:after="20"/>
            </w:pPr>
            <w:r>
              <w:rPr>
                <w:color w:val="1C3A36"/>
                <w:sz w:val="15"/>
              </w:rPr>
              <w:t>Fertiglobe plc, Condensed Consolidated Interim Financial Statements</w:t>
            </w:r>
          </w:p>
        </w:tc>
        <w:tc>
          <w:tcPr>
            <w:tcW w:type="dxa" w:w="1584"/>
          </w:tcPr>
          <w:p>
            <w:pPr>
              <w:spacing w:after="20"/>
            </w:pPr>
            <w:r>
              <w:rPr>
                <w:color w:val="1C3A36"/>
                <w:sz w:val="15"/>
              </w:rPr>
              <w:t>Interim financial statements</w:t>
            </w:r>
          </w:p>
        </w:tc>
        <w:tc>
          <w:tcPr>
            <w:tcW w:type="dxa" w:w="1584"/>
          </w:tcPr>
          <w:p>
            <w:pPr>
              <w:spacing w:after="20"/>
            </w:pPr>
            <w:r>
              <w:rPr>
                <w:color w:val="1C3A36"/>
                <w:sz w:val="15"/>
              </w:rPr>
              <w:t>Six months ended 30 Jun 2026</w:t>
            </w:r>
          </w:p>
        </w:tc>
        <w:tc>
          <w:tcPr>
            <w:tcW w:type="dxa" w:w="1080"/>
          </w:tcPr>
          <w:p>
            <w:pPr>
              <w:spacing w:after="20"/>
            </w:pPr>
            <w:r>
              <w:rPr>
                <w:color w:val="1C3A36"/>
                <w:sz w:val="15"/>
              </w:rPr>
              <w:t>28 Jul 2026</w:t>
            </w:r>
          </w:p>
        </w:tc>
        <w:tc>
          <w:tcPr>
            <w:tcW w:type="dxa" w:w="3456"/>
          </w:tcPr>
          <w:p>
            <w:pPr>
              <w:spacing w:after="20"/>
            </w:pPr>
            <w:r>
              <w:rPr>
                <w:color w:val="1C3A36"/>
                <w:sz w:val="15"/>
              </w:rPr>
              <w:t>https:/​/​fertiglobe.​com/​investor-​relations/​results-​reports/​ (results and reports archive)</w:t>
            </w:r>
          </w:p>
        </w:tc>
      </w:tr>
      <w:tr>
        <w:trPr>
          <w:cantSplit/>
          <w:cantSplit/>
        </w:trPr>
        <w:tc>
          <w:tcPr>
            <w:tcW w:type="dxa" w:w="2376"/>
          </w:tcPr>
          <w:p>
            <w:pPr>
              <w:spacing w:after="20"/>
            </w:pPr>
            <w:r>
              <w:rPr>
                <w:color w:val="1C3A36"/>
                <w:sz w:val="15"/>
              </w:rPr>
              <w:t>Fertiglobe Q4 2025 Results Report</w:t>
            </w:r>
          </w:p>
        </w:tc>
        <w:tc>
          <w:tcPr>
            <w:tcW w:type="dxa" w:w="1584"/>
          </w:tcPr>
          <w:p>
            <w:pPr>
              <w:spacing w:after="20"/>
            </w:pPr>
            <w:r>
              <w:rPr>
                <w:color w:val="1C3A36"/>
                <w:sz w:val="15"/>
              </w:rPr>
              <w:t>Management discussion and analysis</w:t>
            </w:r>
          </w:p>
        </w:tc>
        <w:tc>
          <w:tcPr>
            <w:tcW w:type="dxa" w:w="1584"/>
          </w:tcPr>
          <w:p>
            <w:pPr>
              <w:spacing w:after="20"/>
            </w:pPr>
            <w:r>
              <w:rPr>
                <w:color w:val="1C3A36"/>
                <w:sz w:val="15"/>
              </w:rPr>
              <w:t>Q4 and full year 2025</w:t>
            </w:r>
          </w:p>
        </w:tc>
        <w:tc>
          <w:tcPr>
            <w:tcW w:type="dxa" w:w="1080"/>
          </w:tcPr>
          <w:p>
            <w:pPr>
              <w:spacing w:after="20"/>
            </w:pPr>
            <w:r>
              <w:rPr>
                <w:color w:val="1C3A36"/>
                <w:sz w:val="15"/>
              </w:rPr>
              <w:t>11 Feb 2026</w:t>
            </w:r>
          </w:p>
        </w:tc>
        <w:tc>
          <w:tcPr>
            <w:tcW w:type="dxa" w:w="3456"/>
          </w:tcPr>
          <w:p>
            <w:pPr>
              <w:spacing w:after="20"/>
            </w:pPr>
            <w:r>
              <w:rPr>
                <w:color w:val="1C3A36"/>
                <w:sz w:val="15"/>
              </w:rPr>
              <w:t>https:/​/​fertiglobe.​com/​investor-​relations/​results-​reports/​ (results and reports archive)</w:t>
            </w:r>
          </w:p>
        </w:tc>
      </w:tr>
      <w:tr>
        <w:trPr>
          <w:cantSplit/>
          <w:cantSplit/>
        </w:trPr>
        <w:tc>
          <w:tcPr>
            <w:tcW w:type="dxa" w:w="2376"/>
          </w:tcPr>
          <w:p>
            <w:pPr>
              <w:spacing w:after="20"/>
            </w:pPr>
            <w:r>
              <w:rPr>
                <w:color w:val="1C3A36"/>
                <w:sz w:val="15"/>
              </w:rPr>
              <w:t>Fertiglobe Q2 2026 Results Report</w:t>
            </w:r>
          </w:p>
        </w:tc>
        <w:tc>
          <w:tcPr>
            <w:tcW w:type="dxa" w:w="1584"/>
          </w:tcPr>
          <w:p>
            <w:pPr>
              <w:spacing w:after="20"/>
            </w:pPr>
            <w:r>
              <w:rPr>
                <w:color w:val="1C3A36"/>
                <w:sz w:val="15"/>
              </w:rPr>
              <w:t>Management discussion and analysis</w:t>
            </w:r>
          </w:p>
        </w:tc>
        <w:tc>
          <w:tcPr>
            <w:tcW w:type="dxa" w:w="1584"/>
          </w:tcPr>
          <w:p>
            <w:pPr>
              <w:spacing w:after="20"/>
            </w:pPr>
            <w:r>
              <w:rPr>
                <w:color w:val="1C3A36"/>
                <w:sz w:val="15"/>
              </w:rPr>
              <w:t>Q2 and first half 2026</w:t>
            </w:r>
          </w:p>
        </w:tc>
        <w:tc>
          <w:tcPr>
            <w:tcW w:type="dxa" w:w="1080"/>
          </w:tcPr>
          <w:p>
            <w:pPr>
              <w:spacing w:after="20"/>
            </w:pPr>
            <w:r>
              <w:rPr>
                <w:color w:val="1C3A36"/>
                <w:sz w:val="15"/>
              </w:rPr>
              <w:t>28 Jul 2026</w:t>
            </w:r>
          </w:p>
        </w:tc>
        <w:tc>
          <w:tcPr>
            <w:tcW w:type="dxa" w:w="3456"/>
          </w:tcPr>
          <w:p>
            <w:pPr>
              <w:spacing w:after="20"/>
            </w:pPr>
            <w:r>
              <w:rPr>
                <w:color w:val="1C3A36"/>
                <w:sz w:val="15"/>
              </w:rPr>
              <w:t>https:/​/​fertiglobe.​com/​investor-​relations/​results-​reports/​ (results and reports archive)</w:t>
            </w:r>
          </w:p>
        </w:tc>
      </w:tr>
      <w:tr>
        <w:trPr>
          <w:cantSplit/>
          <w:cantSplit/>
        </w:trPr>
        <w:tc>
          <w:tcPr>
            <w:tcW w:type="dxa" w:w="2376"/>
          </w:tcPr>
          <w:p>
            <w:pPr>
              <w:spacing w:after="20"/>
            </w:pPr>
            <w:r>
              <w:rPr>
                <w:color w:val="1C3A36"/>
                <w:sz w:val="15"/>
              </w:rPr>
              <w:t>Fertiglobe Q2 2026 Results Presentation</w:t>
            </w:r>
          </w:p>
        </w:tc>
        <w:tc>
          <w:tcPr>
            <w:tcW w:type="dxa" w:w="1584"/>
          </w:tcPr>
          <w:p>
            <w:pPr>
              <w:spacing w:after="20"/>
            </w:pPr>
            <w:r>
              <w:rPr>
                <w:color w:val="1C3A36"/>
                <w:sz w:val="15"/>
              </w:rPr>
              <w:t>Investor presentation</w:t>
            </w:r>
          </w:p>
        </w:tc>
        <w:tc>
          <w:tcPr>
            <w:tcW w:type="dxa" w:w="1584"/>
          </w:tcPr>
          <w:p>
            <w:pPr>
              <w:spacing w:after="20"/>
            </w:pPr>
            <w:r>
              <w:rPr>
                <w:color w:val="1C3A36"/>
                <w:sz w:val="15"/>
              </w:rPr>
              <w:t>Q2 and first half 2026</w:t>
            </w:r>
          </w:p>
        </w:tc>
        <w:tc>
          <w:tcPr>
            <w:tcW w:type="dxa" w:w="1080"/>
          </w:tcPr>
          <w:p>
            <w:pPr>
              <w:spacing w:after="20"/>
            </w:pPr>
            <w:r>
              <w:rPr>
                <w:color w:val="1C3A36"/>
                <w:sz w:val="15"/>
              </w:rPr>
              <w:t>28 Jul 2026</w:t>
            </w:r>
          </w:p>
        </w:tc>
        <w:tc>
          <w:tcPr>
            <w:tcW w:type="dxa" w:w="3456"/>
          </w:tcPr>
          <w:p>
            <w:pPr>
              <w:spacing w:after="20"/>
            </w:pPr>
            <w:r>
              <w:rPr>
                <w:color w:val="1C3A36"/>
                <w:sz w:val="15"/>
              </w:rPr>
              <w:t>https:/​/​fertiglobe.​com/​investor-​relations/​results-​reports/​ (results and reports archive)</w:t>
            </w:r>
          </w:p>
        </w:tc>
      </w:tr>
      <w:tr>
        <w:trPr>
          <w:cantSplit/>
          <w:cantSplit/>
        </w:trPr>
        <w:tc>
          <w:tcPr>
            <w:tcW w:type="dxa" w:w="2376"/>
          </w:tcPr>
          <w:p>
            <w:pPr>
              <w:spacing w:after="20"/>
            </w:pPr>
            <w:r>
              <w:rPr>
                <w:color w:val="1C3A36"/>
                <w:sz w:val="15"/>
              </w:rPr>
              <w:t>Fertiglobe Q2 2026 Results Call</w:t>
            </w:r>
          </w:p>
        </w:tc>
        <w:tc>
          <w:tcPr>
            <w:tcW w:type="dxa" w:w="1584"/>
          </w:tcPr>
          <w:p>
            <w:pPr>
              <w:spacing w:after="20"/>
            </w:pPr>
            <w:r>
              <w:rPr>
                <w:color w:val="1C3A36"/>
                <w:sz w:val="15"/>
              </w:rPr>
              <w:t>Results-call transcript</w:t>
            </w:r>
          </w:p>
        </w:tc>
        <w:tc>
          <w:tcPr>
            <w:tcW w:type="dxa" w:w="1584"/>
          </w:tcPr>
          <w:p>
            <w:pPr>
              <w:spacing w:after="20"/>
            </w:pPr>
            <w:r>
              <w:rPr>
                <w:color w:val="1C3A36"/>
                <w:sz w:val="15"/>
              </w:rPr>
              <w:t>Q2 and first half 2026</w:t>
            </w:r>
          </w:p>
        </w:tc>
        <w:tc>
          <w:tcPr>
            <w:tcW w:type="dxa" w:w="1080"/>
          </w:tcPr>
          <w:p>
            <w:pPr>
              <w:spacing w:after="20"/>
            </w:pPr>
            <w:r>
              <w:rPr>
                <w:color w:val="1C3A36"/>
                <w:sz w:val="15"/>
              </w:rPr>
              <w:t>6 Aug 2026</w:t>
            </w:r>
          </w:p>
        </w:tc>
        <w:tc>
          <w:tcPr>
            <w:tcW w:type="dxa" w:w="3456"/>
          </w:tcPr>
          <w:p>
            <w:pPr>
              <w:spacing w:after="20"/>
            </w:pPr>
            <w:r>
              <w:rPr>
                <w:color w:val="1C3A36"/>
                <w:sz w:val="15"/>
              </w:rPr>
              <w:t>https:/​/​fertiglobe.​com/​investor-​relations/​results-​reports/​ (results and reports archive)</w:t>
            </w:r>
          </w:p>
        </w:tc>
      </w:tr>
    </w:tbl>
    <w:p>
      <w:pPr>
        <w:spacing w:after="40"/>
      </w:pPr>
    </w:p>
    <w:p>
      <w:pPr>
        <w:spacing w:after="80" w:before="200"/>
      </w:pPr>
      <w:r>
        <w:rPr>
          <w:b/>
          <w:i w:val="0"/>
          <w:color w:val="1C3A36"/>
          <w:sz w:val="24"/>
        </w:rPr>
        <w:t>What was taken from each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7560"/>
      </w:tblGrid>
      <w:tr>
        <w:trPr>
          <w:cantSplit/>
          <w:tblHeader/>
          <w:cantSplit/>
          <w:tblHeader/>
        </w:trPr>
        <w:tc>
          <w:tcPr>
            <w:tcW w:type="dxa" w:w="2520"/>
            <w:shd w:val="clear" w:color="auto" w:fill="EAF0EE"/>
          </w:tcPr>
          <w:p>
            <w:pPr>
              <w:spacing w:after="20"/>
            </w:pPr>
            <w:r>
              <w:rPr>
                <w:b/>
                <w:color w:val="1C3A36"/>
                <w:sz w:val="15"/>
              </w:rPr>
              <w:t>Document</w:t>
            </w:r>
          </w:p>
        </w:tc>
        <w:tc>
          <w:tcPr>
            <w:tcW w:type="dxa" w:w="7560"/>
            <w:shd w:val="clear" w:color="auto" w:fill="EAF0EE"/>
          </w:tcPr>
          <w:p>
            <w:pPr>
              <w:spacing w:after="20"/>
            </w:pPr>
            <w:r>
              <w:rPr>
                <w:b/>
                <w:color w:val="1C3A36"/>
                <w:sz w:val="15"/>
              </w:rPr>
              <w:t>What the study takes from it</w:t>
            </w:r>
          </w:p>
        </w:tc>
      </w:tr>
      <w:tr>
        <w:trPr>
          <w:cantSplit/>
          <w:cantSplit/>
        </w:trPr>
        <w:tc>
          <w:tcPr>
            <w:tcW w:type="dxa" w:w="2520"/>
          </w:tcPr>
          <w:p>
            <w:pPr>
              <w:spacing w:after="20"/>
            </w:pPr>
            <w:r>
              <w:rPr>
                <w:color w:val="1C3A36"/>
                <w:sz w:val="15"/>
              </w:rPr>
              <w:t>Consolidated Financial Statements 2025</w:t>
            </w:r>
          </w:p>
        </w:tc>
        <w:tc>
          <w:tcPr>
            <w:tcW w:type="dxa" w:w="7560"/>
          </w:tcPr>
          <w:p>
            <w:pPr>
              <w:spacing w:after="20"/>
            </w:pPr>
            <w:r>
              <w:rPr>
                <w:color w:val="1C3A36"/>
                <w:sz w:val="15"/>
              </w:rPr>
              <w:t>Signed by PricewaterhouseCoopers on 4 March 2026. The whole FY2025 income statement, balance sheet and cash flow, with the FY2024 comparative column; the two-segment revenue and adjusted earnings note; expenses by nature; the income taxes note including the statutory rate range; loans and borrowings tranche by tranche with each margin over the reference rate; the accrued gas liability; geographical non-current assets by country; the shareholding note; and the borrowing-cost capitalisation rate that the study examines and does not use</w:t>
            </w:r>
          </w:p>
        </w:tc>
      </w:tr>
      <w:tr>
        <w:trPr>
          <w:cantSplit/>
          <w:cantSplit/>
        </w:trPr>
        <w:tc>
          <w:tcPr>
            <w:tcW w:type="dxa" w:w="2520"/>
          </w:tcPr>
          <w:p>
            <w:pPr>
              <w:spacing w:after="20"/>
            </w:pPr>
            <w:r>
              <w:rPr>
                <w:color w:val="1C3A36"/>
                <w:sz w:val="15"/>
              </w:rPr>
              <w:t>Consolidated Financial Statements 2024</w:t>
            </w:r>
          </w:p>
        </w:tc>
        <w:tc>
          <w:tcPr>
            <w:tcW w:type="dxa" w:w="7560"/>
          </w:tcPr>
          <w:p>
            <w:pPr>
              <w:spacing w:after="20"/>
            </w:pPr>
            <w:r>
              <w:rPr>
                <w:color w:val="1C3A36"/>
                <w:sz w:val="15"/>
              </w:rPr>
              <w:t>The FY2024 comparative figures and segment split, and the Key Audit Matter on the accrual for increased gas cost at the Algerian plant — the disclosure that first establishes the size and the unsettled status of that liability</w:t>
            </w:r>
          </w:p>
        </w:tc>
      </w:tr>
      <w:tr>
        <w:trPr>
          <w:cantSplit/>
          <w:cantSplit/>
        </w:trPr>
        <w:tc>
          <w:tcPr>
            <w:tcW w:type="dxa" w:w="2520"/>
          </w:tcPr>
          <w:p>
            <w:pPr>
              <w:spacing w:after="20"/>
            </w:pPr>
            <w:r>
              <w:rPr>
                <w:color w:val="1C3A36"/>
                <w:sz w:val="15"/>
              </w:rPr>
              <w:t>Consolidated Financial Statements 2023</w:t>
            </w:r>
          </w:p>
        </w:tc>
        <w:tc>
          <w:tcPr>
            <w:tcW w:type="dxa" w:w="7560"/>
          </w:tcPr>
          <w:p>
            <w:pPr>
              <w:spacing w:after="20"/>
            </w:pPr>
            <w:r>
              <w:rPr>
                <w:color w:val="1C3A36"/>
                <w:sz w:val="15"/>
              </w:rPr>
              <w:t>The FY2023 year and, through its own comparative column, the FY2022 cycle peak: revenue, cost of sales, tax charge, tax paid and profit before tax, all four of which feed the four-year aggregate tax measures</w:t>
            </w:r>
          </w:p>
        </w:tc>
      </w:tr>
      <w:tr>
        <w:trPr>
          <w:cantSplit/>
          <w:cantSplit/>
        </w:trPr>
        <w:tc>
          <w:tcPr>
            <w:tcW w:type="dxa" w:w="2520"/>
          </w:tcPr>
          <w:p>
            <w:pPr>
              <w:spacing w:after="20"/>
            </w:pPr>
            <w:r>
              <w:rPr>
                <w:color w:val="1C3A36"/>
                <w:sz w:val="15"/>
              </w:rPr>
              <w:t>Consolidated Financial Statements 2022</w:t>
            </w:r>
          </w:p>
        </w:tc>
        <w:tc>
          <w:tcPr>
            <w:tcW w:type="dxa" w:w="7560"/>
          </w:tcPr>
          <w:p>
            <w:pPr>
              <w:spacing w:after="20"/>
            </w:pPr>
            <w:r>
              <w:rPr>
                <w:color w:val="1C3A36"/>
                <w:sz w:val="15"/>
              </w:rPr>
              <w:t>The fourth complete audited year, confirming the FY2022 peak figures carried as comparatives and completing the four-year run used for the tax work</w:t>
            </w:r>
          </w:p>
        </w:tc>
      </w:tr>
      <w:tr>
        <w:trPr>
          <w:cantSplit/>
          <w:cantSplit/>
        </w:trPr>
        <w:tc>
          <w:tcPr>
            <w:tcW w:type="dxa" w:w="2520"/>
          </w:tcPr>
          <w:p>
            <w:pPr>
              <w:spacing w:after="20"/>
            </w:pPr>
            <w:r>
              <w:rPr>
                <w:color w:val="1C3A36"/>
                <w:sz w:val="15"/>
              </w:rPr>
              <w:t>Interim Financial Statements, three months ended 31 Mar 2026</w:t>
            </w:r>
          </w:p>
        </w:tc>
        <w:tc>
          <w:tcPr>
            <w:tcW w:type="dxa" w:w="7560"/>
          </w:tcPr>
          <w:p>
            <w:pPr>
              <w:spacing w:after="20"/>
            </w:pPr>
            <w:r>
              <w:rPr>
                <w:color w:val="1C3A36"/>
                <w:sz w:val="15"/>
              </w:rPr>
              <w:t>The accrued gas liability at the first-quarter date, which shows the balance still building quarter by quarter rather than having settled</w:t>
            </w:r>
          </w:p>
        </w:tc>
      </w:tr>
      <w:tr>
        <w:trPr>
          <w:cantSplit/>
          <w:cantSplit/>
        </w:trPr>
        <w:tc>
          <w:tcPr>
            <w:tcW w:type="dxa" w:w="2520"/>
          </w:tcPr>
          <w:p>
            <w:pPr>
              <w:spacing w:after="20"/>
            </w:pPr>
            <w:r>
              <w:rPr>
                <w:color w:val="1C3A36"/>
                <w:sz w:val="15"/>
              </w:rPr>
              <w:t>Interim Financial Statements, six months ended 30 Jun 2026</w:t>
            </w:r>
          </w:p>
        </w:tc>
        <w:tc>
          <w:tcPr>
            <w:tcW w:type="dxa" w:w="7560"/>
          </w:tcPr>
          <w:p>
            <w:pPr>
              <w:spacing w:after="20"/>
            </w:pPr>
            <w:r>
              <w:rPr>
                <w:color w:val="1C3A36"/>
                <w:sz w:val="15"/>
              </w:rPr>
              <w:t>The reported first half of the study year in full — revenue, cost of sales, operating profit, profit attributable to owners, the balance sheet, gross debt, cash and net debt. Half of 2026 is fact and is carried as fact rather than modelled</w:t>
            </w:r>
          </w:p>
        </w:tc>
      </w:tr>
      <w:tr>
        <w:trPr>
          <w:cantSplit/>
          <w:cantSplit/>
        </w:trPr>
        <w:tc>
          <w:tcPr>
            <w:tcW w:type="dxa" w:w="2520"/>
          </w:tcPr>
          <w:p>
            <w:pPr>
              <w:spacing w:after="20"/>
            </w:pPr>
            <w:r>
              <w:rPr>
                <w:color w:val="1C3A36"/>
                <w:sz w:val="15"/>
              </w:rPr>
              <w:t>Q4 2025 Results Report</w:t>
            </w:r>
          </w:p>
        </w:tc>
        <w:tc>
          <w:tcPr>
            <w:tcW w:type="dxa" w:w="7560"/>
          </w:tcPr>
          <w:p>
            <w:pPr>
              <w:spacing w:after="20"/>
            </w:pPr>
            <w:r>
              <w:rPr>
                <w:color w:val="1C3A36"/>
                <w:sz w:val="15"/>
              </w:rPr>
              <w:t>Sales volumes by product for 2024 and 2025, own-produced and third-party; maintenance capital expenditure; and the benchmark price table for urea, ammonia and European gas</w:t>
            </w:r>
          </w:p>
        </w:tc>
      </w:tr>
      <w:tr>
        <w:trPr>
          <w:cantSplit/>
          <w:cantSplit/>
        </w:trPr>
        <w:tc>
          <w:tcPr>
            <w:tcW w:type="dxa" w:w="2520"/>
          </w:tcPr>
          <w:p>
            <w:pPr>
              <w:spacing w:after="20"/>
            </w:pPr>
            <w:r>
              <w:rPr>
                <w:color w:val="1C3A36"/>
                <w:sz w:val="15"/>
              </w:rPr>
              <w:t>Q2 2026 Results Report</w:t>
            </w:r>
          </w:p>
        </w:tc>
        <w:tc>
          <w:tcPr>
            <w:tcW w:type="dxa" w:w="7560"/>
          </w:tcPr>
          <w:p>
            <w:pPr>
              <w:spacing w:after="20"/>
            </w:pPr>
            <w:r>
              <w:rPr>
                <w:color w:val="1C3A36"/>
                <w:sz w:val="15"/>
              </w:rPr>
              <w:t>First-half 2026 sales volumes by product, segment revenue and earnings, capital expenditure, urea utilisation, the first-half benchmark price table, the mid-July urea price, and the European tariff schedule on Russian and Belarusian product</w:t>
            </w:r>
          </w:p>
        </w:tc>
      </w:tr>
      <w:tr>
        <w:trPr>
          <w:cantSplit/>
          <w:cantSplit/>
        </w:trPr>
        <w:tc>
          <w:tcPr>
            <w:tcW w:type="dxa" w:w="2520"/>
          </w:tcPr>
          <w:p>
            <w:pPr>
              <w:spacing w:after="20"/>
            </w:pPr>
            <w:r>
              <w:rPr>
                <w:color w:val="1C3A36"/>
                <w:sz w:val="15"/>
              </w:rPr>
              <w:t>Q2 2026 Results Presentation</w:t>
            </w:r>
          </w:p>
        </w:tc>
        <w:tc>
          <w:tcPr>
            <w:tcW w:type="dxa" w:w="7560"/>
          </w:tcPr>
          <w:p>
            <w:pPr>
              <w:spacing w:after="20"/>
            </w:pPr>
            <w:r>
              <w:rPr>
                <w:color w:val="1C3A36"/>
                <w:sz w:val="15"/>
              </w:rPr>
              <w:t>Installed capacity by product, and the company's own compilation of global urea demand growth against capacity additions to 2030</w:t>
            </w:r>
          </w:p>
        </w:tc>
      </w:tr>
      <w:tr>
        <w:trPr>
          <w:cantSplit/>
          <w:cantSplit/>
        </w:trPr>
        <w:tc>
          <w:tcPr>
            <w:tcW w:type="dxa" w:w="2520"/>
          </w:tcPr>
          <w:p>
            <w:pPr>
              <w:spacing w:after="20"/>
            </w:pPr>
            <w:r>
              <w:rPr>
                <w:color w:val="1C3A36"/>
                <w:sz w:val="15"/>
              </w:rPr>
              <w:t>Q2 2026 Results Call</w:t>
            </w:r>
          </w:p>
        </w:tc>
        <w:tc>
          <w:tcPr>
            <w:tcW w:type="dxa" w:w="7560"/>
          </w:tcPr>
          <w:p>
            <w:pPr>
              <w:spacing w:after="20"/>
            </w:pPr>
            <w:r>
              <w:rPr>
                <w:color w:val="1C3A36"/>
                <w:sz w:val="15"/>
              </w:rPr>
              <w:t>The chief executive's statement that gas pricing in Egypt and Algeria is product-linked, and the delivered gas price for the second quarter of 2026 both excluding and including the Algerian profit-share</w:t>
            </w:r>
          </w:p>
        </w:tc>
      </w:tr>
    </w:tbl>
    <w:p>
      <w:pPr>
        <w:spacing w:after="40"/>
      </w:pPr>
    </w:p>
    <w:p>
      <w:pPr>
        <w:spacing w:after="80" w:before="200"/>
      </w:pPr>
      <w:r>
        <w:rPr>
          <w:b/>
          <w:i w:val="0"/>
          <w:color w:val="1C3A36"/>
          <w:sz w:val="24"/>
        </w:rPr>
        <w:t>Primary sources outside the company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656"/>
        <w:gridCol w:w="1152"/>
        <w:gridCol w:w="5040"/>
      </w:tblGrid>
      <w:tr>
        <w:trPr>
          <w:cantSplit/>
          <w:tblHeader/>
          <w:cantSplit/>
          <w:tblHeader/>
        </w:trPr>
        <w:tc>
          <w:tcPr>
            <w:tcW w:type="dxa" w:w="2232"/>
            <w:shd w:val="clear" w:color="auto" w:fill="EAF0EE"/>
          </w:tcPr>
          <w:p>
            <w:pPr>
              <w:spacing w:after="20"/>
            </w:pPr>
            <w:r>
              <w:rPr>
                <w:b/>
                <w:color w:val="1C3A36"/>
                <w:sz w:val="15"/>
              </w:rPr>
              <w:t>Source</w:t>
            </w:r>
          </w:p>
        </w:tc>
        <w:tc>
          <w:tcPr>
            <w:tcW w:type="dxa" w:w="1656"/>
            <w:shd w:val="clear" w:color="auto" w:fill="EAF0EE"/>
          </w:tcPr>
          <w:p>
            <w:pPr>
              <w:spacing w:after="20"/>
            </w:pPr>
            <w:r>
              <w:rPr>
                <w:b/>
                <w:color w:val="1C3A36"/>
                <w:sz w:val="15"/>
              </w:rPr>
              <w:t>Publisher</w:t>
            </w:r>
          </w:p>
        </w:tc>
        <w:tc>
          <w:tcPr>
            <w:tcW w:type="dxa" w:w="1152"/>
            <w:shd w:val="clear" w:color="auto" w:fill="EAF0EE"/>
          </w:tcPr>
          <w:p>
            <w:pPr>
              <w:spacing w:after="20"/>
            </w:pPr>
            <w:r>
              <w:rPr>
                <w:b/>
                <w:color w:val="1C3A36"/>
                <w:sz w:val="15"/>
              </w:rPr>
              <w:t>Date read</w:t>
            </w:r>
          </w:p>
        </w:tc>
        <w:tc>
          <w:tcPr>
            <w:tcW w:type="dxa" w:w="5040"/>
            <w:shd w:val="clear" w:color="auto" w:fill="EAF0EE"/>
          </w:tcPr>
          <w:p>
            <w:pPr>
              <w:spacing w:after="20"/>
            </w:pPr>
            <w:r>
              <w:rPr>
                <w:b/>
                <w:color w:val="1C3A36"/>
                <w:sz w:val="15"/>
              </w:rPr>
              <w:t>What was taken from it</w:t>
            </w:r>
          </w:p>
        </w:tc>
      </w:tr>
      <w:tr>
        <w:trPr>
          <w:cantSplit/>
          <w:cantSplit/>
        </w:trPr>
        <w:tc>
          <w:tcPr>
            <w:tcW w:type="dxa" w:w="2232"/>
          </w:tcPr>
          <w:p>
            <w:pPr>
              <w:spacing w:after="20"/>
            </w:pPr>
            <w:r>
              <w:rPr>
                <w:color w:val="1C3A36"/>
                <w:sz w:val="15"/>
              </w:rPr>
              <w:t>Country default spreads and risk premiums (ctryprem)</w:t>
            </w:r>
          </w:p>
        </w:tc>
        <w:tc>
          <w:tcPr>
            <w:tcW w:type="dxa" w:w="1656"/>
          </w:tcPr>
          <w:p>
            <w:pPr>
              <w:spacing w:after="20"/>
            </w:pPr>
            <w:r>
              <w:rPr>
                <w:color w:val="1C3A36"/>
                <w:sz w:val="15"/>
              </w:rPr>
              <w:t>A. Damodaran, NYU Stern</w:t>
            </w:r>
          </w:p>
        </w:tc>
        <w:tc>
          <w:tcPr>
            <w:tcW w:type="dxa" w:w="1152"/>
          </w:tcPr>
          <w:p>
            <w:pPr>
              <w:spacing w:after="20"/>
            </w:pPr>
            <w:r>
              <w:rPr>
                <w:color w:val="1C3A36"/>
                <w:sz w:val="15"/>
              </w:rPr>
              <w:t>9 Aug 2026</w:t>
            </w:r>
          </w:p>
        </w:tc>
        <w:tc>
          <w:tcPr>
            <w:tcW w:type="dxa" w:w="5040"/>
          </w:tcPr>
          <w:p>
            <w:pPr>
              <w:spacing w:after="20"/>
            </w:pPr>
            <w:r>
              <w:rPr>
                <w:color w:val="1C3A36"/>
                <w:sz w:val="15"/>
              </w:rPr>
              <w:t>The credit rating, adjusted default spread, sovereign credit-default-swap spread, country risk premium and equity risk premium for Abu Dhabi, Egypt and Algeria, each read from that country's own row on both a rating and a swap basis, plus the corporate tax rate for each. Address: https:/​/​pages.​stern.​nyu.​edu/​~adamodar/​New_​Home_​Page/​datafile/​ctryprem.​html</w:t>
            </w:r>
          </w:p>
        </w:tc>
      </w:tr>
      <w:tr>
        <w:trPr>
          <w:cantSplit/>
          <w:cantSplit/>
        </w:trPr>
        <w:tc>
          <w:tcPr>
            <w:tcW w:type="dxa" w:w="2232"/>
          </w:tcPr>
          <w:p>
            <w:pPr>
              <w:spacing w:after="20"/>
            </w:pPr>
            <w:r>
              <w:rPr>
                <w:color w:val="1C3A36"/>
                <w:sz w:val="15"/>
              </w:rPr>
              <w:t>Series DGS10 — 10-year Treasury constant maturity</w:t>
            </w:r>
          </w:p>
        </w:tc>
        <w:tc>
          <w:tcPr>
            <w:tcW w:type="dxa" w:w="1656"/>
          </w:tcPr>
          <w:p>
            <w:pPr>
              <w:spacing w:after="20"/>
            </w:pPr>
            <w:r>
              <w:rPr>
                <w:color w:val="1C3A36"/>
                <w:sz w:val="15"/>
              </w:rPr>
              <w:t>Federal Reserve Bank of St Louis</w:t>
            </w:r>
          </w:p>
        </w:tc>
        <w:tc>
          <w:tcPr>
            <w:tcW w:type="dxa" w:w="1152"/>
          </w:tcPr>
          <w:p>
            <w:pPr>
              <w:spacing w:after="20"/>
            </w:pPr>
            <w:r>
              <w:rPr>
                <w:color w:val="1C3A36"/>
                <w:sz w:val="15"/>
              </w:rPr>
              <w:t>6 Aug 2026</w:t>
            </w:r>
          </w:p>
        </w:tc>
        <w:tc>
          <w:tcPr>
            <w:tcW w:type="dxa" w:w="5040"/>
          </w:tcPr>
          <w:p>
            <w:pPr>
              <w:spacing w:after="20"/>
            </w:pPr>
            <w:r>
              <w:rPr>
                <w:color w:val="1C3A36"/>
                <w:sz w:val="15"/>
              </w:rPr>
              <w:t>The dollar risk-free base. Address: https:/​/​fred.​stlouisfed.​org/​series/​DGS10</w:t>
            </w:r>
          </w:p>
        </w:tc>
      </w:tr>
      <w:tr>
        <w:trPr>
          <w:cantSplit/>
          <w:cantSplit/>
        </w:trPr>
        <w:tc>
          <w:tcPr>
            <w:tcW w:type="dxa" w:w="2232"/>
          </w:tcPr>
          <w:p>
            <w:pPr>
              <w:spacing w:after="20"/>
            </w:pPr>
            <w:r>
              <w:rPr>
                <w:color w:val="1C3A36"/>
                <w:sz w:val="15"/>
              </w:rPr>
              <w:t>Secured Overnight Financing Rate</w:t>
            </w:r>
          </w:p>
        </w:tc>
        <w:tc>
          <w:tcPr>
            <w:tcW w:type="dxa" w:w="1656"/>
          </w:tcPr>
          <w:p>
            <w:pPr>
              <w:spacing w:after="20"/>
            </w:pPr>
            <w:r>
              <w:rPr>
                <w:color w:val="1C3A36"/>
                <w:sz w:val="15"/>
              </w:rPr>
              <w:t>Federal Reserve Bank of New York</w:t>
            </w:r>
          </w:p>
        </w:tc>
        <w:tc>
          <w:tcPr>
            <w:tcW w:type="dxa" w:w="1152"/>
          </w:tcPr>
          <w:p>
            <w:pPr>
              <w:spacing w:after="20"/>
            </w:pPr>
            <w:r>
              <w:rPr>
                <w:color w:val="1C3A36"/>
                <w:sz w:val="15"/>
              </w:rPr>
              <w:t>6 Aug 2026</w:t>
            </w:r>
          </w:p>
        </w:tc>
        <w:tc>
          <w:tcPr>
            <w:tcW w:type="dxa" w:w="5040"/>
          </w:tcPr>
          <w:p>
            <w:pPr>
              <w:spacing w:after="20"/>
            </w:pPr>
            <w:r>
              <w:rPr>
                <w:color w:val="1C3A36"/>
                <w:sz w:val="15"/>
              </w:rPr>
              <w:t>The floating reference rate the company's own dollar facilities are priced over</w:t>
            </w:r>
          </w:p>
        </w:tc>
      </w:tr>
      <w:tr>
        <w:trPr>
          <w:cantSplit/>
          <w:cantSplit/>
        </w:trPr>
        <w:tc>
          <w:tcPr>
            <w:tcW w:type="dxa" w:w="2232"/>
          </w:tcPr>
          <w:p>
            <w:pPr>
              <w:spacing w:after="20"/>
            </w:pPr>
            <w:r>
              <w:rPr>
                <w:color w:val="1C3A36"/>
                <w:sz w:val="15"/>
              </w:rPr>
              <w:t>Dirham peg to the US dollar</w:t>
            </w:r>
          </w:p>
        </w:tc>
        <w:tc>
          <w:tcPr>
            <w:tcW w:type="dxa" w:w="1656"/>
          </w:tcPr>
          <w:p>
            <w:pPr>
              <w:spacing w:after="20"/>
            </w:pPr>
            <w:r>
              <w:rPr>
                <w:color w:val="1C3A36"/>
                <w:sz w:val="15"/>
              </w:rPr>
              <w:t>Central Bank of the UAE</w:t>
            </w:r>
          </w:p>
        </w:tc>
        <w:tc>
          <w:tcPr>
            <w:tcW w:type="dxa" w:w="1152"/>
          </w:tcPr>
          <w:p>
            <w:pPr>
              <w:spacing w:after="20"/>
            </w:pPr>
            <w:r>
              <w:rPr>
                <w:color w:val="1C3A36"/>
                <w:sz w:val="15"/>
              </w:rPr>
              <w:t>7 Aug 2026</w:t>
            </w:r>
          </w:p>
        </w:tc>
        <w:tc>
          <w:tcPr>
            <w:tcW w:type="dxa" w:w="5040"/>
          </w:tcPr>
          <w:p>
            <w:pPr>
              <w:spacing w:after="20"/>
            </w:pPr>
            <w:r>
              <w:rPr>
                <w:color w:val="1C3A36"/>
                <w:sz w:val="15"/>
              </w:rPr>
              <w:t>The fixed rate of 3.6725 dirhams to the dollar, held since 1997, used to translate the dollar valuation into the listing currency</w:t>
            </w:r>
          </w:p>
        </w:tc>
      </w:tr>
      <w:tr>
        <w:trPr>
          <w:cantSplit/>
          <w:cantSplit/>
        </w:trPr>
        <w:tc>
          <w:tcPr>
            <w:tcW w:type="dxa" w:w="2232"/>
          </w:tcPr>
          <w:p>
            <w:pPr>
              <w:spacing w:after="20"/>
            </w:pPr>
            <w:r>
              <w:rPr>
                <w:color w:val="1C3A36"/>
                <w:sz w:val="15"/>
              </w:rPr>
              <w:t>Daily price history for FERTIGLB on the Abu Dhabi Securities Exchange</w:t>
            </w:r>
          </w:p>
        </w:tc>
        <w:tc>
          <w:tcPr>
            <w:tcW w:type="dxa" w:w="1656"/>
          </w:tcPr>
          <w:p>
            <w:pPr>
              <w:spacing w:after="20"/>
            </w:pPr>
            <w:r>
              <w:rPr>
                <w:color w:val="1C3A36"/>
                <w:sz w:val="15"/>
              </w:rPr>
              <w:t>Study price history</w:t>
            </w:r>
          </w:p>
        </w:tc>
        <w:tc>
          <w:tcPr>
            <w:tcW w:type="dxa" w:w="1152"/>
          </w:tcPr>
          <w:p>
            <w:pPr>
              <w:spacing w:after="20"/>
            </w:pPr>
            <w:r>
              <w:rPr>
                <w:color w:val="1C3A36"/>
                <w:sz w:val="15"/>
              </w:rPr>
              <w:t>to 7 Aug 2026</w:t>
            </w:r>
          </w:p>
        </w:tc>
        <w:tc>
          <w:tcPr>
            <w:tcW w:type="dxa" w:w="5040"/>
          </w:tcPr>
          <w:p>
            <w:pPr>
              <w:spacing w:after="20"/>
            </w:pPr>
            <w:r>
              <w:rPr>
                <w:color w:val="1C3A36"/>
                <w:sz w:val="15"/>
              </w:rPr>
              <w:t>The anchor price, the volatility estimate, the moving-average structure and the weekly returns used in the beta regression</w:t>
            </w:r>
          </w:p>
        </w:tc>
      </w:tr>
      <w:tr>
        <w:trPr>
          <w:cantSplit/>
          <w:cantSplit/>
        </w:trPr>
        <w:tc>
          <w:tcPr>
            <w:tcW w:type="dxa" w:w="2232"/>
          </w:tcPr>
          <w:p>
            <w:pPr>
              <w:spacing w:after="20"/>
            </w:pPr>
            <w:r>
              <w:rPr>
                <w:color w:val="1C3A36"/>
                <w:sz w:val="15"/>
              </w:rPr>
              <w:t>Daily price history for the covered UAE equity library</w:t>
            </w:r>
          </w:p>
        </w:tc>
        <w:tc>
          <w:tcPr>
            <w:tcW w:type="dxa" w:w="1656"/>
          </w:tcPr>
          <w:p>
            <w:pPr>
              <w:spacing w:after="20"/>
            </w:pPr>
            <w:r>
              <w:rPr>
                <w:color w:val="1C3A36"/>
                <w:sz w:val="15"/>
              </w:rPr>
              <w:t>Study price history</w:t>
            </w:r>
          </w:p>
        </w:tc>
        <w:tc>
          <w:tcPr>
            <w:tcW w:type="dxa" w:w="1152"/>
          </w:tcPr>
          <w:p>
            <w:pPr>
              <w:spacing w:after="20"/>
            </w:pPr>
            <w:r>
              <w:rPr>
                <w:color w:val="1C3A36"/>
                <w:sz w:val="15"/>
              </w:rPr>
              <w:t>to 7 Aug 2026</w:t>
            </w:r>
          </w:p>
        </w:tc>
        <w:tc>
          <w:tcPr>
            <w:tcW w:type="dxa" w:w="5040"/>
          </w:tcPr>
          <w:p>
            <w:pPr>
              <w:spacing w:after="20"/>
            </w:pPr>
            <w:r>
              <w:rPr>
                <w:color w:val="1C3A36"/>
                <w:sz w:val="15"/>
              </w:rPr>
              <w:t>The published FTSE ADX General index, the regressor for an ADX-listed share</w:t>
            </w:r>
          </w:p>
        </w:tc>
      </w:tr>
    </w:tbl>
    <w:p>
      <w:pPr>
        <w:spacing w:after="40"/>
      </w:pPr>
    </w:p>
    <w:p>
      <w:pPr>
        <w:spacing w:after="120" w:before="280"/>
      </w:pPr>
      <w:r>
        <w:rPr>
          <w:b/>
          <w:i w:val="0"/>
          <w:color w:val="1C3A36"/>
          <w:sz w:val="30"/>
        </w:rPr>
        <w:t>Every input the model uses</w:t>
      </w:r>
    </w:p>
    <w:p>
      <w:pPr>
        <w:spacing w:after="120" w:before="0"/>
      </w:pPr>
      <w:r>
        <w:rPr>
          <w:b w:val="0"/>
          <w:i w:val="0"/>
          <w:color w:val="1C3A36"/>
          <w:sz w:val="19"/>
        </w:rPr>
        <w:t>The complete list, grouped by research layer. Each row gives the value as the model holds it, the date the value belongs to, and the document it came from together with how it was constructed where it was not simply read off a page. Financial-statement lines are in millions of US dollars, the currency the company reports in; volumes are in thousands of tonnes; prices are per tonne or per million British thermal units; rates and shares are shown as percentages. Nothing in the study is computed from a figure that does not appear here.</w:t>
      </w:r>
    </w:p>
    <w:p>
      <w:pPr>
        <w:spacing w:after="80" w:before="200"/>
      </w:pPr>
      <w:r>
        <w:rPr>
          <w:b/>
          <w:i w:val="0"/>
          <w:color w:val="1C3A36"/>
          <w:sz w:val="24"/>
        </w:rPr>
        <w:t>Global — 6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1224"/>
        <w:gridCol w:w="1080"/>
        <w:gridCol w:w="6048"/>
      </w:tblGrid>
      <w:tr>
        <w:trPr>
          <w:cantSplit/>
          <w:tblHeader/>
          <w:cantSplit/>
          <w:tblHeader/>
        </w:trPr>
        <w:tc>
          <w:tcPr>
            <w:tcW w:type="dxa" w:w="1728"/>
            <w:shd w:val="clear" w:color="auto" w:fill="EAF0EE"/>
          </w:tcPr>
          <w:p>
            <w:pPr>
              <w:spacing w:after="20"/>
            </w:pPr>
            <w:r>
              <w:rPr>
                <w:b/>
                <w:color w:val="1C3A36"/>
                <w:sz w:val="15"/>
              </w:rPr>
              <w:t>Input</w:t>
            </w:r>
          </w:p>
        </w:tc>
        <w:tc>
          <w:tcPr>
            <w:tcW w:type="dxa" w:w="1224"/>
            <w:shd w:val="clear" w:color="auto" w:fill="EAF0EE"/>
          </w:tcPr>
          <w:p>
            <w:pPr>
              <w:spacing w:after="20"/>
            </w:pPr>
            <w:r>
              <w:rPr>
                <w:b/>
                <w:color w:val="1C3A36"/>
                <w:sz w:val="15"/>
              </w:rPr>
              <w:t>Value</w:t>
            </w:r>
          </w:p>
        </w:tc>
        <w:tc>
          <w:tcPr>
            <w:tcW w:type="dxa" w:w="1080"/>
            <w:shd w:val="clear" w:color="auto" w:fill="EAF0EE"/>
          </w:tcPr>
          <w:p>
            <w:pPr>
              <w:spacing w:after="20"/>
            </w:pPr>
            <w:r>
              <w:rPr>
                <w:b/>
                <w:color w:val="1C3A36"/>
                <w:sz w:val="15"/>
              </w:rPr>
              <w:t>Date</w:t>
            </w:r>
          </w:p>
        </w:tc>
        <w:tc>
          <w:tcPr>
            <w:tcW w:type="dxa" w:w="6048"/>
            <w:shd w:val="clear" w:color="auto" w:fill="EAF0EE"/>
          </w:tcPr>
          <w:p>
            <w:pPr>
              <w:spacing w:after="20"/>
            </w:pPr>
            <w:r>
              <w:rPr>
                <w:b/>
                <w:color w:val="1C3A36"/>
                <w:sz w:val="15"/>
              </w:rPr>
              <w:t>Source and construction</w:t>
            </w:r>
          </w:p>
        </w:tc>
      </w:tr>
      <w:tr>
        <w:trPr>
          <w:cantSplit/>
          <w:cantSplit/>
        </w:trPr>
        <w:tc>
          <w:tcPr>
            <w:tcW w:type="dxa" w:w="1728"/>
          </w:tcPr>
          <w:p>
            <w:pPr>
              <w:spacing w:after="20"/>
            </w:pPr>
            <w:r>
              <w:rPr>
                <w:color w:val="1C3A36"/>
                <w:sz w:val="15"/>
              </w:rPr>
              <w:t>bm ttf fy25</w:t>
            </w:r>
          </w:p>
        </w:tc>
        <w:tc>
          <w:tcPr>
            <w:tcW w:type="dxa" w:w="1224"/>
          </w:tcPr>
          <w:p>
            <w:pPr>
              <w:spacing w:after="20"/>
            </w:pPr>
            <w:r>
              <w:rPr>
                <w:color w:val="1C3A36"/>
                <w:sz w:val="15"/>
              </w:rPr>
              <w:t>$12.0 per MMBtu</w:t>
            </w:r>
          </w:p>
        </w:tc>
        <w:tc>
          <w:tcPr>
            <w:tcW w:type="dxa" w:w="1080"/>
          </w:tcPr>
          <w:p>
            <w:pPr>
              <w:spacing w:after="20"/>
            </w:pPr>
            <w:r>
              <w:rPr>
                <w:color w:val="1C3A36"/>
                <w:sz w:val="15"/>
              </w:rPr>
              <w:t>2025-12-31</w:t>
            </w:r>
          </w:p>
        </w:tc>
        <w:tc>
          <w:tcPr>
            <w:tcW w:type="dxa" w:w="6048"/>
          </w:tcPr>
          <w:p>
            <w:pPr>
              <w:spacing w:after="20"/>
            </w:pPr>
            <w:r>
              <w:rPr>
                <w:color w:val="1C3A36"/>
                <w:sz w:val="15"/>
              </w:rPr>
              <w:t>Fertiglobe Q4 2025 Results MD&amp;A Report (11-Feb-2026) — natural gas TTF (Europe)</w:t>
            </w:r>
          </w:p>
        </w:tc>
      </w:tr>
      <w:tr>
        <w:trPr>
          <w:cantSplit/>
          <w:cantSplit/>
        </w:trPr>
        <w:tc>
          <w:tcPr>
            <w:tcW w:type="dxa" w:w="1728"/>
          </w:tcPr>
          <w:p>
            <w:pPr>
              <w:spacing w:after="20"/>
            </w:pPr>
            <w:r>
              <w:rPr>
                <w:color w:val="1C3A36"/>
                <w:sz w:val="15"/>
              </w:rPr>
              <w:t>bm ttf h1 26</w:t>
            </w:r>
          </w:p>
        </w:tc>
        <w:tc>
          <w:tcPr>
            <w:tcW w:type="dxa" w:w="1224"/>
          </w:tcPr>
          <w:p>
            <w:pPr>
              <w:spacing w:after="20"/>
            </w:pPr>
            <w:r>
              <w:rPr>
                <w:color w:val="1C3A36"/>
                <w:sz w:val="15"/>
              </w:rPr>
              <w:t>$14.6 per MMBtu</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bm ttf jul26</w:t>
            </w:r>
          </w:p>
        </w:tc>
        <w:tc>
          <w:tcPr>
            <w:tcW w:type="dxa" w:w="1224"/>
          </w:tcPr>
          <w:p>
            <w:pPr>
              <w:spacing w:after="20"/>
            </w:pPr>
            <w:r>
              <w:rPr>
                <w:color w:val="1C3A36"/>
                <w:sz w:val="15"/>
              </w:rPr>
              <w:t>$20.0 per MMBtu</w:t>
            </w:r>
          </w:p>
        </w:tc>
        <w:tc>
          <w:tcPr>
            <w:tcW w:type="dxa" w:w="1080"/>
          </w:tcPr>
          <w:p>
            <w:pPr>
              <w:spacing w:after="20"/>
            </w:pPr>
            <w:r>
              <w:rPr>
                <w:color w:val="1C3A36"/>
                <w:sz w:val="15"/>
              </w:rPr>
              <w:t>2026-08-06</w:t>
            </w:r>
          </w:p>
        </w:tc>
        <w:tc>
          <w:tcPr>
            <w:tcW w:type="dxa" w:w="6048"/>
          </w:tcPr>
          <w:p>
            <w:pPr>
              <w:spacing w:after="20"/>
            </w:pPr>
            <w:r>
              <w:rPr>
                <w:color w:val="1C3A36"/>
                <w:sz w:val="15"/>
              </w:rPr>
              <w:t>Fertiglobe Q2 2026 Results Call Transcript (6-Aug-2026) — TTF rallied to $21/MMBtu, ~$19-20/MMBtu at the call date</w:t>
            </w:r>
          </w:p>
        </w:tc>
      </w:tr>
      <w:tr>
        <w:trPr>
          <w:cantSplit/>
          <w:cantSplit/>
        </w:trPr>
        <w:tc>
          <w:tcPr>
            <w:tcW w:type="dxa" w:w="1728"/>
          </w:tcPr>
          <w:p>
            <w:pPr>
              <w:spacing w:after="20"/>
            </w:pPr>
            <w:r>
              <w:rPr>
                <w:color w:val="1C3A36"/>
                <w:sz w:val="15"/>
              </w:rPr>
              <w:t>ust10</w:t>
            </w:r>
          </w:p>
        </w:tc>
        <w:tc>
          <w:tcPr>
            <w:tcW w:type="dxa" w:w="1224"/>
          </w:tcPr>
          <w:p>
            <w:pPr>
              <w:spacing w:after="20"/>
            </w:pPr>
            <w:r>
              <w:rPr>
                <w:color w:val="1C3A36"/>
                <w:sz w:val="15"/>
              </w:rPr>
              <w:t>4.69%</w:t>
            </w:r>
          </w:p>
        </w:tc>
        <w:tc>
          <w:tcPr>
            <w:tcW w:type="dxa" w:w="1080"/>
          </w:tcPr>
          <w:p>
            <w:pPr>
              <w:spacing w:after="20"/>
            </w:pPr>
            <w:r>
              <w:rPr>
                <w:color w:val="1C3A36"/>
                <w:sz w:val="15"/>
              </w:rPr>
              <w:t>2026-08-06</w:t>
            </w:r>
          </w:p>
        </w:tc>
        <w:tc>
          <w:tcPr>
            <w:tcW w:type="dxa" w:w="6048"/>
          </w:tcPr>
          <w:p>
            <w:pPr>
              <w:spacing w:after="20"/>
            </w:pPr>
            <w:r>
              <w:rPr>
                <w:color w:val="1C3A36"/>
                <w:sz w:val="15"/>
              </w:rPr>
              <w:t>Federal Reserve Bank of St Louis, FRED series DGS10 — 10-year Treasury constant maturity</w:t>
            </w:r>
          </w:p>
        </w:tc>
      </w:tr>
      <w:tr>
        <w:trPr>
          <w:cantSplit/>
          <w:cantSplit/>
        </w:trPr>
        <w:tc>
          <w:tcPr>
            <w:tcW w:type="dxa" w:w="1728"/>
          </w:tcPr>
          <w:p>
            <w:pPr>
              <w:spacing w:after="20"/>
            </w:pPr>
            <w:r>
              <w:rPr>
                <w:color w:val="1C3A36"/>
                <w:sz w:val="15"/>
              </w:rPr>
              <w:t>sofr</w:t>
            </w:r>
          </w:p>
        </w:tc>
        <w:tc>
          <w:tcPr>
            <w:tcW w:type="dxa" w:w="1224"/>
          </w:tcPr>
          <w:p>
            <w:pPr>
              <w:spacing w:after="20"/>
            </w:pPr>
            <w:r>
              <w:rPr>
                <w:color w:val="1C3A36"/>
                <w:sz w:val="15"/>
              </w:rPr>
              <w:t>3.65%</w:t>
            </w:r>
          </w:p>
        </w:tc>
        <w:tc>
          <w:tcPr>
            <w:tcW w:type="dxa" w:w="1080"/>
          </w:tcPr>
          <w:p>
            <w:pPr>
              <w:spacing w:after="20"/>
            </w:pPr>
            <w:r>
              <w:rPr>
                <w:color w:val="1C3A36"/>
                <w:sz w:val="15"/>
              </w:rPr>
              <w:t>2026-08-06</w:t>
            </w:r>
          </w:p>
        </w:tc>
        <w:tc>
          <w:tcPr>
            <w:tcW w:type="dxa" w:w="6048"/>
          </w:tcPr>
          <w:p>
            <w:pPr>
              <w:spacing w:after="20"/>
            </w:pPr>
            <w:r>
              <w:rPr>
                <w:color w:val="1C3A36"/>
                <w:sz w:val="15"/>
              </w:rPr>
              <w:t>Secured Overnight Financing Rate, New York Fed</w:t>
            </w:r>
          </w:p>
        </w:tc>
      </w:tr>
      <w:tr>
        <w:trPr>
          <w:cantSplit/>
          <w:cantSplit/>
        </w:trPr>
        <w:tc>
          <w:tcPr>
            <w:tcW w:type="dxa" w:w="1728"/>
          </w:tcPr>
          <w:p>
            <w:pPr>
              <w:spacing w:after="20"/>
            </w:pPr>
            <w:r>
              <w:rPr>
                <w:color w:val="1C3A36"/>
                <w:sz w:val="15"/>
              </w:rPr>
              <w:t>mature erp</w:t>
            </w:r>
          </w:p>
        </w:tc>
        <w:tc>
          <w:tcPr>
            <w:tcW w:type="dxa" w:w="1224"/>
          </w:tcPr>
          <w:p>
            <w:pPr>
              <w:spacing w:after="20"/>
            </w:pPr>
            <w:r>
              <w:rPr>
                <w:color w:val="1C3A36"/>
                <w:sz w:val="15"/>
              </w:rPr>
              <w:t>4.23%</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mature-market ERP = Abu Dhabi ERP 4.87% less its CRP 0.64%</w:t>
            </w:r>
          </w:p>
        </w:tc>
      </w:tr>
    </w:tbl>
    <w:p>
      <w:pPr>
        <w:spacing w:after="40"/>
      </w:pPr>
    </w:p>
    <w:p>
      <w:pPr>
        <w:spacing w:after="80" w:before="200"/>
      </w:pPr>
      <w:r>
        <w:rPr>
          <w:b/>
          <w:i w:val="0"/>
          <w:color w:val="1C3A36"/>
          <w:sz w:val="24"/>
        </w:rPr>
        <w:t>Country — 15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1224"/>
        <w:gridCol w:w="1080"/>
        <w:gridCol w:w="6048"/>
      </w:tblGrid>
      <w:tr>
        <w:trPr>
          <w:cantSplit/>
          <w:tblHeader/>
          <w:cantSplit/>
          <w:tblHeader/>
        </w:trPr>
        <w:tc>
          <w:tcPr>
            <w:tcW w:type="dxa" w:w="1728"/>
            <w:shd w:val="clear" w:color="auto" w:fill="EAF0EE"/>
          </w:tcPr>
          <w:p>
            <w:pPr>
              <w:spacing w:after="20"/>
            </w:pPr>
            <w:r>
              <w:rPr>
                <w:b/>
                <w:color w:val="1C3A36"/>
                <w:sz w:val="15"/>
              </w:rPr>
              <w:t>Input</w:t>
            </w:r>
          </w:p>
        </w:tc>
        <w:tc>
          <w:tcPr>
            <w:tcW w:type="dxa" w:w="1224"/>
            <w:shd w:val="clear" w:color="auto" w:fill="EAF0EE"/>
          </w:tcPr>
          <w:p>
            <w:pPr>
              <w:spacing w:after="20"/>
            </w:pPr>
            <w:r>
              <w:rPr>
                <w:b/>
                <w:color w:val="1C3A36"/>
                <w:sz w:val="15"/>
              </w:rPr>
              <w:t>Value</w:t>
            </w:r>
          </w:p>
        </w:tc>
        <w:tc>
          <w:tcPr>
            <w:tcW w:type="dxa" w:w="1080"/>
            <w:shd w:val="clear" w:color="auto" w:fill="EAF0EE"/>
          </w:tcPr>
          <w:p>
            <w:pPr>
              <w:spacing w:after="20"/>
            </w:pPr>
            <w:r>
              <w:rPr>
                <w:b/>
                <w:color w:val="1C3A36"/>
                <w:sz w:val="15"/>
              </w:rPr>
              <w:t>Date</w:t>
            </w:r>
          </w:p>
        </w:tc>
        <w:tc>
          <w:tcPr>
            <w:tcW w:type="dxa" w:w="6048"/>
            <w:shd w:val="clear" w:color="auto" w:fill="EAF0EE"/>
          </w:tcPr>
          <w:p>
            <w:pPr>
              <w:spacing w:after="20"/>
            </w:pPr>
            <w:r>
              <w:rPr>
                <w:b/>
                <w:color w:val="1C3A36"/>
                <w:sz w:val="15"/>
              </w:rPr>
              <w:t>Source and construction</w:t>
            </w:r>
          </w:p>
        </w:tc>
      </w:tr>
      <w:tr>
        <w:trPr>
          <w:cantSplit/>
          <w:cantSplit/>
        </w:trPr>
        <w:tc>
          <w:tcPr>
            <w:tcW w:type="dxa" w:w="1728"/>
          </w:tcPr>
          <w:p>
            <w:pPr>
              <w:spacing w:after="20"/>
            </w:pPr>
            <w:r>
              <w:rPr>
                <w:color w:val="1C3A36"/>
                <w:sz w:val="15"/>
              </w:rPr>
              <w:t>fx aed usd</w:t>
            </w:r>
          </w:p>
        </w:tc>
        <w:tc>
          <w:tcPr>
            <w:tcW w:type="dxa" w:w="1224"/>
          </w:tcPr>
          <w:p>
            <w:pPr>
              <w:spacing w:after="20"/>
            </w:pPr>
            <w:r>
              <w:rPr>
                <w:color w:val="1C3A36"/>
                <w:sz w:val="15"/>
              </w:rPr>
              <w:t>AED 3.6725 per USD</w:t>
            </w:r>
          </w:p>
        </w:tc>
        <w:tc>
          <w:tcPr>
            <w:tcW w:type="dxa" w:w="1080"/>
          </w:tcPr>
          <w:p>
            <w:pPr>
              <w:spacing w:after="20"/>
            </w:pPr>
            <w:r>
              <w:rPr>
                <w:color w:val="1C3A36"/>
                <w:sz w:val="15"/>
              </w:rPr>
              <w:t>2026-08-07</w:t>
            </w:r>
          </w:p>
        </w:tc>
        <w:tc>
          <w:tcPr>
            <w:tcW w:type="dxa" w:w="6048"/>
          </w:tcPr>
          <w:p>
            <w:pPr>
              <w:spacing w:after="20"/>
            </w:pPr>
            <w:r>
              <w:rPr>
                <w:color w:val="1C3A36"/>
                <w:sz w:val="15"/>
              </w:rPr>
              <w:t>CBUAE dirham peg to the US dollar, fixed since 1997</w:t>
            </w:r>
          </w:p>
        </w:tc>
      </w:tr>
      <w:tr>
        <w:trPr>
          <w:cantSplit/>
          <w:cantSplit/>
        </w:trPr>
        <w:tc>
          <w:tcPr>
            <w:tcW w:type="dxa" w:w="1728"/>
          </w:tcPr>
          <w:p>
            <w:pPr>
              <w:spacing w:after="20"/>
            </w:pPr>
            <w:r>
              <w:rPr>
                <w:color w:val="1C3A36"/>
                <w:sz w:val="15"/>
              </w:rPr>
              <w:t>tax stat uae</w:t>
            </w:r>
          </w:p>
        </w:tc>
        <w:tc>
          <w:tcPr>
            <w:tcW w:type="dxa" w:w="1224"/>
          </w:tcPr>
          <w:p>
            <w:pPr>
              <w:spacing w:after="20"/>
            </w:pPr>
            <w:r>
              <w:rPr>
                <w:color w:val="1C3A36"/>
                <w:sz w:val="15"/>
              </w:rPr>
              <w:t>9%</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'the statutory income tax rate in the UAE is 9%'</w:t>
            </w:r>
          </w:p>
        </w:tc>
      </w:tr>
      <w:tr>
        <w:trPr>
          <w:cantSplit/>
          <w:cantSplit/>
        </w:trPr>
        <w:tc>
          <w:tcPr>
            <w:tcW w:type="dxa" w:w="1728"/>
          </w:tcPr>
          <w:p>
            <w:pPr>
              <w:spacing w:after="20"/>
            </w:pPr>
            <w:r>
              <w:rPr>
                <w:color w:val="1C3A36"/>
                <w:sz w:val="15"/>
              </w:rPr>
              <w:t>ad cds</w:t>
            </w:r>
          </w:p>
        </w:tc>
        <w:tc>
          <w:tcPr>
            <w:tcW w:type="dxa" w:w="1224"/>
          </w:tcPr>
          <w:p>
            <w:pPr>
              <w:spacing w:after="20"/>
            </w:pPr>
            <w:r>
              <w:rPr>
                <w:color w:val="1C3A36"/>
                <w:sz w:val="15"/>
              </w:rPr>
              <w:t>0.46%</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Abu Dhabi sovereign CDS</w:t>
            </w:r>
          </w:p>
        </w:tc>
      </w:tr>
      <w:tr>
        <w:trPr>
          <w:cantSplit/>
          <w:cantSplit/>
        </w:trPr>
        <w:tc>
          <w:tcPr>
            <w:tcW w:type="dxa" w:w="1728"/>
          </w:tcPr>
          <w:p>
            <w:pPr>
              <w:spacing w:after="20"/>
            </w:pPr>
            <w:r>
              <w:rPr>
                <w:color w:val="1C3A36"/>
                <w:sz w:val="15"/>
              </w:rPr>
              <w:t>ad ads</w:t>
            </w:r>
          </w:p>
        </w:tc>
        <w:tc>
          <w:tcPr>
            <w:tcW w:type="dxa" w:w="1224"/>
          </w:tcPr>
          <w:p>
            <w:pPr>
              <w:spacing w:after="20"/>
            </w:pPr>
            <w:r>
              <w:rPr>
                <w:color w:val="1C3A36"/>
                <w:sz w:val="15"/>
              </w:rPr>
              <w:t>0.42%</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Abu Dhabi adjusted default spread (Moody's Aa2)</w:t>
            </w:r>
          </w:p>
        </w:tc>
      </w:tr>
      <w:tr>
        <w:trPr>
          <w:cantSplit/>
          <w:cantSplit/>
        </w:trPr>
        <w:tc>
          <w:tcPr>
            <w:tcW w:type="dxa" w:w="1728"/>
          </w:tcPr>
          <w:p>
            <w:pPr>
              <w:spacing w:after="20"/>
            </w:pPr>
            <w:r>
              <w:rPr>
                <w:color w:val="1C3A36"/>
                <w:sz w:val="15"/>
              </w:rPr>
              <w:t>ad erp</w:t>
            </w:r>
          </w:p>
        </w:tc>
        <w:tc>
          <w:tcPr>
            <w:tcW w:type="dxa" w:w="1224"/>
          </w:tcPr>
          <w:p>
            <w:pPr>
              <w:spacing w:after="20"/>
            </w:pPr>
            <w:r>
              <w:rPr>
                <w:color w:val="1C3A36"/>
                <w:sz w:val="15"/>
              </w:rPr>
              <w:t>4.87%</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Abu Dhabi equity risk premium, rating basis</w:t>
            </w:r>
          </w:p>
        </w:tc>
      </w:tr>
      <w:tr>
        <w:trPr>
          <w:cantSplit/>
          <w:cantSplit/>
        </w:trPr>
        <w:tc>
          <w:tcPr>
            <w:tcW w:type="dxa" w:w="1728"/>
          </w:tcPr>
          <w:p>
            <w:pPr>
              <w:spacing w:after="20"/>
            </w:pPr>
            <w:r>
              <w:rPr>
                <w:color w:val="1C3A36"/>
                <w:sz w:val="15"/>
              </w:rPr>
              <w:t>ad erp cds</w:t>
            </w:r>
          </w:p>
        </w:tc>
        <w:tc>
          <w:tcPr>
            <w:tcW w:type="dxa" w:w="1224"/>
          </w:tcPr>
          <w:p>
            <w:pPr>
              <w:spacing w:after="20"/>
            </w:pPr>
            <w:r>
              <w:rPr>
                <w:color w:val="1C3A36"/>
                <w:sz w:val="15"/>
              </w:rPr>
              <w:t>4.93%</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Abu Dhabi equity risk premium, CDS basis</w:t>
            </w:r>
          </w:p>
        </w:tc>
      </w:tr>
      <w:tr>
        <w:trPr>
          <w:cantSplit/>
          <w:cantSplit/>
        </w:trPr>
        <w:tc>
          <w:tcPr>
            <w:tcW w:type="dxa" w:w="1728"/>
          </w:tcPr>
          <w:p>
            <w:pPr>
              <w:spacing w:after="20"/>
            </w:pPr>
            <w:r>
              <w:rPr>
                <w:color w:val="1C3A36"/>
                <w:sz w:val="15"/>
              </w:rPr>
              <w:t>ad crp</w:t>
            </w:r>
          </w:p>
        </w:tc>
        <w:tc>
          <w:tcPr>
            <w:tcW w:type="dxa" w:w="1224"/>
          </w:tcPr>
          <w:p>
            <w:pPr>
              <w:spacing w:after="20"/>
            </w:pPr>
            <w:r>
              <w:rPr>
                <w:color w:val="1C3A36"/>
                <w:sz w:val="15"/>
              </w:rPr>
              <w:t>0.64%</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Abu Dhabi country risk premium</w:t>
            </w:r>
          </w:p>
        </w:tc>
      </w:tr>
      <w:tr>
        <w:trPr>
          <w:cantSplit/>
          <w:cantSplit/>
        </w:trPr>
        <w:tc>
          <w:tcPr>
            <w:tcW w:type="dxa" w:w="1728"/>
          </w:tcPr>
          <w:p>
            <w:pPr>
              <w:spacing w:after="20"/>
            </w:pPr>
            <w:r>
              <w:rPr>
                <w:color w:val="1C3A36"/>
                <w:sz w:val="15"/>
              </w:rPr>
              <w:t>eg erp</w:t>
            </w:r>
          </w:p>
        </w:tc>
        <w:tc>
          <w:tcPr>
            <w:tcW w:type="dxa" w:w="1224"/>
          </w:tcPr>
          <w:p>
            <w:pPr>
              <w:spacing w:after="20"/>
            </w:pPr>
            <w:r>
              <w:rPr>
                <w:color w:val="1C3A36"/>
                <w:sz w:val="15"/>
              </w:rPr>
              <w:t>13.94%</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Egypt equity risk premium, rating basis (Caa1)</w:t>
            </w:r>
          </w:p>
        </w:tc>
      </w:tr>
      <w:tr>
        <w:trPr>
          <w:cantSplit/>
          <w:cantSplit/>
        </w:trPr>
        <w:tc>
          <w:tcPr>
            <w:tcW w:type="dxa" w:w="1728"/>
          </w:tcPr>
          <w:p>
            <w:pPr>
              <w:spacing w:after="20"/>
            </w:pPr>
            <w:r>
              <w:rPr>
                <w:color w:val="1C3A36"/>
                <w:sz w:val="15"/>
              </w:rPr>
              <w:t>eg erp cds</w:t>
            </w:r>
          </w:p>
        </w:tc>
        <w:tc>
          <w:tcPr>
            <w:tcW w:type="dxa" w:w="1224"/>
          </w:tcPr>
          <w:p>
            <w:pPr>
              <w:spacing w:after="20"/>
            </w:pPr>
            <w:r>
              <w:rPr>
                <w:color w:val="1C3A36"/>
                <w:sz w:val="15"/>
              </w:rPr>
              <w:t>9.41%</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Egypt equity risk premium, CDS basis</w:t>
            </w:r>
          </w:p>
        </w:tc>
      </w:tr>
      <w:tr>
        <w:trPr>
          <w:cantSplit/>
          <w:cantSplit/>
        </w:trPr>
        <w:tc>
          <w:tcPr>
            <w:tcW w:type="dxa" w:w="1728"/>
          </w:tcPr>
          <w:p>
            <w:pPr>
              <w:spacing w:after="20"/>
            </w:pPr>
            <w:r>
              <w:rPr>
                <w:color w:val="1C3A36"/>
                <w:sz w:val="15"/>
              </w:rPr>
              <w:t>dz erp</w:t>
            </w:r>
          </w:p>
        </w:tc>
        <w:tc>
          <w:tcPr>
            <w:tcW w:type="dxa" w:w="1224"/>
          </w:tcPr>
          <w:p>
            <w:pPr>
              <w:spacing w:after="20"/>
            </w:pPr>
            <w:r>
              <w:rPr>
                <w:color w:val="1C3A36"/>
                <w:sz w:val="15"/>
              </w:rPr>
              <w:t>10.06%</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Algeria equity risk premium, rating basis (not rated)</w:t>
            </w:r>
          </w:p>
        </w:tc>
      </w:tr>
      <w:tr>
        <w:trPr>
          <w:cantSplit/>
          <w:cantSplit/>
        </w:trPr>
        <w:tc>
          <w:tcPr>
            <w:tcW w:type="dxa" w:w="1728"/>
          </w:tcPr>
          <w:p>
            <w:pPr>
              <w:spacing w:after="20"/>
            </w:pPr>
            <w:r>
              <w:rPr>
                <w:color w:val="1C3A36"/>
                <w:sz w:val="15"/>
              </w:rPr>
              <w:t>eg ads</w:t>
            </w:r>
          </w:p>
        </w:tc>
        <w:tc>
          <w:tcPr>
            <w:tcW w:type="dxa" w:w="1224"/>
          </w:tcPr>
          <w:p>
            <w:pPr>
              <w:spacing w:after="20"/>
            </w:pPr>
            <w:r>
              <w:rPr>
                <w:color w:val="1C3A36"/>
                <w:sz w:val="15"/>
              </w:rPr>
              <w:t>$0.1m</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Egypt adjusted default spread (Moody's Caa1)</w:t>
            </w:r>
          </w:p>
        </w:tc>
      </w:tr>
      <w:tr>
        <w:trPr>
          <w:cantSplit/>
          <w:cantSplit/>
        </w:trPr>
        <w:tc>
          <w:tcPr>
            <w:tcW w:type="dxa" w:w="1728"/>
          </w:tcPr>
          <w:p>
            <w:pPr>
              <w:spacing w:after="20"/>
            </w:pPr>
            <w:r>
              <w:rPr>
                <w:color w:val="1C3A36"/>
                <w:sz w:val="15"/>
              </w:rPr>
              <w:t>dz ads</w:t>
            </w:r>
          </w:p>
        </w:tc>
        <w:tc>
          <w:tcPr>
            <w:tcW w:type="dxa" w:w="1224"/>
          </w:tcPr>
          <w:p>
            <w:pPr>
              <w:spacing w:after="20"/>
            </w:pPr>
            <w:r>
              <w:rPr>
                <w:color w:val="1C3A36"/>
                <w:sz w:val="15"/>
              </w:rPr>
              <w:t>$0.0m</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Algeria adjusted default spread (not rated)</w:t>
            </w:r>
          </w:p>
        </w:tc>
      </w:tr>
      <w:tr>
        <w:trPr>
          <w:cantSplit/>
          <w:cantSplit/>
        </w:trPr>
        <w:tc>
          <w:tcPr>
            <w:tcW w:type="dxa" w:w="1728"/>
          </w:tcPr>
          <w:p>
            <w:pPr>
              <w:spacing w:after="20"/>
            </w:pPr>
            <w:r>
              <w:rPr>
                <w:color w:val="1C3A36"/>
                <w:sz w:val="15"/>
              </w:rPr>
              <w:t>tax dam uae</w:t>
            </w:r>
          </w:p>
        </w:tc>
        <w:tc>
          <w:tcPr>
            <w:tcW w:type="dxa" w:w="1224"/>
          </w:tcPr>
          <w:p>
            <w:pPr>
              <w:spacing w:after="20"/>
            </w:pPr>
            <w:r>
              <w:rPr>
                <w:color w:val="1C3A36"/>
                <w:sz w:val="15"/>
              </w:rPr>
              <w:t>9%</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corporate tax rate, Abu Dhabi</w:t>
            </w:r>
          </w:p>
        </w:tc>
      </w:tr>
      <w:tr>
        <w:trPr>
          <w:cantSplit/>
          <w:cantSplit/>
        </w:trPr>
        <w:tc>
          <w:tcPr>
            <w:tcW w:type="dxa" w:w="1728"/>
          </w:tcPr>
          <w:p>
            <w:pPr>
              <w:spacing w:after="20"/>
            </w:pPr>
            <w:r>
              <w:rPr>
                <w:color w:val="1C3A36"/>
                <w:sz w:val="15"/>
              </w:rPr>
              <w:t>tax dam eg</w:t>
            </w:r>
          </w:p>
        </w:tc>
        <w:tc>
          <w:tcPr>
            <w:tcW w:type="dxa" w:w="1224"/>
          </w:tcPr>
          <w:p>
            <w:pPr>
              <w:spacing w:after="20"/>
            </w:pPr>
            <w:r>
              <w:rPr>
                <w:color w:val="1C3A36"/>
                <w:sz w:val="15"/>
              </w:rPr>
              <w:t>22.5%</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corporate tax rate, Egypt</w:t>
            </w:r>
          </w:p>
        </w:tc>
      </w:tr>
      <w:tr>
        <w:trPr>
          <w:cantSplit/>
          <w:cantSplit/>
        </w:trPr>
        <w:tc>
          <w:tcPr>
            <w:tcW w:type="dxa" w:w="1728"/>
          </w:tcPr>
          <w:p>
            <w:pPr>
              <w:spacing w:after="20"/>
            </w:pPr>
            <w:r>
              <w:rPr>
                <w:color w:val="1C3A36"/>
                <w:sz w:val="15"/>
              </w:rPr>
              <w:t>tax dam dz</w:t>
            </w:r>
          </w:p>
        </w:tc>
        <w:tc>
          <w:tcPr>
            <w:tcW w:type="dxa" w:w="1224"/>
          </w:tcPr>
          <w:p>
            <w:pPr>
              <w:spacing w:after="20"/>
            </w:pPr>
            <w:r>
              <w:rPr>
                <w:color w:val="1C3A36"/>
                <w:sz w:val="15"/>
              </w:rPr>
              <w:t>10.07%</w:t>
            </w:r>
          </w:p>
        </w:tc>
        <w:tc>
          <w:tcPr>
            <w:tcW w:type="dxa" w:w="1080"/>
          </w:tcPr>
          <w:p>
            <w:pPr>
              <w:spacing w:after="20"/>
            </w:pPr>
            <w:r>
              <w:rPr>
                <w:color w:val="1C3A36"/>
                <w:sz w:val="15"/>
              </w:rPr>
              <w:t>2026-08-09</w:t>
            </w:r>
          </w:p>
        </w:tc>
        <w:tc>
          <w:tcPr>
            <w:tcW w:type="dxa" w:w="6048"/>
          </w:tcPr>
          <w:p>
            <w:pPr>
              <w:spacing w:after="20"/>
            </w:pPr>
            <w:r>
              <w:rPr>
                <w:color w:val="1C3A36"/>
                <w:sz w:val="15"/>
              </w:rPr>
              <w:t>A. Damodaran, country default spreads and risk premiums (ctryprem.html), read live — corporate tax rate, Algeria</w:t>
            </w:r>
          </w:p>
        </w:tc>
      </w:tr>
    </w:tbl>
    <w:p>
      <w:pPr>
        <w:spacing w:after="40"/>
      </w:pPr>
    </w:p>
    <w:p>
      <w:pPr>
        <w:spacing w:after="80" w:before="200"/>
      </w:pPr>
      <w:r>
        <w:rPr>
          <w:b/>
          <w:i w:val="0"/>
          <w:color w:val="1C3A36"/>
          <w:sz w:val="24"/>
        </w:rPr>
        <w:t>Industry — 10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1224"/>
        <w:gridCol w:w="1080"/>
        <w:gridCol w:w="6048"/>
      </w:tblGrid>
      <w:tr>
        <w:trPr>
          <w:cantSplit/>
          <w:tblHeader/>
          <w:cantSplit/>
          <w:tblHeader/>
        </w:trPr>
        <w:tc>
          <w:tcPr>
            <w:tcW w:type="dxa" w:w="1728"/>
            <w:shd w:val="clear" w:color="auto" w:fill="EAF0EE"/>
          </w:tcPr>
          <w:p>
            <w:pPr>
              <w:spacing w:after="20"/>
            </w:pPr>
            <w:r>
              <w:rPr>
                <w:b/>
                <w:color w:val="1C3A36"/>
                <w:sz w:val="15"/>
              </w:rPr>
              <w:t>Input</w:t>
            </w:r>
          </w:p>
        </w:tc>
        <w:tc>
          <w:tcPr>
            <w:tcW w:type="dxa" w:w="1224"/>
            <w:shd w:val="clear" w:color="auto" w:fill="EAF0EE"/>
          </w:tcPr>
          <w:p>
            <w:pPr>
              <w:spacing w:after="20"/>
            </w:pPr>
            <w:r>
              <w:rPr>
                <w:b/>
                <w:color w:val="1C3A36"/>
                <w:sz w:val="15"/>
              </w:rPr>
              <w:t>Value</w:t>
            </w:r>
          </w:p>
        </w:tc>
        <w:tc>
          <w:tcPr>
            <w:tcW w:type="dxa" w:w="1080"/>
            <w:shd w:val="clear" w:color="auto" w:fill="EAF0EE"/>
          </w:tcPr>
          <w:p>
            <w:pPr>
              <w:spacing w:after="20"/>
            </w:pPr>
            <w:r>
              <w:rPr>
                <w:b/>
                <w:color w:val="1C3A36"/>
                <w:sz w:val="15"/>
              </w:rPr>
              <w:t>Date</w:t>
            </w:r>
          </w:p>
        </w:tc>
        <w:tc>
          <w:tcPr>
            <w:tcW w:type="dxa" w:w="6048"/>
            <w:shd w:val="clear" w:color="auto" w:fill="EAF0EE"/>
          </w:tcPr>
          <w:p>
            <w:pPr>
              <w:spacing w:after="20"/>
            </w:pPr>
            <w:r>
              <w:rPr>
                <w:b/>
                <w:color w:val="1C3A36"/>
                <w:sz w:val="15"/>
              </w:rPr>
              <w:t>Source and construction</w:t>
            </w:r>
          </w:p>
        </w:tc>
      </w:tr>
      <w:tr>
        <w:trPr>
          <w:cantSplit/>
          <w:cantSplit/>
        </w:trPr>
        <w:tc>
          <w:tcPr>
            <w:tcW w:type="dxa" w:w="1728"/>
          </w:tcPr>
          <w:p>
            <w:pPr>
              <w:spacing w:after="20"/>
            </w:pPr>
            <w:r>
              <w:rPr>
                <w:color w:val="1C3A36"/>
                <w:sz w:val="15"/>
              </w:rPr>
              <w:t>bm urea eg fy24</w:t>
            </w:r>
          </w:p>
        </w:tc>
        <w:tc>
          <w:tcPr>
            <w:tcW w:type="dxa" w:w="1224"/>
          </w:tcPr>
          <w:p>
            <w:pPr>
              <w:spacing w:after="20"/>
            </w:pPr>
            <w:r>
              <w:rPr>
                <w:color w:val="1C3A36"/>
                <w:sz w:val="15"/>
              </w:rPr>
              <w:t>$357 per tonne</w:t>
            </w:r>
          </w:p>
        </w:tc>
        <w:tc>
          <w:tcPr>
            <w:tcW w:type="dxa" w:w="1080"/>
          </w:tcPr>
          <w:p>
            <w:pPr>
              <w:spacing w:after="20"/>
            </w:pPr>
            <w:r>
              <w:rPr>
                <w:color w:val="1C3A36"/>
                <w:sz w:val="15"/>
              </w:rPr>
              <w:t>2024-12-31</w:t>
            </w:r>
          </w:p>
        </w:tc>
        <w:tc>
          <w:tcPr>
            <w:tcW w:type="dxa" w:w="6048"/>
          </w:tcPr>
          <w:p>
            <w:pPr>
              <w:spacing w:after="20"/>
            </w:pPr>
            <w:r>
              <w:rPr>
                <w:color w:val="1C3A36"/>
                <w:sz w:val="15"/>
              </w:rPr>
              <w:t>Fertiglobe Q4 2025 Results MD&amp;A Report (11-Feb-2026) — granular urea Egypt FOB (source: CRU, MMSA, ICIS, Bloomberg)</w:t>
            </w:r>
          </w:p>
        </w:tc>
      </w:tr>
      <w:tr>
        <w:trPr>
          <w:cantSplit/>
          <w:cantSplit/>
        </w:trPr>
        <w:tc>
          <w:tcPr>
            <w:tcW w:type="dxa" w:w="1728"/>
          </w:tcPr>
          <w:p>
            <w:pPr>
              <w:spacing w:after="20"/>
            </w:pPr>
            <w:r>
              <w:rPr>
                <w:color w:val="1C3A36"/>
                <w:sz w:val="15"/>
              </w:rPr>
              <w:t>bm urea eg fy25</w:t>
            </w:r>
          </w:p>
        </w:tc>
        <w:tc>
          <w:tcPr>
            <w:tcW w:type="dxa" w:w="1224"/>
          </w:tcPr>
          <w:p>
            <w:pPr>
              <w:spacing w:after="20"/>
            </w:pPr>
            <w:r>
              <w:rPr>
                <w:color w:val="1C3A36"/>
                <w:sz w:val="15"/>
              </w:rPr>
              <w:t>$440 per tonne</w:t>
            </w:r>
          </w:p>
        </w:tc>
        <w:tc>
          <w:tcPr>
            <w:tcW w:type="dxa" w:w="1080"/>
          </w:tcPr>
          <w:p>
            <w:pPr>
              <w:spacing w:after="20"/>
            </w:pPr>
            <w:r>
              <w:rPr>
                <w:color w:val="1C3A36"/>
                <w:sz w:val="15"/>
              </w:rPr>
              <w:t>2025-12-31</w:t>
            </w:r>
          </w:p>
        </w:tc>
        <w:tc>
          <w:tcPr>
            <w:tcW w:type="dxa" w:w="6048"/>
          </w:tcPr>
          <w:p>
            <w:pPr>
              <w:spacing w:after="20"/>
            </w:pPr>
            <w:r>
              <w:rPr>
                <w:color w:val="1C3A36"/>
                <w:sz w:val="15"/>
              </w:rPr>
              <w:t>Fertiglobe Q4 2025 Results MD&amp;A Report (11-Feb-2026)</w:t>
            </w:r>
          </w:p>
        </w:tc>
      </w:tr>
      <w:tr>
        <w:trPr>
          <w:cantSplit/>
          <w:cantSplit/>
        </w:trPr>
        <w:tc>
          <w:tcPr>
            <w:tcW w:type="dxa" w:w="1728"/>
          </w:tcPr>
          <w:p>
            <w:pPr>
              <w:spacing w:after="20"/>
            </w:pPr>
            <w:r>
              <w:rPr>
                <w:color w:val="1C3A36"/>
                <w:sz w:val="15"/>
              </w:rPr>
              <w:t>bm urea eg h1 26</w:t>
            </w:r>
          </w:p>
        </w:tc>
        <w:tc>
          <w:tcPr>
            <w:tcW w:type="dxa" w:w="1224"/>
          </w:tcPr>
          <w:p>
            <w:pPr>
              <w:spacing w:after="20"/>
            </w:pPr>
            <w:r>
              <w:rPr>
                <w:color w:val="1C3A36"/>
                <w:sz w:val="15"/>
              </w:rPr>
              <w:t>$637 per tonne</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bm urea eg jul26</w:t>
            </w:r>
          </w:p>
        </w:tc>
        <w:tc>
          <w:tcPr>
            <w:tcW w:type="dxa" w:w="1224"/>
          </w:tcPr>
          <w:p>
            <w:pPr>
              <w:spacing w:after="20"/>
            </w:pPr>
            <w:r>
              <w:rPr>
                <w:color w:val="1C3A36"/>
                <w:sz w:val="15"/>
              </w:rPr>
              <w:t>$555 per tonne</w:t>
            </w:r>
          </w:p>
        </w:tc>
        <w:tc>
          <w:tcPr>
            <w:tcW w:type="dxa" w:w="1080"/>
          </w:tcPr>
          <w:p>
            <w:pPr>
              <w:spacing w:after="20"/>
            </w:pPr>
            <w:r>
              <w:rPr>
                <w:color w:val="1C3A36"/>
                <w:sz w:val="15"/>
              </w:rPr>
              <w:t>2026-07-15</w:t>
            </w:r>
          </w:p>
        </w:tc>
        <w:tc>
          <w:tcPr>
            <w:tcW w:type="dxa" w:w="6048"/>
          </w:tcPr>
          <w:p>
            <w:pPr>
              <w:spacing w:after="20"/>
            </w:pPr>
            <w:r>
              <w:rPr>
                <w:color w:val="1C3A36"/>
                <w:sz w:val="15"/>
              </w:rPr>
              <w:t>Fertiglobe Q2 2026 Results MD&amp;A Report (28-Jul-2026) — urea ticked back up to $555/t FOB Egypt in July 2026</w:t>
            </w:r>
          </w:p>
        </w:tc>
      </w:tr>
      <w:tr>
        <w:trPr>
          <w:cantSplit/>
          <w:cantSplit/>
        </w:trPr>
        <w:tc>
          <w:tcPr>
            <w:tcW w:type="dxa" w:w="1728"/>
          </w:tcPr>
          <w:p>
            <w:pPr>
              <w:spacing w:after="20"/>
            </w:pPr>
            <w:r>
              <w:rPr>
                <w:color w:val="1C3A36"/>
                <w:sz w:val="15"/>
              </w:rPr>
              <w:t>bm nh3 me fy24</w:t>
            </w:r>
          </w:p>
        </w:tc>
        <w:tc>
          <w:tcPr>
            <w:tcW w:type="dxa" w:w="1224"/>
          </w:tcPr>
          <w:p>
            <w:pPr>
              <w:spacing w:after="20"/>
            </w:pPr>
            <w:r>
              <w:rPr>
                <w:color w:val="1C3A36"/>
                <w:sz w:val="15"/>
              </w:rPr>
              <w:t>$349 per tonne</w:t>
            </w:r>
          </w:p>
        </w:tc>
        <w:tc>
          <w:tcPr>
            <w:tcW w:type="dxa" w:w="1080"/>
          </w:tcPr>
          <w:p>
            <w:pPr>
              <w:spacing w:after="20"/>
            </w:pPr>
            <w:r>
              <w:rPr>
                <w:color w:val="1C3A36"/>
                <w:sz w:val="15"/>
              </w:rPr>
              <w:t>2024-12-31</w:t>
            </w:r>
          </w:p>
        </w:tc>
        <w:tc>
          <w:tcPr>
            <w:tcW w:type="dxa" w:w="6048"/>
          </w:tcPr>
          <w:p>
            <w:pPr>
              <w:spacing w:after="20"/>
            </w:pPr>
            <w:r>
              <w:rPr>
                <w:color w:val="1C3A36"/>
                <w:sz w:val="15"/>
              </w:rPr>
              <w:t>Fertiglobe Q4 2025 Results MD&amp;A Report (11-Feb-2026) — ammonia Middle East FOB</w:t>
            </w:r>
          </w:p>
        </w:tc>
      </w:tr>
      <w:tr>
        <w:trPr>
          <w:cantSplit/>
          <w:cantSplit/>
        </w:trPr>
        <w:tc>
          <w:tcPr>
            <w:tcW w:type="dxa" w:w="1728"/>
          </w:tcPr>
          <w:p>
            <w:pPr>
              <w:spacing w:after="20"/>
            </w:pPr>
            <w:r>
              <w:rPr>
                <w:color w:val="1C3A36"/>
                <w:sz w:val="15"/>
              </w:rPr>
              <w:t>bm nh3 me fy25</w:t>
            </w:r>
          </w:p>
        </w:tc>
        <w:tc>
          <w:tcPr>
            <w:tcW w:type="dxa" w:w="1224"/>
          </w:tcPr>
          <w:p>
            <w:pPr>
              <w:spacing w:after="20"/>
            </w:pPr>
            <w:r>
              <w:rPr>
                <w:color w:val="1C3A36"/>
                <w:sz w:val="15"/>
              </w:rPr>
              <w:t>$343 per tonne</w:t>
            </w:r>
          </w:p>
        </w:tc>
        <w:tc>
          <w:tcPr>
            <w:tcW w:type="dxa" w:w="1080"/>
          </w:tcPr>
          <w:p>
            <w:pPr>
              <w:spacing w:after="20"/>
            </w:pPr>
            <w:r>
              <w:rPr>
                <w:color w:val="1C3A36"/>
                <w:sz w:val="15"/>
              </w:rPr>
              <w:t>2025-12-31</w:t>
            </w:r>
          </w:p>
        </w:tc>
        <w:tc>
          <w:tcPr>
            <w:tcW w:type="dxa" w:w="6048"/>
          </w:tcPr>
          <w:p>
            <w:pPr>
              <w:spacing w:after="20"/>
            </w:pPr>
            <w:r>
              <w:rPr>
                <w:color w:val="1C3A36"/>
                <w:sz w:val="15"/>
              </w:rPr>
              <w:t>Fertiglobe Q4 2025 Results MD&amp;A Report (11-Feb-2026)</w:t>
            </w:r>
          </w:p>
        </w:tc>
      </w:tr>
      <w:tr>
        <w:trPr>
          <w:cantSplit/>
          <w:cantSplit/>
        </w:trPr>
        <w:tc>
          <w:tcPr>
            <w:tcW w:type="dxa" w:w="1728"/>
          </w:tcPr>
          <w:p>
            <w:pPr>
              <w:spacing w:after="20"/>
            </w:pPr>
            <w:r>
              <w:rPr>
                <w:color w:val="1C3A36"/>
                <w:sz w:val="15"/>
              </w:rPr>
              <w:t>bm nh3 me h1 26</w:t>
            </w:r>
          </w:p>
        </w:tc>
        <w:tc>
          <w:tcPr>
            <w:tcW w:type="dxa" w:w="1224"/>
          </w:tcPr>
          <w:p>
            <w:pPr>
              <w:spacing w:after="20"/>
            </w:pPr>
            <w:r>
              <w:rPr>
                <w:color w:val="1C3A36"/>
                <w:sz w:val="15"/>
              </w:rPr>
              <w:t>$594 per tonne</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urea demand growth 2030</w:t>
            </w:r>
          </w:p>
        </w:tc>
        <w:tc>
          <w:tcPr>
            <w:tcW w:type="dxa" w:w="1224"/>
          </w:tcPr>
          <w:p>
            <w:pPr>
              <w:spacing w:after="20"/>
            </w:pPr>
            <w:r>
              <w:rPr>
                <w:color w:val="1C3A36"/>
                <w:sz w:val="15"/>
              </w:rPr>
              <w:t>11.4 Mt</w:t>
            </w:r>
          </w:p>
        </w:tc>
        <w:tc>
          <w:tcPr>
            <w:tcW w:type="dxa" w:w="1080"/>
          </w:tcPr>
          <w:p>
            <w:pPr>
              <w:spacing w:after="20"/>
            </w:pPr>
            <w:r>
              <w:rPr>
                <w:color w:val="1C3A36"/>
                <w:sz w:val="15"/>
              </w:rPr>
              <w:t>2026-07-28</w:t>
            </w:r>
          </w:p>
        </w:tc>
        <w:tc>
          <w:tcPr>
            <w:tcW w:type="dxa" w:w="6048"/>
          </w:tcPr>
          <w:p>
            <w:pPr>
              <w:spacing w:after="20"/>
            </w:pPr>
            <w:r>
              <w:rPr>
                <w:color w:val="1C3A36"/>
                <w:sz w:val="15"/>
              </w:rPr>
              <w:t>Fertiglobe Q2 2026 Investor Presentation (28-Jul-2026) — global urea demand growth ex-China of ~11.4 million tons expected by 2030</w:t>
            </w:r>
          </w:p>
        </w:tc>
      </w:tr>
      <w:tr>
        <w:trPr>
          <w:cantSplit/>
          <w:cantSplit/>
        </w:trPr>
        <w:tc>
          <w:tcPr>
            <w:tcW w:type="dxa" w:w="1728"/>
          </w:tcPr>
          <w:p>
            <w:pPr>
              <w:spacing w:after="20"/>
            </w:pPr>
            <w:r>
              <w:rPr>
                <w:color w:val="1C3A36"/>
                <w:sz w:val="15"/>
              </w:rPr>
              <w:t>urea capacity adds 2030</w:t>
            </w:r>
          </w:p>
        </w:tc>
        <w:tc>
          <w:tcPr>
            <w:tcW w:type="dxa" w:w="1224"/>
          </w:tcPr>
          <w:p>
            <w:pPr>
              <w:spacing w:after="20"/>
            </w:pPr>
            <w:r>
              <w:rPr>
                <w:color w:val="1C3A36"/>
                <w:sz w:val="15"/>
              </w:rPr>
              <w:t>9.1 Mt</w:t>
            </w:r>
          </w:p>
        </w:tc>
        <w:tc>
          <w:tcPr>
            <w:tcW w:type="dxa" w:w="1080"/>
          </w:tcPr>
          <w:p>
            <w:pPr>
              <w:spacing w:after="20"/>
            </w:pPr>
            <w:r>
              <w:rPr>
                <w:color w:val="1C3A36"/>
                <w:sz w:val="15"/>
              </w:rPr>
              <w:t>2026-07-28</w:t>
            </w:r>
          </w:p>
        </w:tc>
        <w:tc>
          <w:tcPr>
            <w:tcW w:type="dxa" w:w="6048"/>
          </w:tcPr>
          <w:p>
            <w:pPr>
              <w:spacing w:after="20"/>
            </w:pPr>
            <w:r>
              <w:rPr>
                <w:color w:val="1C3A36"/>
                <w:sz w:val="15"/>
              </w:rPr>
              <w:t>Fertiglobe Q2 2026 Investor Presentation (28-Jul-2026) — expected capacity additions of ~9.1 million tons by 2030</w:t>
            </w:r>
          </w:p>
        </w:tc>
      </w:tr>
      <w:tr>
        <w:trPr>
          <w:cantSplit/>
          <w:cantSplit/>
        </w:trPr>
        <w:tc>
          <w:tcPr>
            <w:tcW w:type="dxa" w:w="1728"/>
          </w:tcPr>
          <w:p>
            <w:pPr>
              <w:spacing w:after="20"/>
            </w:pPr>
            <w:r>
              <w:rPr>
                <w:color w:val="1C3A36"/>
                <w:sz w:val="15"/>
              </w:rPr>
              <w:t>eu tariff russia jul26</w:t>
            </w:r>
          </w:p>
        </w:tc>
        <w:tc>
          <w:tcPr>
            <w:tcW w:type="dxa" w:w="1224"/>
          </w:tcPr>
          <w:p>
            <w:pPr>
              <w:spacing w:after="20"/>
            </w:pPr>
            <w:r>
              <w:rPr>
                <w:color w:val="1C3A36"/>
                <w:sz w:val="15"/>
              </w:rPr>
              <w:t>EUR 60 per tonne</w:t>
            </w:r>
          </w:p>
        </w:tc>
        <w:tc>
          <w:tcPr>
            <w:tcW w:type="dxa" w:w="1080"/>
          </w:tcPr>
          <w:p>
            <w:pPr>
              <w:spacing w:after="20"/>
            </w:pPr>
            <w:r>
              <w:rPr>
                <w:color w:val="1C3A36"/>
                <w:sz w:val="15"/>
              </w:rPr>
              <w:t>2026-07-28</w:t>
            </w:r>
          </w:p>
        </w:tc>
        <w:tc>
          <w:tcPr>
            <w:tcW w:type="dxa" w:w="6048"/>
          </w:tcPr>
          <w:p>
            <w:pPr>
              <w:spacing w:after="20"/>
            </w:pPr>
            <w:r>
              <w:rPr>
                <w:color w:val="1C3A36"/>
                <w:sz w:val="15"/>
              </w:rPr>
              <w:t>Fertiglobe Q2 2026 Results MD&amp;A Report (28-Jul-2026) — EU tariffs on Russian and Belarusian urea rose to EUR 60/t in July 2026, rising annually to EUR 315/t in 2028</w:t>
            </w:r>
          </w:p>
        </w:tc>
      </w:tr>
    </w:tbl>
    <w:p>
      <w:pPr>
        <w:spacing w:after="40"/>
      </w:pPr>
    </w:p>
    <w:p>
      <w:pPr>
        <w:spacing w:after="80" w:before="200"/>
      </w:pPr>
      <w:r>
        <w:rPr>
          <w:b/>
          <w:i w:val="0"/>
          <w:color w:val="1C3A36"/>
          <w:sz w:val="24"/>
        </w:rPr>
        <w:t>Company — filed financial statements — 154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1224"/>
        <w:gridCol w:w="1080"/>
        <w:gridCol w:w="6048"/>
      </w:tblGrid>
      <w:tr>
        <w:trPr>
          <w:cantSplit/>
          <w:tblHeader/>
          <w:cantSplit/>
          <w:tblHeader/>
        </w:trPr>
        <w:tc>
          <w:tcPr>
            <w:tcW w:type="dxa" w:w="1728"/>
            <w:shd w:val="clear" w:color="auto" w:fill="EAF0EE"/>
          </w:tcPr>
          <w:p>
            <w:pPr>
              <w:spacing w:after="20"/>
            </w:pPr>
            <w:r>
              <w:rPr>
                <w:b/>
                <w:color w:val="1C3A36"/>
                <w:sz w:val="15"/>
              </w:rPr>
              <w:t>Input</w:t>
            </w:r>
          </w:p>
        </w:tc>
        <w:tc>
          <w:tcPr>
            <w:tcW w:type="dxa" w:w="1224"/>
            <w:shd w:val="clear" w:color="auto" w:fill="EAF0EE"/>
          </w:tcPr>
          <w:p>
            <w:pPr>
              <w:spacing w:after="20"/>
            </w:pPr>
            <w:r>
              <w:rPr>
                <w:b/>
                <w:color w:val="1C3A36"/>
                <w:sz w:val="15"/>
              </w:rPr>
              <w:t>Value</w:t>
            </w:r>
          </w:p>
        </w:tc>
        <w:tc>
          <w:tcPr>
            <w:tcW w:type="dxa" w:w="1080"/>
            <w:shd w:val="clear" w:color="auto" w:fill="EAF0EE"/>
          </w:tcPr>
          <w:p>
            <w:pPr>
              <w:spacing w:after="20"/>
            </w:pPr>
            <w:r>
              <w:rPr>
                <w:b/>
                <w:color w:val="1C3A36"/>
                <w:sz w:val="15"/>
              </w:rPr>
              <w:t>Date</w:t>
            </w:r>
          </w:p>
        </w:tc>
        <w:tc>
          <w:tcPr>
            <w:tcW w:type="dxa" w:w="6048"/>
            <w:shd w:val="clear" w:color="auto" w:fill="EAF0EE"/>
          </w:tcPr>
          <w:p>
            <w:pPr>
              <w:spacing w:after="20"/>
            </w:pPr>
            <w:r>
              <w:rPr>
                <w:b/>
                <w:color w:val="1C3A36"/>
                <w:sz w:val="15"/>
              </w:rPr>
              <w:t>Source and construction</w:t>
            </w:r>
          </w:p>
        </w:tc>
      </w:tr>
      <w:tr>
        <w:trPr>
          <w:cantSplit/>
          <w:cantSplit/>
        </w:trPr>
        <w:tc>
          <w:tcPr>
            <w:tcW w:type="dxa" w:w="1728"/>
          </w:tcPr>
          <w:p>
            <w:pPr>
              <w:spacing w:after="20"/>
            </w:pPr>
            <w:r>
              <w:rPr>
                <w:color w:val="1C3A36"/>
                <w:sz w:val="15"/>
              </w:rPr>
              <w:t>shares mn</w:t>
            </w:r>
          </w:p>
        </w:tc>
        <w:tc>
          <w:tcPr>
            <w:tcW w:type="dxa" w:w="1224"/>
          </w:tcPr>
          <w:p>
            <w:pPr>
              <w:spacing w:after="20"/>
            </w:pPr>
            <w:r>
              <w:rPr>
                <w:color w:val="1C3A36"/>
                <w:sz w:val="15"/>
              </w:rPr>
              <w:t>8,249.6m shares</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note 24 — ordinary shares outstanding at 31-Dec-2025</w:t>
            </w:r>
          </w:p>
        </w:tc>
      </w:tr>
      <w:tr>
        <w:trPr>
          <w:cantSplit/>
          <w:cantSplit/>
        </w:trPr>
        <w:tc>
          <w:tcPr>
            <w:tcW w:type="dxa" w:w="1728"/>
          </w:tcPr>
          <w:p>
            <w:pPr>
              <w:spacing w:after="20"/>
            </w:pPr>
            <w:r>
              <w:rPr>
                <w:color w:val="1C3A36"/>
                <w:sz w:val="15"/>
              </w:rPr>
              <w:t>rev fy22</w:t>
            </w:r>
          </w:p>
        </w:tc>
        <w:tc>
          <w:tcPr>
            <w:tcW w:type="dxa" w:w="1224"/>
          </w:tcPr>
          <w:p>
            <w:pPr>
              <w:spacing w:after="20"/>
            </w:pPr>
            <w:r>
              <w:rPr>
                <w:color w:val="1C3A36"/>
                <w:sz w:val="15"/>
              </w:rPr>
              <w:t>$5,027.5m</w:t>
            </w:r>
          </w:p>
        </w:tc>
        <w:tc>
          <w:tcPr>
            <w:tcW w:type="dxa" w:w="1080"/>
          </w:tcPr>
          <w:p>
            <w:pPr>
              <w:spacing w:after="20"/>
            </w:pPr>
            <w:r>
              <w:rPr>
                <w:color w:val="1C3A36"/>
                <w:sz w:val="15"/>
              </w:rPr>
              <w:t>2022-12-31</w:t>
            </w:r>
          </w:p>
        </w:tc>
        <w:tc>
          <w:tcPr>
            <w:tcW w:type="dxa" w:w="6048"/>
          </w:tcPr>
          <w:p>
            <w:pPr>
              <w:spacing w:after="20"/>
            </w:pPr>
            <w:r>
              <w:rPr>
                <w:color w:val="1C3A36"/>
                <w:sz w:val="15"/>
              </w:rPr>
              <w:t>Fertiglobe plc, Consolidated Financial Statements FY2023 (signed) (FY2022 comparative)</w:t>
            </w:r>
          </w:p>
        </w:tc>
      </w:tr>
      <w:tr>
        <w:trPr>
          <w:cantSplit/>
          <w:cantSplit/>
        </w:trPr>
        <w:tc>
          <w:tcPr>
            <w:tcW w:type="dxa" w:w="1728"/>
          </w:tcPr>
          <w:p>
            <w:pPr>
              <w:spacing w:after="20"/>
            </w:pPr>
            <w:r>
              <w:rPr>
                <w:color w:val="1C3A36"/>
                <w:sz w:val="15"/>
              </w:rPr>
              <w:t>rev fy23</w:t>
            </w:r>
          </w:p>
        </w:tc>
        <w:tc>
          <w:tcPr>
            <w:tcW w:type="dxa" w:w="1224"/>
          </w:tcPr>
          <w:p>
            <w:pPr>
              <w:spacing w:after="20"/>
            </w:pPr>
            <w:r>
              <w:rPr>
                <w:color w:val="1C3A36"/>
                <w:sz w:val="15"/>
              </w:rPr>
              <w:t>$2,416.2m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rev fy24</w:t>
            </w:r>
          </w:p>
        </w:tc>
        <w:tc>
          <w:tcPr>
            <w:tcW w:type="dxa" w:w="1224"/>
          </w:tcPr>
          <w:p>
            <w:pPr>
              <w:spacing w:after="20"/>
            </w:pPr>
            <w:r>
              <w:rPr>
                <w:color w:val="1C3A36"/>
                <w:sz w:val="15"/>
              </w:rPr>
              <w:t>$2,009.2m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w:t>
            </w:r>
          </w:p>
        </w:tc>
      </w:tr>
      <w:tr>
        <w:trPr>
          <w:cantSplit/>
          <w:cantSplit/>
        </w:trPr>
        <w:tc>
          <w:tcPr>
            <w:tcW w:type="dxa" w:w="1728"/>
          </w:tcPr>
          <w:p>
            <w:pPr>
              <w:spacing w:after="20"/>
            </w:pPr>
            <w:r>
              <w:rPr>
                <w:color w:val="1C3A36"/>
                <w:sz w:val="15"/>
              </w:rPr>
              <w:t>rev fy25</w:t>
            </w:r>
          </w:p>
        </w:tc>
        <w:tc>
          <w:tcPr>
            <w:tcW w:type="dxa" w:w="1224"/>
          </w:tcPr>
          <w:p>
            <w:pPr>
              <w:spacing w:after="20"/>
            </w:pPr>
            <w:r>
              <w:rPr>
                <w:color w:val="1C3A36"/>
                <w:sz w:val="15"/>
              </w:rPr>
              <w:t>$2,827.4m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cogs fy22</w:t>
            </w:r>
          </w:p>
        </w:tc>
        <w:tc>
          <w:tcPr>
            <w:tcW w:type="dxa" w:w="1224"/>
          </w:tcPr>
          <w:p>
            <w:pPr>
              <w:spacing w:after="20"/>
            </w:pPr>
            <w:r>
              <w:rPr>
                <w:color w:val="1C3A36"/>
                <w:sz w:val="15"/>
              </w:rPr>
              <w:t>$2,675.4m</w:t>
            </w:r>
          </w:p>
        </w:tc>
        <w:tc>
          <w:tcPr>
            <w:tcW w:type="dxa" w:w="1080"/>
          </w:tcPr>
          <w:p>
            <w:pPr>
              <w:spacing w:after="20"/>
            </w:pPr>
            <w:r>
              <w:rPr>
                <w:color w:val="1C3A36"/>
                <w:sz w:val="15"/>
              </w:rPr>
              <w:t>2022-12-31</w:t>
            </w:r>
          </w:p>
        </w:tc>
        <w:tc>
          <w:tcPr>
            <w:tcW w:type="dxa" w:w="6048"/>
          </w:tcPr>
          <w:p>
            <w:pPr>
              <w:spacing w:after="20"/>
            </w:pPr>
            <w:r>
              <w:rPr>
                <w:color w:val="1C3A36"/>
                <w:sz w:val="15"/>
              </w:rPr>
              <w:t>Fertiglobe plc, Consolidated Financial Statements FY2023 (signed) (FY2022 comparative)</w:t>
            </w:r>
          </w:p>
        </w:tc>
      </w:tr>
      <w:tr>
        <w:trPr>
          <w:cantSplit/>
          <w:cantSplit/>
        </w:trPr>
        <w:tc>
          <w:tcPr>
            <w:tcW w:type="dxa" w:w="1728"/>
          </w:tcPr>
          <w:p>
            <w:pPr>
              <w:spacing w:after="20"/>
            </w:pPr>
            <w:r>
              <w:rPr>
                <w:color w:val="1C3A36"/>
                <w:sz w:val="15"/>
              </w:rPr>
              <w:t>cogs fy23</w:t>
            </w:r>
          </w:p>
        </w:tc>
        <w:tc>
          <w:tcPr>
            <w:tcW w:type="dxa" w:w="1224"/>
          </w:tcPr>
          <w:p>
            <w:pPr>
              <w:spacing w:after="20"/>
            </w:pPr>
            <w:r>
              <w:rPr>
                <w:color w:val="1C3A36"/>
                <w:sz w:val="15"/>
              </w:rPr>
              <w:t>$1,564.2m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cogs fy24</w:t>
            </w:r>
          </w:p>
        </w:tc>
        <w:tc>
          <w:tcPr>
            <w:tcW w:type="dxa" w:w="1224"/>
          </w:tcPr>
          <w:p>
            <w:pPr>
              <w:spacing w:after="20"/>
            </w:pPr>
            <w:r>
              <w:rPr>
                <w:color w:val="1C3A36"/>
                <w:sz w:val="15"/>
              </w:rPr>
              <w:t>$1,512.9m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w:t>
            </w:r>
          </w:p>
        </w:tc>
      </w:tr>
      <w:tr>
        <w:trPr>
          <w:cantSplit/>
          <w:cantSplit/>
        </w:trPr>
        <w:tc>
          <w:tcPr>
            <w:tcW w:type="dxa" w:w="1728"/>
          </w:tcPr>
          <w:p>
            <w:pPr>
              <w:spacing w:after="20"/>
            </w:pPr>
            <w:r>
              <w:rPr>
                <w:color w:val="1C3A36"/>
                <w:sz w:val="15"/>
              </w:rPr>
              <w:t>cogs fy25</w:t>
            </w:r>
          </w:p>
        </w:tc>
        <w:tc>
          <w:tcPr>
            <w:tcW w:type="dxa" w:w="1224"/>
          </w:tcPr>
          <w:p>
            <w:pPr>
              <w:spacing w:after="20"/>
            </w:pPr>
            <w:r>
              <w:rPr>
                <w:color w:val="1C3A36"/>
                <w:sz w:val="15"/>
              </w:rPr>
              <w:t>$1,942.0m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sga fy22</w:t>
            </w:r>
          </w:p>
        </w:tc>
        <w:tc>
          <w:tcPr>
            <w:tcW w:type="dxa" w:w="1224"/>
          </w:tcPr>
          <w:p>
            <w:pPr>
              <w:spacing w:after="20"/>
            </w:pPr>
            <w:r>
              <w:rPr>
                <w:color w:val="1C3A36"/>
                <w:sz w:val="15"/>
              </w:rPr>
              <w:t>$168.8m</w:t>
            </w:r>
          </w:p>
        </w:tc>
        <w:tc>
          <w:tcPr>
            <w:tcW w:type="dxa" w:w="1080"/>
          </w:tcPr>
          <w:p>
            <w:pPr>
              <w:spacing w:after="20"/>
            </w:pPr>
            <w:r>
              <w:rPr>
                <w:color w:val="1C3A36"/>
                <w:sz w:val="15"/>
              </w:rPr>
              <w:t>2022-12-31</w:t>
            </w:r>
          </w:p>
        </w:tc>
        <w:tc>
          <w:tcPr>
            <w:tcW w:type="dxa" w:w="6048"/>
          </w:tcPr>
          <w:p>
            <w:pPr>
              <w:spacing w:after="20"/>
            </w:pPr>
            <w:r>
              <w:rPr>
                <w:color w:val="1C3A36"/>
                <w:sz w:val="15"/>
              </w:rPr>
              <w:t>Fertiglobe plc, Consolidated Financial Statements FY2023 (signed) (FY2022 comparative)</w:t>
            </w:r>
          </w:p>
        </w:tc>
      </w:tr>
      <w:tr>
        <w:trPr>
          <w:cantSplit/>
          <w:cantSplit/>
        </w:trPr>
        <w:tc>
          <w:tcPr>
            <w:tcW w:type="dxa" w:w="1728"/>
          </w:tcPr>
          <w:p>
            <w:pPr>
              <w:spacing w:after="20"/>
            </w:pPr>
            <w:r>
              <w:rPr>
                <w:color w:val="1C3A36"/>
                <w:sz w:val="15"/>
              </w:rPr>
              <w:t>sga fy23</w:t>
            </w:r>
          </w:p>
        </w:tc>
        <w:tc>
          <w:tcPr>
            <w:tcW w:type="dxa" w:w="1224"/>
          </w:tcPr>
          <w:p>
            <w:pPr>
              <w:spacing w:after="20"/>
            </w:pPr>
            <w:r>
              <w:rPr>
                <w:color w:val="1C3A36"/>
                <w:sz w:val="15"/>
              </w:rPr>
              <w:t>$144.5m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sga fy24</w:t>
            </w:r>
          </w:p>
        </w:tc>
        <w:tc>
          <w:tcPr>
            <w:tcW w:type="dxa" w:w="1224"/>
          </w:tcPr>
          <w:p>
            <w:pPr>
              <w:spacing w:after="20"/>
            </w:pPr>
            <w:r>
              <w:rPr>
                <w:color w:val="1C3A36"/>
                <w:sz w:val="15"/>
              </w:rPr>
              <w:t>$150.2m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w:t>
            </w:r>
          </w:p>
        </w:tc>
      </w:tr>
      <w:tr>
        <w:trPr>
          <w:cantSplit/>
          <w:cantSplit/>
        </w:trPr>
        <w:tc>
          <w:tcPr>
            <w:tcW w:type="dxa" w:w="1728"/>
          </w:tcPr>
          <w:p>
            <w:pPr>
              <w:spacing w:after="20"/>
            </w:pPr>
            <w:r>
              <w:rPr>
                <w:color w:val="1C3A36"/>
                <w:sz w:val="15"/>
              </w:rPr>
              <w:t>sga fy25</w:t>
            </w:r>
          </w:p>
        </w:tc>
        <w:tc>
          <w:tcPr>
            <w:tcW w:type="dxa" w:w="1224"/>
          </w:tcPr>
          <w:p>
            <w:pPr>
              <w:spacing w:after="20"/>
            </w:pPr>
            <w:r>
              <w:rPr>
                <w:color w:val="1C3A36"/>
                <w:sz w:val="15"/>
              </w:rPr>
              <w:t>$158.1m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othinc fy23</w:t>
            </w:r>
          </w:p>
        </w:tc>
        <w:tc>
          <w:tcPr>
            <w:tcW w:type="dxa" w:w="1224"/>
          </w:tcPr>
          <w:p>
            <w:pPr>
              <w:spacing w:after="20"/>
            </w:pPr>
            <w:r>
              <w:rPr>
                <w:color w:val="1C3A36"/>
                <w:sz w:val="15"/>
              </w:rPr>
              <w:t>$2.6m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 — other income 3.3 less other expenses 0.7</w:t>
            </w:r>
          </w:p>
        </w:tc>
      </w:tr>
      <w:tr>
        <w:trPr>
          <w:cantSplit/>
          <w:cantSplit/>
        </w:trPr>
        <w:tc>
          <w:tcPr>
            <w:tcW w:type="dxa" w:w="1728"/>
          </w:tcPr>
          <w:p>
            <w:pPr>
              <w:spacing w:after="20"/>
            </w:pPr>
            <w:r>
              <w:rPr>
                <w:color w:val="1C3A36"/>
                <w:sz w:val="15"/>
              </w:rPr>
              <w:t>othinc fy24</w:t>
            </w:r>
          </w:p>
        </w:tc>
        <w:tc>
          <w:tcPr>
            <w:tcW w:type="dxa" w:w="1224"/>
          </w:tcPr>
          <w:p>
            <w:pPr>
              <w:spacing w:after="20"/>
            </w:pPr>
            <w:r>
              <w:rPr>
                <w:color w:val="1C3A36"/>
                <w:sz w:val="15"/>
              </w:rPr>
              <w:t>$3.0m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w:t>
            </w:r>
          </w:p>
        </w:tc>
      </w:tr>
      <w:tr>
        <w:trPr>
          <w:cantSplit/>
          <w:cantSplit/>
        </w:trPr>
        <w:tc>
          <w:tcPr>
            <w:tcW w:type="dxa" w:w="1728"/>
          </w:tcPr>
          <w:p>
            <w:pPr>
              <w:spacing w:after="20"/>
            </w:pPr>
            <w:r>
              <w:rPr>
                <w:color w:val="1C3A36"/>
                <w:sz w:val="15"/>
              </w:rPr>
              <w:t>othinc fy25</w:t>
            </w:r>
          </w:p>
        </w:tc>
        <w:tc>
          <w:tcPr>
            <w:tcW w:type="dxa" w:w="1224"/>
          </w:tcPr>
          <w:p>
            <w:pPr>
              <w:spacing w:after="20"/>
            </w:pPr>
            <w:r>
              <w:rPr>
                <w:color w:val="1C3A36"/>
                <w:sz w:val="15"/>
              </w:rPr>
              <w:t>$0.0m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dna fy22</w:t>
            </w:r>
          </w:p>
        </w:tc>
        <w:tc>
          <w:tcPr>
            <w:tcW w:type="dxa" w:w="1224"/>
          </w:tcPr>
          <w:p>
            <w:pPr>
              <w:spacing w:after="20"/>
            </w:pPr>
            <w:r>
              <w:rPr>
                <w:color w:val="1C3A36"/>
                <w:sz w:val="15"/>
              </w:rPr>
              <w:t>$266.3m</w:t>
            </w:r>
          </w:p>
        </w:tc>
        <w:tc>
          <w:tcPr>
            <w:tcW w:type="dxa" w:w="1080"/>
          </w:tcPr>
          <w:p>
            <w:pPr>
              <w:spacing w:after="20"/>
            </w:pPr>
            <w:r>
              <w:rPr>
                <w:color w:val="1C3A36"/>
                <w:sz w:val="15"/>
              </w:rPr>
              <w:t>2022-12-31</w:t>
            </w:r>
          </w:p>
        </w:tc>
        <w:tc>
          <w:tcPr>
            <w:tcW w:type="dxa" w:w="6048"/>
          </w:tcPr>
          <w:p>
            <w:pPr>
              <w:spacing w:after="20"/>
            </w:pPr>
            <w:r>
              <w:rPr>
                <w:color w:val="1C3A36"/>
                <w:sz w:val="15"/>
              </w:rPr>
              <w:t>Fertiglobe plc, Consolidated Financial Statements FY2023 (signed) (FY2022 comparative), cash-flow statement</w:t>
            </w:r>
          </w:p>
        </w:tc>
      </w:tr>
      <w:tr>
        <w:trPr>
          <w:cantSplit/>
          <w:cantSplit/>
        </w:trPr>
        <w:tc>
          <w:tcPr>
            <w:tcW w:type="dxa" w:w="1728"/>
          </w:tcPr>
          <w:p>
            <w:pPr>
              <w:spacing w:after="20"/>
            </w:pPr>
            <w:r>
              <w:rPr>
                <w:color w:val="1C3A36"/>
                <w:sz w:val="15"/>
              </w:rPr>
              <w:t>dna fy23</w:t>
            </w:r>
          </w:p>
        </w:tc>
        <w:tc>
          <w:tcPr>
            <w:tcW w:type="dxa" w:w="1224"/>
          </w:tcPr>
          <w:p>
            <w:pPr>
              <w:spacing w:after="20"/>
            </w:pPr>
            <w:r>
              <w:rPr>
                <w:color w:val="1C3A36"/>
                <w:sz w:val="15"/>
              </w:rPr>
              <w:t>$279.3m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 cash-flow statement</w:t>
            </w:r>
          </w:p>
        </w:tc>
      </w:tr>
      <w:tr>
        <w:trPr>
          <w:cantSplit/>
          <w:cantSplit/>
        </w:trPr>
        <w:tc>
          <w:tcPr>
            <w:tcW w:type="dxa" w:w="1728"/>
          </w:tcPr>
          <w:p>
            <w:pPr>
              <w:spacing w:after="20"/>
            </w:pPr>
            <w:r>
              <w:rPr>
                <w:color w:val="1C3A36"/>
                <w:sz w:val="15"/>
              </w:rPr>
              <w:t>dna fy24</w:t>
            </w:r>
          </w:p>
        </w:tc>
        <w:tc>
          <w:tcPr>
            <w:tcW w:type="dxa" w:w="1224"/>
          </w:tcPr>
          <w:p>
            <w:pPr>
              <w:spacing w:after="20"/>
            </w:pPr>
            <w:r>
              <w:rPr>
                <w:color w:val="1C3A36"/>
                <w:sz w:val="15"/>
              </w:rPr>
              <w:t>$279.5m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 cash-flow statement</w:t>
            </w:r>
          </w:p>
        </w:tc>
      </w:tr>
      <w:tr>
        <w:trPr>
          <w:cantSplit/>
          <w:cantSplit/>
        </w:trPr>
        <w:tc>
          <w:tcPr>
            <w:tcW w:type="dxa" w:w="1728"/>
          </w:tcPr>
          <w:p>
            <w:pPr>
              <w:spacing w:after="20"/>
            </w:pPr>
            <w:r>
              <w:rPr>
                <w:color w:val="1C3A36"/>
                <w:sz w:val="15"/>
              </w:rPr>
              <w:t>dna fy25</w:t>
            </w:r>
          </w:p>
        </w:tc>
        <w:tc>
          <w:tcPr>
            <w:tcW w:type="dxa" w:w="1224"/>
          </w:tcPr>
          <w:p>
            <w:pPr>
              <w:spacing w:after="20"/>
            </w:pPr>
            <w:r>
              <w:rPr>
                <w:color w:val="1C3A36"/>
                <w:sz w:val="15"/>
              </w:rPr>
              <w:t>$297.6m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cash-flow statement</w:t>
            </w:r>
          </w:p>
        </w:tc>
      </w:tr>
      <w:tr>
        <w:trPr>
          <w:cantSplit/>
          <w:cantSplit/>
        </w:trPr>
        <w:tc>
          <w:tcPr>
            <w:tcW w:type="dxa" w:w="1728"/>
          </w:tcPr>
          <w:p>
            <w:pPr>
              <w:spacing w:after="20"/>
            </w:pPr>
            <w:r>
              <w:rPr>
                <w:color w:val="1C3A36"/>
                <w:sz w:val="15"/>
              </w:rPr>
              <w:t>finc fy23</w:t>
            </w:r>
          </w:p>
        </w:tc>
        <w:tc>
          <w:tcPr>
            <w:tcW w:type="dxa" w:w="1224"/>
          </w:tcPr>
          <w:p>
            <w:pPr>
              <w:spacing w:after="20"/>
            </w:pPr>
            <w:r>
              <w:rPr>
                <w:color w:val="1C3A36"/>
                <w:sz w:val="15"/>
              </w:rPr>
              <w:t>$16.3m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finc fy24</w:t>
            </w:r>
          </w:p>
        </w:tc>
        <w:tc>
          <w:tcPr>
            <w:tcW w:type="dxa" w:w="1224"/>
          </w:tcPr>
          <w:p>
            <w:pPr>
              <w:spacing w:after="20"/>
            </w:pPr>
            <w:r>
              <w:rPr>
                <w:color w:val="1C3A36"/>
                <w:sz w:val="15"/>
              </w:rPr>
              <w:t>$17.1m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w:t>
            </w:r>
          </w:p>
        </w:tc>
      </w:tr>
      <w:tr>
        <w:trPr>
          <w:cantSplit/>
          <w:cantSplit/>
        </w:trPr>
        <w:tc>
          <w:tcPr>
            <w:tcW w:type="dxa" w:w="1728"/>
          </w:tcPr>
          <w:p>
            <w:pPr>
              <w:spacing w:after="20"/>
            </w:pPr>
            <w:r>
              <w:rPr>
                <w:color w:val="1C3A36"/>
                <w:sz w:val="15"/>
              </w:rPr>
              <w:t>finc fy25</w:t>
            </w:r>
          </w:p>
        </w:tc>
        <w:tc>
          <w:tcPr>
            <w:tcW w:type="dxa" w:w="1224"/>
          </w:tcPr>
          <w:p>
            <w:pPr>
              <w:spacing w:after="20"/>
            </w:pPr>
            <w:r>
              <w:rPr>
                <w:color w:val="1C3A36"/>
                <w:sz w:val="15"/>
              </w:rPr>
              <w:t>$13.6m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borrow open fy24</w:t>
            </w:r>
          </w:p>
        </w:tc>
        <w:tc>
          <w:tcPr>
            <w:tcW w:type="dxa" w:w="1224"/>
          </w:tcPr>
          <w:p>
            <w:pPr>
              <w:spacing w:after="20"/>
            </w:pPr>
            <w:r>
              <w:rPr>
                <w:color w:val="1C3A36"/>
                <w:sz w:val="15"/>
              </w:rPr>
              <w:t>$1,665.1m</w:t>
            </w:r>
          </w:p>
        </w:tc>
        <w:tc>
          <w:tcPr>
            <w:tcW w:type="dxa" w:w="1080"/>
          </w:tcPr>
          <w:p>
            <w:pPr>
              <w:spacing w:after="20"/>
            </w:pPr>
            <w:r>
              <w:rPr>
                <w:color w:val="1C3A36"/>
                <w:sz w:val="15"/>
              </w:rPr>
              <w:t>2024-01-01</w:t>
            </w:r>
          </w:p>
        </w:tc>
        <w:tc>
          <w:tcPr>
            <w:tcW w:type="dxa" w:w="6048"/>
          </w:tcPr>
          <w:p>
            <w:pPr>
              <w:spacing w:after="20"/>
            </w:pPr>
            <w:r>
              <w:rPr>
                <w:color w:val="1C3A36"/>
                <w:sz w:val="15"/>
              </w:rPr>
              <w:t>Fertiglobe plc, Consolidated Financial Statements FY2025 (PwC-signed 4-Mar-2026) (FY2024 comparative), note 16 loans and borrowings — the balance at 1 January</w:t>
            </w:r>
          </w:p>
        </w:tc>
      </w:tr>
      <w:tr>
        <w:trPr>
          <w:cantSplit/>
          <w:cantSplit/>
        </w:trPr>
        <w:tc>
          <w:tcPr>
            <w:tcW w:type="dxa" w:w="1728"/>
          </w:tcPr>
          <w:p>
            <w:pPr>
              <w:spacing w:after="20"/>
            </w:pPr>
            <w:r>
              <w:rPr>
                <w:color w:val="1C3A36"/>
                <w:sz w:val="15"/>
              </w:rPr>
              <w:t>borrow open fy25</w:t>
            </w:r>
          </w:p>
        </w:tc>
        <w:tc>
          <w:tcPr>
            <w:tcW w:type="dxa" w:w="1224"/>
          </w:tcPr>
          <w:p>
            <w:pPr>
              <w:spacing w:after="20"/>
            </w:pPr>
            <w:r>
              <w:rPr>
                <w:color w:val="1C3A36"/>
                <w:sz w:val="15"/>
              </w:rPr>
              <w:t>$1,682.2m</w:t>
            </w:r>
          </w:p>
        </w:tc>
        <w:tc>
          <w:tcPr>
            <w:tcW w:type="dxa" w:w="1080"/>
          </w:tcPr>
          <w:p>
            <w:pPr>
              <w:spacing w:after="20"/>
            </w:pPr>
            <w:r>
              <w:rPr>
                <w:color w:val="1C3A36"/>
                <w:sz w:val="15"/>
              </w:rPr>
              <w:t>2025-01-01</w:t>
            </w:r>
          </w:p>
        </w:tc>
        <w:tc>
          <w:tcPr>
            <w:tcW w:type="dxa" w:w="6048"/>
          </w:tcPr>
          <w:p>
            <w:pPr>
              <w:spacing w:after="20"/>
            </w:pPr>
            <w:r>
              <w:rPr>
                <w:color w:val="1C3A36"/>
                <w:sz w:val="15"/>
              </w:rPr>
              <w:t>Fertiglobe plc, Consolidated Financial Statements FY2025 (PwC-signed 4-Mar-2026) — note 16 loans and borrowings, the balance at 1 January (and the FY2024 closing balance)</w:t>
            </w:r>
          </w:p>
        </w:tc>
      </w:tr>
      <w:tr>
        <w:trPr>
          <w:cantSplit/>
          <w:cantSplit/>
        </w:trPr>
        <w:tc>
          <w:tcPr>
            <w:tcW w:type="dxa" w:w="1728"/>
          </w:tcPr>
          <w:p>
            <w:pPr>
              <w:spacing w:after="20"/>
            </w:pPr>
            <w:r>
              <w:rPr>
                <w:color w:val="1C3A36"/>
                <w:sz w:val="15"/>
              </w:rPr>
              <w:t>borrow close fy25</w:t>
            </w:r>
          </w:p>
        </w:tc>
        <w:tc>
          <w:tcPr>
            <w:tcW w:type="dxa" w:w="1224"/>
          </w:tcPr>
          <w:p>
            <w:pPr>
              <w:spacing w:after="20"/>
            </w:pPr>
            <w:r>
              <w:rPr>
                <w:color w:val="1C3A36"/>
                <w:sz w:val="15"/>
              </w:rPr>
              <w:t>$1,740.6m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note 16 loans and borrowings, the balance at 31 December</w:t>
            </w:r>
          </w:p>
        </w:tc>
      </w:tr>
      <w:tr>
        <w:trPr>
          <w:cantSplit/>
          <w:cantSplit/>
        </w:trPr>
        <w:tc>
          <w:tcPr>
            <w:tcW w:type="dxa" w:w="1728"/>
          </w:tcPr>
          <w:p>
            <w:pPr>
              <w:spacing w:after="20"/>
            </w:pPr>
            <w:r>
              <w:rPr>
                <w:color w:val="1C3A36"/>
                <w:sz w:val="15"/>
              </w:rPr>
              <w:t>int on borrowings fy24</w:t>
            </w:r>
          </w:p>
        </w:tc>
        <w:tc>
          <w:tcPr>
            <w:tcW w:type="dxa" w:w="1224"/>
          </w:tcPr>
          <w:p>
            <w:pPr>
              <w:spacing w:after="20"/>
            </w:pPr>
            <w:r>
              <w:rPr>
                <w:color w:val="1C3A36"/>
                <w:sz w:val="15"/>
              </w:rPr>
              <w:t>$132.9m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 note 22 — interest expense and other financing costs on financial liabilities measured at amortized cost, EXCLUDING the related-party leg disclosed separately on the line below it</w:t>
            </w:r>
          </w:p>
        </w:tc>
      </w:tr>
      <w:tr>
        <w:trPr>
          <w:cantSplit/>
          <w:cantSplit/>
        </w:trPr>
        <w:tc>
          <w:tcPr>
            <w:tcW w:type="dxa" w:w="1728"/>
          </w:tcPr>
          <w:p>
            <w:pPr>
              <w:spacing w:after="20"/>
            </w:pPr>
            <w:r>
              <w:rPr>
                <w:color w:val="1C3A36"/>
                <w:sz w:val="15"/>
              </w:rPr>
              <w:t>int on borrowings fy25</w:t>
            </w:r>
          </w:p>
        </w:tc>
        <w:tc>
          <w:tcPr>
            <w:tcW w:type="dxa" w:w="1224"/>
          </w:tcPr>
          <w:p>
            <w:pPr>
              <w:spacing w:after="20"/>
            </w:pPr>
            <w:r>
              <w:rPr>
                <w:color w:val="1C3A36"/>
                <w:sz w:val="15"/>
              </w:rPr>
              <w:t>$103.7m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note 22, interest expense and other financing costs on financial liabilities measured at amortized cost, EXCLUDING the related-party leg disclosed separately on the line below it</w:t>
            </w:r>
          </w:p>
        </w:tc>
      </w:tr>
      <w:tr>
        <w:trPr>
          <w:cantSplit/>
          <w:cantSplit/>
        </w:trPr>
        <w:tc>
          <w:tcPr>
            <w:tcW w:type="dxa" w:w="1728"/>
          </w:tcPr>
          <w:p>
            <w:pPr>
              <w:spacing w:after="20"/>
            </w:pPr>
            <w:r>
              <w:rPr>
                <w:color w:val="1C3A36"/>
                <w:sz w:val="15"/>
              </w:rPr>
              <w:t>fcost fy23</w:t>
            </w:r>
          </w:p>
        </w:tc>
        <w:tc>
          <w:tcPr>
            <w:tcW w:type="dxa" w:w="1224"/>
          </w:tcPr>
          <w:p>
            <w:pPr>
              <w:spacing w:after="20"/>
            </w:pPr>
            <w:r>
              <w:rPr>
                <w:color w:val="1C3A36"/>
                <w:sz w:val="15"/>
              </w:rPr>
              <w:t>$119.4m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fcost fy24</w:t>
            </w:r>
          </w:p>
        </w:tc>
        <w:tc>
          <w:tcPr>
            <w:tcW w:type="dxa" w:w="1224"/>
          </w:tcPr>
          <w:p>
            <w:pPr>
              <w:spacing w:after="20"/>
            </w:pPr>
            <w:r>
              <w:rPr>
                <w:color w:val="1C3A36"/>
                <w:sz w:val="15"/>
              </w:rPr>
              <w:t>$135.6m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w:t>
            </w:r>
          </w:p>
        </w:tc>
      </w:tr>
      <w:tr>
        <w:trPr>
          <w:cantSplit/>
          <w:cantSplit/>
        </w:trPr>
        <w:tc>
          <w:tcPr>
            <w:tcW w:type="dxa" w:w="1728"/>
          </w:tcPr>
          <w:p>
            <w:pPr>
              <w:spacing w:after="20"/>
            </w:pPr>
            <w:r>
              <w:rPr>
                <w:color w:val="1C3A36"/>
                <w:sz w:val="15"/>
              </w:rPr>
              <w:t>fcost fy25</w:t>
            </w:r>
          </w:p>
        </w:tc>
        <w:tc>
          <w:tcPr>
            <w:tcW w:type="dxa" w:w="1224"/>
          </w:tcPr>
          <w:p>
            <w:pPr>
              <w:spacing w:after="20"/>
            </w:pPr>
            <w:r>
              <w:rPr>
                <w:color w:val="1C3A36"/>
                <w:sz w:val="15"/>
              </w:rPr>
              <w:t>$115.8m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fx fy23</w:t>
            </w:r>
          </w:p>
        </w:tc>
        <w:tc>
          <w:tcPr>
            <w:tcW w:type="dxa" w:w="1224"/>
          </w:tcPr>
          <w:p>
            <w:pPr>
              <w:spacing w:after="20"/>
            </w:pPr>
            <w:r>
              <w:rPr>
                <w:color w:val="1C3A36"/>
                <w:sz w:val="15"/>
              </w:rPr>
              <w:t>-$19.6m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 — net foreign exchange loss</w:t>
            </w:r>
          </w:p>
        </w:tc>
      </w:tr>
      <w:tr>
        <w:trPr>
          <w:cantSplit/>
          <w:cantSplit/>
        </w:trPr>
        <w:tc>
          <w:tcPr>
            <w:tcW w:type="dxa" w:w="1728"/>
          </w:tcPr>
          <w:p>
            <w:pPr>
              <w:spacing w:after="20"/>
            </w:pPr>
            <w:r>
              <w:rPr>
                <w:color w:val="1C3A36"/>
                <w:sz w:val="15"/>
              </w:rPr>
              <w:t>fx fy24</w:t>
            </w:r>
          </w:p>
        </w:tc>
        <w:tc>
          <w:tcPr>
            <w:tcW w:type="dxa" w:w="1224"/>
          </w:tcPr>
          <w:p>
            <w:pPr>
              <w:spacing w:after="20"/>
            </w:pPr>
            <w:r>
              <w:rPr>
                <w:color w:val="1C3A36"/>
                <w:sz w:val="15"/>
              </w:rPr>
              <w:t>-$1.3m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w:t>
            </w:r>
          </w:p>
        </w:tc>
      </w:tr>
      <w:tr>
        <w:trPr>
          <w:cantSplit/>
          <w:cantSplit/>
        </w:trPr>
        <w:tc>
          <w:tcPr>
            <w:tcW w:type="dxa" w:w="1728"/>
          </w:tcPr>
          <w:p>
            <w:pPr>
              <w:spacing w:after="20"/>
            </w:pPr>
            <w:r>
              <w:rPr>
                <w:color w:val="1C3A36"/>
                <w:sz w:val="15"/>
              </w:rPr>
              <w:t>fx fy25</w:t>
            </w:r>
          </w:p>
        </w:tc>
        <w:tc>
          <w:tcPr>
            <w:tcW w:type="dxa" w:w="1224"/>
          </w:tcPr>
          <w:p>
            <w:pPr>
              <w:spacing w:after="20"/>
            </w:pPr>
            <w:r>
              <w:rPr>
                <w:color w:val="1C3A36"/>
                <w:sz w:val="15"/>
              </w:rPr>
              <w:t>-$11.6m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tax fy22</w:t>
            </w:r>
          </w:p>
        </w:tc>
        <w:tc>
          <w:tcPr>
            <w:tcW w:type="dxa" w:w="1224"/>
          </w:tcPr>
          <w:p>
            <w:pPr>
              <w:spacing w:after="20"/>
            </w:pPr>
            <w:r>
              <w:rPr>
                <w:color w:val="1C3A36"/>
                <w:sz w:val="15"/>
              </w:rPr>
              <w:t>$239.2m</w:t>
            </w:r>
          </w:p>
        </w:tc>
        <w:tc>
          <w:tcPr>
            <w:tcW w:type="dxa" w:w="1080"/>
          </w:tcPr>
          <w:p>
            <w:pPr>
              <w:spacing w:after="20"/>
            </w:pPr>
            <w:r>
              <w:rPr>
                <w:color w:val="1C3A36"/>
                <w:sz w:val="15"/>
              </w:rPr>
              <w:t>2022-12-31</w:t>
            </w:r>
          </w:p>
        </w:tc>
        <w:tc>
          <w:tcPr>
            <w:tcW w:type="dxa" w:w="6048"/>
          </w:tcPr>
          <w:p>
            <w:pPr>
              <w:spacing w:after="20"/>
            </w:pPr>
            <w:r>
              <w:rPr>
                <w:color w:val="1C3A36"/>
                <w:sz w:val="15"/>
              </w:rPr>
              <w:t>Fertiglobe plc, Consolidated Financial Statements FY2023 (signed) (FY2022 comparative)</w:t>
            </w:r>
          </w:p>
        </w:tc>
      </w:tr>
      <w:tr>
        <w:trPr>
          <w:cantSplit/>
          <w:cantSplit/>
        </w:trPr>
        <w:tc>
          <w:tcPr>
            <w:tcW w:type="dxa" w:w="1728"/>
          </w:tcPr>
          <w:p>
            <w:pPr>
              <w:spacing w:after="20"/>
            </w:pPr>
            <w:r>
              <w:rPr>
                <w:color w:val="1C3A36"/>
                <w:sz w:val="15"/>
              </w:rPr>
              <w:t>tax fy23</w:t>
            </w:r>
          </w:p>
        </w:tc>
        <w:tc>
          <w:tcPr>
            <w:tcW w:type="dxa" w:w="1224"/>
          </w:tcPr>
          <w:p>
            <w:pPr>
              <w:spacing w:after="20"/>
            </w:pPr>
            <w:r>
              <w:rPr>
                <w:color w:val="1C3A36"/>
                <w:sz w:val="15"/>
              </w:rPr>
              <w:t>$82.4m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tax fy24</w:t>
            </w:r>
          </w:p>
        </w:tc>
        <w:tc>
          <w:tcPr>
            <w:tcW w:type="dxa" w:w="1224"/>
          </w:tcPr>
          <w:p>
            <w:pPr>
              <w:spacing w:after="20"/>
            </w:pPr>
            <w:r>
              <w:rPr>
                <w:color w:val="1C3A36"/>
                <w:sz w:val="15"/>
              </w:rPr>
              <w:t>$15.7m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w:t>
            </w:r>
          </w:p>
        </w:tc>
      </w:tr>
      <w:tr>
        <w:trPr>
          <w:cantSplit/>
          <w:cantSplit/>
        </w:trPr>
        <w:tc>
          <w:tcPr>
            <w:tcW w:type="dxa" w:w="1728"/>
          </w:tcPr>
          <w:p>
            <w:pPr>
              <w:spacing w:after="20"/>
            </w:pPr>
            <w:r>
              <w:rPr>
                <w:color w:val="1C3A36"/>
                <w:sz w:val="15"/>
              </w:rPr>
              <w:t>tax fy25</w:t>
            </w:r>
          </w:p>
        </w:tc>
        <w:tc>
          <w:tcPr>
            <w:tcW w:type="dxa" w:w="1224"/>
          </w:tcPr>
          <w:p>
            <w:pPr>
              <w:spacing w:after="20"/>
            </w:pPr>
            <w:r>
              <w:rPr>
                <w:color w:val="1C3A36"/>
                <w:sz w:val="15"/>
              </w:rPr>
              <w:t>$25.0m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nci fy22</w:t>
            </w:r>
          </w:p>
        </w:tc>
        <w:tc>
          <w:tcPr>
            <w:tcW w:type="dxa" w:w="1224"/>
          </w:tcPr>
          <w:p>
            <w:pPr>
              <w:spacing w:after="20"/>
            </w:pPr>
            <w:r>
              <w:rPr>
                <w:color w:val="1C3A36"/>
                <w:sz w:val="15"/>
              </w:rPr>
              <w:t>$570.9m</w:t>
            </w:r>
          </w:p>
        </w:tc>
        <w:tc>
          <w:tcPr>
            <w:tcW w:type="dxa" w:w="1080"/>
          </w:tcPr>
          <w:p>
            <w:pPr>
              <w:spacing w:after="20"/>
            </w:pPr>
            <w:r>
              <w:rPr>
                <w:color w:val="1C3A36"/>
                <w:sz w:val="15"/>
              </w:rPr>
              <w:t>2022-12-31</w:t>
            </w:r>
          </w:p>
        </w:tc>
        <w:tc>
          <w:tcPr>
            <w:tcW w:type="dxa" w:w="6048"/>
          </w:tcPr>
          <w:p>
            <w:pPr>
              <w:spacing w:after="20"/>
            </w:pPr>
            <w:r>
              <w:rPr>
                <w:color w:val="1C3A36"/>
                <w:sz w:val="15"/>
              </w:rPr>
              <w:t>Fertiglobe plc, Consolidated Financial Statements FY2023 (signed) (FY2022 comparative)</w:t>
            </w:r>
          </w:p>
        </w:tc>
      </w:tr>
      <w:tr>
        <w:trPr>
          <w:cantSplit/>
          <w:cantSplit/>
        </w:trPr>
        <w:tc>
          <w:tcPr>
            <w:tcW w:type="dxa" w:w="1728"/>
          </w:tcPr>
          <w:p>
            <w:pPr>
              <w:spacing w:after="20"/>
            </w:pPr>
            <w:r>
              <w:rPr>
                <w:color w:val="1C3A36"/>
                <w:sz w:val="15"/>
              </w:rPr>
              <w:t>nci fy23</w:t>
            </w:r>
          </w:p>
        </w:tc>
        <w:tc>
          <w:tcPr>
            <w:tcW w:type="dxa" w:w="1224"/>
          </w:tcPr>
          <w:p>
            <w:pPr>
              <w:spacing w:after="20"/>
            </w:pPr>
            <w:r>
              <w:rPr>
                <w:color w:val="1C3A36"/>
                <w:sz w:val="15"/>
              </w:rPr>
              <w:t>$156.1m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nci fy24</w:t>
            </w:r>
          </w:p>
        </w:tc>
        <w:tc>
          <w:tcPr>
            <w:tcW w:type="dxa" w:w="1224"/>
          </w:tcPr>
          <w:p>
            <w:pPr>
              <w:spacing w:after="20"/>
            </w:pPr>
            <w:r>
              <w:rPr>
                <w:color w:val="1C3A36"/>
                <w:sz w:val="15"/>
              </w:rPr>
              <w:t>$53.7m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w:t>
            </w:r>
          </w:p>
        </w:tc>
      </w:tr>
      <w:tr>
        <w:trPr>
          <w:cantSplit/>
          <w:cantSplit/>
        </w:trPr>
        <w:tc>
          <w:tcPr>
            <w:tcW w:type="dxa" w:w="1728"/>
          </w:tcPr>
          <w:p>
            <w:pPr>
              <w:spacing w:after="20"/>
            </w:pPr>
            <w:r>
              <w:rPr>
                <w:color w:val="1C3A36"/>
                <w:sz w:val="15"/>
              </w:rPr>
              <w:t>nci fy25</w:t>
            </w:r>
          </w:p>
        </w:tc>
        <w:tc>
          <w:tcPr>
            <w:tcW w:type="dxa" w:w="1224"/>
          </w:tcPr>
          <w:p>
            <w:pPr>
              <w:spacing w:after="20"/>
            </w:pPr>
            <w:r>
              <w:rPr>
                <w:color w:val="1C3A36"/>
                <w:sz w:val="15"/>
              </w:rPr>
              <w:t>$154.6m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ppe fy23</w:t>
            </w:r>
          </w:p>
        </w:tc>
        <w:tc>
          <w:tcPr>
            <w:tcW w:type="dxa" w:w="1224"/>
          </w:tcPr>
          <w:p>
            <w:pPr>
              <w:spacing w:after="20"/>
            </w:pPr>
            <w:r>
              <w:rPr>
                <w:color w:val="1C3A36"/>
                <w:sz w:val="15"/>
              </w:rPr>
              <w:t>$2,699.6m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ppe fy24</w:t>
            </w:r>
          </w:p>
        </w:tc>
        <w:tc>
          <w:tcPr>
            <w:tcW w:type="dxa" w:w="1224"/>
          </w:tcPr>
          <w:p>
            <w:pPr>
              <w:spacing w:after="20"/>
            </w:pPr>
            <w:r>
              <w:rPr>
                <w:color w:val="1C3A36"/>
                <w:sz w:val="15"/>
              </w:rPr>
              <w:t>$2,596.8m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ppe fy25</w:t>
            </w:r>
          </w:p>
        </w:tc>
        <w:tc>
          <w:tcPr>
            <w:tcW w:type="dxa" w:w="1224"/>
          </w:tcPr>
          <w:p>
            <w:pPr>
              <w:spacing w:after="20"/>
            </w:pPr>
            <w:r>
              <w:rPr>
                <w:color w:val="1C3A36"/>
                <w:sz w:val="15"/>
              </w:rPr>
              <w:t>$2,499.0m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rou fy23</w:t>
            </w:r>
          </w:p>
        </w:tc>
        <w:tc>
          <w:tcPr>
            <w:tcW w:type="dxa" w:w="1224"/>
          </w:tcPr>
          <w:p>
            <w:pPr>
              <w:spacing w:after="20"/>
            </w:pPr>
            <w:r>
              <w:rPr>
                <w:color w:val="1C3A36"/>
                <w:sz w:val="15"/>
              </w:rPr>
              <w:t>$74.9m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rou fy24</w:t>
            </w:r>
          </w:p>
        </w:tc>
        <w:tc>
          <w:tcPr>
            <w:tcW w:type="dxa" w:w="1224"/>
          </w:tcPr>
          <w:p>
            <w:pPr>
              <w:spacing w:after="20"/>
            </w:pPr>
            <w:r>
              <w:rPr>
                <w:color w:val="1C3A36"/>
                <w:sz w:val="15"/>
              </w:rPr>
              <w:t>$68.6m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rou fy25</w:t>
            </w:r>
          </w:p>
        </w:tc>
        <w:tc>
          <w:tcPr>
            <w:tcW w:type="dxa" w:w="1224"/>
          </w:tcPr>
          <w:p>
            <w:pPr>
              <w:spacing w:after="20"/>
            </w:pPr>
            <w:r>
              <w:rPr>
                <w:color w:val="1C3A36"/>
                <w:sz w:val="15"/>
              </w:rPr>
              <w:t>$139.4m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gwi fy23</w:t>
            </w:r>
          </w:p>
        </w:tc>
        <w:tc>
          <w:tcPr>
            <w:tcW w:type="dxa" w:w="1224"/>
          </w:tcPr>
          <w:p>
            <w:pPr>
              <w:spacing w:after="20"/>
            </w:pPr>
            <w:r>
              <w:rPr>
                <w:color w:val="1C3A36"/>
                <w:sz w:val="15"/>
              </w:rPr>
              <w:t>$614.5m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gwi fy24</w:t>
            </w:r>
          </w:p>
        </w:tc>
        <w:tc>
          <w:tcPr>
            <w:tcW w:type="dxa" w:w="1224"/>
          </w:tcPr>
          <w:p>
            <w:pPr>
              <w:spacing w:after="20"/>
            </w:pPr>
            <w:r>
              <w:rPr>
                <w:color w:val="1C3A36"/>
                <w:sz w:val="15"/>
              </w:rPr>
              <w:t>$626.8m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gwi fy25</w:t>
            </w:r>
          </w:p>
        </w:tc>
        <w:tc>
          <w:tcPr>
            <w:tcW w:type="dxa" w:w="1224"/>
          </w:tcPr>
          <w:p>
            <w:pPr>
              <w:spacing w:after="20"/>
            </w:pPr>
            <w:r>
              <w:rPr>
                <w:color w:val="1C3A36"/>
                <w:sz w:val="15"/>
              </w:rPr>
              <w:t>$656.9m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inv fy23</w:t>
            </w:r>
          </w:p>
        </w:tc>
        <w:tc>
          <w:tcPr>
            <w:tcW w:type="dxa" w:w="1224"/>
          </w:tcPr>
          <w:p>
            <w:pPr>
              <w:spacing w:after="20"/>
            </w:pPr>
            <w:r>
              <w:rPr>
                <w:color w:val="1C3A36"/>
                <w:sz w:val="15"/>
              </w:rPr>
              <w:t>$133.6m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inv fy24</w:t>
            </w:r>
          </w:p>
        </w:tc>
        <w:tc>
          <w:tcPr>
            <w:tcW w:type="dxa" w:w="1224"/>
          </w:tcPr>
          <w:p>
            <w:pPr>
              <w:spacing w:after="20"/>
            </w:pPr>
            <w:r>
              <w:rPr>
                <w:color w:val="1C3A36"/>
                <w:sz w:val="15"/>
              </w:rPr>
              <w:t>$164.0m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inv fy25</w:t>
            </w:r>
          </w:p>
        </w:tc>
        <w:tc>
          <w:tcPr>
            <w:tcW w:type="dxa" w:w="1224"/>
          </w:tcPr>
          <w:p>
            <w:pPr>
              <w:spacing w:after="20"/>
            </w:pPr>
            <w:r>
              <w:rPr>
                <w:color w:val="1C3A36"/>
                <w:sz w:val="15"/>
              </w:rPr>
              <w:t>$335.5m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recv fy23</w:t>
            </w:r>
          </w:p>
        </w:tc>
        <w:tc>
          <w:tcPr>
            <w:tcW w:type="dxa" w:w="1224"/>
          </w:tcPr>
          <w:p>
            <w:pPr>
              <w:spacing w:after="20"/>
            </w:pPr>
            <w:r>
              <w:rPr>
                <w:color w:val="1C3A36"/>
                <w:sz w:val="15"/>
              </w:rPr>
              <w:t>$314.3m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recv fy24</w:t>
            </w:r>
          </w:p>
        </w:tc>
        <w:tc>
          <w:tcPr>
            <w:tcW w:type="dxa" w:w="1224"/>
          </w:tcPr>
          <w:p>
            <w:pPr>
              <w:spacing w:after="20"/>
            </w:pPr>
            <w:r>
              <w:rPr>
                <w:color w:val="1C3A36"/>
                <w:sz w:val="15"/>
              </w:rPr>
              <w:t>$290.7m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recv fy25</w:t>
            </w:r>
          </w:p>
        </w:tc>
        <w:tc>
          <w:tcPr>
            <w:tcW w:type="dxa" w:w="1224"/>
          </w:tcPr>
          <w:p>
            <w:pPr>
              <w:spacing w:after="20"/>
            </w:pPr>
            <w:r>
              <w:rPr>
                <w:color w:val="1C3A36"/>
                <w:sz w:val="15"/>
              </w:rPr>
              <w:t>$493.1m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cash fy23</w:t>
            </w:r>
          </w:p>
        </w:tc>
        <w:tc>
          <w:tcPr>
            <w:tcW w:type="dxa" w:w="1224"/>
          </w:tcPr>
          <w:p>
            <w:pPr>
              <w:spacing w:after="20"/>
            </w:pPr>
            <w:r>
              <w:rPr>
                <w:color w:val="1C3A36"/>
                <w:sz w:val="15"/>
              </w:rPr>
              <w:t>$759.8m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cash fy24</w:t>
            </w:r>
          </w:p>
        </w:tc>
        <w:tc>
          <w:tcPr>
            <w:tcW w:type="dxa" w:w="1224"/>
          </w:tcPr>
          <w:p>
            <w:pPr>
              <w:spacing w:after="20"/>
            </w:pPr>
            <w:r>
              <w:rPr>
                <w:color w:val="1C3A36"/>
                <w:sz w:val="15"/>
              </w:rPr>
              <w:t>$633.9m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cash fy25</w:t>
            </w:r>
          </w:p>
        </w:tc>
        <w:tc>
          <w:tcPr>
            <w:tcW w:type="dxa" w:w="1224"/>
          </w:tcPr>
          <w:p>
            <w:pPr>
              <w:spacing w:after="20"/>
            </w:pPr>
            <w:r>
              <w:rPr>
                <w:color w:val="1C3A36"/>
                <w:sz w:val="15"/>
              </w:rPr>
              <w:t>$735.1m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pay fy23</w:t>
            </w:r>
          </w:p>
        </w:tc>
        <w:tc>
          <w:tcPr>
            <w:tcW w:type="dxa" w:w="1224"/>
          </w:tcPr>
          <w:p>
            <w:pPr>
              <w:spacing w:after="20"/>
            </w:pPr>
            <w:r>
              <w:rPr>
                <w:color w:val="1C3A36"/>
                <w:sz w:val="15"/>
              </w:rPr>
              <w:t>$326.7m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pay fy24</w:t>
            </w:r>
          </w:p>
        </w:tc>
        <w:tc>
          <w:tcPr>
            <w:tcW w:type="dxa" w:w="1224"/>
          </w:tcPr>
          <w:p>
            <w:pPr>
              <w:spacing w:after="20"/>
            </w:pPr>
            <w:r>
              <w:rPr>
                <w:color w:val="1C3A36"/>
                <w:sz w:val="15"/>
              </w:rPr>
              <w:t>$481.0m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pay fy25</w:t>
            </w:r>
          </w:p>
        </w:tc>
        <w:tc>
          <w:tcPr>
            <w:tcW w:type="dxa" w:w="1224"/>
          </w:tcPr>
          <w:p>
            <w:pPr>
              <w:spacing w:after="20"/>
            </w:pPr>
            <w:r>
              <w:rPr>
                <w:color w:val="1C3A36"/>
                <w:sz w:val="15"/>
              </w:rPr>
              <w:t>$820.3m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ta fy23</w:t>
            </w:r>
          </w:p>
        </w:tc>
        <w:tc>
          <w:tcPr>
            <w:tcW w:type="dxa" w:w="1224"/>
          </w:tcPr>
          <w:p>
            <w:pPr>
              <w:spacing w:after="20"/>
            </w:pPr>
            <w:r>
              <w:rPr>
                <w:color w:val="1C3A36"/>
                <w:sz w:val="15"/>
              </w:rPr>
              <w:t>$4,625.8m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ta fy24</w:t>
            </w:r>
          </w:p>
        </w:tc>
        <w:tc>
          <w:tcPr>
            <w:tcW w:type="dxa" w:w="1224"/>
          </w:tcPr>
          <w:p>
            <w:pPr>
              <w:spacing w:after="20"/>
            </w:pPr>
            <w:r>
              <w:rPr>
                <w:color w:val="1C3A36"/>
                <w:sz w:val="15"/>
              </w:rPr>
              <w:t>$4,410.6m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ta fy25</w:t>
            </w:r>
          </w:p>
        </w:tc>
        <w:tc>
          <w:tcPr>
            <w:tcW w:type="dxa" w:w="1224"/>
          </w:tcPr>
          <w:p>
            <w:pPr>
              <w:spacing w:after="20"/>
            </w:pPr>
            <w:r>
              <w:rPr>
                <w:color w:val="1C3A36"/>
                <w:sz w:val="15"/>
              </w:rPr>
              <w:t>$4,949.5m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eqown fy23</w:t>
            </w:r>
          </w:p>
        </w:tc>
        <w:tc>
          <w:tcPr>
            <w:tcW w:type="dxa" w:w="1224"/>
          </w:tcPr>
          <w:p>
            <w:pPr>
              <w:spacing w:after="20"/>
            </w:pPr>
            <w:r>
              <w:rPr>
                <w:color w:val="1C3A36"/>
                <w:sz w:val="15"/>
              </w:rPr>
              <w:t>$1,444.7m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eqown fy24</w:t>
            </w:r>
          </w:p>
        </w:tc>
        <w:tc>
          <w:tcPr>
            <w:tcW w:type="dxa" w:w="1224"/>
          </w:tcPr>
          <w:p>
            <w:pPr>
              <w:spacing w:after="20"/>
            </w:pPr>
            <w:r>
              <w:rPr>
                <w:color w:val="1C3A36"/>
                <w:sz w:val="15"/>
              </w:rPr>
              <w:t>$1,241.8m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eqown fy25</w:t>
            </w:r>
          </w:p>
        </w:tc>
        <w:tc>
          <w:tcPr>
            <w:tcW w:type="dxa" w:w="1224"/>
          </w:tcPr>
          <w:p>
            <w:pPr>
              <w:spacing w:after="20"/>
            </w:pPr>
            <w:r>
              <w:rPr>
                <w:color w:val="1C3A36"/>
                <w:sz w:val="15"/>
              </w:rPr>
              <w:t>$1,356.5m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eqnci fy23</w:t>
            </w:r>
          </w:p>
        </w:tc>
        <w:tc>
          <w:tcPr>
            <w:tcW w:type="dxa" w:w="1224"/>
          </w:tcPr>
          <w:p>
            <w:pPr>
              <w:spacing w:after="20"/>
            </w:pPr>
            <w:r>
              <w:rPr>
                <w:color w:val="1C3A36"/>
                <w:sz w:val="15"/>
              </w:rPr>
              <w:t>$425.0m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eqnci fy24</w:t>
            </w:r>
          </w:p>
        </w:tc>
        <w:tc>
          <w:tcPr>
            <w:tcW w:type="dxa" w:w="1224"/>
          </w:tcPr>
          <w:p>
            <w:pPr>
              <w:spacing w:after="20"/>
            </w:pPr>
            <w:r>
              <w:rPr>
                <w:color w:val="1C3A36"/>
                <w:sz w:val="15"/>
              </w:rPr>
              <w:t>$295.9m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eqnci fy25</w:t>
            </w:r>
          </w:p>
        </w:tc>
        <w:tc>
          <w:tcPr>
            <w:tcW w:type="dxa" w:w="1224"/>
          </w:tcPr>
          <w:p>
            <w:pPr>
              <w:spacing w:after="20"/>
            </w:pPr>
            <w:r>
              <w:rPr>
                <w:color w:val="1C3A36"/>
                <w:sz w:val="15"/>
              </w:rPr>
              <w:t>$443.3m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ltd fy23</w:t>
            </w:r>
          </w:p>
        </w:tc>
        <w:tc>
          <w:tcPr>
            <w:tcW w:type="dxa" w:w="1224"/>
          </w:tcPr>
          <w:p>
            <w:pPr>
              <w:spacing w:after="20"/>
            </w:pPr>
            <w:r>
              <w:rPr>
                <w:color w:val="1C3A36"/>
                <w:sz w:val="15"/>
              </w:rPr>
              <w:t>$1,490.2m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ltd fy24</w:t>
            </w:r>
          </w:p>
        </w:tc>
        <w:tc>
          <w:tcPr>
            <w:tcW w:type="dxa" w:w="1224"/>
          </w:tcPr>
          <w:p>
            <w:pPr>
              <w:spacing w:after="20"/>
            </w:pPr>
            <w:r>
              <w:rPr>
                <w:color w:val="1C3A36"/>
                <w:sz w:val="15"/>
              </w:rPr>
              <w:t>$1,425.5m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ltd fy25</w:t>
            </w:r>
          </w:p>
        </w:tc>
        <w:tc>
          <w:tcPr>
            <w:tcW w:type="dxa" w:w="1224"/>
          </w:tcPr>
          <w:p>
            <w:pPr>
              <w:spacing w:after="20"/>
            </w:pPr>
            <w:r>
              <w:rPr>
                <w:color w:val="1C3A36"/>
                <w:sz w:val="15"/>
              </w:rPr>
              <w:t>$1,398.6m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std fy23</w:t>
            </w:r>
          </w:p>
        </w:tc>
        <w:tc>
          <w:tcPr>
            <w:tcW w:type="dxa" w:w="1224"/>
          </w:tcPr>
          <w:p>
            <w:pPr>
              <w:spacing w:after="20"/>
            </w:pPr>
            <w:r>
              <w:rPr>
                <w:color w:val="1C3A36"/>
                <w:sz w:val="15"/>
              </w:rPr>
              <w:t>$174.9m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std fy24</w:t>
            </w:r>
          </w:p>
        </w:tc>
        <w:tc>
          <w:tcPr>
            <w:tcW w:type="dxa" w:w="1224"/>
          </w:tcPr>
          <w:p>
            <w:pPr>
              <w:spacing w:after="20"/>
            </w:pPr>
            <w:r>
              <w:rPr>
                <w:color w:val="1C3A36"/>
                <w:sz w:val="15"/>
              </w:rPr>
              <w:t>$256.7m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std fy25</w:t>
            </w:r>
          </w:p>
        </w:tc>
        <w:tc>
          <w:tcPr>
            <w:tcW w:type="dxa" w:w="1224"/>
          </w:tcPr>
          <w:p>
            <w:pPr>
              <w:spacing w:after="20"/>
            </w:pPr>
            <w:r>
              <w:rPr>
                <w:color w:val="1C3A36"/>
                <w:sz w:val="15"/>
              </w:rPr>
              <w:t>$342.0m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lease fy23</w:t>
            </w:r>
          </w:p>
        </w:tc>
        <w:tc>
          <w:tcPr>
            <w:tcW w:type="dxa" w:w="1224"/>
          </w:tcPr>
          <w:p>
            <w:pPr>
              <w:spacing w:after="20"/>
            </w:pPr>
            <w:r>
              <w:rPr>
                <w:color w:val="1C3A36"/>
                <w:sz w:val="15"/>
              </w:rPr>
              <w:t>$90.6m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 — lease obligations, non-current 67.9 + current 22.7</w:t>
            </w:r>
          </w:p>
        </w:tc>
      </w:tr>
      <w:tr>
        <w:trPr>
          <w:cantSplit/>
          <w:cantSplit/>
        </w:trPr>
        <w:tc>
          <w:tcPr>
            <w:tcW w:type="dxa" w:w="1728"/>
          </w:tcPr>
          <w:p>
            <w:pPr>
              <w:spacing w:after="20"/>
            </w:pPr>
            <w:r>
              <w:rPr>
                <w:color w:val="1C3A36"/>
                <w:sz w:val="15"/>
              </w:rPr>
              <w:t>lease fy24</w:t>
            </w:r>
          </w:p>
        </w:tc>
        <w:tc>
          <w:tcPr>
            <w:tcW w:type="dxa" w:w="1224"/>
          </w:tcPr>
          <w:p>
            <w:pPr>
              <w:spacing w:after="20"/>
            </w:pPr>
            <w:r>
              <w:rPr>
                <w:color w:val="1C3A36"/>
                <w:sz w:val="15"/>
              </w:rPr>
              <w:t>$86.9m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 63.1 + 23.8</w:t>
            </w:r>
          </w:p>
        </w:tc>
      </w:tr>
      <w:tr>
        <w:trPr>
          <w:cantSplit/>
          <w:cantSplit/>
        </w:trPr>
        <w:tc>
          <w:tcPr>
            <w:tcW w:type="dxa" w:w="1728"/>
          </w:tcPr>
          <w:p>
            <w:pPr>
              <w:spacing w:after="20"/>
            </w:pPr>
            <w:r>
              <w:rPr>
                <w:color w:val="1C3A36"/>
                <w:sz w:val="15"/>
              </w:rPr>
              <w:t>lease fy25</w:t>
            </w:r>
          </w:p>
        </w:tc>
        <w:tc>
          <w:tcPr>
            <w:tcW w:type="dxa" w:w="1224"/>
          </w:tcPr>
          <w:p>
            <w:pPr>
              <w:spacing w:after="20"/>
            </w:pPr>
            <w:r>
              <w:rPr>
                <w:color w:val="1C3A36"/>
                <w:sz w:val="15"/>
              </w:rPr>
              <w:t>$158.4m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134.0 + 24.4</w:t>
            </w:r>
          </w:p>
        </w:tc>
      </w:tr>
      <w:tr>
        <w:trPr>
          <w:cantSplit/>
          <w:cantSplit/>
        </w:trPr>
        <w:tc>
          <w:tcPr>
            <w:tcW w:type="dxa" w:w="1728"/>
          </w:tcPr>
          <w:p>
            <w:pPr>
              <w:spacing w:after="20"/>
            </w:pPr>
            <w:r>
              <w:rPr>
                <w:color w:val="1C3A36"/>
                <w:sz w:val="15"/>
              </w:rPr>
              <w:t>dtl fy23</w:t>
            </w:r>
          </w:p>
        </w:tc>
        <w:tc>
          <w:tcPr>
            <w:tcW w:type="dxa" w:w="1224"/>
          </w:tcPr>
          <w:p>
            <w:pPr>
              <w:spacing w:after="20"/>
            </w:pPr>
            <w:r>
              <w:rPr>
                <w:color w:val="1C3A36"/>
                <w:sz w:val="15"/>
              </w:rPr>
              <w:t>$344.9m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dtl fy24</w:t>
            </w:r>
          </w:p>
        </w:tc>
        <w:tc>
          <w:tcPr>
            <w:tcW w:type="dxa" w:w="1224"/>
          </w:tcPr>
          <w:p>
            <w:pPr>
              <w:spacing w:after="20"/>
            </w:pPr>
            <w:r>
              <w:rPr>
                <w:color w:val="1C3A36"/>
                <w:sz w:val="15"/>
              </w:rPr>
              <w:t>$310.0m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dtl fy25</w:t>
            </w:r>
          </w:p>
        </w:tc>
        <w:tc>
          <w:tcPr>
            <w:tcW w:type="dxa" w:w="1224"/>
          </w:tcPr>
          <w:p>
            <w:pPr>
              <w:spacing w:after="20"/>
            </w:pPr>
            <w:r>
              <w:rPr>
                <w:color w:val="1C3A36"/>
                <w:sz w:val="15"/>
              </w:rPr>
              <w:t>$273.1m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taxpay fy23</w:t>
            </w:r>
          </w:p>
        </w:tc>
        <w:tc>
          <w:tcPr>
            <w:tcW w:type="dxa" w:w="1224"/>
          </w:tcPr>
          <w:p>
            <w:pPr>
              <w:spacing w:after="20"/>
            </w:pPr>
            <w:r>
              <w:rPr>
                <w:color w:val="1C3A36"/>
                <w:sz w:val="15"/>
              </w:rPr>
              <w:t>$270.4m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taxpay fy24</w:t>
            </w:r>
          </w:p>
        </w:tc>
        <w:tc>
          <w:tcPr>
            <w:tcW w:type="dxa" w:w="1224"/>
          </w:tcPr>
          <w:p>
            <w:pPr>
              <w:spacing w:after="20"/>
            </w:pPr>
            <w:r>
              <w:rPr>
                <w:color w:val="1C3A36"/>
                <w:sz w:val="15"/>
              </w:rPr>
              <w:t>$254.4m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taxpay fy25</w:t>
            </w:r>
          </w:p>
        </w:tc>
        <w:tc>
          <w:tcPr>
            <w:tcW w:type="dxa" w:w="1224"/>
          </w:tcPr>
          <w:p>
            <w:pPr>
              <w:spacing w:after="20"/>
            </w:pPr>
            <w:r>
              <w:rPr>
                <w:color w:val="1C3A36"/>
                <w:sz w:val="15"/>
              </w:rPr>
              <w:t>$112.9m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cfo fy23</w:t>
            </w:r>
          </w:p>
        </w:tc>
        <w:tc>
          <w:tcPr>
            <w:tcW w:type="dxa" w:w="1224"/>
          </w:tcPr>
          <w:p>
            <w:pPr>
              <w:spacing w:after="20"/>
            </w:pPr>
            <w:r>
              <w:rPr>
                <w:color w:val="1C3A36"/>
                <w:sz w:val="15"/>
              </w:rPr>
              <w:t>$797.6m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cfo fy24</w:t>
            </w:r>
          </w:p>
        </w:tc>
        <w:tc>
          <w:tcPr>
            <w:tcW w:type="dxa" w:w="1224"/>
          </w:tcPr>
          <w:p>
            <w:pPr>
              <w:spacing w:after="20"/>
            </w:pPr>
            <w:r>
              <w:rPr>
                <w:color w:val="1C3A36"/>
                <w:sz w:val="15"/>
              </w:rPr>
              <w:t>$607.7m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w:t>
            </w:r>
          </w:p>
        </w:tc>
      </w:tr>
      <w:tr>
        <w:trPr>
          <w:cantSplit/>
          <w:cantSplit/>
        </w:trPr>
        <w:tc>
          <w:tcPr>
            <w:tcW w:type="dxa" w:w="1728"/>
          </w:tcPr>
          <w:p>
            <w:pPr>
              <w:spacing w:after="20"/>
            </w:pPr>
            <w:r>
              <w:rPr>
                <w:color w:val="1C3A36"/>
                <w:sz w:val="15"/>
              </w:rPr>
              <w:t>cfo fy25</w:t>
            </w:r>
          </w:p>
        </w:tc>
        <w:tc>
          <w:tcPr>
            <w:tcW w:type="dxa" w:w="1224"/>
          </w:tcPr>
          <w:p>
            <w:pPr>
              <w:spacing w:after="20"/>
            </w:pPr>
            <w:r>
              <w:rPr>
                <w:color w:val="1C3A36"/>
                <w:sz w:val="15"/>
              </w:rPr>
              <w:t>$734.2m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capex fy22</w:t>
            </w:r>
          </w:p>
        </w:tc>
        <w:tc>
          <w:tcPr>
            <w:tcW w:type="dxa" w:w="1224"/>
          </w:tcPr>
          <w:p>
            <w:pPr>
              <w:spacing w:after="20"/>
            </w:pPr>
            <w:r>
              <w:rPr>
                <w:color w:val="1C3A36"/>
                <w:sz w:val="15"/>
              </w:rPr>
              <w:t>$115.5m</w:t>
            </w:r>
          </w:p>
        </w:tc>
        <w:tc>
          <w:tcPr>
            <w:tcW w:type="dxa" w:w="1080"/>
          </w:tcPr>
          <w:p>
            <w:pPr>
              <w:spacing w:after="20"/>
            </w:pPr>
            <w:r>
              <w:rPr>
                <w:color w:val="1C3A36"/>
                <w:sz w:val="15"/>
              </w:rPr>
              <w:t>2022-12-31</w:t>
            </w:r>
          </w:p>
        </w:tc>
        <w:tc>
          <w:tcPr>
            <w:tcW w:type="dxa" w:w="6048"/>
          </w:tcPr>
          <w:p>
            <w:pPr>
              <w:spacing w:after="20"/>
            </w:pPr>
            <w:r>
              <w:rPr>
                <w:color w:val="1C3A36"/>
                <w:sz w:val="15"/>
              </w:rPr>
              <w:t>Fertiglobe plc, Consolidated Financial Statements FY2023 (signed) (FY2022 comparative)</w:t>
            </w:r>
          </w:p>
        </w:tc>
      </w:tr>
      <w:tr>
        <w:trPr>
          <w:cantSplit/>
          <w:cantSplit/>
        </w:trPr>
        <w:tc>
          <w:tcPr>
            <w:tcW w:type="dxa" w:w="1728"/>
          </w:tcPr>
          <w:p>
            <w:pPr>
              <w:spacing w:after="20"/>
            </w:pPr>
            <w:r>
              <w:rPr>
                <w:color w:val="1C3A36"/>
                <w:sz w:val="15"/>
              </w:rPr>
              <w:t>capex fy23</w:t>
            </w:r>
          </w:p>
        </w:tc>
        <w:tc>
          <w:tcPr>
            <w:tcW w:type="dxa" w:w="1224"/>
          </w:tcPr>
          <w:p>
            <w:pPr>
              <w:spacing w:after="20"/>
            </w:pPr>
            <w:r>
              <w:rPr>
                <w:color w:val="1C3A36"/>
                <w:sz w:val="15"/>
              </w:rPr>
              <w:t>$114.6m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w:t>
            </w:r>
          </w:p>
        </w:tc>
      </w:tr>
      <w:tr>
        <w:trPr>
          <w:cantSplit/>
          <w:cantSplit/>
        </w:trPr>
        <w:tc>
          <w:tcPr>
            <w:tcW w:type="dxa" w:w="1728"/>
          </w:tcPr>
          <w:p>
            <w:pPr>
              <w:spacing w:after="20"/>
            </w:pPr>
            <w:r>
              <w:rPr>
                <w:color w:val="1C3A36"/>
                <w:sz w:val="15"/>
              </w:rPr>
              <w:t>capex fy24</w:t>
            </w:r>
          </w:p>
        </w:tc>
        <w:tc>
          <w:tcPr>
            <w:tcW w:type="dxa" w:w="1224"/>
          </w:tcPr>
          <w:p>
            <w:pPr>
              <w:spacing w:after="20"/>
            </w:pPr>
            <w:r>
              <w:rPr>
                <w:color w:val="1C3A36"/>
                <w:sz w:val="15"/>
              </w:rPr>
              <w:t>$168.3m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w:t>
            </w:r>
          </w:p>
        </w:tc>
      </w:tr>
      <w:tr>
        <w:trPr>
          <w:cantSplit/>
          <w:cantSplit/>
        </w:trPr>
        <w:tc>
          <w:tcPr>
            <w:tcW w:type="dxa" w:w="1728"/>
          </w:tcPr>
          <w:p>
            <w:pPr>
              <w:spacing w:after="20"/>
            </w:pPr>
            <w:r>
              <w:rPr>
                <w:color w:val="1C3A36"/>
                <w:sz w:val="15"/>
              </w:rPr>
              <w:t>capex fy25</w:t>
            </w:r>
          </w:p>
        </w:tc>
        <w:tc>
          <w:tcPr>
            <w:tcW w:type="dxa" w:w="1224"/>
          </w:tcPr>
          <w:p>
            <w:pPr>
              <w:spacing w:after="20"/>
            </w:pPr>
            <w:r>
              <w:rPr>
                <w:color w:val="1C3A36"/>
                <w:sz w:val="15"/>
              </w:rPr>
              <w:t>$191.3m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divsh fy25</w:t>
            </w:r>
          </w:p>
        </w:tc>
        <w:tc>
          <w:tcPr>
            <w:tcW w:type="dxa" w:w="1224"/>
          </w:tcPr>
          <w:p>
            <w:pPr>
              <w:spacing w:after="20"/>
            </w:pPr>
            <w:r>
              <w:rPr>
                <w:color w:val="1C3A36"/>
                <w:sz w:val="15"/>
              </w:rPr>
              <w:t>$250.0m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divnci fy25</w:t>
            </w:r>
          </w:p>
        </w:tc>
        <w:tc>
          <w:tcPr>
            <w:tcW w:type="dxa" w:w="1224"/>
          </w:tcPr>
          <w:p>
            <w:pPr>
              <w:spacing w:after="20"/>
            </w:pPr>
            <w:r>
              <w:rPr>
                <w:color w:val="1C3A36"/>
                <w:sz w:val="15"/>
              </w:rPr>
              <w:t>$61.3m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rev h1 26</w:t>
            </w:r>
          </w:p>
        </w:tc>
        <w:tc>
          <w:tcPr>
            <w:tcW w:type="dxa" w:w="1224"/>
          </w:tcPr>
          <w:p>
            <w:pPr>
              <w:spacing w:after="20"/>
            </w:pPr>
            <w:r>
              <w:rPr>
                <w:color w:val="1C3A36"/>
                <w:sz w:val="15"/>
              </w:rPr>
              <w:t>$2,001.0m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cogs h1 26</w:t>
            </w:r>
          </w:p>
        </w:tc>
        <w:tc>
          <w:tcPr>
            <w:tcW w:type="dxa" w:w="1224"/>
          </w:tcPr>
          <w:p>
            <w:pPr>
              <w:spacing w:after="20"/>
            </w:pPr>
            <w:r>
              <w:rPr>
                <w:color w:val="1C3A36"/>
                <w:sz w:val="15"/>
              </w:rPr>
              <w:t>$1,376.1m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sga h1 26</w:t>
            </w:r>
          </w:p>
        </w:tc>
        <w:tc>
          <w:tcPr>
            <w:tcW w:type="dxa" w:w="1224"/>
          </w:tcPr>
          <w:p>
            <w:pPr>
              <w:spacing w:after="20"/>
            </w:pPr>
            <w:r>
              <w:rPr>
                <w:color w:val="1C3A36"/>
                <w:sz w:val="15"/>
              </w:rPr>
              <w:t>$97.8m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dna h1 26</w:t>
            </w:r>
          </w:p>
        </w:tc>
        <w:tc>
          <w:tcPr>
            <w:tcW w:type="dxa" w:w="1224"/>
          </w:tcPr>
          <w:p>
            <w:pPr>
              <w:spacing w:after="20"/>
            </w:pPr>
            <w:r>
              <w:rPr>
                <w:color w:val="1C3A36"/>
                <w:sz w:val="15"/>
              </w:rPr>
              <w:t>$152.6m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op h1 26</w:t>
            </w:r>
          </w:p>
        </w:tc>
        <w:tc>
          <w:tcPr>
            <w:tcW w:type="dxa" w:w="1224"/>
          </w:tcPr>
          <w:p>
            <w:pPr>
              <w:spacing w:after="20"/>
            </w:pPr>
            <w:r>
              <w:rPr>
                <w:color w:val="1C3A36"/>
                <w:sz w:val="15"/>
              </w:rPr>
              <w:t>$527.1m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pbt h1 26</w:t>
            </w:r>
          </w:p>
        </w:tc>
        <w:tc>
          <w:tcPr>
            <w:tcW w:type="dxa" w:w="1224"/>
          </w:tcPr>
          <w:p>
            <w:pPr>
              <w:spacing w:after="20"/>
            </w:pPr>
            <w:r>
              <w:rPr>
                <w:color w:val="1C3A36"/>
                <w:sz w:val="15"/>
              </w:rPr>
              <w:t>$500.3m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npown h1 26</w:t>
            </w:r>
          </w:p>
        </w:tc>
        <w:tc>
          <w:tcPr>
            <w:tcW w:type="dxa" w:w="1224"/>
          </w:tcPr>
          <w:p>
            <w:pPr>
              <w:spacing w:after="20"/>
            </w:pPr>
            <w:r>
              <w:rPr>
                <w:color w:val="1C3A36"/>
                <w:sz w:val="15"/>
              </w:rPr>
              <w:t>$312.4m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netdebt h1 26</w:t>
            </w:r>
          </w:p>
        </w:tc>
        <w:tc>
          <w:tcPr>
            <w:tcW w:type="dxa" w:w="1224"/>
          </w:tcPr>
          <w:p>
            <w:pPr>
              <w:spacing w:after="20"/>
            </w:pPr>
            <w:r>
              <w:rPr>
                <w:color w:val="1C3A36"/>
                <w:sz w:val="15"/>
              </w:rPr>
              <w:t>$621.2m</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 and Fertiglobe plc, Condensed Consolidated Interim Financial Statements, six months ended 30-Jun-2026</w:t>
            </w:r>
          </w:p>
        </w:tc>
      </w:tr>
      <w:tr>
        <w:trPr>
          <w:cantSplit/>
          <w:cantSplit/>
        </w:trPr>
        <w:tc>
          <w:tcPr>
            <w:tcW w:type="dxa" w:w="1728"/>
          </w:tcPr>
          <w:p>
            <w:pPr>
              <w:spacing w:after="20"/>
            </w:pPr>
            <w:r>
              <w:rPr>
                <w:color w:val="1C3A36"/>
                <w:sz w:val="15"/>
              </w:rPr>
              <w:t>grossdebt h1 26</w:t>
            </w:r>
          </w:p>
        </w:tc>
        <w:tc>
          <w:tcPr>
            <w:tcW w:type="dxa" w:w="1224"/>
          </w:tcPr>
          <w:p>
            <w:pPr>
              <w:spacing w:after="20"/>
            </w:pPr>
            <w:r>
              <w:rPr>
                <w:color w:val="1C3A36"/>
                <w:sz w:val="15"/>
              </w:rPr>
              <w:t>$1,994.4m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cash h1 26</w:t>
            </w:r>
          </w:p>
        </w:tc>
        <w:tc>
          <w:tcPr>
            <w:tcW w:type="dxa" w:w="1224"/>
          </w:tcPr>
          <w:p>
            <w:pPr>
              <w:spacing w:after="20"/>
            </w:pPr>
            <w:r>
              <w:rPr>
                <w:color w:val="1C3A36"/>
                <w:sz w:val="15"/>
              </w:rPr>
              <w:t>$1,373.2m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inv h1 26</w:t>
            </w:r>
          </w:p>
        </w:tc>
        <w:tc>
          <w:tcPr>
            <w:tcW w:type="dxa" w:w="1224"/>
          </w:tcPr>
          <w:p>
            <w:pPr>
              <w:spacing w:after="20"/>
            </w:pPr>
            <w:r>
              <w:rPr>
                <w:color w:val="1C3A36"/>
                <w:sz w:val="15"/>
              </w:rPr>
              <w:t>$441.1m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recv h1 26</w:t>
            </w:r>
          </w:p>
        </w:tc>
        <w:tc>
          <w:tcPr>
            <w:tcW w:type="dxa" w:w="1224"/>
          </w:tcPr>
          <w:p>
            <w:pPr>
              <w:spacing w:after="20"/>
            </w:pPr>
            <w:r>
              <w:rPr>
                <w:color w:val="1C3A36"/>
                <w:sz w:val="15"/>
              </w:rPr>
              <w:t>$543.2m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pay h1 26</w:t>
            </w:r>
          </w:p>
        </w:tc>
        <w:tc>
          <w:tcPr>
            <w:tcW w:type="dxa" w:w="1224"/>
          </w:tcPr>
          <w:p>
            <w:pPr>
              <w:spacing w:after="20"/>
            </w:pPr>
            <w:r>
              <w:rPr>
                <w:color w:val="1C3A36"/>
                <w:sz w:val="15"/>
              </w:rPr>
              <w:t>$958.0m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eq h1 26</w:t>
            </w:r>
          </w:p>
        </w:tc>
        <w:tc>
          <w:tcPr>
            <w:tcW w:type="dxa" w:w="1224"/>
          </w:tcPr>
          <w:p>
            <w:pPr>
              <w:spacing w:after="20"/>
            </w:pPr>
            <w:r>
              <w:rPr>
                <w:color w:val="1C3A36"/>
                <w:sz w:val="15"/>
              </w:rPr>
              <w:t>$2,163.4m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ta h1 26</w:t>
            </w:r>
          </w:p>
        </w:tc>
        <w:tc>
          <w:tcPr>
            <w:tcW w:type="dxa" w:w="1224"/>
          </w:tcPr>
          <w:p>
            <w:pPr>
              <w:spacing w:after="20"/>
            </w:pPr>
            <w:r>
              <w:rPr>
                <w:color w:val="1C3A36"/>
                <w:sz w:val="15"/>
              </w:rPr>
              <w:t>$5,641.8m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sorfert accr fy23</w:t>
            </w:r>
          </w:p>
        </w:tc>
        <w:tc>
          <w:tcPr>
            <w:tcW w:type="dxa" w:w="1224"/>
          </w:tcPr>
          <w:p>
            <w:pPr>
              <w:spacing w:after="20"/>
            </w:pPr>
            <w:r>
              <w:rPr>
                <w:color w:val="1C3A36"/>
                <w:sz w:val="15"/>
              </w:rPr>
              <w:t>$7.2m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FY2024 (signed 18-Mar-2025) — accrued expenses note (2023 comparative)</w:t>
            </w:r>
          </w:p>
        </w:tc>
      </w:tr>
      <w:tr>
        <w:trPr>
          <w:cantSplit/>
          <w:cantSplit/>
        </w:trPr>
        <w:tc>
          <w:tcPr>
            <w:tcW w:type="dxa" w:w="1728"/>
          </w:tcPr>
          <w:p>
            <w:pPr>
              <w:spacing w:after="20"/>
            </w:pPr>
            <w:r>
              <w:rPr>
                <w:color w:val="1C3A36"/>
                <w:sz w:val="15"/>
              </w:rPr>
              <w:t>sorfert accr fy24</w:t>
            </w:r>
          </w:p>
        </w:tc>
        <w:tc>
          <w:tcPr>
            <w:tcW w:type="dxa" w:w="1224"/>
          </w:tcPr>
          <w:p>
            <w:pPr>
              <w:spacing w:after="20"/>
            </w:pPr>
            <w:r>
              <w:rPr>
                <w:color w:val="1C3A36"/>
                <w:sz w:val="15"/>
              </w:rPr>
              <w:t>$182.8m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FY2024 (signed 18-Mar-2025) — accrued expenses note; also a Key Audit Matter</w:t>
            </w:r>
          </w:p>
        </w:tc>
      </w:tr>
      <w:tr>
        <w:trPr>
          <w:cantSplit/>
          <w:cantSplit/>
        </w:trPr>
        <w:tc>
          <w:tcPr>
            <w:tcW w:type="dxa" w:w="1728"/>
          </w:tcPr>
          <w:p>
            <w:pPr>
              <w:spacing w:after="20"/>
            </w:pPr>
            <w:r>
              <w:rPr>
                <w:color w:val="1C3A36"/>
                <w:sz w:val="15"/>
              </w:rPr>
              <w:t>sorfert accr fy25</w:t>
            </w:r>
          </w:p>
        </w:tc>
        <w:tc>
          <w:tcPr>
            <w:tcW w:type="dxa" w:w="1224"/>
          </w:tcPr>
          <w:p>
            <w:pPr>
              <w:spacing w:after="20"/>
            </w:pPr>
            <w:r>
              <w:rPr>
                <w:color w:val="1C3A36"/>
                <w:sz w:val="15"/>
              </w:rPr>
              <w:t>$386.3m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accrued expenses note</w:t>
            </w:r>
          </w:p>
        </w:tc>
      </w:tr>
      <w:tr>
        <w:trPr>
          <w:cantSplit/>
          <w:cantSplit/>
        </w:trPr>
        <w:tc>
          <w:tcPr>
            <w:tcW w:type="dxa" w:w="1728"/>
          </w:tcPr>
          <w:p>
            <w:pPr>
              <w:spacing w:after="20"/>
            </w:pPr>
            <w:r>
              <w:rPr>
                <w:color w:val="1C3A36"/>
                <w:sz w:val="15"/>
              </w:rPr>
              <w:t>sorfert accr q1 26</w:t>
            </w:r>
          </w:p>
        </w:tc>
        <w:tc>
          <w:tcPr>
            <w:tcW w:type="dxa" w:w="1224"/>
          </w:tcPr>
          <w:p>
            <w:pPr>
              <w:spacing w:after="20"/>
            </w:pPr>
            <w:r>
              <w:rPr>
                <w:color w:val="1C3A36"/>
                <w:sz w:val="15"/>
              </w:rPr>
              <w:t>$422.4m</w:t>
            </w:r>
          </w:p>
        </w:tc>
        <w:tc>
          <w:tcPr>
            <w:tcW w:type="dxa" w:w="1080"/>
          </w:tcPr>
          <w:p>
            <w:pPr>
              <w:spacing w:after="20"/>
            </w:pPr>
            <w:r>
              <w:rPr>
                <w:color w:val="1C3A36"/>
                <w:sz w:val="15"/>
              </w:rPr>
              <w:t>2026-03-31</w:t>
            </w:r>
          </w:p>
        </w:tc>
        <w:tc>
          <w:tcPr>
            <w:tcW w:type="dxa" w:w="6048"/>
          </w:tcPr>
          <w:p>
            <w:pPr>
              <w:spacing w:after="20"/>
            </w:pPr>
            <w:r>
              <w:rPr>
                <w:color w:val="1C3A36"/>
                <w:sz w:val="15"/>
              </w:rPr>
              <w:t>Fertiglobe plc, Condensed Consolidated Interim Financial Statements, three months ended 31-Mar-2026</w:t>
            </w:r>
          </w:p>
        </w:tc>
      </w:tr>
      <w:tr>
        <w:trPr>
          <w:cantSplit/>
          <w:cantSplit/>
        </w:trPr>
        <w:tc>
          <w:tcPr>
            <w:tcW w:type="dxa" w:w="1728"/>
          </w:tcPr>
          <w:p>
            <w:pPr>
              <w:spacing w:after="20"/>
            </w:pPr>
            <w:r>
              <w:rPr>
                <w:color w:val="1C3A36"/>
                <w:sz w:val="15"/>
              </w:rPr>
              <w:t>sorfert accr h1 26</w:t>
            </w:r>
          </w:p>
        </w:tc>
        <w:tc>
          <w:tcPr>
            <w:tcW w:type="dxa" w:w="1224"/>
          </w:tcPr>
          <w:p>
            <w:pPr>
              <w:spacing w:after="20"/>
            </w:pPr>
            <w:r>
              <w:rPr>
                <w:color w:val="1C3A36"/>
                <w:sz w:val="15"/>
              </w:rPr>
              <w:t>$468.8m</w:t>
            </w:r>
          </w:p>
        </w:tc>
        <w:tc>
          <w:tcPr>
            <w:tcW w:type="dxa" w:w="1080"/>
          </w:tcPr>
          <w:p>
            <w:pPr>
              <w:spacing w:after="20"/>
            </w:pPr>
            <w:r>
              <w:rPr>
                <w:color w:val="1C3A36"/>
                <w:sz w:val="15"/>
              </w:rPr>
              <w:t>2026-06-30</w:t>
            </w:r>
          </w:p>
        </w:tc>
        <w:tc>
          <w:tcPr>
            <w:tcW w:type="dxa" w:w="6048"/>
          </w:tcPr>
          <w:p>
            <w:pPr>
              <w:spacing w:after="20"/>
            </w:pPr>
            <w:r>
              <w:rPr>
                <w:color w:val="1C3A36"/>
                <w:sz w:val="15"/>
              </w:rPr>
              <w:t>Fertiglobe plc, Condensed Consolidated Interim Financial Statements, six months ended 30-Jun-2026</w:t>
            </w:r>
          </w:p>
        </w:tc>
      </w:tr>
      <w:tr>
        <w:trPr>
          <w:cantSplit/>
          <w:cantSplit/>
        </w:trPr>
        <w:tc>
          <w:tcPr>
            <w:tcW w:type="dxa" w:w="1728"/>
          </w:tcPr>
          <w:p>
            <w:pPr>
              <w:spacing w:after="20"/>
            </w:pPr>
            <w:r>
              <w:rPr>
                <w:color w:val="1C3A36"/>
                <w:sz w:val="15"/>
              </w:rPr>
              <w:t>seg own rev fy24</w:t>
            </w:r>
          </w:p>
        </w:tc>
        <w:tc>
          <w:tcPr>
            <w:tcW w:type="dxa" w:w="1224"/>
          </w:tcPr>
          <w:p>
            <w:pPr>
              <w:spacing w:after="20"/>
            </w:pPr>
            <w:r>
              <w:rPr>
                <w:color w:val="1C3A36"/>
                <w:sz w:val="15"/>
              </w:rPr>
              <w:t>$1,896.2m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 segment note (FY2024 comparative)</w:t>
            </w:r>
          </w:p>
        </w:tc>
      </w:tr>
      <w:tr>
        <w:trPr>
          <w:cantSplit/>
          <w:cantSplit/>
        </w:trPr>
        <w:tc>
          <w:tcPr>
            <w:tcW w:type="dxa" w:w="1728"/>
          </w:tcPr>
          <w:p>
            <w:pPr>
              <w:spacing w:after="20"/>
            </w:pPr>
            <w:r>
              <w:rPr>
                <w:color w:val="1C3A36"/>
                <w:sz w:val="15"/>
              </w:rPr>
              <w:t>seg own rev fy25</w:t>
            </w:r>
          </w:p>
        </w:tc>
        <w:tc>
          <w:tcPr>
            <w:tcW w:type="dxa" w:w="1224"/>
          </w:tcPr>
          <w:p>
            <w:pPr>
              <w:spacing w:after="20"/>
            </w:pPr>
            <w:r>
              <w:rPr>
                <w:color w:val="1C3A36"/>
                <w:sz w:val="15"/>
              </w:rPr>
              <w:t>$2,332.4m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segment note</w:t>
            </w:r>
          </w:p>
        </w:tc>
      </w:tr>
      <w:tr>
        <w:trPr>
          <w:cantSplit/>
          <w:cantSplit/>
        </w:trPr>
        <w:tc>
          <w:tcPr>
            <w:tcW w:type="dxa" w:w="1728"/>
          </w:tcPr>
          <w:p>
            <w:pPr>
              <w:spacing w:after="20"/>
            </w:pPr>
            <w:r>
              <w:rPr>
                <w:color w:val="1C3A36"/>
                <w:sz w:val="15"/>
              </w:rPr>
              <w:t>seg own ebitda fy24</w:t>
            </w:r>
          </w:p>
        </w:tc>
        <w:tc>
          <w:tcPr>
            <w:tcW w:type="dxa" w:w="1224"/>
          </w:tcPr>
          <w:p>
            <w:pPr>
              <w:spacing w:after="20"/>
            </w:pPr>
            <w:r>
              <w:rPr>
                <w:color w:val="1C3A36"/>
                <w:sz w:val="15"/>
              </w:rPr>
              <w:t>$697.5m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 segment note, adjusted EBITDA (FY2024)</w:t>
            </w:r>
          </w:p>
        </w:tc>
      </w:tr>
      <w:tr>
        <w:trPr>
          <w:cantSplit/>
          <w:cantSplit/>
        </w:trPr>
        <w:tc>
          <w:tcPr>
            <w:tcW w:type="dxa" w:w="1728"/>
          </w:tcPr>
          <w:p>
            <w:pPr>
              <w:spacing w:after="20"/>
            </w:pPr>
            <w:r>
              <w:rPr>
                <w:color w:val="1C3A36"/>
                <w:sz w:val="15"/>
              </w:rPr>
              <w:t>seg own ebitda fy25</w:t>
            </w:r>
          </w:p>
        </w:tc>
        <w:tc>
          <w:tcPr>
            <w:tcW w:type="dxa" w:w="1224"/>
          </w:tcPr>
          <w:p>
            <w:pPr>
              <w:spacing w:after="20"/>
            </w:pPr>
            <w:r>
              <w:rPr>
                <w:color w:val="1C3A36"/>
                <w:sz w:val="15"/>
              </w:rPr>
              <w:t>$1,059.9m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segment note, adjusted EBITDA</w:t>
            </w:r>
          </w:p>
        </w:tc>
      </w:tr>
      <w:tr>
        <w:trPr>
          <w:cantSplit/>
          <w:cantSplit/>
        </w:trPr>
        <w:tc>
          <w:tcPr>
            <w:tcW w:type="dxa" w:w="1728"/>
          </w:tcPr>
          <w:p>
            <w:pPr>
              <w:spacing w:after="20"/>
            </w:pPr>
            <w:r>
              <w:rPr>
                <w:color w:val="1C3A36"/>
                <w:sz w:val="15"/>
              </w:rPr>
              <w:t>seg 3p rev fy24</w:t>
            </w:r>
          </w:p>
        </w:tc>
        <w:tc>
          <w:tcPr>
            <w:tcW w:type="dxa" w:w="1224"/>
          </w:tcPr>
          <w:p>
            <w:pPr>
              <w:spacing w:after="20"/>
            </w:pPr>
            <w:r>
              <w:rPr>
                <w:color w:val="1C3A36"/>
                <w:sz w:val="15"/>
              </w:rPr>
              <w:t>$113.0m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 segment note (FY2024)</w:t>
            </w:r>
          </w:p>
        </w:tc>
      </w:tr>
      <w:tr>
        <w:trPr>
          <w:cantSplit/>
          <w:cantSplit/>
        </w:trPr>
        <w:tc>
          <w:tcPr>
            <w:tcW w:type="dxa" w:w="1728"/>
          </w:tcPr>
          <w:p>
            <w:pPr>
              <w:spacing w:after="20"/>
            </w:pPr>
            <w:r>
              <w:rPr>
                <w:color w:val="1C3A36"/>
                <w:sz w:val="15"/>
              </w:rPr>
              <w:t>seg 3p rev fy25</w:t>
            </w:r>
          </w:p>
        </w:tc>
        <w:tc>
          <w:tcPr>
            <w:tcW w:type="dxa" w:w="1224"/>
          </w:tcPr>
          <w:p>
            <w:pPr>
              <w:spacing w:after="20"/>
            </w:pPr>
            <w:r>
              <w:rPr>
                <w:color w:val="1C3A36"/>
                <w:sz w:val="15"/>
              </w:rPr>
              <w:t>$495.0m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segment note</w:t>
            </w:r>
          </w:p>
        </w:tc>
      </w:tr>
      <w:tr>
        <w:trPr>
          <w:cantSplit/>
          <w:cantSplit/>
        </w:trPr>
        <w:tc>
          <w:tcPr>
            <w:tcW w:type="dxa" w:w="1728"/>
          </w:tcPr>
          <w:p>
            <w:pPr>
              <w:spacing w:after="20"/>
            </w:pPr>
            <w:r>
              <w:rPr>
                <w:color w:val="1C3A36"/>
                <w:sz w:val="15"/>
              </w:rPr>
              <w:t>seg 3p ebitda fy24</w:t>
            </w:r>
          </w:p>
        </w:tc>
        <w:tc>
          <w:tcPr>
            <w:tcW w:type="dxa" w:w="1224"/>
          </w:tcPr>
          <w:p>
            <w:pPr>
              <w:spacing w:after="20"/>
            </w:pPr>
            <w:r>
              <w:rPr>
                <w:color w:val="1C3A36"/>
                <w:sz w:val="15"/>
              </w:rPr>
              <w:t>$2.1m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seg 3p ebitda fy25</w:t>
            </w:r>
          </w:p>
        </w:tc>
        <w:tc>
          <w:tcPr>
            <w:tcW w:type="dxa" w:w="1224"/>
          </w:tcPr>
          <w:p>
            <w:pPr>
              <w:spacing w:after="20"/>
            </w:pPr>
            <w:r>
              <w:rPr>
                <w:color w:val="1C3A36"/>
                <w:sz w:val="15"/>
              </w:rPr>
              <w:t>$19.0m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seg oth ebitda fy24</w:t>
            </w:r>
          </w:p>
        </w:tc>
        <w:tc>
          <w:tcPr>
            <w:tcW w:type="dxa" w:w="1224"/>
          </w:tcPr>
          <w:p>
            <w:pPr>
              <w:spacing w:after="20"/>
            </w:pPr>
            <w:r>
              <w:rPr>
                <w:color w:val="1C3A36"/>
                <w:sz w:val="15"/>
              </w:rPr>
              <w:t>-$51.7m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seg oth ebitda fy25</w:t>
            </w:r>
          </w:p>
        </w:tc>
        <w:tc>
          <w:tcPr>
            <w:tcW w:type="dxa" w:w="1224"/>
          </w:tcPr>
          <w:p>
            <w:pPr>
              <w:spacing w:after="20"/>
            </w:pPr>
            <w:r>
              <w:rPr>
                <w:color w:val="1C3A36"/>
                <w:sz w:val="15"/>
              </w:rPr>
              <w:t>-$58.5m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cost raw fy25</w:t>
            </w:r>
          </w:p>
        </w:tc>
        <w:tc>
          <w:tcPr>
            <w:tcW w:type="dxa" w:w="1224"/>
          </w:tcPr>
          <w:p>
            <w:pPr>
              <w:spacing w:after="20"/>
            </w:pPr>
            <w:r>
              <w:rPr>
                <w:color w:val="1C3A36"/>
                <w:sz w:val="15"/>
              </w:rPr>
              <w:t>$1,310.0m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expenses by nature: raw materials 1,071.1 + related party 238.9</w:t>
            </w:r>
          </w:p>
        </w:tc>
      </w:tr>
      <w:tr>
        <w:trPr>
          <w:cantSplit/>
          <w:cantSplit/>
        </w:trPr>
        <w:tc>
          <w:tcPr>
            <w:tcW w:type="dxa" w:w="1728"/>
          </w:tcPr>
          <w:p>
            <w:pPr>
              <w:spacing w:after="20"/>
            </w:pPr>
            <w:r>
              <w:rPr>
                <w:color w:val="1C3A36"/>
                <w:sz w:val="15"/>
              </w:rPr>
              <w:t>cost freight fy25</w:t>
            </w:r>
          </w:p>
        </w:tc>
        <w:tc>
          <w:tcPr>
            <w:tcW w:type="dxa" w:w="1224"/>
          </w:tcPr>
          <w:p>
            <w:pPr>
              <w:spacing w:after="20"/>
            </w:pPr>
            <w:r>
              <w:rPr>
                <w:color w:val="1C3A36"/>
                <w:sz w:val="15"/>
              </w:rPr>
              <w:t>$134.8m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expenses by nature, freight costs</w:t>
            </w:r>
          </w:p>
        </w:tc>
      </w:tr>
      <w:tr>
        <w:trPr>
          <w:cantSplit/>
          <w:cantSplit/>
        </w:trPr>
        <w:tc>
          <w:tcPr>
            <w:tcW w:type="dxa" w:w="1728"/>
          </w:tcPr>
          <w:p>
            <w:pPr>
              <w:spacing w:after="20"/>
            </w:pPr>
            <w:r>
              <w:rPr>
                <w:color w:val="1C3A36"/>
                <w:sz w:val="15"/>
              </w:rPr>
              <w:t>cost staff fy25</w:t>
            </w:r>
          </w:p>
        </w:tc>
        <w:tc>
          <w:tcPr>
            <w:tcW w:type="dxa" w:w="1224"/>
          </w:tcPr>
          <w:p>
            <w:pPr>
              <w:spacing w:after="20"/>
            </w:pPr>
            <w:r>
              <w:rPr>
                <w:color w:val="1C3A36"/>
                <w:sz w:val="15"/>
              </w:rPr>
              <w:t>$254.6m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employee benefit expenses</w:t>
            </w:r>
          </w:p>
        </w:tc>
      </w:tr>
      <w:tr>
        <w:trPr>
          <w:cantSplit/>
          <w:cantSplit/>
        </w:trPr>
        <w:tc>
          <w:tcPr>
            <w:tcW w:type="dxa" w:w="1728"/>
          </w:tcPr>
          <w:p>
            <w:pPr>
              <w:spacing w:after="20"/>
            </w:pPr>
            <w:r>
              <w:rPr>
                <w:color w:val="1C3A36"/>
                <w:sz w:val="15"/>
              </w:rPr>
              <w:t>cost maint fy25</w:t>
            </w:r>
          </w:p>
        </w:tc>
        <w:tc>
          <w:tcPr>
            <w:tcW w:type="dxa" w:w="1224"/>
          </w:tcPr>
          <w:p>
            <w:pPr>
              <w:spacing w:after="20"/>
            </w:pPr>
            <w:r>
              <w:rPr>
                <w:color w:val="1C3A36"/>
                <w:sz w:val="15"/>
              </w:rPr>
              <w:t>$35.3m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maintenance and repair</w:t>
            </w:r>
          </w:p>
        </w:tc>
      </w:tr>
      <w:tr>
        <w:trPr>
          <w:cantSplit/>
          <w:cantSplit/>
        </w:trPr>
        <w:tc>
          <w:tcPr>
            <w:tcW w:type="dxa" w:w="1728"/>
          </w:tcPr>
          <w:p>
            <w:pPr>
              <w:spacing w:after="20"/>
            </w:pPr>
            <w:r>
              <w:rPr>
                <w:color w:val="1C3A36"/>
                <w:sz w:val="15"/>
              </w:rPr>
              <w:t>cost consult fy25</w:t>
            </w:r>
          </w:p>
        </w:tc>
        <w:tc>
          <w:tcPr>
            <w:tcW w:type="dxa" w:w="1224"/>
          </w:tcPr>
          <w:p>
            <w:pPr>
              <w:spacing w:after="20"/>
            </w:pPr>
            <w:r>
              <w:rPr>
                <w:color w:val="1C3A36"/>
                <w:sz w:val="15"/>
              </w:rPr>
              <w:t>$27.9m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consultancy expenses</w:t>
            </w:r>
          </w:p>
        </w:tc>
      </w:tr>
      <w:tr>
        <w:trPr>
          <w:cantSplit/>
          <w:cantSplit/>
        </w:trPr>
        <w:tc>
          <w:tcPr>
            <w:tcW w:type="dxa" w:w="1728"/>
          </w:tcPr>
          <w:p>
            <w:pPr>
              <w:spacing w:after="20"/>
            </w:pPr>
            <w:r>
              <w:rPr>
                <w:color w:val="1C3A36"/>
                <w:sz w:val="15"/>
              </w:rPr>
              <w:t>cost other fy25</w:t>
            </w:r>
          </w:p>
        </w:tc>
        <w:tc>
          <w:tcPr>
            <w:tcW w:type="dxa" w:w="1224"/>
          </w:tcPr>
          <w:p>
            <w:pPr>
              <w:spacing w:after="20"/>
            </w:pPr>
            <w:r>
              <w:rPr>
                <w:color w:val="1C3A36"/>
                <w:sz w:val="15"/>
              </w:rPr>
              <w:t>$39.9m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other</w:t>
            </w:r>
          </w:p>
        </w:tc>
      </w:tr>
      <w:tr>
        <w:trPr>
          <w:cantSplit/>
          <w:cantSplit/>
        </w:trPr>
        <w:tc>
          <w:tcPr>
            <w:tcW w:type="dxa" w:w="1728"/>
          </w:tcPr>
          <w:p>
            <w:pPr>
              <w:spacing w:after="20"/>
            </w:pPr>
            <w:r>
              <w:rPr>
                <w:color w:val="1C3A36"/>
                <w:sz w:val="15"/>
              </w:rPr>
              <w:t>tax eff fy23</w:t>
            </w:r>
          </w:p>
        </w:tc>
        <w:tc>
          <w:tcPr>
            <w:tcW w:type="dxa" w:w="1224"/>
          </w:tcPr>
          <w:p>
            <w:pPr>
              <w:spacing w:after="20"/>
            </w:pPr>
            <w:r>
              <w:rPr>
                <w:color w:val="1C3A36"/>
                <w:sz w:val="15"/>
              </w:rPr>
              <w:t>14%</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 — income tax 82.4 on profit before tax 587.4</w:t>
            </w:r>
          </w:p>
        </w:tc>
      </w:tr>
      <w:tr>
        <w:trPr>
          <w:cantSplit/>
          <w:cantSplit/>
        </w:trPr>
        <w:tc>
          <w:tcPr>
            <w:tcW w:type="dxa" w:w="1728"/>
          </w:tcPr>
          <w:p>
            <w:pPr>
              <w:spacing w:after="20"/>
            </w:pPr>
            <w:r>
              <w:rPr>
                <w:color w:val="1C3A36"/>
                <w:sz w:val="15"/>
              </w:rPr>
              <w:t>tax eff fy24</w:t>
            </w:r>
          </w:p>
        </w:tc>
        <w:tc>
          <w:tcPr>
            <w:tcW w:type="dxa" w:w="1224"/>
          </w:tcPr>
          <w:p>
            <w:pPr>
              <w:spacing w:after="20"/>
            </w:pPr>
            <w:r>
              <w:rPr>
                <w:color w:val="1C3A36"/>
                <w:sz w:val="15"/>
              </w:rPr>
              <w:t>7%</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 stated effective tax rate (FY2024)</w:t>
            </w:r>
          </w:p>
        </w:tc>
      </w:tr>
      <w:tr>
        <w:trPr>
          <w:cantSplit/>
          <w:cantSplit/>
        </w:trPr>
        <w:tc>
          <w:tcPr>
            <w:tcW w:type="dxa" w:w="1728"/>
          </w:tcPr>
          <w:p>
            <w:pPr>
              <w:spacing w:after="20"/>
            </w:pPr>
            <w:r>
              <w:rPr>
                <w:color w:val="1C3A36"/>
                <w:sz w:val="15"/>
              </w:rPr>
              <w:t>tax eff fy25</w:t>
            </w:r>
          </w:p>
        </w:tc>
        <w:tc>
          <w:tcPr>
            <w:tcW w:type="dxa" w:w="1224"/>
          </w:tcPr>
          <w:p>
            <w:pPr>
              <w:spacing w:after="20"/>
            </w:pPr>
            <w:r>
              <w:rPr>
                <w:color w:val="1C3A36"/>
                <w:sz w:val="15"/>
              </w:rPr>
              <w:t>4%</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stated effective tax rate</w:t>
            </w:r>
          </w:p>
        </w:tc>
      </w:tr>
      <w:tr>
        <w:trPr>
          <w:cantSplit/>
          <w:cantSplit/>
        </w:trPr>
        <w:tc>
          <w:tcPr>
            <w:tcW w:type="dxa" w:w="1728"/>
          </w:tcPr>
          <w:p>
            <w:pPr>
              <w:spacing w:after="20"/>
            </w:pPr>
            <w:r>
              <w:rPr>
                <w:color w:val="1C3A36"/>
                <w:sz w:val="15"/>
              </w:rPr>
              <w:t>tax paid fy23</w:t>
            </w:r>
          </w:p>
        </w:tc>
        <w:tc>
          <w:tcPr>
            <w:tcW w:type="dxa" w:w="1224"/>
          </w:tcPr>
          <w:p>
            <w:pPr>
              <w:spacing w:after="20"/>
            </w:pPr>
            <w:r>
              <w:rPr>
                <w:color w:val="1C3A36"/>
                <w:sz w:val="15"/>
              </w:rPr>
              <w:t>$67.4m</w:t>
            </w:r>
          </w:p>
        </w:tc>
        <w:tc>
          <w:tcPr>
            <w:tcW w:type="dxa" w:w="1080"/>
          </w:tcPr>
          <w:p>
            <w:pPr>
              <w:spacing w:after="20"/>
            </w:pPr>
            <w:r>
              <w:rPr>
                <w:color w:val="1C3A36"/>
                <w:sz w:val="15"/>
              </w:rPr>
              <w:t>2023-12-31</w:t>
            </w:r>
          </w:p>
        </w:tc>
        <w:tc>
          <w:tcPr>
            <w:tcW w:type="dxa" w:w="6048"/>
          </w:tcPr>
          <w:p>
            <w:pPr>
              <w:spacing w:after="20"/>
            </w:pPr>
            <w:r>
              <w:rPr>
                <w:color w:val="1C3A36"/>
                <w:sz w:val="15"/>
              </w:rPr>
              <w:t>Fertiglobe plc, Consolidated Financial Statements FY2023 (signed) — income taxes paid</w:t>
            </w:r>
          </w:p>
        </w:tc>
      </w:tr>
      <w:tr>
        <w:trPr>
          <w:cantSplit/>
          <w:cantSplit/>
        </w:trPr>
        <w:tc>
          <w:tcPr>
            <w:tcW w:type="dxa" w:w="1728"/>
          </w:tcPr>
          <w:p>
            <w:pPr>
              <w:spacing w:after="20"/>
            </w:pPr>
            <w:r>
              <w:rPr>
                <w:color w:val="1C3A36"/>
                <w:sz w:val="15"/>
              </w:rPr>
              <w:t>tax paid fy24</w:t>
            </w:r>
          </w:p>
        </w:tc>
        <w:tc>
          <w:tcPr>
            <w:tcW w:type="dxa" w:w="1224"/>
          </w:tcPr>
          <w:p>
            <w:pPr>
              <w:spacing w:after="20"/>
            </w:pPr>
            <w:r>
              <w:rPr>
                <w:color w:val="1C3A36"/>
                <w:sz w:val="15"/>
              </w:rPr>
              <w:t>$56.7m</w:t>
            </w:r>
          </w:p>
        </w:tc>
        <w:tc>
          <w:tcPr>
            <w:tcW w:type="dxa" w:w="1080"/>
          </w:tcPr>
          <w:p>
            <w:pPr>
              <w:spacing w:after="20"/>
            </w:pPr>
            <w:r>
              <w:rPr>
                <w:color w:val="1C3A36"/>
                <w:sz w:val="15"/>
              </w:rPr>
              <w:t>2024-12-31</w:t>
            </w:r>
          </w:p>
        </w:tc>
        <w:tc>
          <w:tcPr>
            <w:tcW w:type="dxa" w:w="6048"/>
          </w:tcPr>
          <w:p>
            <w:pPr>
              <w:spacing w:after="20"/>
            </w:pPr>
            <w:r>
              <w:rPr>
                <w:color w:val="1C3A36"/>
                <w:sz w:val="15"/>
              </w:rPr>
              <w:t>Fertiglobe plc, Consolidated Financial Statements FY2025 (PwC-signed 4-Mar-2026) (FY2024 comparative)</w:t>
            </w:r>
          </w:p>
        </w:tc>
      </w:tr>
      <w:tr>
        <w:trPr>
          <w:cantSplit/>
          <w:cantSplit/>
        </w:trPr>
        <w:tc>
          <w:tcPr>
            <w:tcW w:type="dxa" w:w="1728"/>
          </w:tcPr>
          <w:p>
            <w:pPr>
              <w:spacing w:after="20"/>
            </w:pPr>
            <w:r>
              <w:rPr>
                <w:color w:val="1C3A36"/>
                <w:sz w:val="15"/>
              </w:rPr>
              <w:t>tax paid fy25</w:t>
            </w:r>
          </w:p>
        </w:tc>
        <w:tc>
          <w:tcPr>
            <w:tcW w:type="dxa" w:w="1224"/>
          </w:tcPr>
          <w:p>
            <w:pPr>
              <w:spacing w:after="20"/>
            </w:pPr>
            <w:r>
              <w:rPr>
                <w:color w:val="1C3A36"/>
                <w:sz w:val="15"/>
              </w:rPr>
              <w:t>$205.1m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tax paid fy22</w:t>
            </w:r>
          </w:p>
        </w:tc>
        <w:tc>
          <w:tcPr>
            <w:tcW w:type="dxa" w:w="1224"/>
          </w:tcPr>
          <w:p>
            <w:pPr>
              <w:spacing w:after="20"/>
            </w:pPr>
            <w:r>
              <w:rPr>
                <w:color w:val="1C3A36"/>
                <w:sz w:val="15"/>
              </w:rPr>
              <w:t>$217.5m</w:t>
            </w:r>
          </w:p>
        </w:tc>
        <w:tc>
          <w:tcPr>
            <w:tcW w:type="dxa" w:w="1080"/>
          </w:tcPr>
          <w:p>
            <w:pPr>
              <w:spacing w:after="20"/>
            </w:pPr>
            <w:r>
              <w:rPr>
                <w:color w:val="1C3A36"/>
                <w:sz w:val="15"/>
              </w:rPr>
              <w:t>2022-12-31</w:t>
            </w:r>
          </w:p>
        </w:tc>
        <w:tc>
          <w:tcPr>
            <w:tcW w:type="dxa" w:w="6048"/>
          </w:tcPr>
          <w:p>
            <w:pPr>
              <w:spacing w:after="20"/>
            </w:pPr>
            <w:r>
              <w:rPr>
                <w:color w:val="1C3A36"/>
                <w:sz w:val="15"/>
              </w:rPr>
              <w:t>Fertiglobe plc, Consolidated Financial Statements FY2023 (signed) (FY2022 comparative)</w:t>
            </w:r>
          </w:p>
        </w:tc>
      </w:tr>
      <w:tr>
        <w:trPr>
          <w:cantSplit/>
          <w:cantSplit/>
        </w:trPr>
        <w:tc>
          <w:tcPr>
            <w:tcW w:type="dxa" w:w="1728"/>
          </w:tcPr>
          <w:p>
            <w:pPr>
              <w:spacing w:after="20"/>
            </w:pPr>
            <w:r>
              <w:rPr>
                <w:color w:val="1C3A36"/>
                <w:sz w:val="15"/>
              </w:rPr>
              <w:t>pbt fy22</w:t>
            </w:r>
          </w:p>
        </w:tc>
        <w:tc>
          <w:tcPr>
            <w:tcW w:type="dxa" w:w="1224"/>
          </w:tcPr>
          <w:p>
            <w:pPr>
              <w:spacing w:after="20"/>
            </w:pPr>
            <w:r>
              <w:rPr>
                <w:color w:val="1C3A36"/>
                <w:sz w:val="15"/>
              </w:rPr>
              <w:t>$2,059.6m</w:t>
            </w:r>
          </w:p>
        </w:tc>
        <w:tc>
          <w:tcPr>
            <w:tcW w:type="dxa" w:w="1080"/>
          </w:tcPr>
          <w:p>
            <w:pPr>
              <w:spacing w:after="20"/>
            </w:pPr>
            <w:r>
              <w:rPr>
                <w:color w:val="1C3A36"/>
                <w:sz w:val="15"/>
              </w:rPr>
              <w:t>2022-12-31</w:t>
            </w:r>
          </w:p>
        </w:tc>
        <w:tc>
          <w:tcPr>
            <w:tcW w:type="dxa" w:w="6048"/>
          </w:tcPr>
          <w:p>
            <w:pPr>
              <w:spacing w:after="20"/>
            </w:pPr>
            <w:r>
              <w:rPr>
                <w:color w:val="1C3A36"/>
                <w:sz w:val="15"/>
              </w:rPr>
              <w:t>Fertiglobe plc, Consolidated Financial Statements FY2023 (signed) (FY2022 comparative)</w:t>
            </w:r>
          </w:p>
        </w:tc>
      </w:tr>
      <w:tr>
        <w:trPr>
          <w:cantSplit/>
          <w:cantSplit/>
        </w:trPr>
        <w:tc>
          <w:tcPr>
            <w:tcW w:type="dxa" w:w="1728"/>
          </w:tcPr>
          <w:p>
            <w:pPr>
              <w:spacing w:after="20"/>
            </w:pPr>
            <w:r>
              <w:rPr>
                <w:color w:val="1C3A36"/>
                <w:sz w:val="15"/>
              </w:rPr>
              <w:t>nci pct sorfert</w:t>
            </w:r>
          </w:p>
        </w:tc>
        <w:tc>
          <w:tcPr>
            <w:tcW w:type="dxa" w:w="1224"/>
          </w:tcPr>
          <w:p>
            <w:pPr>
              <w:spacing w:after="20"/>
            </w:pPr>
            <w:r>
              <w:rPr>
                <w:color w:val="1C3A36"/>
                <w:sz w:val="15"/>
              </w:rPr>
              <w:t>$0.5m</w:t>
            </w:r>
          </w:p>
        </w:tc>
        <w:tc>
          <w:tcPr>
            <w:tcW w:type="dxa" w:w="1080"/>
          </w:tcPr>
          <w:p>
            <w:pPr>
              <w:spacing w:after="20"/>
            </w:pPr>
            <w:r>
              <w:rPr>
                <w:color w:val="1C3A36"/>
                <w:sz w:val="15"/>
              </w:rPr>
              <w:t>2025-12-31</w:t>
            </w:r>
          </w:p>
        </w:tc>
        <w:tc>
          <w:tcPr>
            <w:tcW w:type="dxa" w:w="6048"/>
          </w:tcPr>
          <w:p>
            <w:pPr>
              <w:spacing w:after="20"/>
            </w:pPr>
            <w:r>
              <w:rPr>
                <w:color w:val="1C3A36"/>
                <w:sz w:val="15"/>
              </w:rPr>
              <w:t>Fertiglobe plc, Annual Report 2025, note 15 (non-controlling interests) — Sorfert Algeria SpA</w:t>
            </w:r>
          </w:p>
        </w:tc>
      </w:tr>
      <w:tr>
        <w:trPr>
          <w:cantSplit/>
          <w:cantSplit/>
        </w:trPr>
        <w:tc>
          <w:tcPr>
            <w:tcW w:type="dxa" w:w="1728"/>
          </w:tcPr>
          <w:p>
            <w:pPr>
              <w:spacing w:after="20"/>
            </w:pPr>
            <w:r>
              <w:rPr>
                <w:color w:val="1C3A36"/>
                <w:sz w:val="15"/>
              </w:rPr>
              <w:t>nci pct ebic</w:t>
            </w:r>
          </w:p>
        </w:tc>
        <w:tc>
          <w:tcPr>
            <w:tcW w:type="dxa" w:w="1224"/>
          </w:tcPr>
          <w:p>
            <w:pPr>
              <w:spacing w:after="20"/>
            </w:pPr>
            <w:r>
              <w:rPr>
                <w:color w:val="1C3A36"/>
                <w:sz w:val="15"/>
              </w:rPr>
              <w:t>$0.2m</w:t>
            </w:r>
          </w:p>
        </w:tc>
        <w:tc>
          <w:tcPr>
            <w:tcW w:type="dxa" w:w="1080"/>
          </w:tcPr>
          <w:p>
            <w:pPr>
              <w:spacing w:after="20"/>
            </w:pPr>
            <w:r>
              <w:rPr>
                <w:color w:val="1C3A36"/>
                <w:sz w:val="15"/>
              </w:rPr>
              <w:t>2025-12-31</w:t>
            </w:r>
          </w:p>
        </w:tc>
        <w:tc>
          <w:tcPr>
            <w:tcW w:type="dxa" w:w="6048"/>
          </w:tcPr>
          <w:p>
            <w:pPr>
              <w:spacing w:after="20"/>
            </w:pPr>
            <w:r>
              <w:rPr>
                <w:color w:val="1C3A36"/>
                <w:sz w:val="15"/>
              </w:rPr>
              <w:t>Fertiglobe plc, Annual Report 2025, note 15 (non-controlling interests) — Egyptian Basic Industries Corporation</w:t>
            </w:r>
          </w:p>
        </w:tc>
      </w:tr>
      <w:tr>
        <w:trPr>
          <w:cantSplit/>
          <w:cantSplit/>
        </w:trPr>
        <w:tc>
          <w:tcPr>
            <w:tcW w:type="dxa" w:w="1728"/>
          </w:tcPr>
          <w:p>
            <w:pPr>
              <w:spacing w:after="20"/>
            </w:pPr>
            <w:r>
              <w:rPr>
                <w:color w:val="1C3A36"/>
                <w:sz w:val="15"/>
              </w:rPr>
              <w:t>w egypt</w:t>
            </w:r>
          </w:p>
        </w:tc>
        <w:tc>
          <w:tcPr>
            <w:tcW w:type="dxa" w:w="1224"/>
          </w:tcPr>
          <w:p>
            <w:pPr>
              <w:spacing w:after="20"/>
            </w:pPr>
            <w:r>
              <w:rPr>
                <w:color w:val="1C3A36"/>
                <w:sz w:val="15"/>
              </w:rPr>
              <w:t>31.1%</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'non-current assets in individual foreign countries are 31.1% in Egypt'</w:t>
            </w:r>
          </w:p>
        </w:tc>
      </w:tr>
      <w:tr>
        <w:trPr>
          <w:cantSplit/>
          <w:cantSplit/>
        </w:trPr>
        <w:tc>
          <w:tcPr>
            <w:tcW w:type="dxa" w:w="1728"/>
          </w:tcPr>
          <w:p>
            <w:pPr>
              <w:spacing w:after="20"/>
            </w:pPr>
            <w:r>
              <w:rPr>
                <w:color w:val="1C3A36"/>
                <w:sz w:val="15"/>
              </w:rPr>
              <w:t>w algeria</w:t>
            </w:r>
          </w:p>
        </w:tc>
        <w:tc>
          <w:tcPr>
            <w:tcW w:type="dxa" w:w="1224"/>
          </w:tcPr>
          <w:p>
            <w:pPr>
              <w:spacing w:after="20"/>
            </w:pPr>
            <w:r>
              <w:rPr>
                <w:color w:val="1C3A36"/>
                <w:sz w:val="15"/>
              </w:rPr>
              <w:t>16.1%</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'16.1% in Algeria'</w:t>
            </w:r>
          </w:p>
        </w:tc>
      </w:tr>
      <w:tr>
        <w:trPr>
          <w:cantSplit/>
          <w:cantSplit/>
        </w:trPr>
        <w:tc>
          <w:tcPr>
            <w:tcW w:type="dxa" w:w="1728"/>
          </w:tcPr>
          <w:p>
            <w:pPr>
              <w:spacing w:after="20"/>
            </w:pPr>
            <w:r>
              <w:rPr>
                <w:color w:val="1C3A36"/>
                <w:sz w:val="15"/>
              </w:rPr>
              <w:t>nca middle east</w:t>
            </w:r>
          </w:p>
        </w:tc>
        <w:tc>
          <w:tcPr>
            <w:tcW w:type="dxa" w:w="1224"/>
          </w:tcPr>
          <w:p>
            <w:pPr>
              <w:spacing w:after="20"/>
            </w:pPr>
            <w:r>
              <w:rPr>
                <w:color w:val="1C3A36"/>
                <w:sz w:val="15"/>
              </w:rPr>
              <w:t>$2,769.5m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geographical information, non-current assets</w:t>
            </w:r>
          </w:p>
        </w:tc>
      </w:tr>
      <w:tr>
        <w:trPr>
          <w:cantSplit/>
          <w:cantSplit/>
        </w:trPr>
        <w:tc>
          <w:tcPr>
            <w:tcW w:type="dxa" w:w="1728"/>
          </w:tcPr>
          <w:p>
            <w:pPr>
              <w:spacing w:after="20"/>
            </w:pPr>
            <w:r>
              <w:rPr>
                <w:color w:val="1C3A36"/>
                <w:sz w:val="15"/>
              </w:rPr>
              <w:t>nca total</w:t>
            </w:r>
          </w:p>
        </w:tc>
        <w:tc>
          <w:tcPr>
            <w:tcW w:type="dxa" w:w="1224"/>
          </w:tcPr>
          <w:p>
            <w:pPr>
              <w:spacing w:after="20"/>
            </w:pPr>
            <w:r>
              <w:rPr>
                <w:color w:val="1C3A36"/>
                <w:sz w:val="15"/>
              </w:rPr>
              <w:t>$3,385.8m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w:t>
            </w:r>
          </w:p>
        </w:tc>
      </w:tr>
      <w:tr>
        <w:trPr>
          <w:cantSplit/>
          <w:cantSplit/>
        </w:trPr>
        <w:tc>
          <w:tcPr>
            <w:tcW w:type="dxa" w:w="1728"/>
          </w:tcPr>
          <w:p>
            <w:pPr>
              <w:spacing w:after="20"/>
            </w:pPr>
            <w:r>
              <w:rPr>
                <w:color w:val="1C3A36"/>
                <w:sz w:val="15"/>
              </w:rPr>
              <w:t>nca other regions</w:t>
            </w:r>
          </w:p>
        </w:tc>
        <w:tc>
          <w:tcPr>
            <w:tcW w:type="dxa" w:w="1224"/>
          </w:tcPr>
          <w:p>
            <w:pPr>
              <w:spacing w:after="20"/>
            </w:pPr>
            <w:r>
              <w:rPr>
                <w:color w:val="1C3A36"/>
                <w:sz w:val="15"/>
              </w:rPr>
              <w:t>$65.2m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Europe 14.2 + North America 2.1 + Asia and Oceania 48.9</w:t>
            </w:r>
          </w:p>
        </w:tc>
      </w:tr>
      <w:tr>
        <w:trPr>
          <w:cantSplit/>
          <w:cantSplit/>
        </w:trPr>
        <w:tc>
          <w:tcPr>
            <w:tcW w:type="dxa" w:w="1728"/>
          </w:tcPr>
          <w:p>
            <w:pPr>
              <w:spacing w:after="20"/>
            </w:pPr>
            <w:r>
              <w:rPr>
                <w:color w:val="1C3A36"/>
                <w:sz w:val="15"/>
              </w:rPr>
              <w:t>kd spread facility bc</w:t>
            </w:r>
          </w:p>
        </w:tc>
        <w:tc>
          <w:tcPr>
            <w:tcW w:type="dxa" w:w="1224"/>
          </w:tcPr>
          <w:p>
            <w:pPr>
              <w:spacing w:after="20"/>
            </w:pPr>
            <w:r>
              <w:rPr>
                <w:color w:val="1C3A36"/>
                <w:sz w:val="15"/>
              </w:rPr>
              <w:t>0.9%</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Facilities B ($600m) and C ($500m), SOFR + 0.90%, spread renegotiated down from 150/140bps during 2025</w:t>
            </w:r>
          </w:p>
        </w:tc>
      </w:tr>
      <w:tr>
        <w:trPr>
          <w:cantSplit/>
          <w:cantSplit/>
        </w:trPr>
        <w:tc>
          <w:tcPr>
            <w:tcW w:type="dxa" w:w="1728"/>
          </w:tcPr>
          <w:p>
            <w:pPr>
              <w:spacing w:after="20"/>
            </w:pPr>
            <w:r>
              <w:rPr>
                <w:color w:val="1C3A36"/>
                <w:sz w:val="15"/>
              </w:rPr>
              <w:t>kd spread adnoc</w:t>
            </w:r>
          </w:p>
        </w:tc>
        <w:tc>
          <w:tcPr>
            <w:tcW w:type="dxa" w:w="1224"/>
          </w:tcPr>
          <w:p>
            <w:pPr>
              <w:spacing w:after="20"/>
            </w:pPr>
            <w:r>
              <w:rPr>
                <w:color w:val="1C3A36"/>
                <w:sz w:val="15"/>
              </w:rPr>
              <w:t>1.05%</w:t>
            </w:r>
          </w:p>
        </w:tc>
        <w:tc>
          <w:tcPr>
            <w:tcW w:type="dxa" w:w="1080"/>
          </w:tcPr>
          <w:p>
            <w:pPr>
              <w:spacing w:after="20"/>
            </w:pPr>
            <w:r>
              <w:rPr>
                <w:color w:val="1C3A36"/>
                <w:sz w:val="15"/>
              </w:rPr>
              <w:t>2025-03-27</w:t>
            </w:r>
          </w:p>
        </w:tc>
        <w:tc>
          <w:tcPr>
            <w:tcW w:type="dxa" w:w="6048"/>
          </w:tcPr>
          <w:p>
            <w:pPr>
              <w:spacing w:after="20"/>
            </w:pPr>
            <w:r>
              <w:rPr>
                <w:color w:val="1C3A36"/>
                <w:sz w:val="15"/>
              </w:rPr>
              <w:t>Fertiglobe plc, Consolidated Financial Statements FY2025 (PwC-signed 4-Mar-2026) — ADNOC term loan $300m drawn 27-Mar-2025, SOFR + 1.05%</w:t>
            </w:r>
          </w:p>
        </w:tc>
      </w:tr>
      <w:tr>
        <w:trPr>
          <w:cantSplit/>
          <w:cantSplit/>
        </w:trPr>
        <w:tc>
          <w:tcPr>
            <w:tcW w:type="dxa" w:w="1728"/>
          </w:tcPr>
          <w:p>
            <w:pPr>
              <w:spacing w:after="20"/>
            </w:pPr>
            <w:r>
              <w:rPr>
                <w:color w:val="1C3A36"/>
                <w:sz w:val="15"/>
              </w:rPr>
              <w:t>kd spread rcf</w:t>
            </w:r>
          </w:p>
        </w:tc>
        <w:tc>
          <w:tcPr>
            <w:tcW w:type="dxa" w:w="1224"/>
          </w:tcPr>
          <w:p>
            <w:pPr>
              <w:spacing w:after="20"/>
            </w:pPr>
            <w:r>
              <w:rPr>
                <w:color w:val="1C3A36"/>
                <w:sz w:val="15"/>
              </w:rPr>
              <w:t>1.15%</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revolving credit facility $600m, SOFR + 1.15%</w:t>
            </w:r>
          </w:p>
        </w:tc>
      </w:tr>
      <w:tr>
        <w:trPr>
          <w:cantSplit/>
          <w:cantSplit/>
        </w:trPr>
        <w:tc>
          <w:tcPr>
            <w:tcW w:type="dxa" w:w="1728"/>
          </w:tcPr>
          <w:p>
            <w:pPr>
              <w:spacing w:after="20"/>
            </w:pPr>
            <w:r>
              <w:rPr>
                <w:color w:val="1C3A36"/>
                <w:sz w:val="15"/>
              </w:rPr>
              <w:t>kd cap rate rejected</w:t>
            </w:r>
          </w:p>
        </w:tc>
        <w:tc>
          <w:tcPr>
            <w:tcW w:type="dxa" w:w="1224"/>
          </w:tcPr>
          <w:p>
            <w:pPr>
              <w:spacing w:after="20"/>
            </w:pPr>
            <w:r>
              <w:rPr>
                <w:color w:val="1C3A36"/>
                <w:sz w:val="15"/>
              </w:rPr>
              <w:t>6.62%</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weighted average interest rate on general borrowings used for borrowing-cost capitalisation. Historical/accounting; NOT used as the cost of debt.</w:t>
            </w:r>
          </w:p>
        </w:tc>
      </w:tr>
      <w:tr>
        <w:trPr>
          <w:cantSplit/>
          <w:cantSplit/>
        </w:trPr>
        <w:tc>
          <w:tcPr>
            <w:tcW w:type="dxa" w:w="1728"/>
          </w:tcPr>
          <w:p>
            <w:pPr>
              <w:spacing w:after="20"/>
            </w:pPr>
            <w:r>
              <w:rPr>
                <w:color w:val="1C3A36"/>
                <w:sz w:val="15"/>
              </w:rPr>
              <w:t>debt usd fy25</w:t>
            </w:r>
          </w:p>
        </w:tc>
        <w:tc>
          <w:tcPr>
            <w:tcW w:type="dxa" w:w="1224"/>
          </w:tcPr>
          <w:p>
            <w:pPr>
              <w:spacing w:after="20"/>
            </w:pPr>
            <w:r>
              <w:rPr>
                <w:color w:val="1C3A36"/>
                <w:sz w:val="15"/>
              </w:rPr>
              <w:t>$1,651.9m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loans and borrowings by tranche: Facilities B/C 1,115.8 + ADNOC 303.2 + trade finance 91.5 + supply chain 67.0 + overdraft 6.9 + 2023 working capital 67.5</w:t>
            </w:r>
          </w:p>
        </w:tc>
      </w:tr>
      <w:tr>
        <w:trPr>
          <w:cantSplit/>
          <w:cantSplit/>
        </w:trPr>
        <w:tc>
          <w:tcPr>
            <w:tcW w:type="dxa" w:w="1728"/>
          </w:tcPr>
          <w:p>
            <w:pPr>
              <w:spacing w:after="20"/>
            </w:pPr>
            <w:r>
              <w:rPr>
                <w:color w:val="1C3A36"/>
                <w:sz w:val="15"/>
              </w:rPr>
              <w:t>debt dzd fy25</w:t>
            </w:r>
          </w:p>
        </w:tc>
        <w:tc>
          <w:tcPr>
            <w:tcW w:type="dxa" w:w="1224"/>
          </w:tcPr>
          <w:p>
            <w:pPr>
              <w:spacing w:after="20"/>
            </w:pPr>
            <w:r>
              <w:rPr>
                <w:color w:val="1C3A36"/>
                <w:sz w:val="15"/>
              </w:rPr>
              <w:t>$34.8m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Sorfert term loan, Algerian bank rate + 1.95%</w:t>
            </w:r>
          </w:p>
        </w:tc>
      </w:tr>
      <w:tr>
        <w:trPr>
          <w:cantSplit/>
          <w:cantSplit/>
        </w:trPr>
        <w:tc>
          <w:tcPr>
            <w:tcW w:type="dxa" w:w="1728"/>
          </w:tcPr>
          <w:p>
            <w:pPr>
              <w:spacing w:after="20"/>
            </w:pPr>
            <w:r>
              <w:rPr>
                <w:color w:val="1C3A36"/>
                <w:sz w:val="15"/>
              </w:rPr>
              <w:t>debt aud fy25</w:t>
            </w:r>
          </w:p>
        </w:tc>
        <w:tc>
          <w:tcPr>
            <w:tcW w:type="dxa" w:w="1224"/>
          </w:tcPr>
          <w:p>
            <w:pPr>
              <w:spacing w:after="20"/>
            </w:pPr>
            <w:r>
              <w:rPr>
                <w:color w:val="1C3A36"/>
                <w:sz w:val="15"/>
              </w:rPr>
              <w:t>$53.9m</w:t>
            </w:r>
          </w:p>
        </w:tc>
        <w:tc>
          <w:tcPr>
            <w:tcW w:type="dxa" w:w="1080"/>
          </w:tcPr>
          <w:p>
            <w:pPr>
              <w:spacing w:after="20"/>
            </w:pPr>
            <w:r>
              <w:rPr>
                <w:color w:val="1C3A36"/>
                <w:sz w:val="15"/>
              </w:rPr>
              <w:t>2025-12-31</w:t>
            </w:r>
          </w:p>
        </w:tc>
        <w:tc>
          <w:tcPr>
            <w:tcW w:type="dxa" w:w="6048"/>
          </w:tcPr>
          <w:p>
            <w:pPr>
              <w:spacing w:after="20"/>
            </w:pPr>
            <w:r>
              <w:rPr>
                <w:color w:val="1C3A36"/>
                <w:sz w:val="15"/>
              </w:rPr>
              <w:t>Fertiglobe plc, Consolidated Financial Statements FY2025 (PwC-signed 4-Mar-2026) — Fertiglobe Australia trade finance facilities 1 and 2, BBSY + 0.60%</w:t>
            </w:r>
          </w:p>
        </w:tc>
      </w:tr>
    </w:tbl>
    <w:p>
      <w:pPr>
        <w:spacing w:after="40"/>
      </w:pPr>
    </w:p>
    <w:p>
      <w:pPr>
        <w:spacing w:after="80" w:before="200"/>
      </w:pPr>
      <w:r>
        <w:rPr>
          <w:b/>
          <w:i w:val="0"/>
          <w:color w:val="1C3A36"/>
          <w:sz w:val="24"/>
        </w:rPr>
        <w:t>Company — investor communications — 26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1224"/>
        <w:gridCol w:w="1080"/>
        <w:gridCol w:w="6048"/>
      </w:tblGrid>
      <w:tr>
        <w:trPr>
          <w:cantSplit/>
          <w:tblHeader/>
          <w:cantSplit/>
          <w:tblHeader/>
        </w:trPr>
        <w:tc>
          <w:tcPr>
            <w:tcW w:type="dxa" w:w="1728"/>
            <w:shd w:val="clear" w:color="auto" w:fill="EAF0EE"/>
          </w:tcPr>
          <w:p>
            <w:pPr>
              <w:spacing w:after="20"/>
            </w:pPr>
            <w:r>
              <w:rPr>
                <w:b/>
                <w:color w:val="1C3A36"/>
                <w:sz w:val="15"/>
              </w:rPr>
              <w:t>Input</w:t>
            </w:r>
          </w:p>
        </w:tc>
        <w:tc>
          <w:tcPr>
            <w:tcW w:type="dxa" w:w="1224"/>
            <w:shd w:val="clear" w:color="auto" w:fill="EAF0EE"/>
          </w:tcPr>
          <w:p>
            <w:pPr>
              <w:spacing w:after="20"/>
            </w:pPr>
            <w:r>
              <w:rPr>
                <w:b/>
                <w:color w:val="1C3A36"/>
                <w:sz w:val="15"/>
              </w:rPr>
              <w:t>Value</w:t>
            </w:r>
          </w:p>
        </w:tc>
        <w:tc>
          <w:tcPr>
            <w:tcW w:type="dxa" w:w="1080"/>
            <w:shd w:val="clear" w:color="auto" w:fill="EAF0EE"/>
          </w:tcPr>
          <w:p>
            <w:pPr>
              <w:spacing w:after="20"/>
            </w:pPr>
            <w:r>
              <w:rPr>
                <w:b/>
                <w:color w:val="1C3A36"/>
                <w:sz w:val="15"/>
              </w:rPr>
              <w:t>Date</w:t>
            </w:r>
          </w:p>
        </w:tc>
        <w:tc>
          <w:tcPr>
            <w:tcW w:type="dxa" w:w="6048"/>
            <w:shd w:val="clear" w:color="auto" w:fill="EAF0EE"/>
          </w:tcPr>
          <w:p>
            <w:pPr>
              <w:spacing w:after="20"/>
            </w:pPr>
            <w:r>
              <w:rPr>
                <w:b/>
                <w:color w:val="1C3A36"/>
                <w:sz w:val="15"/>
              </w:rPr>
              <w:t>Source and construction</w:t>
            </w:r>
          </w:p>
        </w:tc>
      </w:tr>
      <w:tr>
        <w:trPr>
          <w:cantSplit/>
          <w:cantSplit/>
        </w:trPr>
        <w:tc>
          <w:tcPr>
            <w:tcW w:type="dxa" w:w="1728"/>
          </w:tcPr>
          <w:p>
            <w:pPr>
              <w:spacing w:after="20"/>
            </w:pPr>
            <w:r>
              <w:rPr>
                <w:color w:val="1C3A36"/>
                <w:sz w:val="15"/>
              </w:rPr>
              <w:t>maint capex fy25</w:t>
            </w:r>
          </w:p>
        </w:tc>
        <w:tc>
          <w:tcPr>
            <w:tcW w:type="dxa" w:w="1224"/>
          </w:tcPr>
          <w:p>
            <w:pPr>
              <w:spacing w:after="20"/>
            </w:pPr>
            <w:r>
              <w:rPr>
                <w:color w:val="1C3A36"/>
                <w:sz w:val="15"/>
              </w:rPr>
              <w:t>$143.6m</w:t>
            </w:r>
          </w:p>
        </w:tc>
        <w:tc>
          <w:tcPr>
            <w:tcW w:type="dxa" w:w="1080"/>
          </w:tcPr>
          <w:p>
            <w:pPr>
              <w:spacing w:after="20"/>
            </w:pPr>
            <w:r>
              <w:rPr>
                <w:color w:val="1C3A36"/>
                <w:sz w:val="15"/>
              </w:rPr>
              <w:t>2025-12-31</w:t>
            </w:r>
          </w:p>
        </w:tc>
        <w:tc>
          <w:tcPr>
            <w:tcW w:type="dxa" w:w="6048"/>
          </w:tcPr>
          <w:p>
            <w:pPr>
              <w:spacing w:after="20"/>
            </w:pPr>
            <w:r>
              <w:rPr>
                <w:color w:val="1C3A36"/>
                <w:sz w:val="15"/>
              </w:rPr>
              <w:t>Fertiglobe Q4 2025 Results MD&amp;A Report (11-Feb-2026) — maintenance capital expenditure</w:t>
            </w:r>
          </w:p>
        </w:tc>
      </w:tr>
      <w:tr>
        <w:trPr>
          <w:cantSplit/>
          <w:cantSplit/>
        </w:trPr>
        <w:tc>
          <w:tcPr>
            <w:tcW w:type="dxa" w:w="1728"/>
          </w:tcPr>
          <w:p>
            <w:pPr>
              <w:spacing w:after="20"/>
            </w:pPr>
            <w:r>
              <w:rPr>
                <w:color w:val="1C3A36"/>
                <w:sz w:val="15"/>
              </w:rPr>
              <w:t>ebitda h1 26</w:t>
            </w:r>
          </w:p>
        </w:tc>
        <w:tc>
          <w:tcPr>
            <w:tcW w:type="dxa" w:w="1224"/>
          </w:tcPr>
          <w:p>
            <w:pPr>
              <w:spacing w:after="20"/>
            </w:pPr>
            <w:r>
              <w:rPr>
                <w:color w:val="1C3A36"/>
                <w:sz w:val="15"/>
              </w:rPr>
              <w:t>$679.7m</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adj ebitda h1 26</w:t>
            </w:r>
          </w:p>
        </w:tc>
        <w:tc>
          <w:tcPr>
            <w:tcW w:type="dxa" w:w="1224"/>
          </w:tcPr>
          <w:p>
            <w:pPr>
              <w:spacing w:after="20"/>
            </w:pPr>
            <w:r>
              <w:rPr>
                <w:color w:val="1C3A36"/>
                <w:sz w:val="15"/>
              </w:rPr>
              <w:t>$713.1m</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capex h1 26</w:t>
            </w:r>
          </w:p>
        </w:tc>
        <w:tc>
          <w:tcPr>
            <w:tcW w:type="dxa" w:w="1224"/>
          </w:tcPr>
          <w:p>
            <w:pPr>
              <w:spacing w:after="20"/>
            </w:pPr>
            <w:r>
              <w:rPr>
                <w:color w:val="1C3A36"/>
                <w:sz w:val="15"/>
              </w:rPr>
              <w:t>$52.8m</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vol urea fy24</w:t>
            </w:r>
          </w:p>
        </w:tc>
        <w:tc>
          <w:tcPr>
            <w:tcW w:type="dxa" w:w="1224"/>
          </w:tcPr>
          <w:p>
            <w:pPr>
              <w:spacing w:after="20"/>
            </w:pPr>
            <w:r>
              <w:rPr>
                <w:color w:val="1C3A36"/>
                <w:sz w:val="15"/>
              </w:rPr>
              <w:t>4,225 kt</w:t>
            </w:r>
          </w:p>
        </w:tc>
        <w:tc>
          <w:tcPr>
            <w:tcW w:type="dxa" w:w="1080"/>
          </w:tcPr>
          <w:p>
            <w:pPr>
              <w:spacing w:after="20"/>
            </w:pPr>
            <w:r>
              <w:rPr>
                <w:color w:val="1C3A36"/>
                <w:sz w:val="15"/>
              </w:rPr>
              <w:t>2024-12-31</w:t>
            </w:r>
          </w:p>
        </w:tc>
        <w:tc>
          <w:tcPr>
            <w:tcW w:type="dxa" w:w="6048"/>
          </w:tcPr>
          <w:p>
            <w:pPr>
              <w:spacing w:after="20"/>
            </w:pPr>
            <w:r>
              <w:rPr>
                <w:color w:val="1C3A36"/>
                <w:sz w:val="15"/>
              </w:rPr>
              <w:t>Fertiglobe Q4 2025 Results MD&amp;A Report (11-Feb-2026) — product sales volumes table</w:t>
            </w:r>
          </w:p>
        </w:tc>
      </w:tr>
      <w:tr>
        <w:trPr>
          <w:cantSplit/>
          <w:cantSplit/>
        </w:trPr>
        <w:tc>
          <w:tcPr>
            <w:tcW w:type="dxa" w:w="1728"/>
          </w:tcPr>
          <w:p>
            <w:pPr>
              <w:spacing w:after="20"/>
            </w:pPr>
            <w:r>
              <w:rPr>
                <w:color w:val="1C3A36"/>
                <w:sz w:val="15"/>
              </w:rPr>
              <w:t>vol urea fy25</w:t>
            </w:r>
          </w:p>
        </w:tc>
        <w:tc>
          <w:tcPr>
            <w:tcW w:type="dxa" w:w="1224"/>
          </w:tcPr>
          <w:p>
            <w:pPr>
              <w:spacing w:after="20"/>
            </w:pPr>
            <w:r>
              <w:rPr>
                <w:color w:val="1C3A36"/>
                <w:sz w:val="15"/>
              </w:rPr>
              <w:t>4,228 kt</w:t>
            </w:r>
          </w:p>
        </w:tc>
        <w:tc>
          <w:tcPr>
            <w:tcW w:type="dxa" w:w="1080"/>
          </w:tcPr>
          <w:p>
            <w:pPr>
              <w:spacing w:after="20"/>
            </w:pPr>
            <w:r>
              <w:rPr>
                <w:color w:val="1C3A36"/>
                <w:sz w:val="15"/>
              </w:rPr>
              <w:t>2025-12-31</w:t>
            </w:r>
          </w:p>
        </w:tc>
        <w:tc>
          <w:tcPr>
            <w:tcW w:type="dxa" w:w="6048"/>
          </w:tcPr>
          <w:p>
            <w:pPr>
              <w:spacing w:after="20"/>
            </w:pPr>
            <w:r>
              <w:rPr>
                <w:color w:val="1C3A36"/>
                <w:sz w:val="15"/>
              </w:rPr>
              <w:t>Fertiglobe Q4 2025 Results MD&amp;A Report (11-Feb-2026)</w:t>
            </w:r>
          </w:p>
        </w:tc>
      </w:tr>
      <w:tr>
        <w:trPr>
          <w:cantSplit/>
          <w:cantSplit/>
        </w:trPr>
        <w:tc>
          <w:tcPr>
            <w:tcW w:type="dxa" w:w="1728"/>
          </w:tcPr>
          <w:p>
            <w:pPr>
              <w:spacing w:after="20"/>
            </w:pPr>
            <w:r>
              <w:rPr>
                <w:color w:val="1C3A36"/>
                <w:sz w:val="15"/>
              </w:rPr>
              <w:t>vol nh3 fy24</w:t>
            </w:r>
          </w:p>
        </w:tc>
        <w:tc>
          <w:tcPr>
            <w:tcW w:type="dxa" w:w="1224"/>
          </w:tcPr>
          <w:p>
            <w:pPr>
              <w:spacing w:after="20"/>
            </w:pPr>
            <w:r>
              <w:rPr>
                <w:color w:val="1C3A36"/>
                <w:sz w:val="15"/>
              </w:rPr>
              <w:t>1,119 kt</w:t>
            </w:r>
          </w:p>
        </w:tc>
        <w:tc>
          <w:tcPr>
            <w:tcW w:type="dxa" w:w="1080"/>
          </w:tcPr>
          <w:p>
            <w:pPr>
              <w:spacing w:after="20"/>
            </w:pPr>
            <w:r>
              <w:rPr>
                <w:color w:val="1C3A36"/>
                <w:sz w:val="15"/>
              </w:rPr>
              <w:t>2024-12-31</w:t>
            </w:r>
          </w:p>
        </w:tc>
        <w:tc>
          <w:tcPr>
            <w:tcW w:type="dxa" w:w="6048"/>
          </w:tcPr>
          <w:p>
            <w:pPr>
              <w:spacing w:after="20"/>
            </w:pPr>
            <w:r>
              <w:rPr>
                <w:color w:val="1C3A36"/>
                <w:sz w:val="15"/>
              </w:rPr>
              <w:t>Fertiglobe Q4 2025 Results MD&amp;A Report (11-Feb-2026)</w:t>
            </w:r>
          </w:p>
        </w:tc>
      </w:tr>
      <w:tr>
        <w:trPr>
          <w:cantSplit/>
          <w:cantSplit/>
        </w:trPr>
        <w:tc>
          <w:tcPr>
            <w:tcW w:type="dxa" w:w="1728"/>
          </w:tcPr>
          <w:p>
            <w:pPr>
              <w:spacing w:after="20"/>
            </w:pPr>
            <w:r>
              <w:rPr>
                <w:color w:val="1C3A36"/>
                <w:sz w:val="15"/>
              </w:rPr>
              <w:t>vol nh3 fy25</w:t>
            </w:r>
          </w:p>
        </w:tc>
        <w:tc>
          <w:tcPr>
            <w:tcW w:type="dxa" w:w="1224"/>
          </w:tcPr>
          <w:p>
            <w:pPr>
              <w:spacing w:after="20"/>
            </w:pPr>
            <w:r>
              <w:rPr>
                <w:color w:val="1C3A36"/>
                <w:sz w:val="15"/>
              </w:rPr>
              <w:t>1,267 kt</w:t>
            </w:r>
          </w:p>
        </w:tc>
        <w:tc>
          <w:tcPr>
            <w:tcW w:type="dxa" w:w="1080"/>
          </w:tcPr>
          <w:p>
            <w:pPr>
              <w:spacing w:after="20"/>
            </w:pPr>
            <w:r>
              <w:rPr>
                <w:color w:val="1C3A36"/>
                <w:sz w:val="15"/>
              </w:rPr>
              <w:t>2025-12-31</w:t>
            </w:r>
          </w:p>
        </w:tc>
        <w:tc>
          <w:tcPr>
            <w:tcW w:type="dxa" w:w="6048"/>
          </w:tcPr>
          <w:p>
            <w:pPr>
              <w:spacing w:after="20"/>
            </w:pPr>
            <w:r>
              <w:rPr>
                <w:color w:val="1C3A36"/>
                <w:sz w:val="15"/>
              </w:rPr>
              <w:t>Fertiglobe Q4 2025 Results MD&amp;A Report (11-Feb-2026)</w:t>
            </w:r>
          </w:p>
        </w:tc>
      </w:tr>
      <w:tr>
        <w:trPr>
          <w:cantSplit/>
          <w:cantSplit/>
        </w:trPr>
        <w:tc>
          <w:tcPr>
            <w:tcW w:type="dxa" w:w="1728"/>
          </w:tcPr>
          <w:p>
            <w:pPr>
              <w:spacing w:after="20"/>
            </w:pPr>
            <w:r>
              <w:rPr>
                <w:color w:val="1C3A36"/>
                <w:sz w:val="15"/>
              </w:rPr>
              <w:t>vol own fy24</w:t>
            </w:r>
          </w:p>
        </w:tc>
        <w:tc>
          <w:tcPr>
            <w:tcW w:type="dxa" w:w="1224"/>
          </w:tcPr>
          <w:p>
            <w:pPr>
              <w:spacing w:after="20"/>
            </w:pPr>
            <w:r>
              <w:rPr>
                <w:color w:val="1C3A36"/>
                <w:sz w:val="15"/>
              </w:rPr>
              <w:t>5,345 kt</w:t>
            </w:r>
          </w:p>
        </w:tc>
        <w:tc>
          <w:tcPr>
            <w:tcW w:type="dxa" w:w="1080"/>
          </w:tcPr>
          <w:p>
            <w:pPr>
              <w:spacing w:after="20"/>
            </w:pPr>
            <w:r>
              <w:rPr>
                <w:color w:val="1C3A36"/>
                <w:sz w:val="15"/>
              </w:rPr>
              <w:t>2024-12-31</w:t>
            </w:r>
          </w:p>
        </w:tc>
        <w:tc>
          <w:tcPr>
            <w:tcW w:type="dxa" w:w="6048"/>
          </w:tcPr>
          <w:p>
            <w:pPr>
              <w:spacing w:after="20"/>
            </w:pPr>
            <w:r>
              <w:rPr>
                <w:color w:val="1C3A36"/>
                <w:sz w:val="15"/>
              </w:rPr>
              <w:t>Fertiglobe Q4 2025 Results MD&amp;A Report (11-Feb-2026)</w:t>
            </w:r>
          </w:p>
        </w:tc>
      </w:tr>
      <w:tr>
        <w:trPr>
          <w:cantSplit/>
          <w:cantSplit/>
        </w:trPr>
        <w:tc>
          <w:tcPr>
            <w:tcW w:type="dxa" w:w="1728"/>
          </w:tcPr>
          <w:p>
            <w:pPr>
              <w:spacing w:after="20"/>
            </w:pPr>
            <w:r>
              <w:rPr>
                <w:color w:val="1C3A36"/>
                <w:sz w:val="15"/>
              </w:rPr>
              <w:t>vol own fy25</w:t>
            </w:r>
          </w:p>
        </w:tc>
        <w:tc>
          <w:tcPr>
            <w:tcW w:type="dxa" w:w="1224"/>
          </w:tcPr>
          <w:p>
            <w:pPr>
              <w:spacing w:after="20"/>
            </w:pPr>
            <w:r>
              <w:rPr>
                <w:color w:val="1C3A36"/>
                <w:sz w:val="15"/>
              </w:rPr>
              <w:t>5,498 kt</w:t>
            </w:r>
          </w:p>
        </w:tc>
        <w:tc>
          <w:tcPr>
            <w:tcW w:type="dxa" w:w="1080"/>
          </w:tcPr>
          <w:p>
            <w:pPr>
              <w:spacing w:after="20"/>
            </w:pPr>
            <w:r>
              <w:rPr>
                <w:color w:val="1C3A36"/>
                <w:sz w:val="15"/>
              </w:rPr>
              <w:t>2025-12-31</w:t>
            </w:r>
          </w:p>
        </w:tc>
        <w:tc>
          <w:tcPr>
            <w:tcW w:type="dxa" w:w="6048"/>
          </w:tcPr>
          <w:p>
            <w:pPr>
              <w:spacing w:after="20"/>
            </w:pPr>
            <w:r>
              <w:rPr>
                <w:color w:val="1C3A36"/>
                <w:sz w:val="15"/>
              </w:rPr>
              <w:t>Fertiglobe Q4 2025 Results MD&amp;A Report (11-Feb-2026)</w:t>
            </w:r>
          </w:p>
        </w:tc>
      </w:tr>
      <w:tr>
        <w:trPr>
          <w:cantSplit/>
          <w:cantSplit/>
        </w:trPr>
        <w:tc>
          <w:tcPr>
            <w:tcW w:type="dxa" w:w="1728"/>
          </w:tcPr>
          <w:p>
            <w:pPr>
              <w:spacing w:after="20"/>
            </w:pPr>
            <w:r>
              <w:rPr>
                <w:color w:val="1C3A36"/>
                <w:sz w:val="15"/>
              </w:rPr>
              <w:t>vol 3p fy24</w:t>
            </w:r>
          </w:p>
        </w:tc>
        <w:tc>
          <w:tcPr>
            <w:tcW w:type="dxa" w:w="1224"/>
          </w:tcPr>
          <w:p>
            <w:pPr>
              <w:spacing w:after="20"/>
            </w:pPr>
            <w:r>
              <w:rPr>
                <w:color w:val="1C3A36"/>
                <w:sz w:val="15"/>
              </w:rPr>
              <w:t>286 kt</w:t>
            </w:r>
          </w:p>
        </w:tc>
        <w:tc>
          <w:tcPr>
            <w:tcW w:type="dxa" w:w="1080"/>
          </w:tcPr>
          <w:p>
            <w:pPr>
              <w:spacing w:after="20"/>
            </w:pPr>
            <w:r>
              <w:rPr>
                <w:color w:val="1C3A36"/>
                <w:sz w:val="15"/>
              </w:rPr>
              <w:t>2024-12-31</w:t>
            </w:r>
          </w:p>
        </w:tc>
        <w:tc>
          <w:tcPr>
            <w:tcW w:type="dxa" w:w="6048"/>
          </w:tcPr>
          <w:p>
            <w:pPr>
              <w:spacing w:after="20"/>
            </w:pPr>
            <w:r>
              <w:rPr>
                <w:color w:val="1C3A36"/>
                <w:sz w:val="15"/>
              </w:rPr>
              <w:t>Fertiglobe Q4 2025 Results MD&amp;A Report (11-Feb-2026)</w:t>
            </w:r>
          </w:p>
        </w:tc>
      </w:tr>
      <w:tr>
        <w:trPr>
          <w:cantSplit/>
          <w:cantSplit/>
        </w:trPr>
        <w:tc>
          <w:tcPr>
            <w:tcW w:type="dxa" w:w="1728"/>
          </w:tcPr>
          <w:p>
            <w:pPr>
              <w:spacing w:after="20"/>
            </w:pPr>
            <w:r>
              <w:rPr>
                <w:color w:val="1C3A36"/>
                <w:sz w:val="15"/>
              </w:rPr>
              <w:t>vol 3p fy25</w:t>
            </w:r>
          </w:p>
        </w:tc>
        <w:tc>
          <w:tcPr>
            <w:tcW w:type="dxa" w:w="1224"/>
          </w:tcPr>
          <w:p>
            <w:pPr>
              <w:spacing w:after="20"/>
            </w:pPr>
            <w:r>
              <w:rPr>
                <w:color w:val="1C3A36"/>
                <w:sz w:val="15"/>
              </w:rPr>
              <w:t>980 kt</w:t>
            </w:r>
          </w:p>
        </w:tc>
        <w:tc>
          <w:tcPr>
            <w:tcW w:type="dxa" w:w="1080"/>
          </w:tcPr>
          <w:p>
            <w:pPr>
              <w:spacing w:after="20"/>
            </w:pPr>
            <w:r>
              <w:rPr>
                <w:color w:val="1C3A36"/>
                <w:sz w:val="15"/>
              </w:rPr>
              <w:t>2025-12-31</w:t>
            </w:r>
          </w:p>
        </w:tc>
        <w:tc>
          <w:tcPr>
            <w:tcW w:type="dxa" w:w="6048"/>
          </w:tcPr>
          <w:p>
            <w:pPr>
              <w:spacing w:after="20"/>
            </w:pPr>
            <w:r>
              <w:rPr>
                <w:color w:val="1C3A36"/>
                <w:sz w:val="15"/>
              </w:rPr>
              <w:t>Fertiglobe Q4 2025 Results MD&amp;A Report (11-Feb-2026)</w:t>
            </w:r>
          </w:p>
        </w:tc>
      </w:tr>
      <w:tr>
        <w:trPr>
          <w:cantSplit/>
          <w:cantSplit/>
        </w:trPr>
        <w:tc>
          <w:tcPr>
            <w:tcW w:type="dxa" w:w="1728"/>
          </w:tcPr>
          <w:p>
            <w:pPr>
              <w:spacing w:after="20"/>
            </w:pPr>
            <w:r>
              <w:rPr>
                <w:color w:val="1C3A36"/>
                <w:sz w:val="15"/>
              </w:rPr>
              <w:t>vol urea h1 26</w:t>
            </w:r>
          </w:p>
        </w:tc>
        <w:tc>
          <w:tcPr>
            <w:tcW w:type="dxa" w:w="1224"/>
          </w:tcPr>
          <w:p>
            <w:pPr>
              <w:spacing w:after="20"/>
            </w:pPr>
            <w:r>
              <w:rPr>
                <w:color w:val="1C3A36"/>
                <w:sz w:val="15"/>
              </w:rPr>
              <w:t>2,045 kt</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vol nh3 h1 26</w:t>
            </w:r>
          </w:p>
        </w:tc>
        <w:tc>
          <w:tcPr>
            <w:tcW w:type="dxa" w:w="1224"/>
          </w:tcPr>
          <w:p>
            <w:pPr>
              <w:spacing w:after="20"/>
            </w:pPr>
            <w:r>
              <w:rPr>
                <w:color w:val="1C3A36"/>
                <w:sz w:val="15"/>
              </w:rPr>
              <w:t>523 kt</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vol own h1 26</w:t>
            </w:r>
          </w:p>
        </w:tc>
        <w:tc>
          <w:tcPr>
            <w:tcW w:type="dxa" w:w="1224"/>
          </w:tcPr>
          <w:p>
            <w:pPr>
              <w:spacing w:after="20"/>
            </w:pPr>
            <w:r>
              <w:rPr>
                <w:color w:val="1C3A36"/>
                <w:sz w:val="15"/>
              </w:rPr>
              <w:t>2,571 kt</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vol 3p h1 26</w:t>
            </w:r>
          </w:p>
        </w:tc>
        <w:tc>
          <w:tcPr>
            <w:tcW w:type="dxa" w:w="1224"/>
          </w:tcPr>
          <w:p>
            <w:pPr>
              <w:spacing w:after="20"/>
            </w:pPr>
            <w:r>
              <w:rPr>
                <w:color w:val="1C3A36"/>
                <w:sz w:val="15"/>
              </w:rPr>
              <w:t>562 kt</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cap urea</w:t>
            </w:r>
          </w:p>
        </w:tc>
        <w:tc>
          <w:tcPr>
            <w:tcW w:type="dxa" w:w="1224"/>
          </w:tcPr>
          <w:p>
            <w:pPr>
              <w:spacing w:after="20"/>
            </w:pPr>
            <w:r>
              <w:rPr>
                <w:color w:val="1C3A36"/>
                <w:sz w:val="15"/>
              </w:rPr>
              <w:t>5,100 kt</w:t>
            </w:r>
          </w:p>
        </w:tc>
        <w:tc>
          <w:tcPr>
            <w:tcW w:type="dxa" w:w="1080"/>
          </w:tcPr>
          <w:p>
            <w:pPr>
              <w:spacing w:after="20"/>
            </w:pPr>
            <w:r>
              <w:rPr>
                <w:color w:val="1C3A36"/>
                <w:sz w:val="15"/>
              </w:rPr>
              <w:t>2026-06-30</w:t>
            </w:r>
          </w:p>
        </w:tc>
        <w:tc>
          <w:tcPr>
            <w:tcW w:type="dxa" w:w="6048"/>
          </w:tcPr>
          <w:p>
            <w:pPr>
              <w:spacing w:after="20"/>
            </w:pPr>
            <w:r>
              <w:rPr>
                <w:color w:val="1C3A36"/>
                <w:sz w:val="15"/>
              </w:rPr>
              <w:t>Fertiglobe Q2 2026 Investor Presentation (28-Jul-2026) — 5.1 Mt urea production capacity</w:t>
            </w:r>
          </w:p>
        </w:tc>
      </w:tr>
      <w:tr>
        <w:trPr>
          <w:cantSplit/>
          <w:cantSplit/>
        </w:trPr>
        <w:tc>
          <w:tcPr>
            <w:tcW w:type="dxa" w:w="1728"/>
          </w:tcPr>
          <w:p>
            <w:pPr>
              <w:spacing w:after="20"/>
            </w:pPr>
            <w:r>
              <w:rPr>
                <w:color w:val="1C3A36"/>
                <w:sz w:val="15"/>
              </w:rPr>
              <w:t>cap nh3 merchant</w:t>
            </w:r>
          </w:p>
        </w:tc>
        <w:tc>
          <w:tcPr>
            <w:tcW w:type="dxa" w:w="1224"/>
          </w:tcPr>
          <w:p>
            <w:pPr>
              <w:spacing w:after="20"/>
            </w:pPr>
            <w:r>
              <w:rPr>
                <w:color w:val="1C3A36"/>
                <w:sz w:val="15"/>
              </w:rPr>
              <w:t>1,500 kt</w:t>
            </w:r>
          </w:p>
        </w:tc>
        <w:tc>
          <w:tcPr>
            <w:tcW w:type="dxa" w:w="1080"/>
          </w:tcPr>
          <w:p>
            <w:pPr>
              <w:spacing w:after="20"/>
            </w:pPr>
            <w:r>
              <w:rPr>
                <w:color w:val="1C3A36"/>
                <w:sz w:val="15"/>
              </w:rPr>
              <w:t>2026-06-30</w:t>
            </w:r>
          </w:p>
        </w:tc>
        <w:tc>
          <w:tcPr>
            <w:tcW w:type="dxa" w:w="6048"/>
          </w:tcPr>
          <w:p>
            <w:pPr>
              <w:spacing w:after="20"/>
            </w:pPr>
            <w:r>
              <w:rPr>
                <w:color w:val="1C3A36"/>
                <w:sz w:val="15"/>
              </w:rPr>
              <w:t>Fertiglobe Q2 2026 Investor Presentation (28-Jul-2026) — 1.5 Mt merchant ammonia capacity</w:t>
            </w:r>
          </w:p>
        </w:tc>
      </w:tr>
      <w:tr>
        <w:trPr>
          <w:cantSplit/>
          <w:cantSplit/>
        </w:trPr>
        <w:tc>
          <w:tcPr>
            <w:tcW w:type="dxa" w:w="1728"/>
          </w:tcPr>
          <w:p>
            <w:pPr>
              <w:spacing w:after="20"/>
            </w:pPr>
            <w:r>
              <w:rPr>
                <w:color w:val="1C3A36"/>
                <w:sz w:val="15"/>
              </w:rPr>
              <w:t>urea util h1 26</w:t>
            </w:r>
          </w:p>
        </w:tc>
        <w:tc>
          <w:tcPr>
            <w:tcW w:type="dxa" w:w="1224"/>
          </w:tcPr>
          <w:p>
            <w:pPr>
              <w:spacing w:after="20"/>
            </w:pPr>
            <w:r>
              <w:rPr>
                <w:color w:val="1C3A36"/>
                <w:sz w:val="15"/>
              </w:rPr>
              <w:t>92%</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 — urea utilisation 92% across the platform in H1 2026</w:t>
            </w:r>
          </w:p>
        </w:tc>
      </w:tr>
      <w:tr>
        <w:trPr>
          <w:cantSplit/>
          <w:cantSplit/>
        </w:trPr>
        <w:tc>
          <w:tcPr>
            <w:tcW w:type="dxa" w:w="1728"/>
          </w:tcPr>
          <w:p>
            <w:pPr>
              <w:spacing w:after="20"/>
            </w:pPr>
            <w:r>
              <w:rPr>
                <w:color w:val="1C3A36"/>
                <w:sz w:val="15"/>
              </w:rPr>
              <w:t>gas realised q2 26</w:t>
            </w:r>
          </w:p>
        </w:tc>
        <w:tc>
          <w:tcPr>
            <w:tcW w:type="dxa" w:w="1224"/>
          </w:tcPr>
          <w:p>
            <w:pPr>
              <w:spacing w:after="20"/>
            </w:pPr>
            <w:r>
              <w:rPr>
                <w:color w:val="1C3A36"/>
                <w:sz w:val="15"/>
              </w:rPr>
              <w:t>$6.0 per MMBtu</w:t>
            </w:r>
          </w:p>
        </w:tc>
        <w:tc>
          <w:tcPr>
            <w:tcW w:type="dxa" w:w="1080"/>
          </w:tcPr>
          <w:p>
            <w:pPr>
              <w:spacing w:after="20"/>
            </w:pPr>
            <w:r>
              <w:rPr>
                <w:color w:val="1C3A36"/>
                <w:sz w:val="15"/>
              </w:rPr>
              <w:t>2026-08-06</w:t>
            </w:r>
          </w:p>
        </w:tc>
        <w:tc>
          <w:tcPr>
            <w:tcW w:type="dxa" w:w="6048"/>
          </w:tcPr>
          <w:p>
            <w:pPr>
              <w:spacing w:after="20"/>
            </w:pPr>
            <w:r>
              <w:rPr>
                <w:color w:val="1C3A36"/>
                <w:sz w:val="15"/>
              </w:rPr>
              <w:t>Fertiglobe Q2 2026 Results Call Transcript (6-Aug-2026) — 'in Q2, our overall gas price was $6 MMBtu'</w:t>
            </w:r>
          </w:p>
        </w:tc>
      </w:tr>
      <w:tr>
        <w:trPr>
          <w:cantSplit/>
          <w:cantSplit/>
        </w:trPr>
        <w:tc>
          <w:tcPr>
            <w:tcW w:type="dxa" w:w="1728"/>
          </w:tcPr>
          <w:p>
            <w:pPr>
              <w:spacing w:after="20"/>
            </w:pPr>
            <w:r>
              <w:rPr>
                <w:color w:val="1C3A36"/>
                <w:sz w:val="15"/>
              </w:rPr>
              <w:t>gas realised q2 26 ecremage</w:t>
            </w:r>
          </w:p>
        </w:tc>
        <w:tc>
          <w:tcPr>
            <w:tcW w:type="dxa" w:w="1224"/>
          </w:tcPr>
          <w:p>
            <w:pPr>
              <w:spacing w:after="20"/>
            </w:pPr>
            <w:r>
              <w:rPr>
                <w:color w:val="1C3A36"/>
                <w:sz w:val="15"/>
              </w:rPr>
              <w:t>$8.0 per MMBtu</w:t>
            </w:r>
          </w:p>
        </w:tc>
        <w:tc>
          <w:tcPr>
            <w:tcW w:type="dxa" w:w="1080"/>
          </w:tcPr>
          <w:p>
            <w:pPr>
              <w:spacing w:after="20"/>
            </w:pPr>
            <w:r>
              <w:rPr>
                <w:color w:val="1C3A36"/>
                <w:sz w:val="15"/>
              </w:rPr>
              <w:t>2026-08-06</w:t>
            </w:r>
          </w:p>
        </w:tc>
        <w:tc>
          <w:tcPr>
            <w:tcW w:type="dxa" w:w="6048"/>
          </w:tcPr>
          <w:p>
            <w:pPr>
              <w:spacing w:after="20"/>
            </w:pPr>
            <w:r>
              <w:rPr>
                <w:color w:val="1C3A36"/>
                <w:sz w:val="15"/>
              </w:rPr>
              <w:t>Fertiglobe Q2 2026 Results Call Transcript (6-Aug-2026) — '$8 MMBtu if you include the ecremage of Algeria'</w:t>
            </w:r>
          </w:p>
        </w:tc>
      </w:tr>
      <w:tr>
        <w:trPr>
          <w:cantSplit/>
          <w:cantSplit/>
        </w:trPr>
        <w:tc>
          <w:tcPr>
            <w:tcW w:type="dxa" w:w="1728"/>
          </w:tcPr>
          <w:p>
            <w:pPr>
              <w:spacing w:after="20"/>
            </w:pPr>
            <w:r>
              <w:rPr>
                <w:color w:val="1C3A36"/>
                <w:sz w:val="15"/>
              </w:rPr>
              <w:t>seg own rev h1 26</w:t>
            </w:r>
          </w:p>
        </w:tc>
        <w:tc>
          <w:tcPr>
            <w:tcW w:type="dxa" w:w="1224"/>
          </w:tcPr>
          <w:p>
            <w:pPr>
              <w:spacing w:after="20"/>
            </w:pPr>
            <w:r>
              <w:rPr>
                <w:color w:val="1C3A36"/>
                <w:sz w:val="15"/>
              </w:rPr>
              <w:t>$1,597.0m</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 — segment overview H1 2026</w:t>
            </w:r>
          </w:p>
        </w:tc>
      </w:tr>
      <w:tr>
        <w:trPr>
          <w:cantSplit/>
          <w:cantSplit/>
        </w:trPr>
        <w:tc>
          <w:tcPr>
            <w:tcW w:type="dxa" w:w="1728"/>
          </w:tcPr>
          <w:p>
            <w:pPr>
              <w:spacing w:after="20"/>
            </w:pPr>
            <w:r>
              <w:rPr>
                <w:color w:val="1C3A36"/>
                <w:sz w:val="15"/>
              </w:rPr>
              <w:t>seg own ebitda h1 26</w:t>
            </w:r>
          </w:p>
        </w:tc>
        <w:tc>
          <w:tcPr>
            <w:tcW w:type="dxa" w:w="1224"/>
          </w:tcPr>
          <w:p>
            <w:pPr>
              <w:spacing w:after="20"/>
            </w:pPr>
            <w:r>
              <w:rPr>
                <w:color w:val="1C3A36"/>
                <w:sz w:val="15"/>
              </w:rPr>
              <w:t>$709.6m</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seg 3p rev h1 26</w:t>
            </w:r>
          </w:p>
        </w:tc>
        <w:tc>
          <w:tcPr>
            <w:tcW w:type="dxa" w:w="1224"/>
          </w:tcPr>
          <w:p>
            <w:pPr>
              <w:spacing w:after="20"/>
            </w:pPr>
            <w:r>
              <w:rPr>
                <w:color w:val="1C3A36"/>
                <w:sz w:val="15"/>
              </w:rPr>
              <w:t>$404.0m</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seg 3p ebitda h1 26</w:t>
            </w:r>
          </w:p>
        </w:tc>
        <w:tc>
          <w:tcPr>
            <w:tcW w:type="dxa" w:w="1224"/>
          </w:tcPr>
          <w:p>
            <w:pPr>
              <w:spacing w:after="20"/>
            </w:pPr>
            <w:r>
              <w:rPr>
                <w:color w:val="1C3A36"/>
                <w:sz w:val="15"/>
              </w:rPr>
              <w:t>$43.8m</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r>
        <w:trPr>
          <w:cantSplit/>
          <w:cantSplit/>
        </w:trPr>
        <w:tc>
          <w:tcPr>
            <w:tcW w:type="dxa" w:w="1728"/>
          </w:tcPr>
          <w:p>
            <w:pPr>
              <w:spacing w:after="20"/>
            </w:pPr>
            <w:r>
              <w:rPr>
                <w:color w:val="1C3A36"/>
                <w:sz w:val="15"/>
              </w:rPr>
              <w:t>seg oth ebitda h1 26</w:t>
            </w:r>
          </w:p>
        </w:tc>
        <w:tc>
          <w:tcPr>
            <w:tcW w:type="dxa" w:w="1224"/>
          </w:tcPr>
          <w:p>
            <w:pPr>
              <w:spacing w:after="20"/>
            </w:pPr>
            <w:r>
              <w:rPr>
                <w:color w:val="1C3A36"/>
                <w:sz w:val="15"/>
              </w:rPr>
              <w:t>-$40.3m</w:t>
            </w:r>
          </w:p>
        </w:tc>
        <w:tc>
          <w:tcPr>
            <w:tcW w:type="dxa" w:w="1080"/>
          </w:tcPr>
          <w:p>
            <w:pPr>
              <w:spacing w:after="20"/>
            </w:pPr>
            <w:r>
              <w:rPr>
                <w:color w:val="1C3A36"/>
                <w:sz w:val="15"/>
              </w:rPr>
              <w:t>2026-06-30</w:t>
            </w:r>
          </w:p>
        </w:tc>
        <w:tc>
          <w:tcPr>
            <w:tcW w:type="dxa" w:w="6048"/>
          </w:tcPr>
          <w:p>
            <w:pPr>
              <w:spacing w:after="20"/>
            </w:pPr>
            <w:r>
              <w:rPr>
                <w:color w:val="1C3A36"/>
                <w:sz w:val="15"/>
              </w:rPr>
              <w:t>Fertiglobe Q2 2026 Results MD&amp;A Report (28-Jul-2026)</w:t>
            </w:r>
          </w:p>
        </w:tc>
      </w:tr>
    </w:tbl>
    <w:p>
      <w:pPr>
        <w:spacing w:after="40"/>
      </w:pPr>
    </w:p>
    <w:p>
      <w:pPr>
        <w:spacing w:after="80" w:before="200"/>
      </w:pPr>
      <w:r>
        <w:rPr>
          <w:b/>
          <w:i w:val="0"/>
          <w:color w:val="1C3A36"/>
          <w:sz w:val="24"/>
        </w:rPr>
        <w:t>Market — 2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1224"/>
        <w:gridCol w:w="1080"/>
        <w:gridCol w:w="6048"/>
      </w:tblGrid>
      <w:tr>
        <w:trPr>
          <w:cantSplit/>
          <w:tblHeader/>
          <w:cantSplit/>
          <w:tblHeader/>
        </w:trPr>
        <w:tc>
          <w:tcPr>
            <w:tcW w:type="dxa" w:w="1728"/>
            <w:shd w:val="clear" w:color="auto" w:fill="EAF0EE"/>
          </w:tcPr>
          <w:p>
            <w:pPr>
              <w:spacing w:after="20"/>
            </w:pPr>
            <w:r>
              <w:rPr>
                <w:b/>
                <w:color w:val="1C3A36"/>
                <w:sz w:val="15"/>
              </w:rPr>
              <w:t>Input</w:t>
            </w:r>
          </w:p>
        </w:tc>
        <w:tc>
          <w:tcPr>
            <w:tcW w:type="dxa" w:w="1224"/>
            <w:shd w:val="clear" w:color="auto" w:fill="EAF0EE"/>
          </w:tcPr>
          <w:p>
            <w:pPr>
              <w:spacing w:after="20"/>
            </w:pPr>
            <w:r>
              <w:rPr>
                <w:b/>
                <w:color w:val="1C3A36"/>
                <w:sz w:val="15"/>
              </w:rPr>
              <w:t>Value</w:t>
            </w:r>
          </w:p>
        </w:tc>
        <w:tc>
          <w:tcPr>
            <w:tcW w:type="dxa" w:w="1080"/>
            <w:shd w:val="clear" w:color="auto" w:fill="EAF0EE"/>
          </w:tcPr>
          <w:p>
            <w:pPr>
              <w:spacing w:after="20"/>
            </w:pPr>
            <w:r>
              <w:rPr>
                <w:b/>
                <w:color w:val="1C3A36"/>
                <w:sz w:val="15"/>
              </w:rPr>
              <w:t>Date</w:t>
            </w:r>
          </w:p>
        </w:tc>
        <w:tc>
          <w:tcPr>
            <w:tcW w:type="dxa" w:w="6048"/>
            <w:shd w:val="clear" w:color="auto" w:fill="EAF0EE"/>
          </w:tcPr>
          <w:p>
            <w:pPr>
              <w:spacing w:after="20"/>
            </w:pPr>
            <w:r>
              <w:rPr>
                <w:b/>
                <w:color w:val="1C3A36"/>
                <w:sz w:val="15"/>
              </w:rPr>
              <w:t>Source and construction</w:t>
            </w:r>
          </w:p>
        </w:tc>
      </w:tr>
      <w:tr>
        <w:trPr>
          <w:cantSplit/>
          <w:cantSplit/>
        </w:trPr>
        <w:tc>
          <w:tcPr>
            <w:tcW w:type="dxa" w:w="1728"/>
          </w:tcPr>
          <w:p>
            <w:pPr>
              <w:spacing w:after="20"/>
            </w:pPr>
            <w:r>
              <w:rPr>
                <w:color w:val="1C3A36"/>
                <w:sz w:val="15"/>
              </w:rPr>
              <w:t>spot aed</w:t>
            </w:r>
          </w:p>
        </w:tc>
        <w:tc>
          <w:tcPr>
            <w:tcW w:type="dxa" w:w="1224"/>
          </w:tcPr>
          <w:p>
            <w:pPr>
              <w:spacing w:after="20"/>
            </w:pPr>
            <w:r>
              <w:rPr>
                <w:color w:val="1C3A36"/>
                <w:sz w:val="15"/>
              </w:rPr>
              <w:t>AED 2.67</w:t>
            </w:r>
          </w:p>
        </w:tc>
        <w:tc>
          <w:tcPr>
            <w:tcW w:type="dxa" w:w="1080"/>
          </w:tcPr>
          <w:p>
            <w:pPr>
              <w:spacing w:after="20"/>
            </w:pPr>
            <w:r>
              <w:rPr>
                <w:color w:val="1C3A36"/>
                <w:sz w:val="15"/>
              </w:rPr>
              <w:t>2026-09-03</w:t>
            </w:r>
          </w:p>
        </w:tc>
        <w:tc>
          <w:tcPr>
            <w:tcW w:type="dxa" w:w="6048"/>
          </w:tcPr>
          <w:p>
            <w:pPr>
              <w:spacing w:after="20"/>
            </w:pPr>
            <w:r>
              <w:rPr>
                <w:color w:val="1C3A36"/>
                <w:sz w:val="15"/>
              </w:rPr>
              <w:t>ADX closing price, FERTIGLB, from the study price history — the latest supplied to this repository (SUPPLIED_03-09-2026.json). Superseded: AED 2.54 of 7 August 2026, on which every edition before this one was struck</w:t>
            </w:r>
          </w:p>
        </w:tc>
      </w:tr>
      <w:tr>
        <w:trPr>
          <w:cantSplit/>
          <w:cantSplit/>
        </w:trPr>
        <w:tc>
          <w:tcPr>
            <w:tcW w:type="dxa" w:w="1728"/>
          </w:tcPr>
          <w:p>
            <w:pPr>
              <w:spacing w:after="20"/>
            </w:pPr>
            <w:r>
              <w:rPr>
                <w:color w:val="1C3A36"/>
                <w:sz w:val="15"/>
              </w:rPr>
              <w:t>beta</w:t>
            </w:r>
          </w:p>
        </w:tc>
        <w:tc>
          <w:tcPr>
            <w:tcW w:type="dxa" w:w="1224"/>
          </w:tcPr>
          <w:p>
            <w:pPr>
              <w:spacing w:after="20"/>
            </w:pPr>
            <w:r>
              <w:rPr>
                <w:color w:val="1C3A36"/>
                <w:sz w:val="15"/>
              </w:rPr>
              <w:t>0.931</w:t>
            </w:r>
          </w:p>
        </w:tc>
        <w:tc>
          <w:tcPr>
            <w:tcW w:type="dxa" w:w="1080"/>
          </w:tcPr>
          <w:p>
            <w:pPr>
              <w:spacing w:after="20"/>
            </w:pPr>
            <w:r>
              <w:rPr>
                <w:color w:val="1C3A36"/>
                <w:sz w:val="15"/>
              </w:rPr>
              <w:t>2026-08-07</w:t>
            </w:r>
          </w:p>
        </w:tc>
        <w:tc>
          <w:tcPr>
            <w:tcW w:type="dxa" w:w="6048"/>
          </w:tcPr>
          <w:p>
            <w:pPr>
              <w:spacing w:after="20"/>
            </w:pPr>
            <w:r>
              <w:rPr>
                <w:color w:val="1C3A36"/>
                <w:sz w:val="15"/>
              </w:rPr>
              <w:t>Own-stock weekly regression against the FTSE ADX General index (published, as of 2026-07-24), 4.68 years, n=242, R-squared 0.100, standard error 0.283</w:t>
            </w:r>
          </w:p>
        </w:tc>
      </w:tr>
    </w:tbl>
    <w:p>
      <w:pPr>
        <w:spacing w:after="40"/>
      </w:pPr>
    </w:p>
    <w:p>
      <w:pPr>
        <w:spacing w:after="120" w:before="280"/>
      </w:pPr>
      <w:r>
        <w:rPr>
          <w:b/>
          <w:i w:val="0"/>
          <w:color w:val="1C3A36"/>
          <w:sz w:val="30"/>
        </w:rPr>
        <w:t>The judgements, and what would overturn each</w:t>
      </w:r>
    </w:p>
    <w:p>
      <w:pPr>
        <w:spacing w:after="120" w:before="0"/>
      </w:pPr>
      <w:r>
        <w:rPr>
          <w:b w:val="0"/>
          <w:i w:val="0"/>
          <w:color w:val="1C3A36"/>
          <w:sz w:val="19"/>
        </w:rPr>
        <w:t>These are the places where the analyst chose rather than observed. They are collected here so that a reader can find every one of them without reading the whole study, and each carries the evidence that would overturn it — stated in advance, in observable terms.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2520"/>
        <w:gridCol w:w="2808"/>
        <w:gridCol w:w="2880"/>
      </w:tblGrid>
      <w:tr>
        <w:trPr>
          <w:cantSplit/>
          <w:tblHeader/>
          <w:cantSplit/>
          <w:tblHeader/>
        </w:trPr>
        <w:tc>
          <w:tcPr>
            <w:tcW w:type="dxa" w:w="1872"/>
            <w:shd w:val="clear" w:color="auto" w:fill="EAF0EE"/>
          </w:tcPr>
          <w:p>
            <w:pPr>
              <w:spacing w:after="20"/>
            </w:pPr>
            <w:r>
              <w:rPr>
                <w:b/>
                <w:color w:val="1C3A36"/>
                <w:sz w:val="15"/>
              </w:rPr>
              <w:t>Judgement</w:t>
            </w:r>
          </w:p>
        </w:tc>
        <w:tc>
          <w:tcPr>
            <w:tcW w:type="dxa" w:w="2520"/>
            <w:shd w:val="clear" w:color="auto" w:fill="EAF0EE"/>
          </w:tcPr>
          <w:p>
            <w:pPr>
              <w:spacing w:after="20"/>
            </w:pPr>
            <w:r>
              <w:rPr>
                <w:b/>
                <w:color w:val="1C3A36"/>
                <w:sz w:val="15"/>
              </w:rPr>
              <w:t>What was chosen</w:t>
            </w:r>
          </w:p>
        </w:tc>
        <w:tc>
          <w:tcPr>
            <w:tcW w:type="dxa" w:w="2808"/>
            <w:shd w:val="clear" w:color="auto" w:fill="EAF0EE"/>
          </w:tcPr>
          <w:p>
            <w:pPr>
              <w:spacing w:after="20"/>
            </w:pPr>
            <w:r>
              <w:rPr>
                <w:b/>
                <w:color w:val="1C3A36"/>
                <w:sz w:val="15"/>
              </w:rPr>
              <w:t>Why</w:t>
            </w:r>
          </w:p>
        </w:tc>
        <w:tc>
          <w:tcPr>
            <w:tcW w:type="dxa" w:w="2880"/>
            <w:shd w:val="clear" w:color="auto" w:fill="EAF0EE"/>
          </w:tcPr>
          <w:p>
            <w:pPr>
              <w:spacing w:after="20"/>
            </w:pPr>
            <w:r>
              <w:rPr>
                <w:b/>
                <w:color w:val="1C3A36"/>
                <w:sz w:val="15"/>
              </w:rPr>
              <w:t>What would overturn it</w:t>
            </w:r>
          </w:p>
        </w:tc>
      </w:tr>
      <w:tr>
        <w:trPr>
          <w:cantSplit/>
          <w:cantSplit/>
        </w:trPr>
        <w:tc>
          <w:tcPr>
            <w:tcW w:type="dxa" w:w="1872"/>
          </w:tcPr>
          <w:p>
            <w:pPr>
              <w:spacing w:after="20"/>
            </w:pPr>
            <w:r>
              <w:rPr>
                <w:color w:val="1C3A36"/>
                <w:sz w:val="15"/>
              </w:rPr>
              <w:t>Gas cost moves with the product price, at about 0.48 of every dollar</w:t>
            </w:r>
          </w:p>
        </w:tc>
        <w:tc>
          <w:tcPr>
            <w:tcW w:type="dxa" w:w="2520"/>
          </w:tcPr>
          <w:p>
            <w:pPr>
              <w:spacing w:after="20"/>
            </w:pPr>
            <w:r>
              <w:rPr>
                <w:color w:val="1C3A36"/>
                <w:sz w:val="15"/>
              </w:rPr>
              <w:t>Cash cost per tonne is modelled as $43 plus 0.481 times the realised price per tonne, fitted across the three disclosed periods (fit quality 0.960). It replaces an inflation-escalated cost stack entirely</w:t>
            </w:r>
          </w:p>
        </w:tc>
        <w:tc>
          <w:tcPr>
            <w:tcW w:type="dxa" w:w="2808"/>
          </w:tcPr>
          <w:p>
            <w:pPr>
              <w:spacing w:after="20"/>
            </w:pPr>
            <w:r>
              <w:rPr>
                <w:color w:val="1C3A36"/>
                <w:sz w:val="15"/>
              </w:rPr>
              <w:t>The chief executive stated on the results call of 6 August 2026 that gas pricing in Egypt and Algeria is product-linked. The relationship is measured from disclosed segment revenue and earnings rather than assumed, and it survives removing the Algerian gas catch-up charge (slope 0.489 without it), so it is not an artefact of that one item. It is corroborated physically: the fitted cost step implies about $4.74 per MMBtu of extra gas cost against the $6 per MMBtu the company disclosed for the second quarter of 2026</w:t>
            </w:r>
          </w:p>
        </w:tc>
        <w:tc>
          <w:tcPr>
            <w:tcW w:type="dxa" w:w="2880"/>
          </w:tcPr>
          <w:p>
            <w:pPr>
              <w:spacing w:after="20"/>
            </w:pPr>
            <w:r>
              <w:rPr>
                <w:color w:val="1C3A36"/>
                <w:sz w:val="15"/>
              </w:rPr>
              <w:t>Two consecutive periods in which cost per tonne fails to follow realised price at anything close to this slope — most plainly, a fall in product prices that is not followed by a fall in cost per tonne. A published Algerian or Egyptian gas formula showing a fixed price would overturn it outright</w:t>
            </w:r>
          </w:p>
        </w:tc>
      </w:tr>
      <w:tr>
        <w:trPr>
          <w:cantSplit/>
          <w:cantSplit/>
        </w:trPr>
        <w:tc>
          <w:tcPr>
            <w:tcW w:type="dxa" w:w="1872"/>
          </w:tcPr>
          <w:p>
            <w:pPr>
              <w:spacing w:after="20"/>
            </w:pPr>
            <w:r>
              <w:rPr>
                <w:color w:val="1C3A36"/>
                <w:sz w:val="15"/>
              </w:rPr>
              <w:t>The product price path — carried BOTH ways, never averaged into one number</w:t>
            </w:r>
          </w:p>
        </w:tc>
        <w:tc>
          <w:tcPr>
            <w:tcW w:type="dxa" w:w="2520"/>
          </w:tcPr>
          <w:p>
            <w:pPr>
              <w:spacing w:after="20"/>
            </w:pPr>
            <w:r>
              <w:rPr>
                <w:color w:val="1C3A36"/>
                <w:sz w:val="15"/>
              </w:rPr>
              <w:t>Framing A reverts urea to $440 per tonne by 2028 and holds there; framing B holds it near $550. Both are run all the way to a value: AED 1.81 under A and AED 2.68 under B. Both appear in the summary, the body, the workbook and an expert's range</w:t>
            </w:r>
          </w:p>
        </w:tc>
        <w:tc>
          <w:tcPr>
            <w:tcW w:type="dxa" w:w="2808"/>
          </w:tcPr>
          <w:p>
            <w:pPr>
              <w:spacing w:after="20"/>
            </w:pPr>
            <w:r>
              <w:rPr>
                <w:color w:val="1C3A36"/>
                <w:sz w:val="15"/>
              </w:rPr>
              <w:t>This is the single most consequential contested judgement in the study, and averaging the two would hide it. Framing A treats the 2026 spike as a war premium on top of a marginal-cost anchor set by European gas; framing B rests on the company's own sourced supply and demand balance — demand growth outside China of about 11.4 million tonnes to 2030 against about 9.1 million tonnes of additions — and the rising European tariff wall on Russian and Belarusian product</w:t>
            </w:r>
          </w:p>
        </w:tc>
        <w:tc>
          <w:tcPr>
            <w:tcW w:type="dxa" w:w="2880"/>
          </w:tcPr>
          <w:p>
            <w:pPr>
              <w:spacing w:after="20"/>
            </w:pPr>
            <w:r>
              <w:rPr>
                <w:color w:val="1C3A36"/>
                <w:sz w:val="15"/>
              </w:rPr>
              <w:t>Framing A is overturned by two or more quarters of urea holding above $520 per tonne with the Strait of Hormuz open and freight normalised. Framing B is overturned by Chinese export quotas returning at scale, or by any of the announced projects that have not reached a final investment decision doing so</w:t>
            </w:r>
          </w:p>
        </w:tc>
      </w:tr>
      <w:tr>
        <w:trPr>
          <w:cantSplit/>
          <w:cantSplit/>
        </w:trPr>
        <w:tc>
          <w:tcPr>
            <w:tcW w:type="dxa" w:w="1872"/>
          </w:tcPr>
          <w:p>
            <w:pPr>
              <w:spacing w:after="20"/>
            </w:pPr>
            <w:r>
              <w:rPr>
                <w:color w:val="1C3A36"/>
                <w:sz w:val="15"/>
              </w:rPr>
              <w:t>The forecast tax rate is the average of three sourced estimates</w:t>
            </w:r>
          </w:p>
        </w:tc>
        <w:tc>
          <w:tcPr>
            <w:tcW w:type="dxa" w:w="2520"/>
          </w:tcPr>
          <w:p>
            <w:pPr>
              <w:spacing w:after="20"/>
            </w:pPr>
            <w:r>
              <w:rPr>
                <w:color w:val="1C3A36"/>
                <w:sz w:val="15"/>
              </w:rPr>
              <w:t>13.1% — the mean of the four-year aggregate reported effective rate (10.4%), the four-year aggregate cash rate (15.7%) and a jurisdiction-weighted statutory build (13.4%)</w:t>
            </w:r>
          </w:p>
        </w:tc>
        <w:tc>
          <w:tcPr>
            <w:tcW w:type="dxa" w:w="2808"/>
          </w:tcPr>
          <w:p>
            <w:pPr>
              <w:spacing w:after="20"/>
            </w:pPr>
            <w:r>
              <w:rPr>
                <w:color w:val="1C3A36"/>
                <w:sz w:val="15"/>
              </w:rPr>
              <w:t>No single reported year is usable. The group's own statutory rate ranges from zero to 25% because certain entities hold qualified free-zone status, and the reported effective rate of 4% in 2025 and 7% in 2024 was flattered by items that do not recur. Taking the average of three independently constructed measures is the honest answer to a rate that is genuinely uncertain</w:t>
            </w:r>
          </w:p>
        </w:tc>
        <w:tc>
          <w:tcPr>
            <w:tcW w:type="dxa" w:w="2880"/>
          </w:tcPr>
          <w:p>
            <w:pPr>
              <w:spacing w:after="20"/>
            </w:pPr>
            <w:r>
              <w:rPr>
                <w:color w:val="1C3A36"/>
                <w:sz w:val="15"/>
              </w:rPr>
              <w:t>A completed review of free-zone qualification, or the loss of it at a material entity. The study sensitises the rate from 8% to 20%, and the value moves by roughly a tenth across that span</w:t>
            </w:r>
          </w:p>
        </w:tc>
      </w:tr>
      <w:tr>
        <w:trPr>
          <w:cantSplit/>
          <w:cantSplit/>
        </w:trPr>
        <w:tc>
          <w:tcPr>
            <w:tcW w:type="dxa" w:w="1872"/>
          </w:tcPr>
          <w:p>
            <w:pPr>
              <w:spacing w:after="20"/>
            </w:pPr>
            <w:r>
              <w:rPr>
                <w:color w:val="1C3A36"/>
                <w:sz w:val="15"/>
              </w:rPr>
              <w:t>Beta of 0.931 from the share's own history, despite a weak fit</w:t>
            </w:r>
          </w:p>
        </w:tc>
        <w:tc>
          <w:tcPr>
            <w:tcW w:type="dxa" w:w="2520"/>
          </w:tcPr>
          <w:p>
            <w:pPr>
              <w:spacing w:after="20"/>
            </w:pPr>
            <w:r>
              <w:rPr>
                <w:color w:val="1C3A36"/>
                <w:sz w:val="15"/>
              </w:rPr>
              <w:t>0.931, from 242 weekly observations over 4.7 years against the published FTSE ADX General index — the index of the exchange the share is listed on. It is used as measured, not adjusted toward one</w:t>
            </w:r>
          </w:p>
        </w:tc>
        <w:tc>
          <w:tcPr>
            <w:tcW w:type="dxa" w:w="2808"/>
          </w:tcPr>
          <w:p>
            <w:pPr>
              <w:spacing w:after="20"/>
            </w:pPr>
            <w:r>
              <w:rPr>
                <w:color w:val="1C3A36"/>
                <w:sz w:val="15"/>
              </w:rPr>
              <w:t>The regression explains only 10.0% of the variance and the standard error is 0.283, so the 90% interval runs from 0.47 to 1.40 — a genuinely weak fit, which is what a 12.6% free float on a commodity producer should produce. The share tracks nitrogen prices, not the local index. The study says so plainly rather than borrowing a foreign peer beta that would look firmer than the evidence is</w:t>
            </w:r>
          </w:p>
        </w:tc>
        <w:tc>
          <w:tcPr>
            <w:tcW w:type="dxa" w:w="2880"/>
          </w:tcPr>
          <w:p>
            <w:pPr>
              <w:spacing w:after="20"/>
            </w:pPr>
            <w:r>
              <w:rPr>
                <w:color w:val="1C3A36"/>
                <w:sz w:val="15"/>
              </w:rPr>
              <w:t>A materially higher free float, or a longer history, that lifts the explanatory power. The whole 90% interval is priced in the sensitivity table: at 1.40 the value falls by roughly a fifth. A reader who prefers the adjusted-toward-one convention would use 0.954, which is shown</w:t>
            </w:r>
          </w:p>
        </w:tc>
      </w:tr>
      <w:tr>
        <w:trPr>
          <w:cantSplit/>
          <w:cantSplit/>
        </w:trPr>
        <w:tc>
          <w:tcPr>
            <w:tcW w:type="dxa" w:w="1872"/>
          </w:tcPr>
          <w:p>
            <w:pPr>
              <w:spacing w:after="20"/>
            </w:pPr>
            <w:r>
              <w:rPr>
                <w:color w:val="1C3A36"/>
                <w:sz w:val="15"/>
              </w:rPr>
              <w:t>The terminal return on capital is triangulated, not carried from the last forecast year</w:t>
            </w:r>
          </w:p>
        </w:tc>
        <w:tc>
          <w:tcPr>
            <w:tcW w:type="dxa" w:w="2520"/>
          </w:tcPr>
          <w:p>
            <w:pPr>
              <w:spacing w:after="20"/>
            </w:pPr>
            <w:r>
              <w:rPr>
                <w:color w:val="1C3A36"/>
                <w:sz w:val="15"/>
              </w:rPr>
              <w:t>13.5% — the mean of the final-year book return (22.2%), the return on replacement cost (6.8%) and a long-run sector return for merchant nitrogen producers (11.5%). It is published as a diagnostic and does not enter the terminal: that value is built from the capital the plants need to be kept whole, US$394.5m a year on the asset life the accounts themselves disclose, so no assumed return sets the charge</w:t>
            </w:r>
          </w:p>
        </w:tc>
        <w:tc>
          <w:tcPr>
            <w:tcW w:type="dxa" w:w="2808"/>
          </w:tcPr>
          <w:p>
            <w:pPr>
              <w:spacing w:after="20"/>
            </w:pPr>
            <w:r>
              <w:rPr>
                <w:color w:val="1C3A36"/>
                <w:sz w:val="15"/>
              </w:rPr>
              <w:t>Book invested capital is depreciated historical cost, so a book return above a fifth overstates what the next tonne of capacity actually earns; replacement cost understates it, because the existing plants carry a gas position a new entrant cannot buy. Neither is right on its own</w:t>
            </w:r>
          </w:p>
        </w:tc>
        <w:tc>
          <w:tcPr>
            <w:tcW w:type="dxa" w:w="2880"/>
          </w:tcPr>
          <w:p>
            <w:pPr>
              <w:spacing w:after="20"/>
            </w:pPr>
            <w:r>
              <w:rPr>
                <w:color w:val="1C3A36"/>
                <w:sz w:val="15"/>
              </w:rPr>
              <w:t>A greenfield nitrogen project reaching a final investment decision at a disclosed capital cost far from the $1,250 per tonne of capacity assumed here would move the replacement-cost leg directly, and with it the capital the terminal charges to keep the existing plants whole</w:t>
            </w:r>
          </w:p>
        </w:tc>
      </w:tr>
      <w:tr>
        <w:trPr>
          <w:cantSplit/>
          <w:cantSplit/>
        </w:trPr>
        <w:tc>
          <w:tcPr>
            <w:tcW w:type="dxa" w:w="1872"/>
          </w:tcPr>
          <w:p>
            <w:pPr>
              <w:spacing w:after="20"/>
            </w:pPr>
            <w:r>
              <w:rPr>
                <w:color w:val="1C3A36"/>
                <w:sz w:val="15"/>
              </w:rPr>
              <w:t>Non-controlling interests are charged at their share of profit, not at book value</w:t>
            </w:r>
          </w:p>
        </w:tc>
        <w:tc>
          <w:tcPr>
            <w:tcW w:type="dxa" w:w="2520"/>
          </w:tcPr>
          <w:p>
            <w:pPr>
              <w:spacing w:after="20"/>
            </w:pPr>
            <w:r>
              <w:rPr>
                <w:color w:val="1C3A36"/>
                <w:sz w:val="15"/>
              </w:rPr>
              <w:t>26.3% of total equity value is deducted for minorities in the bridge from enterprise to attributable equity, which is AED 1.81 under framing A. On a book basis (the balance-sheet carrying amount of $443.3m) the same framing gives AED 2.26</w:t>
            </w:r>
          </w:p>
        </w:tc>
        <w:tc>
          <w:tcPr>
            <w:tcW w:type="dxa" w:w="2808"/>
          </w:tcPr>
          <w:p>
            <w:pPr>
              <w:spacing w:after="20"/>
            </w:pPr>
            <w:r>
              <w:rPr>
                <w:color w:val="1C3A36"/>
                <w:sz w:val="15"/>
              </w:rPr>
              <w:t>Minorities are large and concentrated in the two most profitable assets — 25% of the Egyptian producer and 49.01% of the Algerian one. They take a materially larger share of group profit than of group book equity, so charging them at profit share is the conservative reading and the one consistent with valuing the whole enterprise on its cash flows</w:t>
            </w:r>
          </w:p>
        </w:tc>
        <w:tc>
          <w:tcPr>
            <w:tcW w:type="dxa" w:w="2880"/>
          </w:tcPr>
          <w:p>
            <w:pPr>
              <w:spacing w:after="20"/>
            </w:pPr>
            <w:r>
              <w:rPr>
                <w:color w:val="1C3A36"/>
                <w:sz w:val="15"/>
              </w:rPr>
              <w:t>A buy-out of either minority at a disclosed price, which would replace the estimate with a transaction. A reader who prefers the book convention can read the alternative directly from the bridge, which is published on both bases</w:t>
            </w:r>
          </w:p>
        </w:tc>
      </w:tr>
      <w:tr>
        <w:trPr>
          <w:cantSplit/>
          <w:cantSplit/>
        </w:trPr>
        <w:tc>
          <w:tcPr>
            <w:tcW w:type="dxa" w:w="1872"/>
          </w:tcPr>
          <w:p>
            <w:pPr>
              <w:spacing w:after="20"/>
            </w:pPr>
            <w:r>
              <w:rPr>
                <w:color w:val="1C3A36"/>
                <w:sz w:val="15"/>
              </w:rPr>
              <w:t>The lower-carbon ammonia project is excluded from the base case</w:t>
            </w:r>
          </w:p>
        </w:tc>
        <w:tc>
          <w:tcPr>
            <w:tcW w:type="dxa" w:w="2520"/>
          </w:tcPr>
          <w:p>
            <w:pPr>
              <w:spacing w:after="20"/>
            </w:pPr>
            <w:r>
              <w:rPr>
                <w:color w:val="1C3A36"/>
                <w:sz w:val="15"/>
              </w:rPr>
              <w:t>No cash flow, no capital and no value is carried for the one-million-tonne lower-carbon ammonia plant. It is named as an unpriced upside catalyst instead</w:t>
            </w:r>
          </w:p>
        </w:tc>
        <w:tc>
          <w:tcPr>
            <w:tcW w:type="dxa" w:w="2808"/>
          </w:tcPr>
          <w:p>
            <w:pPr>
              <w:spacing w:after="20"/>
            </w:pPr>
            <w:r>
              <w:rPr>
                <w:color w:val="1C3A36"/>
                <w:sz w:val="15"/>
              </w:rPr>
              <w:t>The parent is warehousing the project and the company holds only an option to move to 54% ownership after completion, expected in 2027. An option that has not been exercised over an asset that is not consolidated is not a cash flow today, and modelling it would put the study's central figure at the mercy of an ownership decision the company has not taken</w:t>
            </w:r>
          </w:p>
        </w:tc>
        <w:tc>
          <w:tcPr>
            <w:tcW w:type="dxa" w:w="2880"/>
          </w:tcPr>
          <w:p>
            <w:pPr>
              <w:spacing w:after="20"/>
            </w:pPr>
            <w:r>
              <w:rPr>
                <w:color w:val="1C3A36"/>
                <w:sz w:val="15"/>
              </w:rPr>
              <w:t>Exercise of the option, or any disclosure that fixes the terms and timing of the transfer. At that point it becomes a consolidated asset and belongs in the model</w:t>
            </w:r>
          </w:p>
        </w:tc>
      </w:tr>
      <w:tr>
        <w:trPr>
          <w:cantSplit/>
          <w:cantSplit/>
        </w:trPr>
        <w:tc>
          <w:tcPr>
            <w:tcW w:type="dxa" w:w="1872"/>
          </w:tcPr>
          <w:p>
            <w:pPr>
              <w:spacing w:after="20"/>
            </w:pPr>
            <w:r>
              <w:rPr>
                <w:color w:val="1C3A36"/>
                <w:sz w:val="15"/>
              </w:rPr>
              <w:t>2026 is built as the reported half year plus a modelled second half</w:t>
            </w:r>
          </w:p>
        </w:tc>
        <w:tc>
          <w:tcPr>
            <w:tcW w:type="dxa" w:w="2520"/>
          </w:tcPr>
          <w:p>
            <w:pPr>
              <w:spacing w:after="20"/>
            </w:pPr>
            <w:r>
              <w:rPr>
                <w:color w:val="1C3A36"/>
                <w:sz w:val="15"/>
              </w:rPr>
              <w:t>The disclosed first half — 2,571 kt of own-produced volume on $1,597m of segment revenue — is carried as fact, and only the second half is forecast</w:t>
            </w:r>
          </w:p>
        </w:tc>
        <w:tc>
          <w:tcPr>
            <w:tcW w:type="dxa" w:w="2808"/>
          </w:tcPr>
          <w:p>
            <w:pPr>
              <w:spacing w:after="20"/>
            </w:pPr>
            <w:r>
              <w:rPr>
                <w:color w:val="1C3A36"/>
                <w:sz w:val="15"/>
              </w:rPr>
              <w:t>Half of the study year has already been reported. Carrying a modelled full year over a period the company has published would discard evidence that exists</w:t>
            </w:r>
          </w:p>
        </w:tc>
        <w:tc>
          <w:tcPr>
            <w:tcW w:type="dxa" w:w="2880"/>
          </w:tcPr>
          <w:p>
            <w:pPr>
              <w:spacing w:after="20"/>
            </w:pPr>
            <w:r>
              <w:rPr>
                <w:color w:val="1C3A36"/>
                <w:sz w:val="15"/>
              </w:rPr>
              <w:t>Nothing — this is arithmetic, not judgement. It is listed because it explains why the 2026 column behaves differently from the four that follow</w:t>
            </w:r>
          </w:p>
        </w:tc>
      </w:tr>
      <w:tr>
        <w:trPr>
          <w:cantSplit/>
          <w:cantSplit/>
        </w:trPr>
        <w:tc>
          <w:tcPr>
            <w:tcW w:type="dxa" w:w="1872"/>
          </w:tcPr>
          <w:p>
            <w:pPr>
              <w:spacing w:after="20"/>
            </w:pPr>
            <w:r>
              <w:rPr>
                <w:color w:val="1C3A36"/>
                <w:sz w:val="15"/>
              </w:rPr>
              <w:t>Utilisation improves gradually rather than stepping up</w:t>
            </w:r>
          </w:p>
        </w:tc>
        <w:tc>
          <w:tcPr>
            <w:tcW w:type="dxa" w:w="2520"/>
          </w:tcPr>
          <w:p>
            <w:pPr>
              <w:spacing w:after="20"/>
            </w:pPr>
            <w:r>
              <w:rPr>
                <w:color w:val="1C3A36"/>
                <w:sz w:val="15"/>
              </w:rPr>
              <w:t>Urea utilisation glides from 82.3% in 2026 to 88.8% by 2030; merchant ammonia from 71.5% to 84.7%. Installed capacity is held flat, because no additions are announced</w:t>
            </w:r>
          </w:p>
        </w:tc>
        <w:tc>
          <w:tcPr>
            <w:tcW w:type="dxa" w:w="2808"/>
          </w:tcPr>
          <w:p>
            <w:pPr>
              <w:spacing w:after="20"/>
            </w:pPr>
            <w:r>
              <w:rPr>
                <w:color w:val="1C3A36"/>
                <w:sz w:val="15"/>
              </w:rPr>
              <w:t>The company runs a stated manufacturing improvement programme but gives no numeric volume guidance, so no guidance figure is carried. The glide is anchored on the 92% urea utilisation actually reported for the first half of 2026</w:t>
            </w:r>
          </w:p>
        </w:tc>
        <w:tc>
          <w:tcPr>
            <w:tcW w:type="dxa" w:w="2880"/>
          </w:tcPr>
          <w:p>
            <w:pPr>
              <w:spacing w:after="20"/>
            </w:pPr>
            <w:r>
              <w:rPr>
                <w:color w:val="1C3A36"/>
                <w:sz w:val="15"/>
              </w:rPr>
              <w:t>An unplanned outage at either large plant, or a debottlenecking announcement that raises nameplate capacity. Utilisation is sensitised in the study and is the second most powerful driver after price</w:t>
            </w:r>
          </w:p>
        </w:tc>
      </w:tr>
      <w:tr>
        <w:trPr>
          <w:cantSplit/>
          <w:cantSplit/>
        </w:trPr>
        <w:tc>
          <w:tcPr>
            <w:tcW w:type="dxa" w:w="1872"/>
          </w:tcPr>
          <w:p>
            <w:pPr>
              <w:spacing w:after="20"/>
            </w:pPr>
            <w:r>
              <w:rPr>
                <w:color w:val="1C3A36"/>
                <w:sz w:val="15"/>
              </w:rPr>
              <w:t>The third-party trading leg is carried at a segment margin, not built from unit economics</w:t>
            </w:r>
          </w:p>
        </w:tc>
        <w:tc>
          <w:tcPr>
            <w:tcW w:type="dxa" w:w="2520"/>
          </w:tcPr>
          <w:p>
            <w:pPr>
              <w:spacing w:after="20"/>
            </w:pPr>
            <w:r>
              <w:rPr>
                <w:color w:val="1C3A36"/>
                <w:sz w:val="15"/>
              </w:rPr>
              <w:t>Traded volumes grow from 1,150 kt to 1,350 kt at a 7.5% margin on revenue — the one leg of the model that is not built from volume times price less cost per tonne. The gap is flagged rather than papered over</w:t>
            </w:r>
          </w:p>
        </w:tc>
        <w:tc>
          <w:tcPr>
            <w:tcW w:type="dxa" w:w="2808"/>
          </w:tcPr>
          <w:p>
            <w:pPr>
              <w:spacing w:after="20"/>
            </w:pPr>
            <w:r>
              <w:rPr>
                <w:color w:val="1C3A36"/>
                <w:sz w:val="15"/>
              </w:rPr>
              <w:t>Volumes are disclosed by product but purchase-side unit economics are not disclosed anywhere, in any filing or presentation. A margin measured from disclosed segment earnings is the finest level the evidence supports</w:t>
            </w:r>
          </w:p>
        </w:tc>
        <w:tc>
          <w:tcPr>
            <w:tcW w:type="dxa" w:w="2880"/>
          </w:tcPr>
          <w:p>
            <w:pPr>
              <w:spacing w:after="20"/>
            </w:pPr>
            <w:r>
              <w:rPr>
                <w:color w:val="1C3A36"/>
                <w:sz w:val="15"/>
              </w:rPr>
              <w:t>Any disclosure of purchase cost per tonne on traded product. The leg is small — it contributes a low-single-digit share of group earnings — so even a large error in it moves the value little</w:t>
            </w:r>
          </w:p>
        </w:tc>
      </w:tr>
      <w:tr>
        <w:trPr>
          <w:cantSplit/>
          <w:cantSplit/>
        </w:trPr>
        <w:tc>
          <w:tcPr>
            <w:tcW w:type="dxa" w:w="1872"/>
          </w:tcPr>
          <w:p>
            <w:pPr>
              <w:spacing w:after="20"/>
            </w:pPr>
            <w:r>
              <w:rPr>
                <w:color w:val="1C3A36"/>
                <w:sz w:val="15"/>
              </w:rPr>
              <w:t>Working capital is projected from the conversion cycle, with the gas accrual removed</w:t>
            </w:r>
          </w:p>
        </w:tc>
        <w:tc>
          <w:tcPr>
            <w:tcW w:type="dxa" w:w="2520"/>
          </w:tcPr>
          <w:p>
            <w:pPr>
              <w:spacing w:after="20"/>
            </w:pPr>
            <w:r>
              <w:rPr>
                <w:color w:val="1C3A36"/>
                <w:sz w:val="15"/>
              </w:rPr>
              <w:t>Receivable days of 64, inventory days of 63 and payable days of 82, all measured off the filed statements. Including the accrual would put payable days at 154 and make the cycle look permanently negative</w:t>
            </w:r>
          </w:p>
        </w:tc>
        <w:tc>
          <w:tcPr>
            <w:tcW w:type="dxa" w:w="2808"/>
          </w:tcPr>
          <w:p>
            <w:pPr>
              <w:spacing w:after="20"/>
            </w:pPr>
            <w:r>
              <w:rPr>
                <w:color w:val="1C3A36"/>
                <w:sz w:val="15"/>
              </w:rPr>
              <w:t>The accrued gas catch-up is not a trade payable arising in the ordinary course; it is an unsettled liability with no payment schedule. Leaving it inside payables would show the company financing itself on supplier credit it has not actually negotiated</w:t>
            </w:r>
          </w:p>
        </w:tc>
        <w:tc>
          <w:tcPr>
            <w:tcW w:type="dxa" w:w="2880"/>
          </w:tcPr>
          <w:p>
            <w:pPr>
              <w:spacing w:after="20"/>
            </w:pPr>
            <w:r>
              <w:rPr>
                <w:color w:val="1C3A36"/>
                <w:sz w:val="15"/>
              </w:rPr>
              <w:t>Settlement of the accrual on disclosed terms, which would convert it into either a cash outflow or a scheduled payable and put the question beyond judgement</w:t>
            </w:r>
          </w:p>
        </w:tc>
      </w:tr>
      <w:tr>
        <w:trPr>
          <w:cantSplit/>
          <w:cantSplit/>
        </w:trPr>
        <w:tc>
          <w:tcPr>
            <w:tcW w:type="dxa" w:w="1872"/>
          </w:tcPr>
          <w:p>
            <w:pPr>
              <w:spacing w:after="20"/>
            </w:pPr>
            <w:r>
              <w:rPr>
                <w:color w:val="1C3A36"/>
                <w:sz w:val="15"/>
              </w:rPr>
              <w:t>The cost of capital is weighted by where the plants are, not by where the company is listed</w:t>
            </w:r>
          </w:p>
        </w:tc>
        <w:tc>
          <w:tcPr>
            <w:tcW w:type="dxa" w:w="2520"/>
          </w:tcPr>
          <w:p>
            <w:pPr>
              <w:spacing w:after="20"/>
            </w:pPr>
            <w:r>
              <w:rPr>
                <w:color w:val="1C3A36"/>
                <w:sz w:val="15"/>
              </w:rPr>
              <w:t>The equity risk premium is 8.51% on a rating basis and 7.14% on a swap basis, blending each country's own published row at 50.9% UAE, 31.1% Egypt and 16.1% Algeria, weighted by disclosed non-current assets. Both bases are published</w:t>
            </w:r>
          </w:p>
        </w:tc>
        <w:tc>
          <w:tcPr>
            <w:tcW w:type="dxa" w:w="2808"/>
          </w:tcPr>
          <w:p>
            <w:pPr>
              <w:spacing w:after="20"/>
            </w:pPr>
            <w:r>
              <w:rPr>
                <w:color w:val="1C3A36"/>
                <w:sz w:val="15"/>
              </w:rPr>
              <w:t>Treating an Abu Dhabi listing as an Abu Dhabi risk profile would have used 4.87% and ignored that nearly half the asset base sits in Egypt and Algeria. Country risk is counted once, inside the premium, and the risk-free rate is normalised by removing the same sovereign spread so it is not counted twice</w:t>
            </w:r>
          </w:p>
        </w:tc>
        <w:tc>
          <w:tcPr>
            <w:tcW w:type="dxa" w:w="2880"/>
          </w:tcPr>
          <w:p>
            <w:pPr>
              <w:spacing w:after="20"/>
            </w:pPr>
            <w:r>
              <w:rPr>
                <w:color w:val="1C3A36"/>
                <w:sz w:val="15"/>
              </w:rPr>
              <w:t>A material change in the asset mix, or a sovereign rating action in any of the three countries. The weights come from a disclosed note and move with it</w:t>
            </w:r>
          </w:p>
        </w:tc>
      </w:tr>
      <w:tr>
        <w:trPr>
          <w:cantSplit/>
          <w:cantSplit/>
        </w:trPr>
        <w:tc>
          <w:tcPr>
            <w:tcW w:type="dxa" w:w="1872"/>
          </w:tcPr>
          <w:p>
            <w:pPr>
              <w:spacing w:after="20"/>
            </w:pPr>
            <w:r>
              <w:rPr>
                <w:color w:val="1C3A36"/>
                <w:sz w:val="15"/>
              </w:rPr>
              <w:t>The cost of debt is the company's own marginal borrowing, not its accounting rate</w:t>
            </w:r>
          </w:p>
        </w:tc>
        <w:tc>
          <w:tcPr>
            <w:tcW w:type="dxa" w:w="2520"/>
          </w:tcPr>
          <w:p>
            <w:pPr>
              <w:spacing w:after="20"/>
            </w:pPr>
            <w:r>
              <w:rPr>
                <w:color w:val="1C3A36"/>
                <w:sz w:val="15"/>
              </w:rPr>
              <w:t>5.67% — the dollar reference rate plus 0.975%, the average margin on the two most recent facilities the company actually drew. The 6.62% borrowing-cost capitalisation rate disclosed in the accounts is examined and not used</w:t>
            </w:r>
          </w:p>
        </w:tc>
        <w:tc>
          <w:tcPr>
            <w:tcW w:type="dxa" w:w="2808"/>
          </w:tcPr>
          <w:p>
            <w:pPr>
              <w:spacing w:after="20"/>
            </w:pPr>
            <w:r>
              <w:rPr>
                <w:color w:val="1C3A36"/>
                <w:sz w:val="15"/>
              </w:rPr>
              <w:t>The capitalisation rate is a historical accounting average across a book that has since been repriced; the study needs the rate at which the next dollar is borrowed. The marginal rate is checked to sit above the Abu Dhabi sovereign, as a same-currency corporate must</w:t>
            </w:r>
          </w:p>
        </w:tc>
        <w:tc>
          <w:tcPr>
            <w:tcW w:type="dxa" w:w="2880"/>
          </w:tcPr>
          <w:p>
            <w:pPr>
              <w:spacing w:after="20"/>
            </w:pPr>
            <w:r>
              <w:rPr>
                <w:color w:val="1C3A36"/>
                <w:sz w:val="15"/>
              </w:rPr>
              <w:t>A new facility at a materially different margin, which would be disclosed in the next borrowings note and would replace the figure directly</w:t>
            </w:r>
          </w:p>
        </w:tc>
      </w:tr>
      <w:tr>
        <w:trPr>
          <w:cantSplit/>
          <w:cantSplit/>
        </w:trPr>
        <w:tc>
          <w:tcPr>
            <w:tcW w:type="dxa" w:w="1872"/>
          </w:tcPr>
          <w:p>
            <w:pPr>
              <w:spacing w:after="20"/>
            </w:pPr>
            <w:r>
              <w:rPr>
                <w:color w:val="1C3A36"/>
                <w:sz w:val="15"/>
              </w:rPr>
              <w:t>Terminal growth of 2.0% and a terminal debt weight of 20%</w:t>
            </w:r>
          </w:p>
        </w:tc>
        <w:tc>
          <w:tcPr>
            <w:tcW w:type="dxa" w:w="2520"/>
          </w:tcPr>
          <w:p>
            <w:pPr>
              <w:spacing w:after="20"/>
            </w:pPr>
            <w:r>
              <w:rPr>
                <w:color w:val="1C3A36"/>
                <w:sz w:val="15"/>
              </w:rPr>
              <w:t>Cash flows grow at 2.0% after 2030 and the cost of capital glides from 11.93% to 11.11% as leverage normalises toward the sector. The terminal block is 56% of enterprise value under framing A</w:t>
            </w:r>
          </w:p>
        </w:tc>
        <w:tc>
          <w:tcPr>
            <w:tcW w:type="dxa" w:w="2808"/>
          </w:tcPr>
          <w:p>
            <w:pPr>
              <w:spacing w:after="20"/>
            </w:pPr>
            <w:r>
              <w:rPr>
                <w:color w:val="1C3A36"/>
                <w:sz w:val="15"/>
              </w:rPr>
              <w:t>Two per cent is long-run dollar inflation with no real growth — appropriate for a mature plant base with no announced capacity additions. The debt weight is where merchant nitrogen producers actually run, above the company's currently light net leverage</w:t>
            </w:r>
          </w:p>
        </w:tc>
        <w:tc>
          <w:tcPr>
            <w:tcW w:type="dxa" w:w="2880"/>
          </w:tcPr>
          <w:p>
            <w:pPr>
              <w:spacing w:after="20"/>
            </w:pPr>
            <w:r>
              <w:rPr>
                <w:color w:val="1C3A36"/>
                <w:sz w:val="15"/>
              </w:rPr>
              <w:t>A sustained change in the group's target capital structure, or evidence of real volume growth beyond debottlenecking. Growth is sensitised from 1.0% to 3.0% against the cost of capital in the study</w:t>
            </w:r>
          </w:p>
        </w:tc>
      </w:tr>
      <w:tr>
        <w:trPr>
          <w:cantSplit/>
          <w:cantSplit/>
        </w:trPr>
        <w:tc>
          <w:tcPr>
            <w:tcW w:type="dxa" w:w="1872"/>
          </w:tcPr>
          <w:p>
            <w:pPr>
              <w:spacing w:after="20"/>
            </w:pPr>
            <w:r>
              <w:rPr>
                <w:color w:val="1C3A36"/>
                <w:sz w:val="15"/>
              </w:rPr>
              <w:t>The relative lens uses a multiple below the Gulf peers and above the European ones</w:t>
            </w:r>
          </w:p>
        </w:tc>
        <w:tc>
          <w:tcPr>
            <w:tcW w:type="dxa" w:w="2520"/>
          </w:tcPr>
          <w:p>
            <w:pPr>
              <w:spacing w:after="20"/>
            </w:pPr>
            <w:r>
              <w:rPr>
                <w:color w:val="1C3A36"/>
                <w:sz w:val="15"/>
              </w:rPr>
              <w:t>5.8 times mid-cycle earnings before interest, tax, depreciation and amortisation of $1,191m, against a peer set trading from 5.2 to 10.4 times</w:t>
            </w:r>
          </w:p>
        </w:tc>
        <w:tc>
          <w:tcPr>
            <w:tcW w:type="dxa" w:w="2808"/>
          </w:tcPr>
          <w:p>
            <w:pPr>
              <w:spacing w:after="20"/>
            </w:pPr>
            <w:r>
              <w:rPr>
                <w:color w:val="1C3A36"/>
                <w:sz w:val="15"/>
              </w:rPr>
              <w:t>The company earns Gulf gas economics but carries Egyptian and Algerian country risk, so it should not trade at either end of its own peer set. Mid-cycle earnings are the average of the last three forecast years under both price framings, so the multiple is not applied to a peak</w:t>
            </w:r>
          </w:p>
        </w:tc>
        <w:tc>
          <w:tcPr>
            <w:tcW w:type="dxa" w:w="2880"/>
          </w:tcPr>
          <w:p>
            <w:pPr>
              <w:spacing w:after="20"/>
            </w:pPr>
            <w:r>
              <w:rPr>
                <w:color w:val="1C3A36"/>
                <w:sz w:val="15"/>
              </w:rPr>
              <w:t>A re-rating of the Gulf nitrogen names as a group, or a change in the country mix of the asset base. This lens is a cross-check and does not set the answer</w:t>
            </w:r>
          </w:p>
        </w:tc>
      </w:tr>
      <w:tr>
        <w:trPr>
          <w:cantSplit/>
          <w:cantSplit/>
        </w:trPr>
        <w:tc>
          <w:tcPr>
            <w:tcW w:type="dxa" w:w="1872"/>
          </w:tcPr>
          <w:p>
            <w:pPr>
              <w:spacing w:after="20"/>
            </w:pPr>
            <w:r>
              <w:rPr>
                <w:color w:val="1C3A36"/>
                <w:sz w:val="15"/>
              </w:rPr>
              <w:t>One lens is the answer; the others are cross-checks and are not weighted into it</w:t>
            </w:r>
          </w:p>
        </w:tc>
        <w:tc>
          <w:tcPr>
            <w:tcW w:type="dxa" w:w="2520"/>
          </w:tcPr>
          <w:p>
            <w:pPr>
              <w:spacing w:after="20"/>
            </w:pPr>
            <w:r>
              <w:rPr>
                <w:color w:val="1C3A36"/>
                <w:sz w:val="15"/>
              </w:rPr>
              <w:t>The cash-flow lens is the answer, published as two framings rather than one number (AED 1.81 and AED 2.68). The enterprise multiple (AED 2.06) and book value (AED 1.27) sit beside it as cross-checks, the second of them a floor rather than a value. Normalised earnings power is not published as either</w:t>
            </w:r>
          </w:p>
        </w:tc>
        <w:tc>
          <w:tcPr>
            <w:tcW w:type="dxa" w:w="2808"/>
          </w:tcPr>
          <w:p>
            <w:pPr>
              <w:spacing w:after="20"/>
            </w:pPr>
            <w:r>
              <w:rPr>
                <w:color w:val="1C3A36"/>
                <w:sz w:val="15"/>
              </w:rPr>
              <w:t>The unit economics are disclosed well enough to build the cash flow from the ground up, which is what makes it the answer rather than one input to an average. A weighted blend is a new method with weights nobody tested, and it imports the weakest lens at whatever number somebody typed — here it also averaged the two framings of the study's own central contested judgement, publishing a disagreement with the market that neither framing asserts. Book value is depreciated historical cost, the weakest guide to plants whose worth turns on a gas contract, so it is shown as a floor and never weighted</w:t>
            </w:r>
          </w:p>
        </w:tc>
        <w:tc>
          <w:tcPr>
            <w:tcW w:type="dxa" w:w="2880"/>
          </w:tcPr>
          <w:p>
            <w:pPr>
              <w:spacing w:after="20"/>
            </w:pPr>
            <w:r>
              <w:rPr>
                <w:color w:val="1C3A36"/>
                <w:sz w:val="15"/>
              </w:rPr>
              <w:t>Evidence, out of sample, that some blend beats the primary lens alone. The lens values and both price framings are published separately, so a reader who wants a different answer can see exactly what it would be built from</w:t>
            </w:r>
          </w:p>
        </w:tc>
      </w:tr>
    </w:tbl>
    <w:p>
      <w:pPr>
        <w:spacing w:after="40"/>
      </w:pPr>
    </w:p>
    <w:p>
      <w:pPr>
        <w:spacing w:after="120" w:before="280"/>
      </w:pPr>
      <w:r>
        <w:rPr>
          <w:b/>
          <w:i w:val="0"/>
          <w:color w:val="1C3A36"/>
          <w:sz w:val="30"/>
        </w:rPr>
        <w:t>What could not be sourced</w:t>
      </w:r>
    </w:p>
    <w:p>
      <w:pPr>
        <w:spacing w:after="120" w:before="0"/>
      </w:pPr>
      <w:r>
        <w:rPr>
          <w:b w:val="0"/>
          <w:i w:val="0"/>
          <w:color w:val="1C3A36"/>
          <w:sz w:val="19"/>
        </w:rPr>
        <w:t>Every category that was searched and produced nothing. Each says what was actually looked for, in which documents, and how the study handled the absence. They are recorded because an absence that is not written down becomes an assumption that nobody can see.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2664"/>
        <w:gridCol w:w="3312"/>
        <w:gridCol w:w="1152"/>
      </w:tblGrid>
      <w:tr>
        <w:trPr>
          <w:cantSplit/>
          <w:tblHeader/>
          <w:cantSplit/>
          <w:tblHeader/>
        </w:trPr>
        <w:tc>
          <w:tcPr>
            <w:tcW w:type="dxa" w:w="2952"/>
            <w:shd w:val="clear" w:color="auto" w:fill="EAF0EE"/>
          </w:tcPr>
          <w:p>
            <w:pPr>
              <w:spacing w:after="20"/>
            </w:pPr>
            <w:r>
              <w:rPr>
                <w:b/>
                <w:color w:val="1C3A36"/>
                <w:sz w:val="15"/>
              </w:rPr>
              <w:t>What was searched for, and where</w:t>
            </w:r>
          </w:p>
        </w:tc>
        <w:tc>
          <w:tcPr>
            <w:tcW w:type="dxa" w:w="2664"/>
            <w:shd w:val="clear" w:color="auto" w:fill="EAF0EE"/>
          </w:tcPr>
          <w:p>
            <w:pPr>
              <w:spacing w:after="20"/>
            </w:pPr>
            <w:r>
              <w:rPr>
                <w:b/>
                <w:color w:val="1C3A36"/>
                <w:sz w:val="15"/>
              </w:rPr>
              <w:t>Outcome</w:t>
            </w:r>
          </w:p>
        </w:tc>
        <w:tc>
          <w:tcPr>
            <w:tcW w:type="dxa" w:w="3312"/>
            <w:shd w:val="clear" w:color="auto" w:fill="EAF0EE"/>
          </w:tcPr>
          <w:p>
            <w:pPr>
              <w:spacing w:after="20"/>
            </w:pPr>
            <w:r>
              <w:rPr>
                <w:b/>
                <w:color w:val="1C3A36"/>
                <w:sz w:val="15"/>
              </w:rPr>
              <w:t>How the study handled it</w:t>
            </w:r>
          </w:p>
        </w:tc>
        <w:tc>
          <w:tcPr>
            <w:tcW w:type="dxa" w:w="1152"/>
            <w:shd w:val="clear" w:color="auto" w:fill="EAF0EE"/>
          </w:tcPr>
          <w:p>
            <w:pPr>
              <w:spacing w:after="20"/>
            </w:pPr>
            <w:r>
              <w:rPr>
                <w:b/>
                <w:color w:val="1C3A36"/>
                <w:sz w:val="15"/>
              </w:rPr>
              <w:t>Date searched</w:t>
            </w:r>
          </w:p>
        </w:tc>
      </w:tr>
      <w:tr>
        <w:trPr>
          <w:cantSplit/>
          <w:cantSplit/>
        </w:trPr>
        <w:tc>
          <w:tcPr>
            <w:tcW w:type="dxa" w:w="2952"/>
          </w:tcPr>
          <w:p>
            <w:pPr>
              <w:spacing w:after="20"/>
            </w:pPr>
            <w:r>
              <w:rPr>
                <w:color w:val="1C3A36"/>
                <w:sz w:val="15"/>
              </w:rPr>
              <w:t>Impairments, discontinued operations, restatements or disposals — searched the FY2025 audited statements and both 2026 interim filings</w:t>
            </w:r>
          </w:p>
        </w:tc>
        <w:tc>
          <w:tcPr>
            <w:tcW w:type="dxa" w:w="2664"/>
          </w:tcPr>
          <w:p>
            <w:pPr>
              <w:spacing w:after="20"/>
            </w:pPr>
            <w:r>
              <w:rPr>
                <w:color w:val="1C3A36"/>
                <w:sz w:val="15"/>
              </w:rPr>
              <w:t>Nothing found beyond the Wengfu Australia acquisition, which is disclosed and is not a base-resetting disposal</w:t>
            </w:r>
          </w:p>
        </w:tc>
        <w:tc>
          <w:tcPr>
            <w:tcW w:type="dxa" w:w="3312"/>
          </w:tcPr>
          <w:p>
            <w:pPr>
              <w:spacing w:after="20"/>
            </w:pPr>
            <w:r>
              <w:rPr>
                <w:color w:val="1C3A36"/>
                <w:sz w:val="15"/>
              </w:rPr>
              <w:t>No adjustment. The historical series is used as filed, without normalisation for one-off items, because none were disclosed</w:t>
            </w:r>
          </w:p>
        </w:tc>
        <w:tc>
          <w:tcPr>
            <w:tcW w:type="dxa" w:w="1152"/>
          </w:tcPr>
          <w:p>
            <w:pPr>
              <w:spacing w:after="20"/>
            </w:pPr>
            <w:r>
              <w:rPr>
                <w:color w:val="1C3A36"/>
                <w:sz w:val="15"/>
              </w:rPr>
              <w:t>2026-08-09</w:t>
            </w:r>
          </w:p>
        </w:tc>
      </w:tr>
      <w:tr>
        <w:trPr>
          <w:cantSplit/>
          <w:cantSplit/>
        </w:trPr>
        <w:tc>
          <w:tcPr>
            <w:tcW w:type="dxa" w:w="2952"/>
          </w:tcPr>
          <w:p>
            <w:pPr>
              <w:spacing w:after="20"/>
            </w:pPr>
            <w:r>
              <w:rPr>
                <w:color w:val="1C3A36"/>
                <w:sz w:val="15"/>
              </w:rPr>
              <w:t>A purchase price, cost per tonne or gross margin per tonne on third-party traded product — searched the FY2023, FY2024 and FY2025 audited statements, both 2026 interim filings, every results report and the results-call transcript</w:t>
            </w:r>
          </w:p>
        </w:tc>
        <w:tc>
          <w:tcPr>
            <w:tcW w:type="dxa" w:w="2664"/>
          </w:tcPr>
          <w:p>
            <w:pPr>
              <w:spacing w:after="20"/>
            </w:pPr>
            <w:r>
              <w:rPr>
                <w:color w:val="1C3A36"/>
                <w:sz w:val="15"/>
              </w:rPr>
              <w:t>Nothing found. Volumes are disclosed by product, but no purchase-side unit economics are given anywhere — only segment revenue and segment earnings</w:t>
            </w:r>
          </w:p>
        </w:tc>
        <w:tc>
          <w:tcPr>
            <w:tcW w:type="dxa" w:w="3312"/>
          </w:tcPr>
          <w:p>
            <w:pPr>
              <w:spacing w:after="20"/>
            </w:pPr>
            <w:r>
              <w:rPr>
                <w:color w:val="1C3A36"/>
                <w:sz w:val="15"/>
              </w:rPr>
              <w:t>The trading leg is carried at a margin measured from disclosed segment earnings rather than built from unit economics, and is flagged in the study as the one leg not built from the ground up</w:t>
            </w:r>
          </w:p>
        </w:tc>
        <w:tc>
          <w:tcPr>
            <w:tcW w:type="dxa" w:w="1152"/>
          </w:tcPr>
          <w:p>
            <w:pPr>
              <w:spacing w:after="20"/>
            </w:pPr>
            <w:r>
              <w:rPr>
                <w:color w:val="1C3A36"/>
                <w:sz w:val="15"/>
              </w:rPr>
              <w:t>2026-08-09</w:t>
            </w:r>
          </w:p>
        </w:tc>
      </w:tr>
      <w:tr>
        <w:trPr>
          <w:cantSplit/>
          <w:cantSplit/>
        </w:trPr>
        <w:tc>
          <w:tcPr>
            <w:tcW w:type="dxa" w:w="2952"/>
          </w:tcPr>
          <w:p>
            <w:pPr>
              <w:spacing w:after="20"/>
            </w:pPr>
            <w:r>
              <w:rPr>
                <w:color w:val="1C3A36"/>
                <w:sz w:val="15"/>
              </w:rPr>
              <w:t>A delivered gas price per MMBtu for any period before the second quarter of 2026, and the Algerian and Egyptian gas pricing formulas themselves — searched all four audited filings, both interim filings and every results report</w:t>
            </w:r>
          </w:p>
        </w:tc>
        <w:tc>
          <w:tcPr>
            <w:tcW w:type="dxa" w:w="2664"/>
          </w:tcPr>
          <w:p>
            <w:pPr>
              <w:spacing w:after="20"/>
            </w:pPr>
            <w:r>
              <w:rPr>
                <w:color w:val="1C3A36"/>
                <w:sz w:val="15"/>
              </w:rPr>
              <w:t>Nothing found. Only the single second-quarter 2026 figure given on the results call exists; no formula and no historical series is published</w:t>
            </w:r>
          </w:p>
        </w:tc>
        <w:tc>
          <w:tcPr>
            <w:tcW w:type="dxa" w:w="3312"/>
          </w:tcPr>
          <w:p>
            <w:pPr>
              <w:spacing w:after="20"/>
            </w:pPr>
            <w:r>
              <w:rPr>
                <w:color w:val="1C3A36"/>
                <w:sz w:val="15"/>
              </w:rPr>
              <w:t>The cost relationship is calibrated from disclosed segment revenue and earnings across three periods, then checked against that one disclosed gas price and against gas consumption intensity per tonne. It is not built from a formula, because no formula is public</w:t>
            </w:r>
          </w:p>
        </w:tc>
        <w:tc>
          <w:tcPr>
            <w:tcW w:type="dxa" w:w="1152"/>
          </w:tcPr>
          <w:p>
            <w:pPr>
              <w:spacing w:after="20"/>
            </w:pPr>
            <w:r>
              <w:rPr>
                <w:color w:val="1C3A36"/>
                <w:sz w:val="15"/>
              </w:rPr>
              <w:t>2026-08-09</w:t>
            </w:r>
          </w:p>
        </w:tc>
      </w:tr>
    </w:tbl>
    <w:p>
      <w:pPr>
        <w:spacing w:after="40"/>
      </w:pPr>
    </w:p>
    <w:p>
      <w:pPr>
        <w:spacing w:after="120" w:before="280"/>
      </w:pPr>
      <w:r>
        <w:rPr>
          <w:b/>
          <w:i w:val="0"/>
          <w:color w:val="1C3A36"/>
          <w:sz w:val="30"/>
        </w:rPr>
        <w:t>A note on aggregator data, and one conflict between two company sources</w:t>
      </w:r>
    </w:p>
    <w:p>
      <w:pPr>
        <w:spacing w:after="120" w:before="0"/>
      </w:pPr>
      <w:r>
        <w:rPr>
          <w:b w:val="0"/>
          <w:i w:val="0"/>
          <w:color w:val="1C3A36"/>
          <w:sz w:val="21"/>
        </w:rPr>
        <w:t>No aggregator, data vendor, broker note or press report is the source of any figure the company itself has reported. Every historical income statement, balance sheet, cash flow, segment and note figure in this study comes from the audited annual filings and the reviewed interim filings listed above, and every recomputed subtotal was checked back against the filed figure it should equal.</w:t>
      </w:r>
    </w:p>
    <w:p>
      <w:pPr>
        <w:spacing w:after="120" w:before="0"/>
      </w:pPr>
      <w:r>
        <w:rPr>
          <w:b w:val="0"/>
          <w:i w:val="0"/>
          <w:color w:val="1C3A36"/>
          <w:sz w:val="21"/>
        </w:rPr>
        <w:t>The only aggregator-sourced items anywhere in the study are the peer enterprise multiples used in the relative lens — Nutrien, CF Industries, Yara International, OCI Global, Industries Qatar and SABIC Agri-Nutrients. They are market prices for other companies, not facts about this one, and they are labelled in the study as a cross-check on the cash-flow work rather than as an input to it. Benchmark product prices come from the company's own published tables, which cite the commodity price reporting agencies underneath them.</w:t>
      </w:r>
    </w:p>
    <w:p>
      <w:pPr>
        <w:spacing w:after="80" w:before="200"/>
      </w:pPr>
      <w:r>
        <w:rPr>
          <w:b/>
          <w:i w:val="0"/>
          <w:color w:val="1C3A36"/>
          <w:sz w:val="24"/>
        </w:rPr>
        <w:t>The one genuine conflict between two primary sources</w:t>
      </w:r>
    </w:p>
    <w:p>
      <w:pPr>
        <w:spacing w:after="120" w:before="0"/>
      </w:pPr>
      <w:r>
        <w:rPr>
          <w:b w:val="0"/>
          <w:i w:val="0"/>
          <w:color w:val="1C3A36"/>
          <w:sz w:val="21"/>
        </w:rPr>
        <w:t>The audited FY2025 segment note describes the gas offtake agreements as carrying "no/limited price exposure on the supply of natural gas". On the results call of 6 August 2026 the chief executive said the opposite in substance: that the company has "product-linked gas pricing effectively in both Egypt as well as Algeria. So, product prices are very strong. We'll see a higher gas cost." Both are company sources and they cannot both describe the same arrangement.</w:t>
      </w:r>
    </w:p>
    <w:p>
      <w:pPr>
        <w:spacing w:after="120" w:before="0"/>
      </w:pPr>
      <w:r>
        <w:rPr>
          <w:b w:val="0"/>
          <w:i w:val="0"/>
          <w:color w:val="1C3A36"/>
          <w:sz w:val="21"/>
        </w:rPr>
        <w:t>The study resolves the conflict in favour of the results-call statement, for three reasons. It is the more recent of the two, by five months. It is the more specific — it names the two countries and the direction of the effect, where the accounting note is a general characterisation written for a different purpose. And it is corroborated by two independent pieces of evidence: the delivered gas price the company disclosed for the second quarter of 2026 ($6 per MMBtu, or $8 including the Algerian profit-share) is far above what a fixed contract would imply, and the cost data itself, calibrated across three disclosed periods, tracks the product price with a fit of 0.960. The consequence is material and is stated plainly in the study: it converts the cost side of the model from an inflation-escalated stack into a function of the product price, which compresses the upside of high prices and cushions the downside of low ones. A reader who prefers the accounting note's characterisation should read the sensitivity table, where the relationship is priced from 0.30 to 0.65 of every dollar.</w:t>
      </w:r>
    </w:p>
    <w:p>
      <w:pPr>
        <w:spacing w:after="120" w:before="280"/>
      </w:pPr>
      <w:r>
        <w:rPr>
          <w:b/>
          <w:i w:val="0"/>
          <w:color w:val="1C3A36"/>
          <w:sz w:val="30"/>
        </w:rPr>
        <w:t>Disclosure</w:t>
      </w:r>
    </w:p>
    <w:p>
      <w:pPr>
        <w:spacing w:after="120" w:before="0"/>
      </w:pPr>
      <w:r>
        <w:rPr>
          <w:b w:val="0"/>
          <w:i w:val="0"/>
          <w:color w:val="6E7B77"/>
          <w:sz w:val="18"/>
        </w:rPr>
        <w:t>This document accompanies an educational valuation study. It is not investment advice and contains no recommendation, rating or price target. Sources are listed so that readers can verify the analysis independently. Where a figure is derived or estimated rather than disclosed, that is stated in the row it appears in.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