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br/>
            </w:r>
            <w:r>
              <w:rPr>
                <w:color w:val="9FB0AC"/>
                <w:sz w:val="19"/>
              </w:rPr>
              <w:t>Edition of 13 September 2026</w:t>
            </w:r>
            <w:r>
              <w:rPr>
                <w:color w:val="9FB0AC"/>
                <w:sz w:val="19"/>
              </w:rPr>
              <w:t xml:space="preserve">   ·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16"/>
        </w:rPr>
        <w:t>PRICE DATE 3 September 2026 — the latest known close, the price this valuation is measured against.   ISSUE DATE 13 September 2026 — the day this edition was issued. A recalibration issues a new document carrying its own issue date; the two dates are stated separately because they are not the same fact.</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130.00 on 2026-09-03.</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cash-flow lens — which is the answer here, not one vote of four — values the company at EGP 87.94 per share against a market price of 130.00 — the price sits about +48% above the central estimate. That gap is not mainly an argument about the business; it is an argument about the discount rate. Discounted at an Egyptian cost of capital gliding 26.7% to 15.3%, the cash flows support roughly EGP 87.94. Discount the hard-currency share of those same cash flows at a hard-currency cost of capital of about 11.3% and the same model produces EGP 77.86 — -40% against today's price, and -11% below the primary reading. So the currency lens does not explain the gap: it is the harsher of the two readings, and the market is paying more than either.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26.7% → 15.3%, terminal growth 9%; 89% of enterprise value comes from the terminal value</w:t>
            </w:r>
          </w:p>
        </w:tc>
        <w:tc>
          <w:tcPr>
            <w:tcW w:type="dxa" w:w="1656"/>
          </w:tcPr>
          <w:p>
            <w:pPr>
              <w:spacing w:after="20"/>
              <w:jc w:val="right"/>
            </w:pPr>
            <w:r>
              <w:rPr>
                <w:color w:val="1C3A36"/>
                <w:sz w:val="17"/>
              </w:rPr>
              <w:t>28.57 – 138.18</w:t>
            </w:r>
          </w:p>
        </w:tc>
        <w:tc>
          <w:tcPr>
            <w:tcW w:type="dxa" w:w="1037"/>
          </w:tcPr>
          <w:p>
            <w:pPr>
              <w:spacing w:after="20"/>
              <w:jc w:val="right"/>
            </w:pPr>
            <w:r>
              <w:rPr>
                <w:color w:val="1C3A36"/>
                <w:sz w:val="17"/>
              </w:rPr>
              <w:t>87.94</w:t>
            </w:r>
          </w:p>
        </w:tc>
        <w:tc>
          <w:tcPr>
            <w:tcW w:type="dxa" w:w="907"/>
          </w:tcPr>
          <w:p>
            <w:pPr>
              <w:spacing w:after="20"/>
              <w:jc w:val="right"/>
            </w:pPr>
            <w:r>
              <w:rPr>
                <w:color w:val="1C3A36"/>
                <w:sz w:val="17"/>
              </w:rPr>
              <w:t>-32%</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10.5×; trailing P/E 16.1×)</w:t>
            </w:r>
          </w:p>
        </w:tc>
        <w:tc>
          <w:tcPr>
            <w:tcW w:type="dxa" w:w="1656"/>
          </w:tcPr>
          <w:p>
            <w:pPr>
              <w:spacing w:after="20"/>
              <w:jc w:val="right"/>
            </w:pPr>
            <w:r>
              <w:rPr>
                <w:color w:val="1C3A36"/>
                <w:sz w:val="17"/>
              </w:rPr>
              <w:t>66.40 – 99.61</w:t>
            </w:r>
          </w:p>
        </w:tc>
        <w:tc>
          <w:tcPr>
            <w:tcW w:type="dxa" w:w="1037"/>
          </w:tcPr>
          <w:p>
            <w:pPr>
              <w:spacing w:after="20"/>
              <w:jc w:val="right"/>
            </w:pPr>
            <w:r>
              <w:rPr>
                <w:color w:val="1C3A36"/>
                <w:sz w:val="17"/>
              </w:rPr>
              <w:t>79.68</w:t>
            </w:r>
          </w:p>
        </w:tc>
        <w:tc>
          <w:tcPr>
            <w:tcW w:type="dxa" w:w="907"/>
          </w:tcPr>
          <w:p>
            <w:pPr>
              <w:spacing w:after="20"/>
              <w:jc w:val="right"/>
            </w:pPr>
            <w:r>
              <w:rPr>
                <w:color w:val="1C3A36"/>
                <w:sz w:val="17"/>
              </w:rPr>
              <w:t>-39%</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10.6% at a justified 9.0× P/E</w:t>
            </w:r>
          </w:p>
        </w:tc>
        <w:tc>
          <w:tcPr>
            <w:tcW w:type="dxa" w:w="1656"/>
          </w:tcPr>
          <w:p>
            <w:pPr>
              <w:spacing w:after="20"/>
              <w:jc w:val="right"/>
            </w:pPr>
            <w:r>
              <w:rPr>
                <w:color w:val="1C3A36"/>
                <w:sz w:val="17"/>
              </w:rPr>
              <w:t>79.91 – 132.54</w:t>
            </w:r>
          </w:p>
        </w:tc>
        <w:tc>
          <w:tcPr>
            <w:tcW w:type="dxa" w:w="1037"/>
          </w:tcPr>
          <w:p>
            <w:pPr>
              <w:spacing w:after="20"/>
              <w:jc w:val="right"/>
            </w:pPr>
            <w:r>
              <w:rPr>
                <w:color w:val="1C3A36"/>
                <w:sz w:val="17"/>
              </w:rPr>
              <w:t>103.30</w:t>
            </w:r>
          </w:p>
        </w:tc>
        <w:tc>
          <w:tcPr>
            <w:tcW w:type="dxa" w:w="907"/>
          </w:tcPr>
          <w:p>
            <w:pPr>
              <w:spacing w:after="20"/>
              <w:jc w:val="right"/>
            </w:pPr>
            <w:r>
              <w:rPr>
                <w:color w:val="1C3A36"/>
                <w:sz w:val="17"/>
              </w:rPr>
              <w:t>-21%</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1.9× on book value of 31.24/share at a sustainable return on equity of 23.5%</w:t>
            </w:r>
          </w:p>
        </w:tc>
        <w:tc>
          <w:tcPr>
            <w:tcW w:type="dxa" w:w="1656"/>
          </w:tcPr>
          <w:p>
            <w:pPr>
              <w:spacing w:after="20"/>
              <w:jc w:val="right"/>
            </w:pPr>
            <w:r>
              <w:rPr>
                <w:color w:val="1C3A36"/>
                <w:sz w:val="17"/>
              </w:rPr>
              <w:t>36.88 – 76.17</w:t>
            </w:r>
          </w:p>
        </w:tc>
        <w:tc>
          <w:tcPr>
            <w:tcW w:type="dxa" w:w="1037"/>
          </w:tcPr>
          <w:p>
            <w:pPr>
              <w:spacing w:after="20"/>
              <w:jc w:val="right"/>
            </w:pPr>
            <w:r>
              <w:rPr>
                <w:color w:val="1C3A36"/>
                <w:sz w:val="17"/>
              </w:rPr>
              <w:t>66.61</w:t>
            </w:r>
          </w:p>
        </w:tc>
        <w:tc>
          <w:tcPr>
            <w:tcW w:type="dxa" w:w="907"/>
          </w:tcPr>
          <w:p>
            <w:pPr>
              <w:spacing w:after="20"/>
              <w:jc w:val="right"/>
            </w:pPr>
            <w:r>
              <w:rPr>
                <w:color w:val="1C3A36"/>
                <w:sz w:val="17"/>
              </w:rPr>
              <w:t>-49%</w:t>
            </w:r>
          </w:p>
        </w:tc>
      </w:tr>
      <w:tr>
        <w:tc>
          <w:tcPr>
            <w:tcW w:type="dxa" w:w="1872"/>
            <w:shd w:val="clear" w:color="auto" w:fill="F6F1E6"/>
          </w:tcPr>
          <w:p>
            <w:pPr>
              <w:spacing w:after="20"/>
            </w:pPr>
            <w:r>
              <w:rPr>
                <w:b/>
                <w:color w:val="1C3A36"/>
                <w:sz w:val="17"/>
              </w:rPr>
              <w:t>THE CENTRAL — the cash-flow lens, not an average</w:t>
            </w:r>
          </w:p>
        </w:tc>
        <w:tc>
          <w:tcPr>
            <w:tcW w:type="dxa" w:w="3960"/>
            <w:shd w:val="clear" w:color="auto" w:fill="F6F1E6"/>
          </w:tcPr>
          <w:p>
            <w:pPr>
              <w:spacing w:after="20"/>
              <w:jc w:val="right"/>
            </w:pPr>
            <w:r>
              <w:rPr>
                <w:b/>
                <w:color w:val="1C3A36"/>
                <w:sz w:val="17"/>
              </w:rPr>
              <w:t>one class primary IS the central; the lenses above are cross-checks published at their own values, and the book lens is a disclosed floor that is never weighted</w:t>
            </w:r>
          </w:p>
        </w:tc>
        <w:tc>
          <w:tcPr>
            <w:tcW w:type="dxa" w:w="1656"/>
            <w:shd w:val="clear" w:color="auto" w:fill="F6F1E6"/>
          </w:tcPr>
          <w:p>
            <w:pPr>
              <w:spacing w:after="20"/>
              <w:jc w:val="right"/>
            </w:pPr>
            <w:r>
              <w:rPr>
                <w:b/>
                <w:color w:val="1C3A36"/>
                <w:sz w:val="17"/>
              </w:rPr>
              <w:t>28.57 – 138.18</w:t>
            </w:r>
          </w:p>
        </w:tc>
        <w:tc>
          <w:tcPr>
            <w:tcW w:type="dxa" w:w="1037"/>
            <w:shd w:val="clear" w:color="auto" w:fill="F6F1E6"/>
          </w:tcPr>
          <w:p>
            <w:pPr>
              <w:spacing w:after="20"/>
              <w:jc w:val="right"/>
            </w:pPr>
            <w:r>
              <w:rPr>
                <w:b/>
                <w:color w:val="1C3A36"/>
                <w:sz w:val="17"/>
              </w:rPr>
              <w:t>87.94</w:t>
            </w:r>
          </w:p>
        </w:tc>
        <w:tc>
          <w:tcPr>
            <w:tcW w:type="dxa" w:w="907"/>
            <w:shd w:val="clear" w:color="auto" w:fill="F6F1E6"/>
          </w:tcPr>
          <w:p>
            <w:pPr>
              <w:spacing w:after="20"/>
              <w:jc w:val="right"/>
            </w:pPr>
            <w:r>
              <w:rPr>
                <w:b/>
                <w:color w:val="1C3A36"/>
                <w:sz w:val="17"/>
              </w:rPr>
              <w:t>-32%</w:t>
            </w:r>
          </w:p>
        </w:tc>
      </w:tr>
      <w:tr>
        <w:tc>
          <w:tcPr>
            <w:tcW w:type="dxa" w:w="1872"/>
          </w:tcPr>
          <w:p>
            <w:pPr>
              <w:spacing w:after="20"/>
            </w:pPr>
            <w:r>
              <w:rPr>
                <w:color w:val="1C3A36"/>
                <w:sz w:val="17"/>
              </w:rPr>
              <w:t>NOT AVERAGED — the retired blend, published unused</w:t>
            </w:r>
          </w:p>
        </w:tc>
        <w:tc>
          <w:tcPr>
            <w:tcW w:type="dxa" w:w="3960"/>
          </w:tcPr>
          <w:p>
            <w:pPr>
              <w:spacing w:after="20"/>
              <w:jc w:val="right"/>
            </w:pPr>
            <w:r>
              <w:rPr>
                <w:color w:val="1C3A36"/>
                <w:sz w:val="17"/>
              </w:rPr>
              <w:t>the retired weights: DCF 45% · relative 20% · normalised 20% · book 15%</w:t>
            </w:r>
          </w:p>
        </w:tc>
        <w:tc>
          <w:tcPr>
            <w:tcW w:type="dxa" w:w="1656"/>
          </w:tcPr>
          <w:p>
            <w:pPr>
              <w:spacing w:after="20"/>
              <w:jc w:val="right"/>
            </w:pPr>
            <w:r>
              <w:rPr>
                <w:color w:val="1C3A36"/>
                <w:sz w:val="17"/>
              </w:rPr>
              <w:t>—</w:t>
            </w:r>
          </w:p>
        </w:tc>
        <w:tc>
          <w:tcPr>
            <w:tcW w:type="dxa" w:w="1037"/>
          </w:tcPr>
          <w:p>
            <w:pPr>
              <w:spacing w:after="20"/>
              <w:jc w:val="right"/>
            </w:pPr>
            <w:r>
              <w:rPr>
                <w:color w:val="1C3A36"/>
                <w:sz w:val="17"/>
              </w:rPr>
              <w:t>86.16</w:t>
            </w:r>
          </w:p>
        </w:tc>
        <w:tc>
          <w:tcPr>
            <w:tcW w:type="dxa" w:w="907"/>
          </w:tcPr>
          <w:p>
            <w:pPr>
              <w:spacing w:after="20"/>
              <w:jc w:val="right"/>
            </w:pPr>
            <w:r>
              <w:rPr>
                <w:color w:val="1C3A36"/>
                <w:sz w:val="17"/>
              </w:rPr>
              <w:t>-34%</w:t>
            </w:r>
          </w:p>
        </w:tc>
      </w:tr>
      <w:tr>
        <w:tc>
          <w:tcPr>
            <w:tcW w:type="dxa" w:w="1872"/>
            <w:shd w:val="clear" w:color="auto" w:fill="F6F1E6"/>
          </w:tcPr>
          <w:p>
            <w:pPr>
              <w:spacing w:after="20"/>
            </w:pPr>
            <w:r>
              <w:rPr>
                <w:b/>
                <w:color w:val="1C3A36"/>
                <w:sz w:val="17"/>
              </w:rPr>
              <w:t>Market price</w:t>
            </w:r>
          </w:p>
        </w:tc>
        <w:tc>
          <w:tcPr>
            <w:tcW w:type="dxa" w:w="3960"/>
            <w:shd w:val="clear" w:color="auto" w:fill="F6F1E6"/>
          </w:tcPr>
          <w:p>
            <w:pPr>
              <w:spacing w:after="20"/>
              <w:jc w:val="right"/>
            </w:pPr>
            <w:r>
              <w:rPr>
                <w:b/>
                <w:color w:val="1C3A36"/>
                <w:sz w:val="17"/>
              </w:rPr>
              <w:t>closing price on the anchor date</w:t>
            </w:r>
          </w:p>
        </w:tc>
        <w:tc>
          <w:tcPr>
            <w:tcW w:type="dxa" w:w="1656"/>
            <w:shd w:val="clear" w:color="auto" w:fill="F6F1E6"/>
          </w:tcPr>
          <w:p>
            <w:pPr>
              <w:spacing w:after="20"/>
              <w:jc w:val="right"/>
            </w:pPr>
            <w:r>
              <w:rPr>
                <w:b/>
                <w:color w:val="1C3A36"/>
                <w:sz w:val="17"/>
              </w:rPr>
              <w:t>—</w:t>
            </w:r>
          </w:p>
        </w:tc>
        <w:tc>
          <w:tcPr>
            <w:tcW w:type="dxa" w:w="1037"/>
            <w:shd w:val="clear" w:color="auto" w:fill="F6F1E6"/>
          </w:tcPr>
          <w:p>
            <w:pPr>
              <w:spacing w:after="20"/>
              <w:jc w:val="right"/>
            </w:pPr>
            <w:r>
              <w:rPr>
                <w:b/>
                <w:color w:val="1C3A36"/>
                <w:sz w:val="17"/>
              </w:rPr>
              <w:t>130.00</w:t>
            </w:r>
          </w:p>
        </w:tc>
        <w:tc>
          <w:tcPr>
            <w:tcW w:type="dxa" w:w="907"/>
            <w:shd w:val="clear" w:color="auto" w:fill="F6F1E6"/>
          </w:tcPr>
          <w:p>
            <w:pPr>
              <w:spacing w:after="20"/>
              <w:jc w:val="right"/>
            </w:pPr>
            <w:r>
              <w:rPr>
                <w:b/>
                <w:color w:val="1C3A36"/>
                <w:sz w:val="17"/>
              </w:rPr>
              <w:t>—</w:t>
            </w:r>
          </w:p>
        </w:tc>
      </w:tr>
      <w:tr>
        <w:tc>
          <w:tcPr>
            <w:tcW w:type="dxa" w:w="1872"/>
          </w:tcPr>
          <w:p>
            <w:pPr>
              <w:spacing w:after="20"/>
            </w:pPr>
            <w:r>
              <w:rPr>
                <w:color w:val="1C3A36"/>
                <w:sz w:val="17"/>
              </w:rPr>
              <w:t>ALTERNATIVE READINGS — separate questions, never averaged into the central</w:t>
            </w:r>
          </w:p>
        </w:tc>
        <w:tc>
          <w:tcPr>
            <w:tcW w:type="dxa" w:w="3960"/>
          </w:tcPr>
          <w:p>
            <w:pPr>
              <w:spacing w:after="20"/>
              <w:jc w:val="right"/>
            </w:pPr>
            <w:r>
              <w:rPr>
                <w:color w:val="1C3A36"/>
                <w:sz w:val="17"/>
              </w:rPr>
            </w:r>
          </w:p>
        </w:tc>
        <w:tc>
          <w:tcPr>
            <w:tcW w:type="dxa" w:w="1656"/>
          </w:tcPr>
          <w:p>
            <w:pPr>
              <w:spacing w:after="20"/>
              <w:jc w:val="right"/>
            </w:pPr>
            <w:r>
              <w:rPr>
                <w:color w:val="1C3A36"/>
                <w:sz w:val="17"/>
              </w:rPr>
            </w:r>
          </w:p>
        </w:tc>
        <w:tc>
          <w:tcPr>
            <w:tcW w:type="dxa" w:w="1037"/>
          </w:tcPr>
          <w:p>
            <w:pPr>
              <w:spacing w:after="20"/>
              <w:jc w:val="right"/>
            </w:pPr>
            <w:r>
              <w:rPr>
                <w:color w:val="1C3A36"/>
                <w:sz w:val="17"/>
              </w:rPr>
            </w:r>
          </w:p>
        </w:tc>
        <w:tc>
          <w:tcPr>
            <w:tcW w:type="dxa" w:w="907"/>
          </w:tcPr>
          <w:p>
            <w:pPr>
              <w:spacing w:after="20"/>
              <w:jc w:val="right"/>
            </w:pPr>
            <w:r>
              <w:rPr>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11.3%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77.86</w:t>
            </w:r>
          </w:p>
        </w:tc>
        <w:tc>
          <w:tcPr>
            <w:tcW w:type="dxa" w:w="907"/>
          </w:tcPr>
          <w:p>
            <w:pPr>
              <w:spacing w:after="20"/>
              <w:jc w:val="right"/>
            </w:pPr>
            <w:r>
              <w:rPr>
                <w:color w:val="1C3A36"/>
                <w:sz w:val="17"/>
              </w:rPr>
              <w:t>-40%</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33.67</w:t>
            </w:r>
          </w:p>
        </w:tc>
        <w:tc>
          <w:tcPr>
            <w:tcW w:type="dxa" w:w="907"/>
          </w:tcPr>
          <w:p>
            <w:pPr>
              <w:spacing w:after="20"/>
              <w:jc w:val="right"/>
            </w:pPr>
            <w:r>
              <w:rPr>
                <w:color w:val="1C3A36"/>
                <w:sz w:val="17"/>
              </w:rPr>
              <w:t>-74%</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99.33</w:t>
            </w:r>
          </w:p>
        </w:tc>
        <w:tc>
          <w:tcPr>
            <w:tcW w:type="dxa" w:w="907"/>
          </w:tcPr>
          <w:p>
            <w:pPr>
              <w:spacing w:after="20"/>
              <w:jc w:val="right"/>
            </w:pPr>
            <w:r>
              <w:rPr>
                <w:color w:val="1C3A36"/>
                <w:sz w:val="17"/>
              </w:rPr>
              <w:t>-24%</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CASH-FLOW LENS ITSELF and its range is that same lens under its own two scenarios on one clock, not a spread across four methods. Terminal value is 89%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of Cables 65% / Constructions 30% / Electrical products 45% (house judgements, stated so they can be disputed; the forecast-year share runs ~53% as Cables' weight in the mix rises); that is the figure used wherever the currency question is valued</w:t>
            </w:r>
          </w:p>
        </w:tc>
      </w:tr>
      <w:tr>
        <w:tc>
          <w:tcPr>
            <w:tcW w:type="dxa" w:w="2232"/>
          </w:tcPr>
          <w:p>
            <w:pPr>
              <w:spacing w:after="20"/>
            </w:pPr>
            <w:r>
              <w:rPr>
                <w:color w:val="1C3A36"/>
                <w:sz w:val="17"/>
              </w:rPr>
              <w:t>Order book and volumes</w:t>
            </w:r>
          </w:p>
        </w:tc>
        <w:tc>
          <w:tcPr>
            <w:tcW w:type="dxa" w:w="7848"/>
          </w:tcPr>
          <w:p>
            <w:pPr>
              <w:spacing w:after="20"/>
            </w:pPr>
            <w:r>
              <w:rPr>
                <w:color w:val="1C3A36"/>
                <w:sz w:val="17"/>
              </w:rPr>
              <w:t>Not disclosed in any of the audited FY2023-25 statements or the Q1-2026 interim. THE COMPANY DISCLOSES BOTH IN ITS OWN QUARTERLY EARNINGS RELEASES, and those releases are read. Engineering and construction backlog runs EGP 293bn at December 2025 and 346bn at 30 June 2026, with wires and cables 43.5bn and meters 8.8bn beside it; cable volumes run 144,997 / 156,748 / 167,665 / 185,449 tonnes over FY2022-25 and 99,239 in the reviewed half against 89,636. The volume series sets the Cables segment growth driver directly. The backlog is read and NOT burnt down: it corroborates the Constructions growth rate without producing it</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278,301mn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19.98% in a July-2024 tender offer at USD 1.05 per share (~USD 449mn) and topped up to 20.37% by FY2024-end; over 2025 it SOLD roughly 32.1mn shares into the market, taking its stake to 18.9% — a disposal, not dilution: the share count is unchanged. The 13.07% 'other shareholders' line is an upper bound on the true free float, since family-linked vehicles may sit inside it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 computed from the audited balance sheet: loans and borrowings including leases 62,509 less cash 41,949. The company's own FY2025 earnings release quotes EGP 19,789mn on its own narrower basis; the audited-statement computation is used, and the ~771mn definitional gap is noted rather than resolved</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(12.3% of attributable profit), then EGP 1.85 on FY2025 — ratified by the general assembly on 6 May 2026, rights with the share through 1 June, paid from 4 June 2026 — 22.9% of FY2025 attributable EPS, an +85% step-up. An earlier revision of this study wrongly stated no FY2025 dividend existed, reasoning from the silence of the annual and interim filings; the interim covers a period ending before the assembly met, so its silence was never evidence. The forecast payout ratio is 25%, struck at the actual FY2025 rate</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The group EBITDA margin is therefore an OUTPUT of the build — of the segment mix and the corporate cost load — rather than an assumption fed into it. The three SEGMENT margins are inputs and are stated as such: each is FY2025's own level plus the like-for-like change the reviewed half measured, held flat across the window, and the alternative of taking the half's LEVEL instead is priced in section 1.9. The historical version of that build reconciles to the audited income statement EXACTLY on revenue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370,194</w:t>
            </w:r>
          </w:p>
        </w:tc>
        <w:tc>
          <w:tcPr>
            <w:tcW w:type="dxa" w:w="1426"/>
          </w:tcPr>
          <w:p>
            <w:pPr>
              <w:spacing w:after="20"/>
              <w:jc w:val="right"/>
            </w:pPr>
            <w:r>
              <w:rPr>
                <w:color w:val="1C3A36"/>
                <w:sz w:val="17"/>
              </w:rPr>
              <w:t>449,226</w:t>
            </w:r>
          </w:p>
        </w:tc>
        <w:tc>
          <w:tcPr>
            <w:tcW w:type="dxa" w:w="1426"/>
          </w:tcPr>
          <w:p>
            <w:pPr>
              <w:spacing w:after="20"/>
              <w:jc w:val="right"/>
            </w:pPr>
            <w:r>
              <w:rPr>
                <w:color w:val="1C3A36"/>
                <w:sz w:val="17"/>
              </w:rPr>
              <w:t>514,907</w:t>
            </w:r>
          </w:p>
        </w:tc>
        <w:tc>
          <w:tcPr>
            <w:tcW w:type="dxa" w:w="1426"/>
          </w:tcPr>
          <w:p>
            <w:pPr>
              <w:spacing w:after="20"/>
              <w:jc w:val="right"/>
            </w:pPr>
            <w:r>
              <w:rPr>
                <w:color w:val="1C3A36"/>
                <w:sz w:val="17"/>
              </w:rPr>
              <w:t>579,202</w:t>
            </w:r>
          </w:p>
        </w:tc>
        <w:tc>
          <w:tcPr>
            <w:tcW w:type="dxa" w:w="1426"/>
          </w:tcPr>
          <w:p>
            <w:pPr>
              <w:spacing w:after="20"/>
              <w:jc w:val="right"/>
            </w:pPr>
            <w:r>
              <w:rPr>
                <w:color w:val="1C3A36"/>
                <w:sz w:val="17"/>
              </w:rPr>
              <w:t>645,083</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180,311</w:t>
            </w:r>
          </w:p>
        </w:tc>
        <w:tc>
          <w:tcPr>
            <w:tcW w:type="dxa" w:w="1426"/>
          </w:tcPr>
          <w:p>
            <w:pPr>
              <w:spacing w:after="20"/>
              <w:jc w:val="right"/>
            </w:pPr>
            <w:r>
              <w:rPr>
                <w:color w:val="1C3A36"/>
                <w:sz w:val="17"/>
              </w:rPr>
              <w:t>219,444</w:t>
            </w:r>
          </w:p>
        </w:tc>
        <w:tc>
          <w:tcPr>
            <w:tcW w:type="dxa" w:w="1426"/>
          </w:tcPr>
          <w:p>
            <w:pPr>
              <w:spacing w:after="20"/>
              <w:jc w:val="right"/>
            </w:pPr>
            <w:r>
              <w:rPr>
                <w:color w:val="1C3A36"/>
                <w:sz w:val="17"/>
              </w:rPr>
              <w:t>252,847</w:t>
            </w:r>
          </w:p>
        </w:tc>
        <w:tc>
          <w:tcPr>
            <w:tcW w:type="dxa" w:w="1426"/>
          </w:tcPr>
          <w:p>
            <w:pPr>
              <w:spacing w:after="20"/>
              <w:jc w:val="right"/>
            </w:pPr>
            <w:r>
              <w:rPr>
                <w:color w:val="1C3A36"/>
                <w:sz w:val="17"/>
              </w:rPr>
              <w:t>284,451</w:t>
            </w:r>
          </w:p>
        </w:tc>
        <w:tc>
          <w:tcPr>
            <w:tcW w:type="dxa" w:w="1426"/>
          </w:tcPr>
          <w:p>
            <w:pPr>
              <w:spacing w:after="20"/>
              <w:jc w:val="right"/>
            </w:pPr>
            <w:r>
              <w:rPr>
                <w:color w:val="1C3A36"/>
                <w:sz w:val="17"/>
              </w:rPr>
              <w:t>315,251</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189,882</w:t>
            </w:r>
          </w:p>
        </w:tc>
        <w:tc>
          <w:tcPr>
            <w:tcW w:type="dxa" w:w="1426"/>
          </w:tcPr>
          <w:p>
            <w:pPr>
              <w:spacing w:after="20"/>
              <w:jc w:val="right"/>
            </w:pPr>
            <w:r>
              <w:rPr>
                <w:color w:val="1C3A36"/>
                <w:sz w:val="17"/>
              </w:rPr>
              <w:t>229,782</w:t>
            </w:r>
          </w:p>
        </w:tc>
        <w:tc>
          <w:tcPr>
            <w:tcW w:type="dxa" w:w="1426"/>
          </w:tcPr>
          <w:p>
            <w:pPr>
              <w:spacing w:after="20"/>
              <w:jc w:val="right"/>
            </w:pPr>
            <w:r>
              <w:rPr>
                <w:color w:val="1C3A36"/>
                <w:sz w:val="17"/>
              </w:rPr>
              <w:t>262,061</w:t>
            </w:r>
          </w:p>
        </w:tc>
        <w:tc>
          <w:tcPr>
            <w:tcW w:type="dxa" w:w="1426"/>
          </w:tcPr>
          <w:p>
            <w:pPr>
              <w:spacing w:after="20"/>
              <w:jc w:val="right"/>
            </w:pPr>
            <w:r>
              <w:rPr>
                <w:color w:val="1C3A36"/>
                <w:sz w:val="17"/>
              </w:rPr>
              <w:t>294,751</w:t>
            </w:r>
          </w:p>
        </w:tc>
        <w:tc>
          <w:tcPr>
            <w:tcW w:type="dxa" w:w="1426"/>
          </w:tcPr>
          <w:p>
            <w:pPr>
              <w:spacing w:after="20"/>
              <w:jc w:val="right"/>
            </w:pPr>
            <w:r>
              <w:rPr>
                <w:color w:val="1C3A36"/>
                <w:sz w:val="17"/>
              </w:rPr>
              <w:t>329,832</w:t>
            </w:r>
          </w:p>
        </w:tc>
      </w:tr>
      <w:tr>
        <w:tc>
          <w:tcPr>
            <w:tcW w:type="dxa" w:w="2952"/>
          </w:tcPr>
          <w:p>
            <w:pPr>
              <w:spacing w:after="20"/>
            </w:pPr>
            <w:r>
              <w:rPr>
                <w:color w:val="1C3A36"/>
                <w:sz w:val="17"/>
              </w:rPr>
              <w:t>EBITDA</w:t>
            </w:r>
          </w:p>
        </w:tc>
        <w:tc>
          <w:tcPr>
            <w:tcW w:type="dxa" w:w="1426"/>
          </w:tcPr>
          <w:p>
            <w:pPr>
              <w:spacing w:after="20"/>
              <w:jc w:val="right"/>
            </w:pPr>
            <w:r>
              <w:rPr>
                <w:color w:val="1C3A36"/>
                <w:sz w:val="17"/>
              </w:rPr>
              <w:t>38,286</w:t>
            </w:r>
          </w:p>
        </w:tc>
        <w:tc>
          <w:tcPr>
            <w:tcW w:type="dxa" w:w="1426"/>
          </w:tcPr>
          <w:p>
            <w:pPr>
              <w:spacing w:after="20"/>
              <w:jc w:val="right"/>
            </w:pPr>
            <w:r>
              <w:rPr>
                <w:color w:val="1C3A36"/>
                <w:sz w:val="17"/>
              </w:rPr>
              <w:t>47,221</w:t>
            </w:r>
          </w:p>
        </w:tc>
        <w:tc>
          <w:tcPr>
            <w:tcW w:type="dxa" w:w="1426"/>
          </w:tcPr>
          <w:p>
            <w:pPr>
              <w:spacing w:after="20"/>
              <w:jc w:val="right"/>
            </w:pPr>
            <w:r>
              <w:rPr>
                <w:color w:val="1C3A36"/>
                <w:sz w:val="17"/>
              </w:rPr>
              <w:t>54,802</w:t>
            </w:r>
          </w:p>
        </w:tc>
        <w:tc>
          <w:tcPr>
            <w:tcW w:type="dxa" w:w="1426"/>
          </w:tcPr>
          <w:p>
            <w:pPr>
              <w:spacing w:after="20"/>
              <w:jc w:val="right"/>
            </w:pPr>
            <w:r>
              <w:rPr>
                <w:color w:val="1C3A36"/>
                <w:sz w:val="17"/>
              </w:rPr>
              <w:t>62,040</w:t>
            </w:r>
          </w:p>
        </w:tc>
        <w:tc>
          <w:tcPr>
            <w:tcW w:type="dxa" w:w="1426"/>
          </w:tcPr>
          <w:p>
            <w:pPr>
              <w:spacing w:after="20"/>
              <w:jc w:val="right"/>
            </w:pPr>
            <w:r>
              <w:rPr>
                <w:color w:val="1C3A36"/>
                <w:sz w:val="17"/>
              </w:rPr>
              <w:t>69,157</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10.5%</w:t>
            </w:r>
          </w:p>
        </w:tc>
        <w:tc>
          <w:tcPr>
            <w:tcW w:type="dxa" w:w="1426"/>
          </w:tcPr>
          <w:p>
            <w:pPr>
              <w:spacing w:after="20"/>
              <w:jc w:val="right"/>
            </w:pPr>
            <w:r>
              <w:rPr>
                <w:color w:val="1C3A36"/>
                <w:sz w:val="17"/>
              </w:rPr>
              <w:t>10.6%</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(4,807)</w:t>
            </w:r>
          </w:p>
        </w:tc>
        <w:tc>
          <w:tcPr>
            <w:tcW w:type="dxa" w:w="1426"/>
          </w:tcPr>
          <w:p>
            <w:pPr>
              <w:spacing w:after="20"/>
              <w:jc w:val="right"/>
            </w:pPr>
            <w:r>
              <w:rPr>
                <w:color w:val="1C3A36"/>
                <w:sz w:val="17"/>
              </w:rPr>
              <w:t>(5,510)</w:t>
            </w:r>
          </w:p>
        </w:tc>
        <w:tc>
          <w:tcPr>
            <w:tcW w:type="dxa" w:w="1426"/>
          </w:tcPr>
          <w:p>
            <w:pPr>
              <w:spacing w:after="20"/>
              <w:jc w:val="right"/>
            </w:pPr>
            <w:r>
              <w:rPr>
                <w:color w:val="1C3A36"/>
                <w:sz w:val="17"/>
              </w:rPr>
              <w:t>(6,197)</w:t>
            </w:r>
          </w:p>
        </w:tc>
        <w:tc>
          <w:tcPr>
            <w:tcW w:type="dxa" w:w="1426"/>
          </w:tcPr>
          <w:p>
            <w:pPr>
              <w:spacing w:after="20"/>
              <w:jc w:val="right"/>
            </w:pPr>
            <w:r>
              <w:rPr>
                <w:color w:val="1C3A36"/>
                <w:sz w:val="17"/>
              </w:rPr>
              <w:t>(6,902)</w:t>
            </w:r>
          </w:p>
        </w:tc>
      </w:tr>
      <w:tr>
        <w:tc>
          <w:tcPr>
            <w:tcW w:type="dxa" w:w="2952"/>
          </w:tcPr>
          <w:p>
            <w:pPr>
              <w:spacing w:after="20"/>
            </w:pPr>
            <w:r>
              <w:rPr>
                <w:color w:val="1C3A36"/>
                <w:sz w:val="17"/>
              </w:rPr>
              <w:t>EBIT</w:t>
            </w:r>
          </w:p>
        </w:tc>
        <w:tc>
          <w:tcPr>
            <w:tcW w:type="dxa" w:w="1426"/>
          </w:tcPr>
          <w:p>
            <w:pPr>
              <w:spacing w:after="20"/>
              <w:jc w:val="right"/>
            </w:pPr>
            <w:r>
              <w:rPr>
                <w:color w:val="1C3A36"/>
                <w:sz w:val="17"/>
              </w:rPr>
              <w:t>34,325</w:t>
            </w:r>
          </w:p>
        </w:tc>
        <w:tc>
          <w:tcPr>
            <w:tcW w:type="dxa" w:w="1426"/>
          </w:tcPr>
          <w:p>
            <w:pPr>
              <w:spacing w:after="20"/>
              <w:jc w:val="right"/>
            </w:pPr>
            <w:r>
              <w:rPr>
                <w:color w:val="1C3A36"/>
                <w:sz w:val="17"/>
              </w:rPr>
              <w:t>42,414</w:t>
            </w:r>
          </w:p>
        </w:tc>
        <w:tc>
          <w:tcPr>
            <w:tcW w:type="dxa" w:w="1426"/>
          </w:tcPr>
          <w:p>
            <w:pPr>
              <w:spacing w:after="20"/>
              <w:jc w:val="right"/>
            </w:pPr>
            <w:r>
              <w:rPr>
                <w:color w:val="1C3A36"/>
                <w:sz w:val="17"/>
              </w:rPr>
              <w:t>49,293</w:t>
            </w:r>
          </w:p>
        </w:tc>
        <w:tc>
          <w:tcPr>
            <w:tcW w:type="dxa" w:w="1426"/>
          </w:tcPr>
          <w:p>
            <w:pPr>
              <w:spacing w:after="20"/>
              <w:jc w:val="right"/>
            </w:pPr>
            <w:r>
              <w:rPr>
                <w:color w:val="1C3A36"/>
                <w:sz w:val="17"/>
              </w:rPr>
              <w:t>55,843</w:t>
            </w:r>
          </w:p>
        </w:tc>
        <w:tc>
          <w:tcPr>
            <w:tcW w:type="dxa" w:w="1426"/>
          </w:tcPr>
          <w:p>
            <w:pPr>
              <w:spacing w:after="20"/>
              <w:jc w:val="right"/>
            </w:pPr>
            <w:r>
              <w:rPr>
                <w:color w:val="1C3A36"/>
                <w:sz w:val="17"/>
              </w:rPr>
              <w:t>62,254</w:t>
            </w:r>
          </w:p>
        </w:tc>
      </w:tr>
      <w:tr>
        <w:tc>
          <w:tcPr>
            <w:tcW w:type="dxa" w:w="2952"/>
          </w:tcPr>
          <w:p>
            <w:pPr>
              <w:spacing w:after="20"/>
            </w:pPr>
            <w:r>
              <w:rPr>
                <w:color w:val="1C3A36"/>
                <w:sz w:val="17"/>
              </w:rPr>
              <w:t>NOPAT — EBIT × (1 − 24.5%)</w:t>
            </w:r>
          </w:p>
        </w:tc>
        <w:tc>
          <w:tcPr>
            <w:tcW w:type="dxa" w:w="1426"/>
          </w:tcPr>
          <w:p>
            <w:pPr>
              <w:spacing w:after="20"/>
              <w:jc w:val="right"/>
            </w:pPr>
            <w:r>
              <w:rPr>
                <w:color w:val="1C3A36"/>
                <w:sz w:val="17"/>
              </w:rPr>
              <w:t>25,916</w:t>
            </w:r>
          </w:p>
        </w:tc>
        <w:tc>
          <w:tcPr>
            <w:tcW w:type="dxa" w:w="1426"/>
          </w:tcPr>
          <w:p>
            <w:pPr>
              <w:spacing w:after="20"/>
              <w:jc w:val="right"/>
            </w:pPr>
            <w:r>
              <w:rPr>
                <w:color w:val="1C3A36"/>
                <w:sz w:val="17"/>
              </w:rPr>
              <w:t>32,022</w:t>
            </w:r>
          </w:p>
        </w:tc>
        <w:tc>
          <w:tcPr>
            <w:tcW w:type="dxa" w:w="1426"/>
          </w:tcPr>
          <w:p>
            <w:pPr>
              <w:spacing w:after="20"/>
              <w:jc w:val="right"/>
            </w:pPr>
            <w:r>
              <w:rPr>
                <w:color w:val="1C3A36"/>
                <w:sz w:val="17"/>
              </w:rPr>
              <w:t>37,216</w:t>
            </w:r>
          </w:p>
        </w:tc>
        <w:tc>
          <w:tcPr>
            <w:tcW w:type="dxa" w:w="1426"/>
          </w:tcPr>
          <w:p>
            <w:pPr>
              <w:spacing w:after="20"/>
              <w:jc w:val="right"/>
            </w:pPr>
            <w:r>
              <w:rPr>
                <w:color w:val="1C3A36"/>
                <w:sz w:val="17"/>
              </w:rPr>
              <w:t>42,161</w:t>
            </w:r>
          </w:p>
        </w:tc>
        <w:tc>
          <w:tcPr>
            <w:tcW w:type="dxa" w:w="1426"/>
          </w:tcPr>
          <w:p>
            <w:pPr>
              <w:spacing w:after="20"/>
              <w:jc w:val="right"/>
            </w:pPr>
            <w:r>
              <w:rPr>
                <w:color w:val="1C3A36"/>
                <w:sz w:val="17"/>
              </w:rPr>
              <w:t>47,002</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4,807</w:t>
            </w:r>
          </w:p>
        </w:tc>
        <w:tc>
          <w:tcPr>
            <w:tcW w:type="dxa" w:w="1426"/>
          </w:tcPr>
          <w:p>
            <w:pPr>
              <w:spacing w:after="20"/>
              <w:jc w:val="right"/>
            </w:pPr>
            <w:r>
              <w:rPr>
                <w:color w:val="1C3A36"/>
                <w:sz w:val="17"/>
              </w:rPr>
              <w:t>5,510</w:t>
            </w:r>
          </w:p>
        </w:tc>
        <w:tc>
          <w:tcPr>
            <w:tcW w:type="dxa" w:w="1426"/>
          </w:tcPr>
          <w:p>
            <w:pPr>
              <w:spacing w:after="20"/>
              <w:jc w:val="right"/>
            </w:pPr>
            <w:r>
              <w:rPr>
                <w:color w:val="1C3A36"/>
                <w:sz w:val="17"/>
              </w:rPr>
              <w:t>6,197</w:t>
            </w:r>
          </w:p>
        </w:tc>
        <w:tc>
          <w:tcPr>
            <w:tcW w:type="dxa" w:w="1426"/>
          </w:tcPr>
          <w:p>
            <w:pPr>
              <w:spacing w:after="20"/>
              <w:jc w:val="right"/>
            </w:pPr>
            <w:r>
              <w:rPr>
                <w:color w:val="1C3A36"/>
                <w:sz w:val="17"/>
              </w:rPr>
              <w:t>6,902</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(13,232)</w:t>
            </w:r>
          </w:p>
        </w:tc>
        <w:tc>
          <w:tcPr>
            <w:tcW w:type="dxa" w:w="1426"/>
          </w:tcPr>
          <w:p>
            <w:pPr>
              <w:spacing w:after="20"/>
              <w:jc w:val="right"/>
            </w:pPr>
            <w:r>
              <w:rPr>
                <w:color w:val="1C3A36"/>
                <w:sz w:val="17"/>
              </w:rPr>
              <w:t>(16,056)</w:t>
            </w:r>
          </w:p>
        </w:tc>
        <w:tc>
          <w:tcPr>
            <w:tcW w:type="dxa" w:w="1426"/>
          </w:tcPr>
          <w:p>
            <w:pPr>
              <w:spacing w:after="20"/>
              <w:jc w:val="right"/>
            </w:pPr>
            <w:r>
              <w:rPr>
                <w:color w:val="1C3A36"/>
                <w:sz w:val="17"/>
              </w:rPr>
              <w:t>(18,404)</w:t>
            </w:r>
          </w:p>
        </w:tc>
        <w:tc>
          <w:tcPr>
            <w:tcW w:type="dxa" w:w="1426"/>
          </w:tcPr>
          <w:p>
            <w:pPr>
              <w:spacing w:after="20"/>
              <w:jc w:val="right"/>
            </w:pPr>
            <w:r>
              <w:rPr>
                <w:color w:val="1C3A36"/>
                <w:sz w:val="17"/>
              </w:rPr>
              <w:t>(20,702)</w:t>
            </w:r>
          </w:p>
        </w:tc>
        <w:tc>
          <w:tcPr>
            <w:tcW w:type="dxa" w:w="1426"/>
          </w:tcPr>
          <w:p>
            <w:pPr>
              <w:spacing w:after="20"/>
              <w:jc w:val="right"/>
            </w:pPr>
            <w:r>
              <w:rPr>
                <w:color w:val="1C3A36"/>
                <w:sz w:val="17"/>
              </w:rPr>
              <w:t>(23,057)</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(16,965)</w:t>
            </w:r>
          </w:p>
        </w:tc>
        <w:tc>
          <w:tcPr>
            <w:tcW w:type="dxa" w:w="1426"/>
          </w:tcPr>
          <w:p>
            <w:pPr>
              <w:spacing w:after="20"/>
              <w:jc w:val="right"/>
            </w:pPr>
            <w:r>
              <w:rPr>
                <w:color w:val="1C3A36"/>
                <w:sz w:val="17"/>
              </w:rPr>
              <w:t>(15,546)</w:t>
            </w:r>
          </w:p>
        </w:tc>
        <w:tc>
          <w:tcPr>
            <w:tcW w:type="dxa" w:w="1426"/>
          </w:tcPr>
          <w:p>
            <w:pPr>
              <w:spacing w:after="20"/>
              <w:jc w:val="right"/>
            </w:pPr>
            <w:r>
              <w:rPr>
                <w:color w:val="1C3A36"/>
                <w:sz w:val="17"/>
              </w:rPr>
              <w:t>(12,920)</w:t>
            </w:r>
          </w:p>
        </w:tc>
        <w:tc>
          <w:tcPr>
            <w:tcW w:type="dxa" w:w="1426"/>
          </w:tcPr>
          <w:p>
            <w:pPr>
              <w:spacing w:after="20"/>
              <w:jc w:val="right"/>
            </w:pPr>
            <w:r>
              <w:rPr>
                <w:color w:val="1C3A36"/>
                <w:sz w:val="17"/>
              </w:rPr>
              <w:t>(12,647)</w:t>
            </w:r>
          </w:p>
        </w:tc>
        <w:tc>
          <w:tcPr>
            <w:tcW w:type="dxa" w:w="1426"/>
          </w:tcPr>
          <w:p>
            <w:pPr>
              <w:spacing w:after="20"/>
              <w:jc w:val="right"/>
            </w:pPr>
            <w:r>
              <w:rPr>
                <w:color w:val="1C3A36"/>
                <w:sz w:val="17"/>
              </w:rPr>
              <w:t>(12,959)</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-319</w:t>
            </w:r>
          </w:p>
        </w:tc>
        <w:tc>
          <w:tcPr>
            <w:tcW w:type="dxa" w:w="1426"/>
            <w:shd w:val="clear" w:color="auto" w:fill="F6F1E6"/>
          </w:tcPr>
          <w:p>
            <w:pPr>
              <w:spacing w:after="20"/>
              <w:jc w:val="right"/>
            </w:pPr>
            <w:r>
              <w:rPr>
                <w:b/>
                <w:color w:val="1C3A36"/>
                <w:sz w:val="17"/>
              </w:rPr>
              <w:t>5,227</w:t>
            </w:r>
          </w:p>
        </w:tc>
        <w:tc>
          <w:tcPr>
            <w:tcW w:type="dxa" w:w="1426"/>
            <w:shd w:val="clear" w:color="auto" w:fill="F6F1E6"/>
          </w:tcPr>
          <w:p>
            <w:pPr>
              <w:spacing w:after="20"/>
              <w:jc w:val="right"/>
            </w:pPr>
            <w:r>
              <w:rPr>
                <w:b/>
                <w:color w:val="1C3A36"/>
                <w:sz w:val="17"/>
              </w:rPr>
              <w:t>11,402</w:t>
            </w:r>
          </w:p>
        </w:tc>
        <w:tc>
          <w:tcPr>
            <w:tcW w:type="dxa" w:w="1426"/>
            <w:shd w:val="clear" w:color="auto" w:fill="F6F1E6"/>
          </w:tcPr>
          <w:p>
            <w:pPr>
              <w:spacing w:after="20"/>
              <w:jc w:val="right"/>
            </w:pPr>
            <w:r>
              <w:rPr>
                <w:b/>
                <w:color w:val="1C3A36"/>
                <w:sz w:val="17"/>
              </w:rPr>
              <w:t>15,010</w:t>
            </w:r>
          </w:p>
        </w:tc>
        <w:tc>
          <w:tcPr>
            <w:tcW w:type="dxa" w:w="1426"/>
            <w:shd w:val="clear" w:color="auto" w:fill="F6F1E6"/>
          </w:tcPr>
          <w:p>
            <w:pPr>
              <w:spacing w:after="20"/>
              <w:jc w:val="right"/>
            </w:pPr>
            <w:r>
              <w:rPr>
                <w:b/>
                <w:color w:val="1C3A36"/>
                <w:sz w:val="17"/>
              </w:rPr>
              <w:t>17,889</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26.7%</w:t>
            </w:r>
          </w:p>
        </w:tc>
        <w:tc>
          <w:tcPr>
            <w:tcW w:type="dxa" w:w="1426"/>
          </w:tcPr>
          <w:p>
            <w:pPr>
              <w:spacing w:after="20"/>
              <w:jc w:val="right"/>
            </w:pPr>
            <w:r>
              <w:rPr>
                <w:color w:val="1C3A36"/>
                <w:sz w:val="17"/>
              </w:rPr>
              <w:t>22.9%</w:t>
            </w:r>
          </w:p>
        </w:tc>
        <w:tc>
          <w:tcPr>
            <w:tcW w:type="dxa" w:w="1426"/>
          </w:tcPr>
          <w:p>
            <w:pPr>
              <w:spacing w:after="20"/>
              <w:jc w:val="right"/>
            </w:pPr>
            <w:r>
              <w:rPr>
                <w:color w:val="1C3A36"/>
                <w:sz w:val="17"/>
              </w:rPr>
              <w:t>19.7%</w:t>
            </w:r>
          </w:p>
        </w:tc>
        <w:tc>
          <w:tcPr>
            <w:tcW w:type="dxa" w:w="1426"/>
          </w:tcPr>
          <w:p>
            <w:pPr>
              <w:spacing w:after="20"/>
              <w:jc w:val="right"/>
            </w:pPr>
            <w:r>
              <w:rPr>
                <w:color w:val="1C3A36"/>
                <w:sz w:val="17"/>
              </w:rPr>
              <w:t>17.2%</w:t>
            </w:r>
          </w:p>
        </w:tc>
        <w:tc>
          <w:tcPr>
            <w:tcW w:type="dxa" w:w="1426"/>
          </w:tcPr>
          <w:p>
            <w:pPr>
              <w:spacing w:after="20"/>
              <w:jc w:val="right"/>
            </w:pPr>
            <w:r>
              <w:rPr>
                <w:color w:val="1C3A36"/>
                <w:sz w:val="17"/>
              </w:rPr>
              <w:t>15.3%</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0.7896</w:t>
            </w:r>
          </w:p>
        </w:tc>
        <w:tc>
          <w:tcPr>
            <w:tcW w:type="dxa" w:w="1426"/>
          </w:tcPr>
          <w:p>
            <w:pPr>
              <w:spacing w:after="20"/>
              <w:jc w:val="right"/>
            </w:pPr>
            <w:r>
              <w:rPr>
                <w:color w:val="1C3A36"/>
                <w:sz w:val="17"/>
              </w:rPr>
              <w:t>0.6425</w:t>
            </w:r>
          </w:p>
        </w:tc>
        <w:tc>
          <w:tcPr>
            <w:tcW w:type="dxa" w:w="1426"/>
          </w:tcPr>
          <w:p>
            <w:pPr>
              <w:spacing w:after="20"/>
              <w:jc w:val="right"/>
            </w:pPr>
            <w:r>
              <w:rPr>
                <w:color w:val="1C3A36"/>
                <w:sz w:val="17"/>
              </w:rPr>
              <w:t>0.5366</w:t>
            </w:r>
          </w:p>
        </w:tc>
        <w:tc>
          <w:tcPr>
            <w:tcW w:type="dxa" w:w="1426"/>
          </w:tcPr>
          <w:p>
            <w:pPr>
              <w:spacing w:after="20"/>
              <w:jc w:val="right"/>
            </w:pPr>
            <w:r>
              <w:rPr>
                <w:color w:val="1C3A36"/>
                <w:sz w:val="17"/>
              </w:rPr>
              <w:t>0.4578</w:t>
            </w:r>
          </w:p>
        </w:tc>
        <w:tc>
          <w:tcPr>
            <w:tcW w:type="dxa" w:w="1426"/>
          </w:tcPr>
          <w:p>
            <w:pPr>
              <w:spacing w:after="20"/>
              <w:jc w:val="right"/>
            </w:pPr>
            <w:r>
              <w:rPr>
                <w:color w:val="1C3A36"/>
                <w:sz w:val="17"/>
              </w:rPr>
              <w:t>0.3969</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-252</w:t>
            </w:r>
          </w:p>
        </w:tc>
        <w:tc>
          <w:tcPr>
            <w:tcW w:type="dxa" w:w="1426"/>
            <w:shd w:val="clear" w:color="auto" w:fill="F6F1E6"/>
          </w:tcPr>
          <w:p>
            <w:pPr>
              <w:spacing w:after="20"/>
              <w:jc w:val="right"/>
            </w:pPr>
            <w:r>
              <w:rPr>
                <w:b/>
                <w:color w:val="1C3A36"/>
                <w:sz w:val="17"/>
              </w:rPr>
              <w:t>3,359</w:t>
            </w:r>
          </w:p>
        </w:tc>
        <w:tc>
          <w:tcPr>
            <w:tcW w:type="dxa" w:w="1426"/>
            <w:shd w:val="clear" w:color="auto" w:fill="F6F1E6"/>
          </w:tcPr>
          <w:p>
            <w:pPr>
              <w:spacing w:after="20"/>
              <w:jc w:val="right"/>
            </w:pPr>
            <w:r>
              <w:rPr>
                <w:b/>
                <w:color w:val="1C3A36"/>
                <w:sz w:val="17"/>
              </w:rPr>
              <w:t>6,119</w:t>
            </w:r>
          </w:p>
        </w:tc>
        <w:tc>
          <w:tcPr>
            <w:tcW w:type="dxa" w:w="1426"/>
            <w:shd w:val="clear" w:color="auto" w:fill="F6F1E6"/>
          </w:tcPr>
          <w:p>
            <w:pPr>
              <w:spacing w:after="20"/>
              <w:jc w:val="right"/>
            </w:pPr>
            <w:r>
              <w:rPr>
                <w:b/>
                <w:color w:val="1C3A36"/>
                <w:sz w:val="17"/>
              </w:rPr>
              <w:t>6,871</w:t>
            </w:r>
          </w:p>
        </w:tc>
        <w:tc>
          <w:tcPr>
            <w:tcW w:type="dxa" w:w="1426"/>
            <w:shd w:val="clear" w:color="auto" w:fill="F6F1E6"/>
          </w:tcPr>
          <w:p>
            <w:pPr>
              <w:spacing w:after="20"/>
              <w:jc w:val="right"/>
            </w:pPr>
            <w:r>
              <w:rPr>
                <w:b/>
                <w:color w:val="1C3A36"/>
                <w:sz w:val="17"/>
              </w:rPr>
              <w:t>7,099</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19.7% of revenue, the level the audited balance sheets actually show.</w:t>
      </w:r>
    </w:p>
    <w:p>
      <w:pPr>
        <w:spacing w:after="80" w:before="200"/>
      </w:pPr>
      <w:r>
        <w:rPr>
          <w:b/>
          <w:i w:val="0"/>
          <w:color w:val="1C3A36"/>
          <w:sz w:val="24"/>
        </w:rPr>
        <w:t>The valuation, on one page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893"/>
        <w:gridCol w:w="893"/>
        <w:gridCol w:w="893"/>
        <w:gridCol w:w="893"/>
        <w:gridCol w:w="893"/>
      </w:tblGrid>
      <w:tr>
        <w:tc>
          <w:tcPr>
            <w:tcW w:type="dxa" w:w="3024"/>
            <w:shd w:val="clear" w:color="auto" w:fill="EAF0EE"/>
          </w:tcPr>
          <w:p>
            <w:pPr>
              <w:spacing w:after="20"/>
            </w:pPr>
            <w:r>
              <w:rPr>
                <w:b/>
                <w:color w:val="1C3A36"/>
                <w:sz w:val="15"/>
              </w:rPr>
              <w:t>EGP mn</w:t>
            </w:r>
          </w:p>
        </w:tc>
        <w:tc>
          <w:tcPr>
            <w:tcW w:type="dxa" w:w="893"/>
            <w:shd w:val="clear" w:color="auto" w:fill="EAF0EE"/>
          </w:tcPr>
          <w:p>
            <w:pPr>
              <w:spacing w:after="20"/>
            </w:pPr>
            <w:r>
              <w:rPr>
                <w:b/>
                <w:color w:val="1C3A36"/>
                <w:sz w:val="15"/>
              </w:rPr>
              <w:t>FY26E</w:t>
            </w:r>
          </w:p>
        </w:tc>
        <w:tc>
          <w:tcPr>
            <w:tcW w:type="dxa" w:w="893"/>
            <w:shd w:val="clear" w:color="auto" w:fill="EAF0EE"/>
          </w:tcPr>
          <w:p>
            <w:pPr>
              <w:spacing w:after="20"/>
            </w:pPr>
            <w:r>
              <w:rPr>
                <w:b/>
                <w:color w:val="1C3A36"/>
                <w:sz w:val="15"/>
              </w:rPr>
              <w:t>FY27E</w:t>
            </w:r>
          </w:p>
        </w:tc>
        <w:tc>
          <w:tcPr>
            <w:tcW w:type="dxa" w:w="893"/>
            <w:shd w:val="clear" w:color="auto" w:fill="EAF0EE"/>
          </w:tcPr>
          <w:p>
            <w:pPr>
              <w:spacing w:after="20"/>
            </w:pPr>
            <w:r>
              <w:rPr>
                <w:b/>
                <w:color w:val="1C3A36"/>
                <w:sz w:val="15"/>
              </w:rPr>
              <w:t>FY28E</w:t>
            </w:r>
          </w:p>
        </w:tc>
        <w:tc>
          <w:tcPr>
            <w:tcW w:type="dxa" w:w="893"/>
            <w:shd w:val="clear" w:color="auto" w:fill="EAF0EE"/>
          </w:tcPr>
          <w:p>
            <w:pPr>
              <w:spacing w:after="20"/>
            </w:pPr>
            <w:r>
              <w:rPr>
                <w:b/>
                <w:color w:val="1C3A36"/>
                <w:sz w:val="15"/>
              </w:rPr>
              <w:t>FY29E</w:t>
            </w:r>
          </w:p>
        </w:tc>
        <w:tc>
          <w:tcPr>
            <w:tcW w:type="dxa" w:w="893"/>
            <w:shd w:val="clear" w:color="auto" w:fill="EAF0EE"/>
          </w:tcPr>
          <w:p>
            <w:pPr>
              <w:spacing w:after="20"/>
            </w:pPr>
            <w:r>
              <w:rPr>
                <w:b/>
                <w:color w:val="1C3A36"/>
                <w:sz w:val="15"/>
              </w:rPr>
              <w:t>FY30E</w:t>
            </w:r>
          </w:p>
        </w:tc>
      </w:tr>
      <w:tr>
        <w:tc>
          <w:tcPr>
            <w:tcW w:type="dxa" w:w="3024"/>
          </w:tcPr>
          <w:p>
            <w:pPr>
              <w:spacing w:after="20"/>
            </w:pPr>
            <w:r>
              <w:rPr>
                <w:color w:val="1C3A36"/>
                <w:sz w:val="15"/>
              </w:rPr>
              <w:t>Revenue</w:t>
            </w:r>
          </w:p>
        </w:tc>
        <w:tc>
          <w:tcPr>
            <w:tcW w:type="dxa" w:w="893"/>
          </w:tcPr>
          <w:p>
            <w:pPr>
              <w:spacing w:after="20"/>
              <w:jc w:val="right"/>
            </w:pPr>
            <w:r>
              <w:rPr>
                <w:color w:val="1C3A36"/>
                <w:sz w:val="15"/>
              </w:rPr>
              <w:t>370,194</w:t>
            </w:r>
          </w:p>
        </w:tc>
        <w:tc>
          <w:tcPr>
            <w:tcW w:type="dxa" w:w="893"/>
          </w:tcPr>
          <w:p>
            <w:pPr>
              <w:spacing w:after="20"/>
              <w:jc w:val="right"/>
            </w:pPr>
            <w:r>
              <w:rPr>
                <w:color w:val="1C3A36"/>
                <w:sz w:val="15"/>
              </w:rPr>
              <w:t>449,226</w:t>
            </w:r>
          </w:p>
        </w:tc>
        <w:tc>
          <w:tcPr>
            <w:tcW w:type="dxa" w:w="893"/>
          </w:tcPr>
          <w:p>
            <w:pPr>
              <w:spacing w:after="20"/>
              <w:jc w:val="right"/>
            </w:pPr>
            <w:r>
              <w:rPr>
                <w:color w:val="1C3A36"/>
                <w:sz w:val="15"/>
              </w:rPr>
              <w:t>514,907</w:t>
            </w:r>
          </w:p>
        </w:tc>
        <w:tc>
          <w:tcPr>
            <w:tcW w:type="dxa" w:w="893"/>
          </w:tcPr>
          <w:p>
            <w:pPr>
              <w:spacing w:after="20"/>
              <w:jc w:val="right"/>
            </w:pPr>
            <w:r>
              <w:rPr>
                <w:color w:val="1C3A36"/>
                <w:sz w:val="15"/>
              </w:rPr>
              <w:t>579,202</w:t>
            </w:r>
          </w:p>
        </w:tc>
        <w:tc>
          <w:tcPr>
            <w:tcW w:type="dxa" w:w="893"/>
          </w:tcPr>
          <w:p>
            <w:pPr>
              <w:spacing w:after="20"/>
              <w:jc w:val="right"/>
            </w:pPr>
            <w:r>
              <w:rPr>
                <w:color w:val="1C3A36"/>
                <w:sz w:val="15"/>
              </w:rPr>
              <w:t>645,083</w:t>
            </w:r>
          </w:p>
        </w:tc>
      </w:tr>
      <w:tr>
        <w:tc>
          <w:tcPr>
            <w:tcW w:type="dxa" w:w="3024"/>
          </w:tcPr>
          <w:p>
            <w:pPr>
              <w:spacing w:after="20"/>
            </w:pPr>
            <w:r>
              <w:rPr>
                <w:color w:val="1C3A36"/>
                <w:sz w:val="15"/>
              </w:rPr>
              <w:t>EBITDA</w:t>
            </w:r>
          </w:p>
        </w:tc>
        <w:tc>
          <w:tcPr>
            <w:tcW w:type="dxa" w:w="893"/>
          </w:tcPr>
          <w:p>
            <w:pPr>
              <w:spacing w:after="20"/>
              <w:jc w:val="right"/>
            </w:pPr>
            <w:r>
              <w:rPr>
                <w:color w:val="1C3A36"/>
                <w:sz w:val="15"/>
              </w:rPr>
              <w:t>38,286</w:t>
            </w:r>
          </w:p>
        </w:tc>
        <w:tc>
          <w:tcPr>
            <w:tcW w:type="dxa" w:w="893"/>
          </w:tcPr>
          <w:p>
            <w:pPr>
              <w:spacing w:after="20"/>
              <w:jc w:val="right"/>
            </w:pPr>
            <w:r>
              <w:rPr>
                <w:color w:val="1C3A36"/>
                <w:sz w:val="15"/>
              </w:rPr>
              <w:t>47,221</w:t>
            </w:r>
          </w:p>
        </w:tc>
        <w:tc>
          <w:tcPr>
            <w:tcW w:type="dxa" w:w="893"/>
          </w:tcPr>
          <w:p>
            <w:pPr>
              <w:spacing w:after="20"/>
              <w:jc w:val="right"/>
            </w:pPr>
            <w:r>
              <w:rPr>
                <w:color w:val="1C3A36"/>
                <w:sz w:val="15"/>
              </w:rPr>
              <w:t>54,802</w:t>
            </w:r>
          </w:p>
        </w:tc>
        <w:tc>
          <w:tcPr>
            <w:tcW w:type="dxa" w:w="893"/>
          </w:tcPr>
          <w:p>
            <w:pPr>
              <w:spacing w:after="20"/>
              <w:jc w:val="right"/>
            </w:pPr>
            <w:r>
              <w:rPr>
                <w:color w:val="1C3A36"/>
                <w:sz w:val="15"/>
              </w:rPr>
              <w:t>62,040</w:t>
            </w:r>
          </w:p>
        </w:tc>
        <w:tc>
          <w:tcPr>
            <w:tcW w:type="dxa" w:w="893"/>
          </w:tcPr>
          <w:p>
            <w:pPr>
              <w:spacing w:after="20"/>
              <w:jc w:val="right"/>
            </w:pPr>
            <w:r>
              <w:rPr>
                <w:color w:val="1C3A36"/>
                <w:sz w:val="15"/>
              </w:rPr>
              <w:t>69,157</w:t>
            </w:r>
          </w:p>
        </w:tc>
      </w:tr>
      <w:tr>
        <w:tc>
          <w:tcPr>
            <w:tcW w:type="dxa" w:w="3024"/>
          </w:tcPr>
          <w:p>
            <w:pPr>
              <w:spacing w:after="20"/>
            </w:pPr>
            <w:r>
              <w:rPr>
                <w:color w:val="1C3A36"/>
                <w:sz w:val="15"/>
              </w:rPr>
              <w:t>Less: cash taxes</w:t>
            </w:r>
          </w:p>
        </w:tc>
        <w:tc>
          <w:tcPr>
            <w:tcW w:type="dxa" w:w="893"/>
          </w:tcPr>
          <w:p>
            <w:pPr>
              <w:spacing w:after="20"/>
              <w:jc w:val="right"/>
            </w:pPr>
            <w:r>
              <w:rPr>
                <w:color w:val="1C3A36"/>
                <w:sz w:val="15"/>
              </w:rPr>
              <w:t>-8,410</w:t>
            </w:r>
          </w:p>
        </w:tc>
        <w:tc>
          <w:tcPr>
            <w:tcW w:type="dxa" w:w="893"/>
          </w:tcPr>
          <w:p>
            <w:pPr>
              <w:spacing w:after="20"/>
              <w:jc w:val="right"/>
            </w:pPr>
            <w:r>
              <w:rPr>
                <w:color w:val="1C3A36"/>
                <w:sz w:val="15"/>
              </w:rPr>
              <w:t>-10,391</w:t>
            </w:r>
          </w:p>
        </w:tc>
        <w:tc>
          <w:tcPr>
            <w:tcW w:type="dxa" w:w="893"/>
          </w:tcPr>
          <w:p>
            <w:pPr>
              <w:spacing w:after="20"/>
              <w:jc w:val="right"/>
            </w:pPr>
            <w:r>
              <w:rPr>
                <w:color w:val="1C3A36"/>
                <w:sz w:val="15"/>
              </w:rPr>
              <w:t>-12,077</w:t>
            </w:r>
          </w:p>
        </w:tc>
        <w:tc>
          <w:tcPr>
            <w:tcW w:type="dxa" w:w="893"/>
          </w:tcPr>
          <w:p>
            <w:pPr>
              <w:spacing w:after="20"/>
              <w:jc w:val="right"/>
            </w:pPr>
            <w:r>
              <w:rPr>
                <w:color w:val="1C3A36"/>
                <w:sz w:val="15"/>
              </w:rPr>
              <w:t>-13,682</w:t>
            </w:r>
          </w:p>
        </w:tc>
        <w:tc>
          <w:tcPr>
            <w:tcW w:type="dxa" w:w="893"/>
          </w:tcPr>
          <w:p>
            <w:pPr>
              <w:spacing w:after="20"/>
              <w:jc w:val="right"/>
            </w:pPr>
            <w:r>
              <w:rPr>
                <w:color w:val="1C3A36"/>
                <w:sz w:val="15"/>
              </w:rPr>
              <w:t>-15,252</w:t>
            </w:r>
          </w:p>
        </w:tc>
      </w:tr>
      <w:tr>
        <w:tc>
          <w:tcPr>
            <w:tcW w:type="dxa" w:w="3024"/>
          </w:tcPr>
          <w:p>
            <w:pPr>
              <w:spacing w:after="20"/>
            </w:pPr>
            <w:r>
              <w:rPr>
                <w:color w:val="1C3A36"/>
                <w:sz w:val="15"/>
              </w:rPr>
              <w:t>Less: capital expenditure</w:t>
            </w:r>
          </w:p>
        </w:tc>
        <w:tc>
          <w:tcPr>
            <w:tcW w:type="dxa" w:w="893"/>
          </w:tcPr>
          <w:p>
            <w:pPr>
              <w:spacing w:after="20"/>
              <w:jc w:val="right"/>
            </w:pPr>
            <w:r>
              <w:rPr>
                <w:color w:val="1C3A36"/>
                <w:sz w:val="15"/>
              </w:rPr>
              <w:t>-13,232</w:t>
            </w:r>
          </w:p>
        </w:tc>
        <w:tc>
          <w:tcPr>
            <w:tcW w:type="dxa" w:w="893"/>
          </w:tcPr>
          <w:p>
            <w:pPr>
              <w:spacing w:after="20"/>
              <w:jc w:val="right"/>
            </w:pPr>
            <w:r>
              <w:rPr>
                <w:color w:val="1C3A36"/>
                <w:sz w:val="15"/>
              </w:rPr>
              <w:t>-16,056</w:t>
            </w:r>
          </w:p>
        </w:tc>
        <w:tc>
          <w:tcPr>
            <w:tcW w:type="dxa" w:w="893"/>
          </w:tcPr>
          <w:p>
            <w:pPr>
              <w:spacing w:after="20"/>
              <w:jc w:val="right"/>
            </w:pPr>
            <w:r>
              <w:rPr>
                <w:color w:val="1C3A36"/>
                <w:sz w:val="15"/>
              </w:rPr>
              <w:t>-18,404</w:t>
            </w:r>
          </w:p>
        </w:tc>
        <w:tc>
          <w:tcPr>
            <w:tcW w:type="dxa" w:w="893"/>
          </w:tcPr>
          <w:p>
            <w:pPr>
              <w:spacing w:after="20"/>
              <w:jc w:val="right"/>
            </w:pPr>
            <w:r>
              <w:rPr>
                <w:color w:val="1C3A36"/>
                <w:sz w:val="15"/>
              </w:rPr>
              <w:t>-20,702</w:t>
            </w:r>
          </w:p>
        </w:tc>
        <w:tc>
          <w:tcPr>
            <w:tcW w:type="dxa" w:w="893"/>
          </w:tcPr>
          <w:p>
            <w:pPr>
              <w:spacing w:after="20"/>
              <w:jc w:val="right"/>
            </w:pPr>
            <w:r>
              <w:rPr>
                <w:color w:val="1C3A36"/>
                <w:sz w:val="15"/>
              </w:rPr>
              <w:t>-23,057</w:t>
            </w:r>
          </w:p>
        </w:tc>
      </w:tr>
      <w:tr>
        <w:tc>
          <w:tcPr>
            <w:tcW w:type="dxa" w:w="3024"/>
          </w:tcPr>
          <w:p>
            <w:pPr>
              <w:spacing w:after="20"/>
            </w:pPr>
            <w:r>
              <w:rPr>
                <w:color w:val="1C3A36"/>
                <w:sz w:val="15"/>
              </w:rPr>
              <w:t>Less: investment in working capital</w:t>
            </w:r>
          </w:p>
        </w:tc>
        <w:tc>
          <w:tcPr>
            <w:tcW w:type="dxa" w:w="893"/>
          </w:tcPr>
          <w:p>
            <w:pPr>
              <w:spacing w:after="20"/>
              <w:jc w:val="right"/>
            </w:pPr>
            <w:r>
              <w:rPr>
                <w:color w:val="1C3A36"/>
                <w:sz w:val="15"/>
              </w:rPr>
              <w:t>-16,965</w:t>
            </w:r>
          </w:p>
        </w:tc>
        <w:tc>
          <w:tcPr>
            <w:tcW w:type="dxa" w:w="893"/>
          </w:tcPr>
          <w:p>
            <w:pPr>
              <w:spacing w:after="20"/>
              <w:jc w:val="right"/>
            </w:pPr>
            <w:r>
              <w:rPr>
                <w:color w:val="1C3A36"/>
                <w:sz w:val="15"/>
              </w:rPr>
              <w:t>-15,546</w:t>
            </w:r>
          </w:p>
        </w:tc>
        <w:tc>
          <w:tcPr>
            <w:tcW w:type="dxa" w:w="893"/>
          </w:tcPr>
          <w:p>
            <w:pPr>
              <w:spacing w:after="20"/>
              <w:jc w:val="right"/>
            </w:pPr>
            <w:r>
              <w:rPr>
                <w:color w:val="1C3A36"/>
                <w:sz w:val="15"/>
              </w:rPr>
              <w:t>-12,920</w:t>
            </w:r>
          </w:p>
        </w:tc>
        <w:tc>
          <w:tcPr>
            <w:tcW w:type="dxa" w:w="893"/>
          </w:tcPr>
          <w:p>
            <w:pPr>
              <w:spacing w:after="20"/>
              <w:jc w:val="right"/>
            </w:pPr>
            <w:r>
              <w:rPr>
                <w:color w:val="1C3A36"/>
                <w:sz w:val="15"/>
              </w:rPr>
              <w:t>-12,647</w:t>
            </w:r>
          </w:p>
        </w:tc>
        <w:tc>
          <w:tcPr>
            <w:tcW w:type="dxa" w:w="893"/>
          </w:tcPr>
          <w:p>
            <w:pPr>
              <w:spacing w:after="20"/>
              <w:jc w:val="right"/>
            </w:pPr>
            <w:r>
              <w:rPr>
                <w:color w:val="1C3A36"/>
                <w:sz w:val="15"/>
              </w:rPr>
              <w:t>-12,959</w:t>
            </w:r>
          </w:p>
        </w:tc>
      </w:tr>
      <w:tr>
        <w:tc>
          <w:tcPr>
            <w:tcW w:type="dxa" w:w="3024"/>
            <w:shd w:val="clear" w:color="auto" w:fill="F6F1E6"/>
          </w:tcPr>
          <w:p>
            <w:pPr>
              <w:spacing w:after="20"/>
            </w:pPr>
            <w:r>
              <w:rPr>
                <w:b/>
                <w:color w:val="1C3A36"/>
                <w:sz w:val="15"/>
              </w:rPr>
              <w:t>Free cash flow to the firm</w:t>
            </w:r>
          </w:p>
        </w:tc>
        <w:tc>
          <w:tcPr>
            <w:tcW w:type="dxa" w:w="893"/>
            <w:shd w:val="clear" w:color="auto" w:fill="F6F1E6"/>
          </w:tcPr>
          <w:p>
            <w:pPr>
              <w:spacing w:after="20"/>
              <w:jc w:val="right"/>
            </w:pPr>
            <w:r>
              <w:rPr>
                <w:b/>
                <w:color w:val="1C3A36"/>
                <w:sz w:val="15"/>
              </w:rPr>
              <w:t>-319</w:t>
            </w:r>
          </w:p>
        </w:tc>
        <w:tc>
          <w:tcPr>
            <w:tcW w:type="dxa" w:w="893"/>
            <w:shd w:val="clear" w:color="auto" w:fill="F6F1E6"/>
          </w:tcPr>
          <w:p>
            <w:pPr>
              <w:spacing w:after="20"/>
              <w:jc w:val="right"/>
            </w:pPr>
            <w:r>
              <w:rPr>
                <w:b/>
                <w:color w:val="1C3A36"/>
                <w:sz w:val="15"/>
              </w:rPr>
              <w:t>5,227</w:t>
            </w:r>
          </w:p>
        </w:tc>
        <w:tc>
          <w:tcPr>
            <w:tcW w:type="dxa" w:w="893"/>
            <w:shd w:val="clear" w:color="auto" w:fill="F6F1E6"/>
          </w:tcPr>
          <w:p>
            <w:pPr>
              <w:spacing w:after="20"/>
              <w:jc w:val="right"/>
            </w:pPr>
            <w:r>
              <w:rPr>
                <w:b/>
                <w:color w:val="1C3A36"/>
                <w:sz w:val="15"/>
              </w:rPr>
              <w:t>11,402</w:t>
            </w:r>
          </w:p>
        </w:tc>
        <w:tc>
          <w:tcPr>
            <w:tcW w:type="dxa" w:w="893"/>
            <w:shd w:val="clear" w:color="auto" w:fill="F6F1E6"/>
          </w:tcPr>
          <w:p>
            <w:pPr>
              <w:spacing w:after="20"/>
              <w:jc w:val="right"/>
            </w:pPr>
            <w:r>
              <w:rPr>
                <w:b/>
                <w:color w:val="1C3A36"/>
                <w:sz w:val="15"/>
              </w:rPr>
              <w:t>15,010</w:t>
            </w:r>
          </w:p>
        </w:tc>
        <w:tc>
          <w:tcPr>
            <w:tcW w:type="dxa" w:w="893"/>
            <w:shd w:val="clear" w:color="auto" w:fill="F6F1E6"/>
          </w:tcPr>
          <w:p>
            <w:pPr>
              <w:spacing w:after="20"/>
              <w:jc w:val="right"/>
            </w:pPr>
            <w:r>
              <w:rPr>
                <w:b/>
                <w:color w:val="1C3A36"/>
                <w:sz w:val="15"/>
              </w:rPr>
              <w:t>17,889</w:t>
            </w:r>
          </w:p>
        </w:tc>
      </w:tr>
      <w:tr>
        <w:tc>
          <w:tcPr>
            <w:tcW w:type="dxa" w:w="3024"/>
          </w:tcPr>
          <w:p>
            <w:pPr>
              <w:spacing w:after="20"/>
            </w:pPr>
            <w:r>
              <w:rPr>
                <w:color w:val="1C3A36"/>
                <w:sz w:val="15"/>
              </w:rPr>
              <w:t>Discount rate for the year</w:t>
            </w:r>
          </w:p>
        </w:tc>
        <w:tc>
          <w:tcPr>
            <w:tcW w:type="dxa" w:w="893"/>
          </w:tcPr>
          <w:p>
            <w:pPr>
              <w:spacing w:after="20"/>
              <w:jc w:val="right"/>
            </w:pPr>
            <w:r>
              <w:rPr>
                <w:color w:val="1C3A36"/>
                <w:sz w:val="15"/>
              </w:rPr>
              <w:t>26.65%</w:t>
            </w:r>
          </w:p>
        </w:tc>
        <w:tc>
          <w:tcPr>
            <w:tcW w:type="dxa" w:w="893"/>
          </w:tcPr>
          <w:p>
            <w:pPr>
              <w:spacing w:after="20"/>
              <w:jc w:val="right"/>
            </w:pPr>
            <w:r>
              <w:rPr>
                <w:color w:val="1C3A36"/>
                <w:sz w:val="15"/>
              </w:rPr>
              <w:t>22.88%</w:t>
            </w:r>
          </w:p>
        </w:tc>
        <w:tc>
          <w:tcPr>
            <w:tcW w:type="dxa" w:w="893"/>
          </w:tcPr>
          <w:p>
            <w:pPr>
              <w:spacing w:after="20"/>
              <w:jc w:val="right"/>
            </w:pPr>
            <w:r>
              <w:rPr>
                <w:color w:val="1C3A36"/>
                <w:sz w:val="15"/>
              </w:rPr>
              <w:t>19.74%</w:t>
            </w:r>
          </w:p>
        </w:tc>
        <w:tc>
          <w:tcPr>
            <w:tcW w:type="dxa" w:w="893"/>
          </w:tcPr>
          <w:p>
            <w:pPr>
              <w:spacing w:after="20"/>
              <w:jc w:val="right"/>
            </w:pPr>
            <w:r>
              <w:rPr>
                <w:color w:val="1C3A36"/>
                <w:sz w:val="15"/>
              </w:rPr>
              <w:t>17.23%</w:t>
            </w:r>
          </w:p>
        </w:tc>
        <w:tc>
          <w:tcPr>
            <w:tcW w:type="dxa" w:w="893"/>
          </w:tcPr>
          <w:p>
            <w:pPr>
              <w:spacing w:after="20"/>
              <w:jc w:val="right"/>
            </w:pPr>
            <w:r>
              <w:rPr>
                <w:color w:val="1C3A36"/>
                <w:sz w:val="15"/>
              </w:rPr>
              <w:t>15.34%</w:t>
            </w:r>
          </w:p>
        </w:tc>
      </w:tr>
      <w:tr>
        <w:tc>
          <w:tcPr>
            <w:tcW w:type="dxa" w:w="3024"/>
          </w:tcPr>
          <w:p>
            <w:pPr>
              <w:spacing w:after="20"/>
            </w:pPr>
            <w:r>
              <w:rPr>
                <w:color w:val="1C3A36"/>
                <w:sz w:val="15"/>
              </w:rPr>
              <w:t>Discount factor</w:t>
            </w:r>
          </w:p>
        </w:tc>
        <w:tc>
          <w:tcPr>
            <w:tcW w:type="dxa" w:w="893"/>
          </w:tcPr>
          <w:p>
            <w:pPr>
              <w:spacing w:after="20"/>
              <w:jc w:val="right"/>
            </w:pPr>
            <w:r>
              <w:rPr>
                <w:color w:val="1C3A36"/>
                <w:sz w:val="15"/>
              </w:rPr>
              <w:t>0.7896</w:t>
            </w:r>
          </w:p>
        </w:tc>
        <w:tc>
          <w:tcPr>
            <w:tcW w:type="dxa" w:w="893"/>
          </w:tcPr>
          <w:p>
            <w:pPr>
              <w:spacing w:after="20"/>
              <w:jc w:val="right"/>
            </w:pPr>
            <w:r>
              <w:rPr>
                <w:color w:val="1C3A36"/>
                <w:sz w:val="15"/>
              </w:rPr>
              <w:t>0.6425</w:t>
            </w:r>
          </w:p>
        </w:tc>
        <w:tc>
          <w:tcPr>
            <w:tcW w:type="dxa" w:w="893"/>
          </w:tcPr>
          <w:p>
            <w:pPr>
              <w:spacing w:after="20"/>
              <w:jc w:val="right"/>
            </w:pPr>
            <w:r>
              <w:rPr>
                <w:color w:val="1C3A36"/>
                <w:sz w:val="15"/>
              </w:rPr>
              <w:t>0.5366</w:t>
            </w:r>
          </w:p>
        </w:tc>
        <w:tc>
          <w:tcPr>
            <w:tcW w:type="dxa" w:w="893"/>
          </w:tcPr>
          <w:p>
            <w:pPr>
              <w:spacing w:after="20"/>
              <w:jc w:val="right"/>
            </w:pPr>
            <w:r>
              <w:rPr>
                <w:color w:val="1C3A36"/>
                <w:sz w:val="15"/>
              </w:rPr>
              <w:t>0.4578</w:t>
            </w:r>
          </w:p>
        </w:tc>
        <w:tc>
          <w:tcPr>
            <w:tcW w:type="dxa" w:w="893"/>
          </w:tcPr>
          <w:p>
            <w:pPr>
              <w:spacing w:after="20"/>
              <w:jc w:val="right"/>
            </w:pPr>
            <w:r>
              <w:rPr>
                <w:color w:val="1C3A36"/>
                <w:sz w:val="15"/>
              </w:rPr>
              <w:t>0.3969</w:t>
            </w:r>
          </w:p>
        </w:tc>
      </w:tr>
      <w:tr>
        <w:tc>
          <w:tcPr>
            <w:tcW w:type="dxa" w:w="3024"/>
          </w:tcPr>
          <w:p>
            <w:pPr>
              <w:spacing w:after="20"/>
            </w:pPr>
            <w:r>
              <w:rPr>
                <w:color w:val="1C3A36"/>
                <w:sz w:val="15"/>
              </w:rPr>
              <w:t>Present value of free cash flow</w:t>
            </w:r>
          </w:p>
        </w:tc>
        <w:tc>
          <w:tcPr>
            <w:tcW w:type="dxa" w:w="893"/>
          </w:tcPr>
          <w:p>
            <w:pPr>
              <w:spacing w:after="20"/>
              <w:jc w:val="right"/>
            </w:pPr>
            <w:r>
              <w:rPr>
                <w:color w:val="1C3A36"/>
                <w:sz w:val="15"/>
              </w:rPr>
              <w:t>-252</w:t>
            </w:r>
          </w:p>
        </w:tc>
        <w:tc>
          <w:tcPr>
            <w:tcW w:type="dxa" w:w="893"/>
          </w:tcPr>
          <w:p>
            <w:pPr>
              <w:spacing w:after="20"/>
              <w:jc w:val="right"/>
            </w:pPr>
            <w:r>
              <w:rPr>
                <w:color w:val="1C3A36"/>
                <w:sz w:val="15"/>
              </w:rPr>
              <w:t>3,359</w:t>
            </w:r>
          </w:p>
        </w:tc>
        <w:tc>
          <w:tcPr>
            <w:tcW w:type="dxa" w:w="893"/>
          </w:tcPr>
          <w:p>
            <w:pPr>
              <w:spacing w:after="20"/>
              <w:jc w:val="right"/>
            </w:pPr>
            <w:r>
              <w:rPr>
                <w:color w:val="1C3A36"/>
                <w:sz w:val="15"/>
              </w:rPr>
              <w:t>6,119</w:t>
            </w:r>
          </w:p>
        </w:tc>
        <w:tc>
          <w:tcPr>
            <w:tcW w:type="dxa" w:w="893"/>
          </w:tcPr>
          <w:p>
            <w:pPr>
              <w:spacing w:after="20"/>
              <w:jc w:val="right"/>
            </w:pPr>
            <w:r>
              <w:rPr>
                <w:color w:val="1C3A36"/>
                <w:sz w:val="15"/>
              </w:rPr>
              <w:t>6,871</w:t>
            </w:r>
          </w:p>
        </w:tc>
        <w:tc>
          <w:tcPr>
            <w:tcW w:type="dxa" w:w="893"/>
          </w:tcPr>
          <w:p>
            <w:pPr>
              <w:spacing w:after="20"/>
              <w:jc w:val="right"/>
            </w:pPr>
            <w:r>
              <w:rPr>
                <w:color w:val="1C3A36"/>
                <w:sz w:val="15"/>
              </w:rPr>
              <w:t>7,099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584"/>
      </w:tblGrid>
      <w:tr>
        <w:tc>
          <w:tcPr>
            <w:tcW w:type="dxa" w:w="5184"/>
            <w:shd w:val="clear" w:color="auto" w:fill="EAF0EE"/>
          </w:tcPr>
          <w:p>
            <w:pPr>
              <w:spacing w:after="20"/>
            </w:pPr>
            <w:r>
              <w:rPr>
                <w:b/>
                <w:color w:val="1C3A36"/>
                <w:sz w:val="15"/>
              </w:rPr>
              <w:t>The bridge to value per share</w:t>
            </w:r>
          </w:p>
        </w:tc>
        <w:tc>
          <w:tcPr>
            <w:tcW w:type="dxa" w:w="1584"/>
            <w:shd w:val="clear" w:color="auto" w:fill="EAF0EE"/>
          </w:tcPr>
          <w:p>
            <w:pPr>
              <w:spacing w:after="20"/>
            </w:pPr>
            <w:r>
              <w:rPr>
                <w:b/>
                <w:color w:val="1C3A36"/>
                <w:sz w:val="15"/>
              </w:rPr>
              <w:t>EGP mn</w:t>
            </w:r>
          </w:p>
        </w:tc>
      </w:tr>
      <w:tr>
        <w:tc>
          <w:tcPr>
            <w:tcW w:type="dxa" w:w="5184"/>
          </w:tcPr>
          <w:p>
            <w:pPr>
              <w:spacing w:after="20"/>
            </w:pPr>
            <w:r>
              <w:rPr>
                <w:color w:val="1C3A36"/>
                <w:sz w:val="15"/>
              </w:rPr>
              <w:t>Sum of present values, explicit window</w:t>
            </w:r>
          </w:p>
        </w:tc>
        <w:tc>
          <w:tcPr>
            <w:tcW w:type="dxa" w:w="1584"/>
          </w:tcPr>
          <w:p>
            <w:pPr>
              <w:spacing w:after="20"/>
              <w:jc w:val="right"/>
            </w:pPr>
            <w:r>
              <w:rPr>
                <w:color w:val="1C3A36"/>
                <w:sz w:val="15"/>
              </w:rPr>
              <w:t>23,195</w:t>
            </w:r>
          </w:p>
        </w:tc>
      </w:tr>
      <w:tr>
        <w:tc>
          <w:tcPr>
            <w:tcW w:type="dxa" w:w="5184"/>
          </w:tcPr>
          <w:p>
            <w:pPr>
              <w:spacing w:after="20"/>
            </w:pPr>
            <w:r>
              <w:rPr>
                <w:color w:val="1C3A36"/>
                <w:sz w:val="15"/>
              </w:rPr>
              <w:t>Terminal value, undiscounted</w:t>
            </w:r>
          </w:p>
        </w:tc>
        <w:tc>
          <w:tcPr>
            <w:tcW w:type="dxa" w:w="1584"/>
          </w:tcPr>
          <w:p>
            <w:pPr>
              <w:spacing w:after="20"/>
              <w:jc w:val="right"/>
            </w:pPr>
            <w:r>
              <w:rPr>
                <w:color w:val="1C3A36"/>
                <w:sz w:val="15"/>
              </w:rPr>
              <w:t>493,872</w:t>
            </w:r>
          </w:p>
        </w:tc>
      </w:tr>
      <w:tr>
        <w:tc>
          <w:tcPr>
            <w:tcW w:type="dxa" w:w="5184"/>
          </w:tcPr>
          <w:p>
            <w:pPr>
              <w:spacing w:after="20"/>
            </w:pPr>
            <w:r>
              <w:rPr>
                <w:color w:val="1C3A36"/>
                <w:sz w:val="15"/>
              </w:rPr>
              <w:t>Present value of the terminal value</w:t>
            </w:r>
          </w:p>
        </w:tc>
        <w:tc>
          <w:tcPr>
            <w:tcW w:type="dxa" w:w="1584"/>
          </w:tcPr>
          <w:p>
            <w:pPr>
              <w:spacing w:after="20"/>
              <w:jc w:val="right"/>
            </w:pPr>
            <w:r>
              <w:rPr>
                <w:color w:val="1C3A36"/>
                <w:sz w:val="15"/>
              </w:rPr>
              <w:t>195,998</w:t>
            </w:r>
          </w:p>
        </w:tc>
      </w:tr>
      <w:tr>
        <w:tc>
          <w:tcPr>
            <w:tcW w:type="dxa" w:w="5184"/>
          </w:tcPr>
          <w:p>
            <w:pPr>
              <w:spacing w:after="20"/>
            </w:pPr>
            <w:r>
              <w:rPr>
                <w:color w:val="1C3A36"/>
                <w:sz w:val="15"/>
              </w:rPr>
              <w:t>Terminal value as a share of enterprise value</w:t>
            </w:r>
          </w:p>
        </w:tc>
        <w:tc>
          <w:tcPr>
            <w:tcW w:type="dxa" w:w="1584"/>
          </w:tcPr>
          <w:p>
            <w:pPr>
              <w:spacing w:after="20"/>
              <w:jc w:val="right"/>
            </w:pPr>
            <w:r>
              <w:rPr>
                <w:color w:val="1C3A36"/>
                <w:sz w:val="15"/>
              </w:rPr>
              <w:t>89.42%</w:t>
            </w:r>
          </w:p>
        </w:tc>
      </w:tr>
      <w:tr>
        <w:tc>
          <w:tcPr>
            <w:tcW w:type="dxa" w:w="5184"/>
          </w:tcPr>
          <w:p>
            <w:pPr>
              <w:spacing w:after="20"/>
            </w:pPr>
            <w:r>
              <w:rPr>
                <w:color w:val="1C3A36"/>
                <w:sz w:val="15"/>
              </w:rPr>
              <w:t>Cost of capital, first explicit year</w:t>
            </w:r>
          </w:p>
        </w:tc>
        <w:tc>
          <w:tcPr>
            <w:tcW w:type="dxa" w:w="1584"/>
          </w:tcPr>
          <w:p>
            <w:pPr>
              <w:spacing w:after="20"/>
              <w:jc w:val="right"/>
            </w:pPr>
            <w:r>
              <w:rPr>
                <w:color w:val="1C3A36"/>
                <w:sz w:val="15"/>
              </w:rPr>
              <w:t>26.65%</w:t>
            </w:r>
          </w:p>
        </w:tc>
      </w:tr>
      <w:tr>
        <w:tc>
          <w:tcPr>
            <w:tcW w:type="dxa" w:w="5184"/>
          </w:tcPr>
          <w:p>
            <w:pPr>
              <w:spacing w:after="20"/>
            </w:pPr>
            <w:r>
              <w:rPr>
                <w:color w:val="1C3A36"/>
                <w:sz w:val="15"/>
              </w:rPr>
              <w:t>Cost of capital, terminal</w:t>
            </w:r>
          </w:p>
        </w:tc>
        <w:tc>
          <w:tcPr>
            <w:tcW w:type="dxa" w:w="1584"/>
          </w:tcPr>
          <w:p>
            <w:pPr>
              <w:spacing w:after="20"/>
              <w:jc w:val="right"/>
            </w:pPr>
            <w:r>
              <w:rPr>
                <w:color w:val="1C3A36"/>
                <w:sz w:val="15"/>
              </w:rPr>
              <w:t>15.34%</w:t>
            </w:r>
          </w:p>
        </w:tc>
      </w:tr>
      <w:tr>
        <w:tc>
          <w:tcPr>
            <w:tcW w:type="dxa" w:w="5184"/>
          </w:tcPr>
          <w:p>
            <w:pPr>
              <w:spacing w:after="20"/>
            </w:pPr>
            <w:r>
              <w:rPr>
                <w:color w:val="1C3A36"/>
                <w:sz w:val="15"/>
              </w:rPr>
              <w:t>Terminal growth</w:t>
            </w:r>
          </w:p>
        </w:tc>
        <w:tc>
          <w:tcPr>
            <w:tcW w:type="dxa" w:w="1584"/>
          </w:tcPr>
          <w:p>
            <w:pPr>
              <w:spacing w:after="20"/>
              <w:jc w:val="right"/>
            </w:pPr>
            <w:r>
              <w:rPr>
                <w:color w:val="1C3A36"/>
                <w:sz w:val="15"/>
              </w:rPr>
              <w:t>9.14%</w:t>
            </w:r>
          </w:p>
        </w:tc>
      </w:tr>
      <w:tr>
        <w:tc>
          <w:tcPr>
            <w:tcW w:type="dxa" w:w="5184"/>
            <w:shd w:val="clear" w:color="auto" w:fill="F6F1E6"/>
          </w:tcPr>
          <w:p>
            <w:pPr>
              <w:spacing w:after="20"/>
            </w:pPr>
            <w:r>
              <w:rPr>
                <w:b/>
                <w:color w:val="1C3A36"/>
                <w:sz w:val="15"/>
              </w:rPr>
              <w:t>ENTERPRISE VALUE</w:t>
            </w:r>
          </w:p>
        </w:tc>
        <w:tc>
          <w:tcPr>
            <w:tcW w:type="dxa" w:w="1584"/>
            <w:shd w:val="clear" w:color="auto" w:fill="F6F1E6"/>
          </w:tcPr>
          <w:p>
            <w:pPr>
              <w:spacing w:after="20"/>
              <w:jc w:val="right"/>
            </w:pPr>
            <w:r>
              <w:rPr>
                <w:b/>
                <w:color w:val="1C3A36"/>
                <w:sz w:val="15"/>
              </w:rPr>
              <w:t>219,193</w:t>
            </w:r>
          </w:p>
        </w:tc>
      </w:tr>
      <w:tr>
        <w:tc>
          <w:tcPr>
            <w:tcW w:type="dxa" w:w="5184"/>
          </w:tcPr>
          <w:p>
            <w:pPr>
              <w:spacing w:after="20"/>
            </w:pPr>
            <w:r>
              <w:rPr>
                <w:color w:val="1C3A36"/>
                <w:sz w:val="15"/>
              </w:rPr>
              <w:t>Less: net debt</w:t>
            </w:r>
          </w:p>
        </w:tc>
        <w:tc>
          <w:tcPr>
            <w:tcW w:type="dxa" w:w="1584"/>
          </w:tcPr>
          <w:p>
            <w:pPr>
              <w:spacing w:after="20"/>
              <w:jc w:val="right"/>
            </w:pPr>
            <w:r>
              <w:rPr>
                <w:color w:val="1C3A36"/>
                <w:sz w:val="15"/>
              </w:rPr>
              <w:t>-20,560</w:t>
            </w:r>
          </w:p>
        </w:tc>
      </w:tr>
      <w:tr>
        <w:tc>
          <w:tcPr>
            <w:tcW w:type="dxa" w:w="5184"/>
          </w:tcPr>
          <w:p>
            <w:pPr>
              <w:spacing w:after="20"/>
            </w:pPr>
            <w:r>
              <w:rPr>
                <w:color w:val="1C3A36"/>
                <w:sz w:val="15"/>
              </w:rPr>
              <w:t>Add: investments in associates</w:t>
            </w:r>
          </w:p>
        </w:tc>
        <w:tc>
          <w:tcPr>
            <w:tcW w:type="dxa" w:w="1584"/>
          </w:tcPr>
          <w:p>
            <w:pPr>
              <w:spacing w:after="20"/>
              <w:jc w:val="right"/>
            </w:pPr>
            <w:r>
              <w:rPr>
                <w:color w:val="1C3A36"/>
                <w:sz w:val="15"/>
              </w:rPr>
              <w:t>6,758</w:t>
            </w:r>
          </w:p>
        </w:tc>
      </w:tr>
      <w:tr>
        <w:tc>
          <w:tcPr>
            <w:tcW w:type="dxa" w:w="5184"/>
          </w:tcPr>
          <w:p>
            <w:pPr>
              <w:spacing w:after="20"/>
            </w:pPr>
            <w:r>
              <w:rPr>
                <w:color w:val="1C3A36"/>
                <w:sz w:val="15"/>
              </w:rPr>
              <w:t>Less: minority interests</w:t>
            </w:r>
          </w:p>
        </w:tc>
        <w:tc>
          <w:tcPr>
            <w:tcW w:type="dxa" w:w="1584"/>
          </w:tcPr>
          <w:p>
            <w:pPr>
              <w:spacing w:after="20"/>
              <w:jc w:val="right"/>
            </w:pPr>
            <w:r>
              <w:rPr>
                <w:color w:val="1C3A36"/>
                <w:sz w:val="15"/>
              </w:rPr>
              <w:t>-19,872</w:t>
            </w:r>
          </w:p>
        </w:tc>
      </w:tr>
      <w:tr>
        <w:tc>
          <w:tcPr>
            <w:tcW w:type="dxa" w:w="5184"/>
          </w:tcPr>
          <w:p>
            <w:pPr>
              <w:spacing w:after="20"/>
            </w:pPr>
            <w:r>
              <w:rPr>
                <w:color w:val="1C3A36"/>
                <w:sz w:val="15"/>
              </w:rPr>
              <w:t>Less: employees' statutory share of profit</w:t>
            </w:r>
          </w:p>
        </w:tc>
        <w:tc>
          <w:tcPr>
            <w:tcW w:type="dxa" w:w="1584"/>
          </w:tcPr>
          <w:p>
            <w:pPr>
              <w:spacing w:after="20"/>
              <w:jc w:val="right"/>
            </w:pPr>
            <w:r>
              <w:rPr>
                <w:color w:val="1C3A36"/>
                <w:sz w:val="15"/>
              </w:rPr>
              <w:t>-22,620</w:t>
            </w:r>
          </w:p>
        </w:tc>
      </w:tr>
      <w:tr>
        <w:tc>
          <w:tcPr>
            <w:tcW w:type="dxa" w:w="5184"/>
            <w:shd w:val="clear" w:color="auto" w:fill="F6F1E6"/>
          </w:tcPr>
          <w:p>
            <w:pPr>
              <w:spacing w:after="20"/>
            </w:pPr>
            <w:r>
              <w:rPr>
                <w:b/>
                <w:color w:val="1C3A36"/>
                <w:sz w:val="15"/>
              </w:rPr>
              <w:t>EQUITY VALUE</w:t>
            </w:r>
          </w:p>
        </w:tc>
        <w:tc>
          <w:tcPr>
            <w:tcW w:type="dxa" w:w="1584"/>
            <w:shd w:val="clear" w:color="auto" w:fill="F6F1E6"/>
          </w:tcPr>
          <w:p>
            <w:pPr>
              <w:spacing w:after="20"/>
              <w:jc w:val="right"/>
            </w:pPr>
            <w:r>
              <w:rPr>
                <w:b/>
                <w:color w:val="1C3A36"/>
                <w:sz w:val="15"/>
              </w:rPr>
              <w:t>162,899</w:t>
            </w:r>
          </w:p>
        </w:tc>
      </w:tr>
      <w:tr>
        <w:tc>
          <w:tcPr>
            <w:tcW w:type="dxa" w:w="5184"/>
          </w:tcPr>
          <w:p>
            <w:pPr>
              <w:spacing w:after="20"/>
            </w:pPr>
            <w:r>
              <w:rPr>
                <w:color w:val="1C3A36"/>
                <w:sz w:val="15"/>
              </w:rPr>
              <w:t>Shares in issue (mn)</w:t>
            </w:r>
          </w:p>
        </w:tc>
        <w:tc>
          <w:tcPr>
            <w:tcW w:type="dxa" w:w="1584"/>
          </w:tcPr>
          <w:p>
            <w:pPr>
              <w:spacing w:after="20"/>
              <w:jc w:val="right"/>
            </w:pPr>
            <w:r>
              <w:rPr>
                <w:color w:val="1C3A36"/>
                <w:sz w:val="15"/>
              </w:rPr>
              <w:t>2,141</w:t>
            </w:r>
          </w:p>
        </w:tc>
      </w:tr>
      <w:tr>
        <w:tc>
          <w:tcPr>
            <w:tcW w:type="dxa" w:w="5184"/>
          </w:tcPr>
          <w:p>
            <w:pPr>
              <w:spacing w:after="20"/>
            </w:pPr>
            <w:r>
              <w:rPr>
                <w:color w:val="1C3A36"/>
                <w:sz w:val="15"/>
              </w:rPr>
              <w:t>Value per share at the model date</w:t>
            </w:r>
          </w:p>
        </w:tc>
        <w:tc>
          <w:tcPr>
            <w:tcW w:type="dxa" w:w="1584"/>
          </w:tcPr>
          <w:p>
            <w:pPr>
              <w:spacing w:after="20"/>
              <w:jc w:val="right"/>
            </w:pPr>
            <w:r>
              <w:rPr>
                <w:color w:val="1C3A36"/>
                <w:sz w:val="15"/>
              </w:rPr>
              <w:t>76.09</w:t>
            </w:r>
          </w:p>
        </w:tc>
      </w:tr>
      <w:tr>
        <w:tc>
          <w:tcPr>
            <w:tcW w:type="dxa" w:w="5184"/>
            <w:shd w:val="clear" w:color="auto" w:fill="F6F1E6"/>
          </w:tcPr>
          <w:p>
            <w:pPr>
              <w:spacing w:after="20"/>
            </w:pPr>
            <w:r>
              <w:rPr>
                <w:b/>
                <w:color w:val="1C3A36"/>
                <w:sz w:val="15"/>
              </w:rPr>
              <w:t>VALUE PER SHARE</w:t>
            </w:r>
          </w:p>
        </w:tc>
        <w:tc>
          <w:tcPr>
            <w:tcW w:type="dxa" w:w="1584"/>
            <w:shd w:val="clear" w:color="auto" w:fill="F6F1E6"/>
          </w:tcPr>
          <w:p>
            <w:pPr>
              <w:spacing w:after="20"/>
              <w:jc w:val="right"/>
            </w:pPr>
            <w:r>
              <w:rPr>
                <w:b/>
                <w:color w:val="1C3A36"/>
                <w:sz w:val="15"/>
              </w:rPr>
              <w:t>87.94</w:t>
            </w:r>
          </w:p>
        </w:tc>
      </w:tr>
    </w:tbl>
    <w:p>
      <w:pPr>
        <w:spacing w:after="40"/>
      </w:pPr>
    </w:p>
    <w:p>
      <w:pPr>
        <w:spacing w:after="200" w:before="0"/>
      </w:pPr>
      <w:r>
        <w:rPr>
          <w:b w:val="0"/>
          <w:i/>
          <w:color w:val="6E7B77"/>
          <w:sz w:val="17"/>
        </w:rPr>
        <w:t>Every line is read from this study's own committed numbers, not recomputed for the table: the present values sum to the enterprise value above them, and the bridge runs to the value per share the rest of this document carries. Free cash flow is NEGATIVE in the first forecast year — revenue grows by more than a third and working capital absorbs 16,965 against capital expenditure of 13,232 — which is what growth costs a working-capital-heavy industrial and is not a distress signal. The terminal value is 89.4% of enterprise value, so the two lines under it deserve the sensitivity that follows.</w:t>
      </w:r>
    </w:p>
    <w:p>
      <w:pPr>
        <w:spacing w:after="80" w:before="200"/>
      </w:pPr>
      <w:r>
        <w:rPr>
          <w:b/>
          <w:i w:val="0"/>
          <w:color w:val="1C3A36"/>
          <w:sz w:val="24"/>
        </w:rPr>
        <w:t>The two numbers the answer turns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83"/>
        <w:gridCol w:w="1483"/>
        <w:gridCol w:w="1483"/>
        <w:gridCol w:w="1483"/>
        <w:gridCol w:w="1483"/>
      </w:tblGrid>
      <w:tr>
        <w:tc>
          <w:tcPr>
            <w:tcW w:type="dxa" w:w="2232"/>
            <w:shd w:val="clear" w:color="auto" w:fill="EAF0EE"/>
            <w:shd w:val="clear" w:color="auto" w:fill="F6F1E6"/>
          </w:tcPr>
          <w:p>
            <w:pPr>
              <w:spacing w:after="20"/>
            </w:pPr>
            <w:r>
              <w:rPr>
                <w:b/>
                <w:color w:val="1C3A36"/>
                <w:sz w:val="15"/>
              </w:rPr>
              <w:t>EGP / share — terminal cost of capital (down) vs terminal growth (across)</w:t>
            </w:r>
          </w:p>
        </w:tc>
        <w:tc>
          <w:tcPr>
            <w:tcW w:type="dxa" w:w="1483"/>
            <w:shd w:val="clear" w:color="auto" w:fill="EAF0EE"/>
            <w:shd w:val="clear" w:color="auto" w:fill="F6F1E6"/>
          </w:tcPr>
          <w:p>
            <w:pPr>
              <w:spacing w:after="20"/>
            </w:pPr>
            <w:r>
              <w:rPr>
                <w:b/>
                <w:color w:val="1C3A36"/>
                <w:sz w:val="15"/>
              </w:rPr>
              <w:t>7.14%</w:t>
            </w:r>
          </w:p>
        </w:tc>
        <w:tc>
          <w:tcPr>
            <w:tcW w:type="dxa" w:w="1483"/>
            <w:shd w:val="clear" w:color="auto" w:fill="EAF0EE"/>
            <w:shd w:val="clear" w:color="auto" w:fill="F6F1E6"/>
          </w:tcPr>
          <w:p>
            <w:pPr>
              <w:spacing w:after="20"/>
            </w:pPr>
            <w:r>
              <w:rPr>
                <w:b/>
                <w:color w:val="1C3A36"/>
                <w:sz w:val="15"/>
              </w:rPr>
              <w:t>8.14%</w:t>
            </w:r>
          </w:p>
        </w:tc>
        <w:tc>
          <w:tcPr>
            <w:tcW w:type="dxa" w:w="1483"/>
            <w:shd w:val="clear" w:color="auto" w:fill="EAF0EE"/>
            <w:shd w:val="clear" w:color="auto" w:fill="F6F1E6"/>
          </w:tcPr>
          <w:p>
            <w:pPr>
              <w:spacing w:after="20"/>
            </w:pPr>
            <w:r>
              <w:rPr>
                <w:b/>
                <w:color w:val="1C3A36"/>
                <w:sz w:val="15"/>
              </w:rPr>
              <w:t>9.14%</w:t>
            </w:r>
          </w:p>
        </w:tc>
        <w:tc>
          <w:tcPr>
            <w:tcW w:type="dxa" w:w="1483"/>
            <w:shd w:val="clear" w:color="auto" w:fill="EAF0EE"/>
            <w:shd w:val="clear" w:color="auto" w:fill="F6F1E6"/>
          </w:tcPr>
          <w:p>
            <w:pPr>
              <w:spacing w:after="20"/>
            </w:pPr>
            <w:r>
              <w:rPr>
                <w:b/>
                <w:color w:val="1C3A36"/>
                <w:sz w:val="15"/>
              </w:rPr>
              <w:t>10.14%</w:t>
            </w:r>
          </w:p>
        </w:tc>
        <w:tc>
          <w:tcPr>
            <w:tcW w:type="dxa" w:w="1483"/>
            <w:shd w:val="clear" w:color="auto" w:fill="EAF0EE"/>
            <w:shd w:val="clear" w:color="auto" w:fill="F6F1E6"/>
          </w:tcPr>
          <w:p>
            <w:pPr>
              <w:spacing w:after="20"/>
            </w:pPr>
            <w:r>
              <w:rPr>
                <w:b/>
                <w:color w:val="1C3A36"/>
                <w:sz w:val="15"/>
              </w:rPr>
              <w:t>11.14%</w:t>
            </w:r>
          </w:p>
        </w:tc>
      </w:tr>
      <w:tr>
        <w:tc>
          <w:tcPr>
            <w:tcW w:type="dxa" w:w="2232"/>
          </w:tcPr>
          <w:p>
            <w:pPr>
              <w:spacing w:after="20"/>
            </w:pPr>
            <w:r>
              <w:rPr>
                <w:color w:val="1C3A36"/>
                <w:sz w:val="15"/>
              </w:rPr>
              <w:t>13.34%</w:t>
            </w:r>
          </w:p>
        </w:tc>
        <w:tc>
          <w:tcPr>
            <w:tcW w:type="dxa" w:w="1483"/>
          </w:tcPr>
          <w:p>
            <w:pPr>
              <w:spacing w:after="20"/>
              <w:jc w:val="right"/>
            </w:pPr>
            <w:r>
              <w:rPr>
                <w:color w:val="1C3A36"/>
                <w:sz w:val="15"/>
              </w:rPr>
              <w:t>104.21</w:t>
            </w:r>
          </w:p>
        </w:tc>
        <w:tc>
          <w:tcPr>
            <w:tcW w:type="dxa" w:w="1483"/>
          </w:tcPr>
          <w:p>
            <w:pPr>
              <w:spacing w:after="20"/>
              <w:jc w:val="right"/>
            </w:pPr>
            <w:r>
              <w:rPr>
                <w:color w:val="1C3A36"/>
                <w:sz w:val="15"/>
              </w:rPr>
              <w:t>116.81</w:t>
            </w:r>
          </w:p>
        </w:tc>
        <w:tc>
          <w:tcPr>
            <w:tcW w:type="dxa" w:w="1483"/>
          </w:tcPr>
          <w:p>
            <w:pPr>
              <w:spacing w:after="20"/>
              <w:jc w:val="right"/>
            </w:pPr>
            <w:r>
              <w:rPr>
                <w:color w:val="1C3A36"/>
                <w:sz w:val="15"/>
              </w:rPr>
              <w:t>135.22</w:t>
            </w:r>
          </w:p>
        </w:tc>
        <w:tc>
          <w:tcPr>
            <w:tcW w:type="dxa" w:w="1483"/>
          </w:tcPr>
          <w:p>
            <w:pPr>
              <w:spacing w:after="20"/>
              <w:jc w:val="right"/>
            </w:pPr>
            <w:r>
              <w:rPr>
                <w:color w:val="1C3A36"/>
                <w:sz w:val="15"/>
              </w:rPr>
              <w:t>164.88</w:t>
            </w:r>
          </w:p>
        </w:tc>
        <w:tc>
          <w:tcPr>
            <w:tcW w:type="dxa" w:w="1483"/>
          </w:tcPr>
          <w:p>
            <w:pPr>
              <w:spacing w:after="20"/>
              <w:jc w:val="right"/>
            </w:pPr>
            <w:r>
              <w:rPr>
                <w:color w:val="1C3A36"/>
                <w:sz w:val="15"/>
              </w:rPr>
              <w:t>221.10</w:t>
            </w:r>
          </w:p>
        </w:tc>
      </w:tr>
      <w:tr>
        <w:tc>
          <w:tcPr>
            <w:tcW w:type="dxa" w:w="2232"/>
          </w:tcPr>
          <w:p>
            <w:pPr>
              <w:spacing w:after="20"/>
            </w:pPr>
            <w:r>
              <w:rPr>
                <w:color w:val="1C3A36"/>
                <w:sz w:val="15"/>
              </w:rPr>
              <w:t>14.34%</w:t>
            </w:r>
          </w:p>
        </w:tc>
        <w:tc>
          <w:tcPr>
            <w:tcW w:type="dxa" w:w="1483"/>
          </w:tcPr>
          <w:p>
            <w:pPr>
              <w:spacing w:after="20"/>
              <w:jc w:val="right"/>
            </w:pPr>
            <w:r>
              <w:rPr>
                <w:color w:val="1C3A36"/>
                <w:sz w:val="15"/>
              </w:rPr>
              <w:t>87.87</w:t>
            </w:r>
          </w:p>
        </w:tc>
        <w:tc>
          <w:tcPr>
            <w:tcW w:type="dxa" w:w="1483"/>
          </w:tcPr>
          <w:p>
            <w:pPr>
              <w:spacing w:after="20"/>
              <w:jc w:val="right"/>
            </w:pPr>
            <w:r>
              <w:rPr>
                <w:color w:val="1C3A36"/>
                <w:sz w:val="15"/>
              </w:rPr>
              <w:t>95.97</w:t>
            </w:r>
          </w:p>
        </w:tc>
        <w:tc>
          <w:tcPr>
            <w:tcW w:type="dxa" w:w="1483"/>
          </w:tcPr>
          <w:p>
            <w:pPr>
              <w:spacing w:after="20"/>
              <w:jc w:val="right"/>
            </w:pPr>
            <w:r>
              <w:rPr>
                <w:color w:val="1C3A36"/>
                <w:sz w:val="15"/>
              </w:rPr>
              <w:t>107.03</w:t>
            </w:r>
          </w:p>
        </w:tc>
        <w:tc>
          <w:tcPr>
            <w:tcW w:type="dxa" w:w="1483"/>
          </w:tcPr>
          <w:p>
            <w:pPr>
              <w:spacing w:after="20"/>
              <w:jc w:val="right"/>
            </w:pPr>
            <w:r>
              <w:rPr>
                <w:color w:val="1C3A36"/>
                <w:sz w:val="15"/>
              </w:rPr>
              <w:t>123.17</w:t>
            </w:r>
          </w:p>
        </w:tc>
        <w:tc>
          <w:tcPr>
            <w:tcW w:type="dxa" w:w="1483"/>
          </w:tcPr>
          <w:p>
            <w:pPr>
              <w:spacing w:after="20"/>
              <w:jc w:val="right"/>
            </w:pPr>
            <w:r>
              <w:rPr>
                <w:color w:val="1C3A36"/>
                <w:sz w:val="15"/>
              </w:rPr>
              <w:t>149.15</w:t>
            </w:r>
          </w:p>
        </w:tc>
      </w:tr>
      <w:tr>
        <w:tc>
          <w:tcPr>
            <w:tcW w:type="dxa" w:w="2232"/>
            <w:shd w:val="clear" w:color="auto" w:fill="F6F1E6"/>
          </w:tcPr>
          <w:p>
            <w:pPr>
              <w:spacing w:after="20"/>
            </w:pPr>
            <w:r>
              <w:rPr>
                <w:b/>
                <w:color w:val="1C3A36"/>
                <w:sz w:val="15"/>
              </w:rPr>
              <w:t>15.34%</w:t>
            </w:r>
          </w:p>
        </w:tc>
        <w:tc>
          <w:tcPr>
            <w:tcW w:type="dxa" w:w="1483"/>
            <w:shd w:val="clear" w:color="auto" w:fill="F6F1E6"/>
          </w:tcPr>
          <w:p>
            <w:pPr>
              <w:spacing w:after="20"/>
              <w:jc w:val="right"/>
            </w:pPr>
            <w:r>
              <w:rPr>
                <w:b/>
                <w:color w:val="1C3A36"/>
                <w:sz w:val="15"/>
              </w:rPr>
              <w:t>75.53</w:t>
            </w:r>
          </w:p>
        </w:tc>
        <w:tc>
          <w:tcPr>
            <w:tcW w:type="dxa" w:w="1483"/>
            <w:shd w:val="clear" w:color="auto" w:fill="F6F1E6"/>
          </w:tcPr>
          <w:p>
            <w:pPr>
              <w:spacing w:after="20"/>
              <w:jc w:val="right"/>
            </w:pPr>
            <w:r>
              <w:rPr>
                <w:b/>
                <w:color w:val="1C3A36"/>
                <w:sz w:val="15"/>
              </w:rPr>
              <w:t>80.93</w:t>
            </w:r>
          </w:p>
        </w:tc>
        <w:tc>
          <w:tcPr>
            <w:tcW w:type="dxa" w:w="1483"/>
            <w:shd w:val="clear" w:color="auto" w:fill="F6F1E6"/>
          </w:tcPr>
          <w:p>
            <w:pPr>
              <w:spacing w:after="20"/>
              <w:jc w:val="right"/>
            </w:pPr>
            <w:r>
              <w:rPr>
                <w:b/>
                <w:color w:val="1C3A36"/>
                <w:sz w:val="15"/>
              </w:rPr>
              <w:t>87.94</w:t>
            </w:r>
          </w:p>
        </w:tc>
        <w:tc>
          <w:tcPr>
            <w:tcW w:type="dxa" w:w="1483"/>
            <w:shd w:val="clear" w:color="auto" w:fill="F6F1E6"/>
          </w:tcPr>
          <w:p>
            <w:pPr>
              <w:spacing w:after="20"/>
              <w:jc w:val="right"/>
            </w:pPr>
            <w:r>
              <w:rPr>
                <w:b/>
                <w:color w:val="1C3A36"/>
                <w:sz w:val="15"/>
              </w:rPr>
              <w:t>97.51</w:t>
            </w:r>
          </w:p>
        </w:tc>
        <w:tc>
          <w:tcPr>
            <w:tcW w:type="dxa" w:w="1483"/>
            <w:shd w:val="clear" w:color="auto" w:fill="F6F1E6"/>
          </w:tcPr>
          <w:p>
            <w:pPr>
              <w:spacing w:after="20"/>
              <w:jc w:val="right"/>
            </w:pPr>
            <w:r>
              <w:rPr>
                <w:b/>
                <w:color w:val="1C3A36"/>
                <w:sz w:val="15"/>
              </w:rPr>
              <w:t>111.45</w:t>
            </w:r>
          </w:p>
        </w:tc>
      </w:tr>
      <w:tr>
        <w:tc>
          <w:tcPr>
            <w:tcW w:type="dxa" w:w="2232"/>
          </w:tcPr>
          <w:p>
            <w:pPr>
              <w:spacing w:after="20"/>
            </w:pPr>
            <w:r>
              <w:rPr>
                <w:color w:val="1C3A36"/>
                <w:sz w:val="15"/>
              </w:rPr>
              <w:t>16.34%</w:t>
            </w:r>
          </w:p>
        </w:tc>
        <w:tc>
          <w:tcPr>
            <w:tcW w:type="dxa" w:w="1483"/>
          </w:tcPr>
          <w:p>
            <w:pPr>
              <w:spacing w:after="20"/>
              <w:jc w:val="right"/>
            </w:pPr>
            <w:r>
              <w:rPr>
                <w:color w:val="1C3A36"/>
                <w:sz w:val="15"/>
              </w:rPr>
              <w:t>65.90</w:t>
            </w:r>
          </w:p>
        </w:tc>
        <w:tc>
          <w:tcPr>
            <w:tcW w:type="dxa" w:w="1483"/>
          </w:tcPr>
          <w:p>
            <w:pPr>
              <w:spacing w:after="20"/>
              <w:jc w:val="right"/>
            </w:pPr>
            <w:r>
              <w:rPr>
                <w:color w:val="1C3A36"/>
                <w:sz w:val="15"/>
              </w:rPr>
              <w:t>69.58</w:t>
            </w:r>
          </w:p>
        </w:tc>
        <w:tc>
          <w:tcPr>
            <w:tcW w:type="dxa" w:w="1483"/>
          </w:tcPr>
          <w:p>
            <w:pPr>
              <w:spacing w:after="20"/>
              <w:jc w:val="right"/>
            </w:pPr>
            <w:r>
              <w:rPr>
                <w:color w:val="1C3A36"/>
                <w:sz w:val="15"/>
              </w:rPr>
              <w:t>74.17</w:t>
            </w:r>
          </w:p>
        </w:tc>
        <w:tc>
          <w:tcPr>
            <w:tcW w:type="dxa" w:w="1483"/>
          </w:tcPr>
          <w:p>
            <w:pPr>
              <w:spacing w:after="20"/>
              <w:jc w:val="right"/>
            </w:pPr>
            <w:r>
              <w:rPr>
                <w:color w:val="1C3A36"/>
                <w:sz w:val="15"/>
              </w:rPr>
              <w:t>80.14</w:t>
            </w:r>
          </w:p>
        </w:tc>
        <w:tc>
          <w:tcPr>
            <w:tcW w:type="dxa" w:w="1483"/>
          </w:tcPr>
          <w:p>
            <w:pPr>
              <w:spacing w:after="20"/>
              <w:jc w:val="right"/>
            </w:pPr>
            <w:r>
              <w:rPr>
                <w:color w:val="1C3A36"/>
                <w:sz w:val="15"/>
              </w:rPr>
              <w:t>88.25</w:t>
            </w:r>
          </w:p>
        </w:tc>
      </w:tr>
      <w:tr>
        <w:tc>
          <w:tcPr>
            <w:tcW w:type="dxa" w:w="2232"/>
          </w:tcPr>
          <w:p>
            <w:pPr>
              <w:spacing w:after="20"/>
            </w:pPr>
            <w:r>
              <w:rPr>
                <w:color w:val="1C3A36"/>
                <w:sz w:val="15"/>
              </w:rPr>
              <w:t>17.34%</w:t>
            </w:r>
          </w:p>
        </w:tc>
        <w:tc>
          <w:tcPr>
            <w:tcW w:type="dxa" w:w="1483"/>
          </w:tcPr>
          <w:p>
            <w:pPr>
              <w:spacing w:after="20"/>
              <w:jc w:val="right"/>
            </w:pPr>
            <w:r>
              <w:rPr>
                <w:color w:val="1C3A36"/>
                <w:sz w:val="15"/>
              </w:rPr>
              <w:t>58.17</w:t>
            </w:r>
          </w:p>
        </w:tc>
        <w:tc>
          <w:tcPr>
            <w:tcW w:type="dxa" w:w="1483"/>
          </w:tcPr>
          <w:p>
            <w:pPr>
              <w:spacing w:after="20"/>
              <w:jc w:val="right"/>
            </w:pPr>
            <w:r>
              <w:rPr>
                <w:color w:val="1C3A36"/>
                <w:sz w:val="15"/>
              </w:rPr>
              <w:t>60.70</w:t>
            </w:r>
          </w:p>
        </w:tc>
        <w:tc>
          <w:tcPr>
            <w:tcW w:type="dxa" w:w="1483"/>
          </w:tcPr>
          <w:p>
            <w:pPr>
              <w:spacing w:after="20"/>
              <w:jc w:val="right"/>
            </w:pPr>
            <w:r>
              <w:rPr>
                <w:color w:val="1C3A36"/>
                <w:sz w:val="15"/>
              </w:rPr>
              <w:t>63.77</w:t>
            </w:r>
          </w:p>
        </w:tc>
        <w:tc>
          <w:tcPr>
            <w:tcW w:type="dxa" w:w="1483"/>
          </w:tcPr>
          <w:p>
            <w:pPr>
              <w:spacing w:after="20"/>
              <w:jc w:val="right"/>
            </w:pPr>
            <w:r>
              <w:rPr>
                <w:color w:val="1C3A36"/>
                <w:sz w:val="15"/>
              </w:rPr>
              <w:t>67.60</w:t>
            </w:r>
          </w:p>
        </w:tc>
        <w:tc>
          <w:tcPr>
            <w:tcW w:type="dxa" w:w="1483"/>
          </w:tcPr>
          <w:p>
            <w:pPr>
              <w:spacing w:after="20"/>
              <w:jc w:val="right"/>
            </w:pPr>
            <w:r>
              <w:rPr>
                <w:color w:val="1C3A36"/>
                <w:sz w:val="15"/>
              </w:rPr>
              <w:t>72.54</w:t>
            </w:r>
          </w:p>
        </w:tc>
      </w:tr>
    </w:tbl>
    <w:p>
      <w:pPr>
        <w:spacing w:after="40"/>
      </w:pPr>
    </w:p>
    <w:p>
      <w:pPr>
        <w:spacing w:after="200" w:before="0"/>
      </w:pPr>
      <w:r>
        <w:rPr>
          <w:b w:val="0"/>
          <w:i/>
          <w:color w:val="6E7B77"/>
          <w:sz w:val="17"/>
        </w:rPr>
        <w:t>Terminal cost of capital down the side, terminal growth across the top, both stepping around the adopted case. THE CENTRE CELL IS THE STUDY'S OWN ANSWER — EGP 87.94 — so the reader can locate the struck number on the grid and read the cost of being wrong in either direction from it. A one-point move in the terminal cost of capital is worth more than a one-point move in terminal growth, which is the usual shape when the terminal carries most of the value.</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6"/>
              </w:rPr>
              <w:t>Step</w:t>
            </w:r>
          </w:p>
        </w:tc>
        <w:tc>
          <w:tcPr>
            <w:tcW w:type="dxa" w:w="1512"/>
            <w:shd w:val="clear" w:color="auto" w:fill="EAF0EE"/>
          </w:tcPr>
          <w:p>
            <w:pPr>
              <w:spacing w:after="20"/>
            </w:pPr>
            <w:r>
              <w:rPr>
                <w:b/>
                <w:color w:val="1C3A36"/>
                <w:sz w:val="16"/>
              </w:rPr>
              <w:t>EGP mn</w:t>
            </w:r>
          </w:p>
        </w:tc>
        <w:tc>
          <w:tcPr>
            <w:tcW w:type="dxa" w:w="4896"/>
            <w:shd w:val="clear" w:color="auto" w:fill="EAF0EE"/>
          </w:tcPr>
          <w:p>
            <w:pPr>
              <w:spacing w:after="20"/>
            </w:pPr>
            <w:r>
              <w:rPr>
                <w:b/>
                <w:color w:val="1C3A36"/>
                <w:sz w:val="16"/>
              </w:rPr>
              <w:t>Note</w:t>
            </w:r>
          </w:p>
        </w:tc>
      </w:tr>
      <w:tr>
        <w:tc>
          <w:tcPr>
            <w:tcW w:type="dxa" w:w="3672"/>
          </w:tcPr>
          <w:p>
            <w:pPr>
              <w:spacing w:after="20"/>
            </w:pPr>
            <w:r>
              <w:rPr>
                <w:color w:val="1C3A36"/>
                <w:sz w:val="16"/>
              </w:rPr>
              <w:t>Present value of the five forecast years</w:t>
            </w:r>
          </w:p>
        </w:tc>
        <w:tc>
          <w:tcPr>
            <w:tcW w:type="dxa" w:w="1512"/>
          </w:tcPr>
          <w:p>
            <w:pPr>
              <w:spacing w:after="20"/>
              <w:jc w:val="right"/>
            </w:pPr>
            <w:r>
              <w:rPr>
                <w:color w:val="1C3A36"/>
                <w:sz w:val="16"/>
              </w:rPr>
              <w:t>23,195</w:t>
            </w:r>
          </w:p>
        </w:tc>
        <w:tc>
          <w:tcPr>
            <w:tcW w:type="dxa" w:w="4896"/>
          </w:tcPr>
          <w:p>
            <w:pPr>
              <w:spacing w:after="20"/>
              <w:jc w:val="right"/>
            </w:pPr>
            <w:r>
              <w:rPr>
                <w:color w:val="1C3A36"/>
                <w:sz w:val="16"/>
              </w:rPr>
              <w:t>sum of the present-value row above</w:t>
            </w:r>
          </w:p>
        </w:tc>
      </w:tr>
      <w:tr>
        <w:tc>
          <w:tcPr>
            <w:tcW w:type="dxa" w:w="3672"/>
          </w:tcPr>
          <w:p>
            <w:pPr>
              <w:spacing w:after="20"/>
            </w:pPr>
            <w:r>
              <w:rPr>
                <w:color w:val="1C3A36"/>
                <w:sz w:val="16"/>
              </w:rPr>
              <w:t>Terminal-year free cash flow</w:t>
            </w:r>
          </w:p>
        </w:tc>
        <w:tc>
          <w:tcPr>
            <w:tcW w:type="dxa" w:w="1512"/>
          </w:tcPr>
          <w:p>
            <w:pPr>
              <w:spacing w:after="20"/>
              <w:jc w:val="right"/>
            </w:pPr>
            <w:r>
              <w:rPr>
                <w:color w:val="1C3A36"/>
                <w:sz w:val="16"/>
              </w:rPr>
              <w:t>28,072</w:t>
            </w:r>
          </w:p>
        </w:tc>
        <w:tc>
          <w:tcPr>
            <w:tcW w:type="dxa" w:w="4896"/>
          </w:tcPr>
          <w:p>
            <w:pPr>
              <w:spacing w:after="20"/>
              <w:jc w:val="right"/>
            </w:pPr>
            <w:r>
              <w:rPr>
                <w:color w:val="1C3A36"/>
                <w:sz w:val="16"/>
              </w:rPr>
              <w:t>NOT a reinvestment-rate identity. FY2030E NOPAT grown 9.14%, plus book depreciation of 6,902 added back, LESS maintenance at replacement cost 12,377 on the derived 17.26-year asset life, less growth capital 4,573 at the stated real terminal growth, less inflation on working capital 8,882 — so the terminal pays for replacing its own assets at what they cost to replace, not at what they cost historically. The retired construction forced reinvestment to g ÷ terminal return on capital (22.4%) and is published beside the model, unused</w:t>
            </w:r>
          </w:p>
        </w:tc>
      </w:tr>
      <w:tr>
        <w:tc>
          <w:tcPr>
            <w:tcW w:type="dxa" w:w="3672"/>
          </w:tcPr>
          <w:p>
            <w:pPr>
              <w:spacing w:after="20"/>
            </w:pPr>
            <w:r>
              <w:rPr>
                <w:color w:val="1C3A36"/>
                <w:sz w:val="16"/>
              </w:rPr>
              <w:t>Present value of the terminal value</w:t>
            </w:r>
          </w:p>
        </w:tc>
        <w:tc>
          <w:tcPr>
            <w:tcW w:type="dxa" w:w="1512"/>
          </w:tcPr>
          <w:p>
            <w:pPr>
              <w:spacing w:after="20"/>
              <w:jc w:val="right"/>
            </w:pPr>
            <w:r>
              <w:rPr>
                <w:color w:val="1C3A36"/>
                <w:sz w:val="16"/>
              </w:rPr>
              <w:t>195,998</w:t>
            </w:r>
          </w:p>
        </w:tc>
        <w:tc>
          <w:tcPr>
            <w:tcW w:type="dxa" w:w="4896"/>
          </w:tcPr>
          <w:p>
            <w:pPr>
              <w:spacing w:after="20"/>
              <w:jc w:val="right"/>
            </w:pPr>
            <w:r>
              <w:rPr>
                <w:color w:val="1C3A36"/>
                <w:sz w:val="16"/>
              </w:rPr>
              <w:t>the terminal cash flow grown one year and capitalised at 15.34% − 9.14%, then discounted at the year-5 factor 0.3969. IT REPRODUCES FROM THE ROW ABOVE: 28,072 × 1.0914 ÷ 6.2035% = 493,872, and 493,872 × 0.3969 = 195,998</w:t>
            </w:r>
          </w:p>
        </w:tc>
      </w:tr>
      <w:tr>
        <w:tc>
          <w:tcPr>
            <w:tcW w:type="dxa" w:w="3672"/>
            <w:shd w:val="clear" w:color="auto" w:fill="F6F1E6"/>
          </w:tcPr>
          <w:p>
            <w:pPr>
              <w:spacing w:after="20"/>
            </w:pPr>
            <w:r>
              <w:rPr>
                <w:b/>
                <w:color w:val="1C3A36"/>
                <w:sz w:val="16"/>
              </w:rPr>
              <w:t>Enterprise value</w:t>
            </w:r>
          </w:p>
        </w:tc>
        <w:tc>
          <w:tcPr>
            <w:tcW w:type="dxa" w:w="1512"/>
            <w:shd w:val="clear" w:color="auto" w:fill="F6F1E6"/>
          </w:tcPr>
          <w:p>
            <w:pPr>
              <w:spacing w:after="20"/>
              <w:jc w:val="right"/>
            </w:pPr>
            <w:r>
              <w:rPr>
                <w:b/>
                <w:color w:val="1C3A36"/>
                <w:sz w:val="16"/>
              </w:rPr>
              <w:t>219,193</w:t>
            </w:r>
          </w:p>
        </w:tc>
        <w:tc>
          <w:tcPr>
            <w:tcW w:type="dxa" w:w="4896"/>
            <w:shd w:val="clear" w:color="auto" w:fill="F6F1E6"/>
          </w:tcPr>
          <w:p>
            <w:pPr>
              <w:spacing w:after="20"/>
              <w:jc w:val="right"/>
            </w:pPr>
            <w:r>
              <w:rPr>
                <w:b/>
                <w:color w:val="1C3A36"/>
                <w:sz w:val="16"/>
              </w:rPr>
              <w:t>the two lines above</w:t>
            </w:r>
          </w:p>
        </w:tc>
      </w:tr>
      <w:tr>
        <w:tc>
          <w:tcPr>
            <w:tcW w:type="dxa" w:w="3672"/>
          </w:tcPr>
          <w:p>
            <w:pPr>
              <w:spacing w:after="20"/>
            </w:pPr>
            <w:r>
              <w:rPr>
                <w:color w:val="1C3A36"/>
                <w:sz w:val="16"/>
              </w:rPr>
              <w:t>Terminal value as a share of enterprise value</w:t>
            </w:r>
          </w:p>
        </w:tc>
        <w:tc>
          <w:tcPr>
            <w:tcW w:type="dxa" w:w="1512"/>
          </w:tcPr>
          <w:p>
            <w:pPr>
              <w:spacing w:after="20"/>
              <w:jc w:val="right"/>
            </w:pPr>
            <w:r>
              <w:rPr>
                <w:color w:val="1C3A36"/>
                <w:sz w:val="16"/>
              </w:rPr>
              <w:t>89%</w:t>
            </w:r>
          </w:p>
        </w:tc>
        <w:tc>
          <w:tcPr>
            <w:tcW w:type="dxa" w:w="4896"/>
          </w:tcPr>
          <w:p>
            <w:pPr>
              <w:spacing w:after="20"/>
              <w:jc w:val="right"/>
            </w:pPr>
            <w:r>
              <w:rPr>
                <w:color w:val="1C3A36"/>
                <w:sz w:val="16"/>
              </w:rPr>
              <w:t>disclosed here and in the summary table; stress-tested in section 1.9</w:t>
            </w:r>
          </w:p>
        </w:tc>
      </w:tr>
      <w:tr>
        <w:tc>
          <w:tcPr>
            <w:tcW w:type="dxa" w:w="3672"/>
          </w:tcPr>
          <w:p>
            <w:pPr>
              <w:spacing w:after="20"/>
            </w:pPr>
            <w:r>
              <w:rPr>
                <w:color w:val="1C3A36"/>
                <w:sz w:val="16"/>
              </w:rPr>
              <w:t>Less net bank debt</w:t>
            </w:r>
          </w:p>
        </w:tc>
        <w:tc>
          <w:tcPr>
            <w:tcW w:type="dxa" w:w="1512"/>
          </w:tcPr>
          <w:p>
            <w:pPr>
              <w:spacing w:after="20"/>
              <w:jc w:val="right"/>
            </w:pPr>
            <w:r>
              <w:rPr>
                <w:color w:val="1C3A36"/>
                <w:sz w:val="16"/>
              </w:rPr>
              <w:t>(20,560)</w:t>
            </w:r>
          </w:p>
        </w:tc>
        <w:tc>
          <w:tcPr>
            <w:tcW w:type="dxa" w:w="4896"/>
          </w:tcPr>
          <w:p>
            <w:pPr>
              <w:spacing w:after="20"/>
              <w:jc w:val="right"/>
            </w:pPr>
            <w:r>
              <w:rPr>
                <w:color w:val="1C3A36"/>
                <w:sz w:val="16"/>
              </w:rPr>
              <w:t>audited, at 31 December 2025</w:t>
            </w:r>
          </w:p>
        </w:tc>
      </w:tr>
      <w:tr>
        <w:tc>
          <w:tcPr>
            <w:tcW w:type="dxa" w:w="3672"/>
          </w:tcPr>
          <w:p>
            <w:pPr>
              <w:spacing w:after="20"/>
            </w:pPr>
            <w:r>
              <w:rPr>
                <w:color w:val="1C3A36"/>
                <w:sz w:val="16"/>
              </w:rPr>
              <w:t>Plus equity-accounted investees</w:t>
            </w:r>
          </w:p>
        </w:tc>
        <w:tc>
          <w:tcPr>
            <w:tcW w:type="dxa" w:w="1512"/>
          </w:tcPr>
          <w:p>
            <w:pPr>
              <w:spacing w:after="20"/>
              <w:jc w:val="right"/>
            </w:pPr>
            <w:r>
              <w:rPr>
                <w:color w:val="1C3A36"/>
                <w:sz w:val="16"/>
              </w:rPr>
              <w:t>6,758</w:t>
            </w:r>
          </w:p>
        </w:tc>
        <w:tc>
          <w:tcPr>
            <w:tcW w:type="dxa" w:w="4896"/>
          </w:tcPr>
          <w:p>
            <w:pPr>
              <w:spacing w:after="20"/>
              <w:jc w:val="right"/>
            </w:pPr>
            <w:r>
              <w:rPr>
                <w:color w:val="1C3A36"/>
                <w:sz w:val="16"/>
              </w:rPr>
              <w:t>audited FY2025 carrying value, no uplift; these earn outside the consolidated cash flow</w:t>
            </w:r>
          </w:p>
        </w:tc>
      </w:tr>
      <w:tr>
        <w:tc>
          <w:tcPr>
            <w:tcW w:type="dxa" w:w="3672"/>
          </w:tcPr>
          <w:p>
            <w:pPr>
              <w:spacing w:after="20"/>
            </w:pPr>
            <w:r>
              <w:rPr>
                <w:color w:val="1C3A36"/>
                <w:sz w:val="16"/>
              </w:rPr>
              <w:t>Less minority interests</w:t>
            </w:r>
          </w:p>
        </w:tc>
        <w:tc>
          <w:tcPr>
            <w:tcW w:type="dxa" w:w="1512"/>
          </w:tcPr>
          <w:p>
            <w:pPr>
              <w:spacing w:after="20"/>
              <w:jc w:val="right"/>
            </w:pPr>
            <w:r>
              <w:rPr>
                <w:color w:val="1C3A36"/>
                <w:sz w:val="16"/>
              </w:rPr>
              <w:t>(19,872)</w:t>
            </w:r>
          </w:p>
        </w:tc>
        <w:tc>
          <w:tcPr>
            <w:tcW w:type="dxa" w:w="4896"/>
          </w:tcPr>
          <w:p>
            <w:pPr>
              <w:spacing w:after="20"/>
              <w:jc w:val="right"/>
            </w:pPr>
            <w:r>
              <w:rPr>
                <w:color w:val="1C3A36"/>
                <w:sz w:val="16"/>
              </w:rPr>
              <w:t>minorities take 9.7% of group profit, so they are charged the same share of the value</w:t>
            </w:r>
          </w:p>
        </w:tc>
      </w:tr>
      <w:tr>
        <w:tc>
          <w:tcPr>
            <w:tcW w:type="dxa" w:w="3672"/>
          </w:tcPr>
          <w:p>
            <w:pPr>
              <w:spacing w:after="20"/>
            </w:pPr>
            <w:r>
              <w:rPr>
                <w:color w:val="1C3A36"/>
                <w:sz w:val="16"/>
              </w:rPr>
              <w:t>Less the employees' statutory share of distributable profits</w:t>
            </w:r>
          </w:p>
        </w:tc>
        <w:tc>
          <w:tcPr>
            <w:tcW w:type="dxa" w:w="1512"/>
          </w:tcPr>
          <w:p>
            <w:pPr>
              <w:spacing w:after="20"/>
              <w:jc w:val="right"/>
            </w:pPr>
            <w:r>
              <w:rPr>
                <w:color w:val="1C3A36"/>
                <w:sz w:val="16"/>
              </w:rPr>
              <w:t>(22,620)</w:t>
            </w:r>
          </w:p>
        </w:tc>
        <w:tc>
          <w:tcPr>
            <w:tcW w:type="dxa" w:w="4896"/>
          </w:tcPr>
          <w:p>
            <w:pPr>
              <w:spacing w:after="20"/>
              <w:jc w:val="right"/>
            </w:pPr>
            <w:r>
              <w:rPr>
                <w:color w:val="1C3A36"/>
                <w:sz w:val="16"/>
              </w:rPr>
              <w:t>Egyptian company law gives employees a share of distributable profits; measured at 12.2% of profit attributable to owners, the mean of FY2024, FY2025 and H1-2026. It is disclosed only in the earnings-per-share note, below the attributable line, and appears in no line of the income statement. The statutory share is capped at total annual wages, and that cap does not bind: the wage bill is disclosed in three notes of the same audited statements at EGP 18,906mn against a statutory share of EGP 2,073mn, so the charge sits at 9.1x of headroom. It is the measured charge, not an upper bound</w:t>
            </w:r>
          </w:p>
        </w:tc>
      </w:tr>
      <w:tr>
        <w:tc>
          <w:tcPr>
            <w:tcW w:type="dxa" w:w="3672"/>
          </w:tcPr>
          <w:p>
            <w:pPr>
              <w:spacing w:after="20"/>
            </w:pPr>
            <w:r>
              <w:rPr>
                <w:color w:val="1C3A36"/>
                <w:sz w:val="16"/>
              </w:rPr>
              <w:t>Equity attributable, at 31 December 2025</w:t>
            </w:r>
          </w:p>
        </w:tc>
        <w:tc>
          <w:tcPr>
            <w:tcW w:type="dxa" w:w="1512"/>
          </w:tcPr>
          <w:p>
            <w:pPr>
              <w:spacing w:after="20"/>
              <w:jc w:val="right"/>
            </w:pPr>
            <w:r>
              <w:rPr>
                <w:color w:val="1C3A36"/>
                <w:sz w:val="16"/>
              </w:rPr>
              <w:t>162,899</w:t>
            </w:r>
          </w:p>
        </w:tc>
        <w:tc>
          <w:tcPr>
            <w:tcW w:type="dxa" w:w="4896"/>
          </w:tcPr>
          <w:p>
            <w:pPr>
              <w:spacing w:after="20"/>
              <w:jc w:val="right"/>
            </w:pPr>
            <w:r>
              <w:rPr>
                <w:color w:val="1C3A36"/>
                <w:sz w:val="16"/>
              </w:rPr>
              <w:t>EGP 76.09 per share — dated at the audited balance-sheet date the bridge subtracts net debt at</w:t>
            </w:r>
          </w:p>
        </w:tc>
      </w:tr>
      <w:tr>
        <w:tc>
          <w:tcPr>
            <w:tcW w:type="dxa" w:w="3672"/>
          </w:tcPr>
          <w:p>
            <w:pPr>
              <w:spacing w:after="20"/>
            </w:pPr>
            <w:r>
              <w:rPr>
                <w:color w:val="1C3A36"/>
                <w:sz w:val="16"/>
              </w:rPr>
              <w:t>Rolled 246/365 of a year to the anchor</w:t>
            </w:r>
          </w:p>
        </w:tc>
        <w:tc>
          <w:tcPr>
            <w:tcW w:type="dxa" w:w="1512"/>
          </w:tcPr>
          <w:p>
            <w:pPr>
              <w:spacing w:after="20"/>
              <w:jc w:val="right"/>
            </w:pPr>
            <w:r>
              <w:rPr>
                <w:color w:val="1C3A36"/>
                <w:sz w:val="16"/>
              </w:rPr>
              <w:t>×1.1816</w:t>
            </w:r>
          </w:p>
        </w:tc>
        <w:tc>
          <w:tcPr>
            <w:tcW w:type="dxa" w:w="4896"/>
          </w:tcPr>
          <w:p>
            <w:pPr>
              <w:spacing w:after="20"/>
              <w:jc w:val="right"/>
            </w:pPr>
            <w:r>
              <w:rPr>
                <w:color w:val="1C3A36"/>
                <w:sz w:val="16"/>
              </w:rPr>
              <w:t>fair value accretes at the 28.1% cost of equity between the valuation date and the 2026-09-03 anchor — one date, one price of time, applied to the comparison itself</w:t>
            </w:r>
          </w:p>
        </w:tc>
      </w:tr>
      <w:tr>
        <w:tc>
          <w:tcPr>
            <w:tcW w:type="dxa" w:w="3672"/>
          </w:tcPr>
          <w:p>
            <w:pPr>
              <w:spacing w:after="20"/>
            </w:pPr>
            <w:r>
              <w:rPr>
                <w:color w:val="1C3A36"/>
                <w:sz w:val="16"/>
              </w:rPr>
              <w:t>Less the FY2025 dividend paid in the window</w:t>
            </w:r>
          </w:p>
        </w:tc>
        <w:tc>
          <w:tcPr>
            <w:tcW w:type="dxa" w:w="1512"/>
          </w:tcPr>
          <w:p>
            <w:pPr>
              <w:spacing w:after="20"/>
              <w:jc w:val="right"/>
            </w:pPr>
            <w:r>
              <w:rPr>
                <w:color w:val="1C3A36"/>
                <w:sz w:val="16"/>
              </w:rPr>
              <w:t>(1.97/sh)</w:t>
            </w:r>
          </w:p>
        </w:tc>
        <w:tc>
          <w:tcPr>
            <w:tcW w:type="dxa" w:w="4896"/>
          </w:tcPr>
          <w:p>
            <w:pPr>
              <w:spacing w:after="20"/>
              <w:jc w:val="right"/>
            </w:pPr>
            <w:r>
              <w:rPr>
                <w:color w:val="1C3A36"/>
                <w:sz w:val="16"/>
              </w:rPr>
              <w:t>EGP 1.85 went ex on 4 June 2026 — value that left the share before the anchor. It is deducted AT THE ANCHOR, not at its ex-date: carried forward the 91 days to 2026-09-03 at the 28.1% cost of equity the rest of the roll uses, it is EGP 1.97. Deducting the raw 1.85 against a value rolled the whole way would credit the share with earning a return on money it had already paid out</w:t>
            </w:r>
          </w:p>
        </w:tc>
      </w:tr>
      <w:tr>
        <w:tc>
          <w:tcPr>
            <w:tcW w:type="dxa" w:w="3672"/>
            <w:shd w:val="clear" w:color="auto" w:fill="F6F1E6"/>
          </w:tcPr>
          <w:p>
            <w:pPr>
              <w:spacing w:after="20"/>
            </w:pPr>
            <w:r>
              <w:rPr>
                <w:b/>
                <w:color w:val="1C3A36"/>
                <w:sz w:val="16"/>
              </w:rPr>
              <w:t>Fair value per share at the anchor (EGP)</w:t>
            </w:r>
          </w:p>
        </w:tc>
        <w:tc>
          <w:tcPr>
            <w:tcW w:type="dxa" w:w="1512"/>
            <w:shd w:val="clear" w:color="auto" w:fill="F6F1E6"/>
          </w:tcPr>
          <w:p>
            <w:pPr>
              <w:spacing w:after="20"/>
              <w:jc w:val="right"/>
            </w:pPr>
            <w:r>
              <w:rPr>
                <w:b/>
                <w:color w:val="1C3A36"/>
                <w:sz w:val="16"/>
              </w:rPr>
              <w:t>87.94</w:t>
            </w:r>
          </w:p>
        </w:tc>
        <w:tc>
          <w:tcPr>
            <w:tcW w:type="dxa" w:w="4896"/>
            <w:shd w:val="clear" w:color="auto" w:fill="F6F1E6"/>
          </w:tcPr>
          <w:p>
            <w:pPr>
              <w:spacing w:after="20"/>
              <w:jc w:val="right"/>
            </w:pPr>
            <w:r>
              <w:rPr>
                <w:b/>
                <w:color w:val="1C3A36"/>
                <w:sz w:val="16"/>
              </w:rPr>
              <w:t>against a spot of 130.00 (-32%)</w:t>
            </w:r>
          </w:p>
        </w:tc>
      </w:tr>
    </w:tbl>
    <w:p>
      <w:pPr>
        <w:spacing w:after="40"/>
      </w:pPr>
    </w:p>
    <w:p>
      <w:pPr>
        <w:spacing w:after="200" w:before="0"/>
      </w:pPr>
      <w:r>
        <w:rPr>
          <w:b w:val="0"/>
          <w:i/>
          <w:color w:val="6E7B77"/>
          <w:sz w:val="17"/>
        </w:rPr>
        <w:t>Every lens in this study — not only the cash-flow model — is rolled to the anchor on the same two lines, so no value dated 31 December 2025 is ever compared to an August price. An earlier revision omitted the roll; an external review correctly flagged the omission as a breach of the study's own one-date rule, worth about seven months of accretion on the primary lens.</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31.24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It is priced at the PERPETUAL (terminal) cost of equity of 16.9% — a steady-state multiple takes a steady-state rate, not a five-year transitional one. (An earlier wording called this figure an 'average' of the two windows, which it never was; the actual average, 22.5%, is the construction behind this lens's published bear bound of 36.88.) That gives 1.9× book, or EGP 66.61 per share at the anchor. This is the weakest of the four lenses for this company — it is published as a disclosed FLOOR and is never weighted, because nothing here is weighted —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10.5×</w:t>
            </w:r>
          </w:p>
        </w:tc>
        <w:tc>
          <w:tcPr>
            <w:tcW w:type="dxa" w:w="5688"/>
          </w:tcPr>
          <w:p>
            <w:pPr>
              <w:spacing w:after="20"/>
              <w:jc w:val="right"/>
            </w:pPr>
            <w:r>
              <w:rPr>
                <w:color w:val="1C3A36"/>
                <w:sz w:val="17"/>
              </w:rPr>
              <w:t>enterprise value 298,861 over FY2025 house EBITDA 28,363 (EBIT + D&amp;A). Two base notes: this trailing EV is market cap plus net debt WITHOUT the associates/minority adjustments the justified multiple below carries — a simpler market-observable convention, labelled as such; and on the company's own published non-GAAP EBITDA (a different, larger definition) the multiple would be lower</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16.1×</w:t>
            </w:r>
          </w:p>
        </w:tc>
        <w:tc>
          <w:tcPr>
            <w:tcW w:type="dxa" w:w="5688"/>
          </w:tcPr>
          <w:p>
            <w:pPr>
              <w:spacing w:after="20"/>
              <w:jc w:val="right"/>
            </w:pPr>
            <w:r>
              <w:rPr>
                <w:color w:val="1C3A36"/>
                <w:sz w:val="17"/>
              </w:rPr>
              <w:t>price 130.00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18.2×</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4.2×</w:t>
            </w:r>
          </w:p>
        </w:tc>
        <w:tc>
          <w:tcPr>
            <w:tcW w:type="dxa" w:w="5688"/>
          </w:tcPr>
          <w:p>
            <w:pPr>
              <w:spacing w:after="20"/>
              <w:jc w:val="right"/>
            </w:pPr>
            <w:r>
              <w:rPr>
                <w:color w:val="1C3A36"/>
                <w:sz w:val="17"/>
              </w:rPr>
              <w:t>book value 31.24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Plus interim cash flows</w:t>
            </w:r>
          </w:p>
        </w:tc>
        <w:tc>
          <w:tcPr>
            <w:tcW w:type="dxa" w:w="1296"/>
          </w:tcPr>
          <w:p>
            <w:pPr>
              <w:spacing w:after="20"/>
              <w:jc w:val="right"/>
            </w:pPr>
            <w:r>
              <w:rPr>
                <w:color w:val="1C3A36"/>
                <w:sz w:val="17"/>
              </w:rPr>
              <w:t>3,106</w:t>
            </w:r>
          </w:p>
        </w:tc>
        <w:tc>
          <w:tcPr>
            <w:tcW w:type="dxa" w:w="5688"/>
          </w:tcPr>
          <w:p>
            <w:pPr>
              <w:spacing w:after="20"/>
              <w:jc w:val="right"/>
            </w:pPr>
            <w:r>
              <w:rPr>
                <w:color w:val="1C3A36"/>
                <w:sz w:val="17"/>
              </w:rPr>
              <w:t>the present value of the FY2026-27 free cash flows the forward multiple does not capture. NET POSITIVE: FY2026 consumes working capital and its present value is -252, but FY2027 contributes 3,359 and the second outweighs the first. Added after external review; omitting it had UNDERSTATED this lens</w:t>
            </w:r>
          </w:p>
        </w:tc>
      </w:tr>
      <w:tr>
        <w:tc>
          <w:tcPr>
            <w:tcW w:type="dxa" w:w="3096"/>
          </w:tcPr>
          <w:p>
            <w:pPr>
              <w:spacing w:after="20"/>
            </w:pPr>
            <w:r>
              <w:rPr>
                <w:color w:val="1C3A36"/>
                <w:sz w:val="17"/>
              </w:rPr>
              <w:t>Implied value per share, at the anchor</w:t>
            </w:r>
          </w:p>
        </w:tc>
        <w:tc>
          <w:tcPr>
            <w:tcW w:type="dxa" w:w="1296"/>
          </w:tcPr>
          <w:p>
            <w:pPr>
              <w:spacing w:after="20"/>
              <w:jc w:val="right"/>
            </w:pPr>
            <w:r>
              <w:rPr>
                <w:color w:val="1C3A36"/>
                <w:sz w:val="17"/>
              </w:rPr>
              <w:t>79.68</w:t>
            </w:r>
          </w:p>
        </w:tc>
        <w:tc>
          <w:tcPr>
            <w:tcW w:type="dxa" w:w="5688"/>
          </w:tcPr>
          <w:p>
            <w:pPr>
              <w:spacing w:after="20"/>
              <w:jc w:val="right"/>
            </w:pPr>
            <w:r>
              <w:rPr>
                <w:color w:val="1C3A36"/>
                <w:sz w:val="17"/>
              </w:rPr>
              <w:t>bear 66.40 at 5.5× / bull 99.61 at 8.0×; rolled to the anchor date on the same two lines as the cash-flow bridge</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145.72 per share instead of 79.68 — a EGP 66.03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question this lens asks is what the group earns at its CURRENT scale in a year that is neither a currency windfall nor a margin trough. The mid-cycle EBITDA margin of 10.6% — the FY28E point of the forecast, comfortably below the FY2024 outturn of 13.6% and above the FY2025 trough of 10.1% — is applied to FY2026E revenue of EGP 370,194mn. An earlier revision applied the multiple to FY2028-SCALE earnings with no time value, injecting two years of undiscounted growth into a present-day lens; an external review flagged it correctly and the construction was restated, worth about EGP 4.9 per share on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Current-scale (FY2026E) revenue</w:t>
            </w:r>
          </w:p>
        </w:tc>
        <w:tc>
          <w:tcPr>
            <w:tcW w:type="dxa" w:w="1944"/>
          </w:tcPr>
          <w:p>
            <w:pPr>
              <w:spacing w:after="20"/>
              <w:jc w:val="right"/>
            </w:pPr>
            <w:r>
              <w:rPr>
                <w:color w:val="1C3A36"/>
                <w:sz w:val="17"/>
              </w:rPr>
              <w:t>370,194</w:t>
            </w:r>
          </w:p>
        </w:tc>
      </w:tr>
      <w:tr>
        <w:tc>
          <w:tcPr>
            <w:tcW w:type="dxa" w:w="6552"/>
          </w:tcPr>
          <w:p>
            <w:pPr>
              <w:spacing w:after="20"/>
            </w:pPr>
            <w:r>
              <w:rPr>
                <w:color w:val="1C3A36"/>
                <w:sz w:val="17"/>
              </w:rPr>
              <w:t>Mid-cycle EBITDA margin (FY28E) at 10.6%</w:t>
            </w:r>
          </w:p>
        </w:tc>
        <w:tc>
          <w:tcPr>
            <w:tcW w:type="dxa" w:w="1944"/>
          </w:tcPr>
          <w:p>
            <w:pPr>
              <w:spacing w:after="20"/>
              <w:jc w:val="right"/>
            </w:pPr>
            <w:r>
              <w:rPr>
                <w:color w:val="1C3A36"/>
                <w:sz w:val="17"/>
              </w:rPr>
              <w:t>39,400</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(3,961)</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35,439</w:t>
            </w:r>
          </w:p>
        </w:tc>
      </w:tr>
      <w:tr>
        <w:tc>
          <w:tcPr>
            <w:tcW w:type="dxa" w:w="6552"/>
          </w:tcPr>
          <w:p>
            <w:pPr>
              <w:spacing w:after="20"/>
            </w:pPr>
            <w:r>
              <w:rPr>
                <w:color w:val="1C3A36"/>
                <w:sz w:val="17"/>
              </w:rPr>
              <w:t>Less net interest (FY2026E)</w:t>
            </w:r>
          </w:p>
        </w:tc>
        <w:tc>
          <w:tcPr>
            <w:tcW w:type="dxa" w:w="1944"/>
          </w:tcPr>
          <w:p>
            <w:pPr>
              <w:spacing w:after="20"/>
              <w:jc w:val="right"/>
            </w:pPr>
            <w:r>
              <w:rPr>
                <w:color w:val="1C3A36"/>
                <w:sz w:val="17"/>
              </w:rPr>
              <w:t>(1,743)</w:t>
            </w:r>
          </w:p>
        </w:tc>
      </w:tr>
      <w:tr>
        <w:tc>
          <w:tcPr>
            <w:tcW w:type="dxa" w:w="6552"/>
          </w:tcPr>
          <w:p>
            <w:pPr>
              <w:spacing w:after="20"/>
            </w:pPr>
            <w:r>
              <w:rPr>
                <w:color w:val="1C3A36"/>
                <w:sz w:val="17"/>
              </w:rPr>
              <w:t>Plus share of equity-accounted investees (FY2026E)</w:t>
            </w:r>
          </w:p>
        </w:tc>
        <w:tc>
          <w:tcPr>
            <w:tcW w:type="dxa" w:w="1944"/>
          </w:tcPr>
          <w:p>
            <w:pPr>
              <w:spacing w:after="20"/>
              <w:jc w:val="right"/>
            </w:pPr>
            <w:r>
              <w:rPr>
                <w:color w:val="1C3A36"/>
                <w:sz w:val="17"/>
              </w:rPr>
              <w:t>1,694</w:t>
            </w:r>
          </w:p>
        </w:tc>
      </w:tr>
      <w:tr>
        <w:tc>
          <w:tcPr>
            <w:tcW w:type="dxa" w:w="6552"/>
          </w:tcPr>
          <w:p>
            <w:pPr>
              <w:spacing w:after="20"/>
            </w:pPr>
            <w:r>
              <w:rPr>
                <w:color w:val="1C3A36"/>
                <w:sz w:val="17"/>
              </w:rPr>
              <w:t>Less tax at 24.5% and minority interests at 9.7%</w:t>
            </w:r>
          </w:p>
        </w:tc>
        <w:tc>
          <w:tcPr>
            <w:tcW w:type="dxa" w:w="1944"/>
          </w:tcPr>
          <w:p>
            <w:pPr>
              <w:spacing w:after="20"/>
              <w:jc w:val="right"/>
            </w:pPr>
            <w:r>
              <w:rPr>
                <w:color w:val="1C3A36"/>
                <w:sz w:val="17"/>
              </w:rPr>
              <w:t>(14,198)</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21,192</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9.90</w:t>
            </w:r>
          </w:p>
        </w:tc>
      </w:tr>
      <w:tr>
        <w:tc>
          <w:tcPr>
            <w:tcW w:type="dxa" w:w="6552"/>
          </w:tcPr>
          <w:p>
            <w:pPr>
              <w:spacing w:after="20"/>
            </w:pPr>
            <w:r>
              <w:rPr>
                <w:color w:val="1C3A36"/>
                <w:sz w:val="17"/>
              </w:rPr>
              <w:t>At a justified 9.0× price/earnings, rolled to the anchor (EGP per share)</w:t>
            </w:r>
          </w:p>
        </w:tc>
        <w:tc>
          <w:tcPr>
            <w:tcW w:type="dxa" w:w="1944"/>
          </w:tcPr>
          <w:p>
            <w:pPr>
              <w:spacing w:after="20"/>
              <w:jc w:val="right"/>
            </w:pPr>
            <w:r>
              <w:rPr>
                <w:color w:val="1C3A36"/>
                <w:sz w:val="17"/>
              </w:rPr>
              <w:t>103.30</w:t>
            </w:r>
          </w:p>
        </w:tc>
      </w:tr>
    </w:tbl>
    <w:p>
      <w:pPr>
        <w:spacing w:after="40"/>
      </w:pPr>
    </w:p>
    <w:p>
      <w:pPr>
        <w:spacing w:after="200" w:before="0"/>
      </w:pPr>
      <w:r>
        <w:rPr>
          <w:b w:val="0"/>
          <w:i/>
          <w:color w:val="6E7B77"/>
          <w:sz w:val="17"/>
        </w:rPr>
        <w:t>Bear 79.91 at 7.0× and bull 132.54 at 11.5×, both rolled to the anchor date like every other lens. Every input row is the figure the computation actually uses — the associate line is the FY2026E forecast, not the FY2025 actual. One disclosed conservatism: equity-method associate income is taxed at 24.5% inside this lens although it arrives already post-tax at the investee — worth about +0.4/share on the central if removed.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one lens is the answer, the rest are cross-checks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against the market price of 130.00.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Role</w:t>
            </w:r>
          </w:p>
        </w:tc>
        <w:tc>
          <w:tcPr>
            <w:tcW w:type="dxa" w:w="1642"/>
            <w:shd w:val="clear" w:color="auto" w:fill="EAF0EE"/>
          </w:tcPr>
          <w:p>
            <w:pPr>
              <w:spacing w:after="20"/>
            </w:pPr>
            <w:r>
              <w:rPr>
                <w:b/>
                <w:color w:val="1C3A36"/>
                <w:sz w:val="17"/>
              </w:rPr>
              <w:t>vs price</w:t>
            </w:r>
          </w:p>
        </w:tc>
      </w:tr>
      <w:tr>
        <w:tc>
          <w:tcPr>
            <w:tcW w:type="dxa" w:w="3384"/>
          </w:tcPr>
          <w:p>
            <w:pPr>
              <w:spacing w:after="20"/>
            </w:pPr>
            <w:r>
              <w:rPr>
                <w:color w:val="1C3A36"/>
                <w:sz w:val="17"/>
              </w:rPr>
              <w:t>Discounted cash flow (the answer)</w:t>
            </w:r>
          </w:p>
        </w:tc>
        <w:tc>
          <w:tcPr>
            <w:tcW w:type="dxa" w:w="1238"/>
          </w:tcPr>
          <w:p>
            <w:pPr>
              <w:spacing w:after="20"/>
              <w:jc w:val="right"/>
            </w:pPr>
            <w:r>
              <w:rPr>
                <w:color w:val="1C3A36"/>
                <w:sz w:val="17"/>
              </w:rPr>
              <w:t>28.57</w:t>
            </w:r>
          </w:p>
        </w:tc>
        <w:tc>
          <w:tcPr>
            <w:tcW w:type="dxa" w:w="1238"/>
          </w:tcPr>
          <w:p>
            <w:pPr>
              <w:spacing w:after="20"/>
              <w:jc w:val="right"/>
            </w:pPr>
            <w:r>
              <w:rPr>
                <w:color w:val="1C3A36"/>
                <w:sz w:val="17"/>
              </w:rPr>
              <w:t>87.94</w:t>
            </w:r>
          </w:p>
        </w:tc>
        <w:tc>
          <w:tcPr>
            <w:tcW w:type="dxa" w:w="1238"/>
          </w:tcPr>
          <w:p>
            <w:pPr>
              <w:spacing w:after="20"/>
              <w:jc w:val="right"/>
            </w:pPr>
            <w:r>
              <w:rPr>
                <w:color w:val="1C3A36"/>
                <w:sz w:val="17"/>
              </w:rPr>
              <w:t>138.18</w:t>
            </w:r>
          </w:p>
        </w:tc>
        <w:tc>
          <w:tcPr>
            <w:tcW w:type="dxa" w:w="1195"/>
          </w:tcPr>
          <w:p>
            <w:pPr>
              <w:spacing w:after="20"/>
              <w:jc w:val="right"/>
            </w:pPr>
            <w:r>
              <w:rPr>
                <w:color w:val="1C3A36"/>
                <w:sz w:val="17"/>
              </w:rPr>
              <w:t>THE ANSWER</w:t>
            </w:r>
          </w:p>
        </w:tc>
        <w:tc>
          <w:tcPr>
            <w:tcW w:type="dxa" w:w="1642"/>
          </w:tcPr>
          <w:p>
            <w:pPr>
              <w:spacing w:after="20"/>
              <w:jc w:val="right"/>
            </w:pPr>
            <w:r>
              <w:rPr>
                <w:color w:val="1C3A36"/>
                <w:sz w:val="17"/>
              </w:rPr>
              <w:t>-32%</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66.40</w:t>
            </w:r>
          </w:p>
        </w:tc>
        <w:tc>
          <w:tcPr>
            <w:tcW w:type="dxa" w:w="1238"/>
          </w:tcPr>
          <w:p>
            <w:pPr>
              <w:spacing w:after="20"/>
              <w:jc w:val="right"/>
            </w:pPr>
            <w:r>
              <w:rPr>
                <w:color w:val="1C3A36"/>
                <w:sz w:val="17"/>
              </w:rPr>
              <w:t>79.68</w:t>
            </w:r>
          </w:p>
        </w:tc>
        <w:tc>
          <w:tcPr>
            <w:tcW w:type="dxa" w:w="1238"/>
          </w:tcPr>
          <w:p>
            <w:pPr>
              <w:spacing w:after="20"/>
              <w:jc w:val="right"/>
            </w:pPr>
            <w:r>
              <w:rPr>
                <w:color w:val="1C3A36"/>
                <w:sz w:val="17"/>
              </w:rPr>
              <w:t>99.61</w:t>
            </w:r>
          </w:p>
        </w:tc>
        <w:tc>
          <w:tcPr>
            <w:tcW w:type="dxa" w:w="1195"/>
          </w:tcPr>
          <w:p>
            <w:pPr>
              <w:spacing w:after="20"/>
              <w:jc w:val="right"/>
            </w:pPr>
            <w:r>
              <w:rPr>
                <w:color w:val="1C3A36"/>
                <w:sz w:val="17"/>
              </w:rPr>
              <w:t>cross-check</w:t>
            </w:r>
          </w:p>
        </w:tc>
        <w:tc>
          <w:tcPr>
            <w:tcW w:type="dxa" w:w="1642"/>
          </w:tcPr>
          <w:p>
            <w:pPr>
              <w:spacing w:after="20"/>
              <w:jc w:val="right"/>
            </w:pPr>
            <w:r>
              <w:rPr>
                <w:color w:val="1C3A36"/>
                <w:sz w:val="17"/>
              </w:rPr>
              <w:t>-39%</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79.91</w:t>
            </w:r>
          </w:p>
        </w:tc>
        <w:tc>
          <w:tcPr>
            <w:tcW w:type="dxa" w:w="1238"/>
          </w:tcPr>
          <w:p>
            <w:pPr>
              <w:spacing w:after="20"/>
              <w:jc w:val="right"/>
            </w:pPr>
            <w:r>
              <w:rPr>
                <w:color w:val="1C3A36"/>
                <w:sz w:val="17"/>
              </w:rPr>
              <w:t>103.30</w:t>
            </w:r>
          </w:p>
        </w:tc>
        <w:tc>
          <w:tcPr>
            <w:tcW w:type="dxa" w:w="1238"/>
          </w:tcPr>
          <w:p>
            <w:pPr>
              <w:spacing w:after="20"/>
              <w:jc w:val="right"/>
            </w:pPr>
            <w:r>
              <w:rPr>
                <w:color w:val="1C3A36"/>
                <w:sz w:val="17"/>
              </w:rPr>
              <w:t>132.54</w:t>
            </w:r>
          </w:p>
        </w:tc>
        <w:tc>
          <w:tcPr>
            <w:tcW w:type="dxa" w:w="1195"/>
          </w:tcPr>
          <w:p>
            <w:pPr>
              <w:spacing w:after="20"/>
              <w:jc w:val="right"/>
            </w:pPr>
            <w:r>
              <w:rPr>
                <w:color w:val="1C3A36"/>
                <w:sz w:val="17"/>
              </w:rPr>
              <w:t>RETIRED for this class — computed and shown, never weighted</w:t>
            </w:r>
          </w:p>
        </w:tc>
        <w:tc>
          <w:tcPr>
            <w:tcW w:type="dxa" w:w="1642"/>
          </w:tcPr>
          <w:p>
            <w:pPr>
              <w:spacing w:after="20"/>
              <w:jc w:val="right"/>
            </w:pPr>
            <w:r>
              <w:rPr>
                <w:color w:val="1C3A36"/>
                <w:sz w:val="17"/>
              </w:rPr>
              <w:t>-21%</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36.88</w:t>
            </w:r>
          </w:p>
        </w:tc>
        <w:tc>
          <w:tcPr>
            <w:tcW w:type="dxa" w:w="1238"/>
          </w:tcPr>
          <w:p>
            <w:pPr>
              <w:spacing w:after="20"/>
              <w:jc w:val="right"/>
            </w:pPr>
            <w:r>
              <w:rPr>
                <w:color w:val="1C3A36"/>
                <w:sz w:val="17"/>
              </w:rPr>
              <w:t>66.61</w:t>
            </w:r>
          </w:p>
        </w:tc>
        <w:tc>
          <w:tcPr>
            <w:tcW w:type="dxa" w:w="1238"/>
          </w:tcPr>
          <w:p>
            <w:pPr>
              <w:spacing w:after="20"/>
              <w:jc w:val="right"/>
            </w:pPr>
            <w:r>
              <w:rPr>
                <w:color w:val="1C3A36"/>
                <w:sz w:val="17"/>
              </w:rPr>
              <w:t>76.17</w:t>
            </w:r>
          </w:p>
        </w:tc>
        <w:tc>
          <w:tcPr>
            <w:tcW w:type="dxa" w:w="1195"/>
          </w:tcPr>
          <w:p>
            <w:pPr>
              <w:spacing w:after="20"/>
              <w:jc w:val="right"/>
            </w:pPr>
            <w:r>
              <w:rPr>
                <w:color w:val="1C3A36"/>
                <w:sz w:val="17"/>
              </w:rPr>
              <w:t>a floor, never weighted</w:t>
            </w:r>
          </w:p>
        </w:tc>
        <w:tc>
          <w:tcPr>
            <w:tcW w:type="dxa" w:w="1642"/>
          </w:tcPr>
          <w:p>
            <w:pPr>
              <w:spacing w:after="20"/>
              <w:jc w:val="right"/>
            </w:pPr>
            <w:r>
              <w:rPr>
                <w:color w:val="1C3A36"/>
                <w:sz w:val="17"/>
              </w:rPr>
              <w:t>-49%</w:t>
            </w:r>
          </w:p>
        </w:tc>
      </w:tr>
      <w:tr>
        <w:tc>
          <w:tcPr>
            <w:tcW w:type="dxa" w:w="3384"/>
            <w:shd w:val="clear" w:color="auto" w:fill="F6F1E6"/>
          </w:tcPr>
          <w:p>
            <w:pPr>
              <w:spacing w:after="20"/>
            </w:pPr>
            <w:r>
              <w:rPr>
                <w:b/>
                <w:color w:val="1C3A36"/>
                <w:sz w:val="17"/>
              </w:rPr>
              <w:t>THE CENTRAL — the cash-flow lens, not an average</w:t>
            </w:r>
          </w:p>
        </w:tc>
        <w:tc>
          <w:tcPr>
            <w:tcW w:type="dxa" w:w="1238"/>
            <w:shd w:val="clear" w:color="auto" w:fill="F6F1E6"/>
          </w:tcPr>
          <w:p>
            <w:pPr>
              <w:spacing w:after="20"/>
              <w:jc w:val="right"/>
            </w:pPr>
            <w:r>
              <w:rPr>
                <w:b/>
                <w:color w:val="1C3A36"/>
                <w:sz w:val="17"/>
              </w:rPr>
              <w:t>28.57</w:t>
            </w:r>
          </w:p>
        </w:tc>
        <w:tc>
          <w:tcPr>
            <w:tcW w:type="dxa" w:w="1238"/>
            <w:shd w:val="clear" w:color="auto" w:fill="F6F1E6"/>
          </w:tcPr>
          <w:p>
            <w:pPr>
              <w:spacing w:after="20"/>
              <w:jc w:val="right"/>
            </w:pPr>
            <w:r>
              <w:rPr>
                <w:b/>
                <w:color w:val="1C3A36"/>
                <w:sz w:val="17"/>
              </w:rPr>
              <w:t>87.94</w:t>
            </w:r>
          </w:p>
        </w:tc>
        <w:tc>
          <w:tcPr>
            <w:tcW w:type="dxa" w:w="1238"/>
            <w:shd w:val="clear" w:color="auto" w:fill="F6F1E6"/>
          </w:tcPr>
          <w:p>
            <w:pPr>
              <w:spacing w:after="20"/>
              <w:jc w:val="right"/>
            </w:pPr>
            <w:r>
              <w:rPr>
                <w:b/>
                <w:color w:val="1C3A36"/>
                <w:sz w:val="17"/>
              </w:rPr>
              <w:t>138.18</w:t>
            </w:r>
          </w:p>
        </w:tc>
        <w:tc>
          <w:tcPr>
            <w:tcW w:type="dxa" w:w="1195"/>
            <w:shd w:val="clear" w:color="auto" w:fill="F6F1E6"/>
          </w:tcPr>
          <w:p>
            <w:pPr>
              <w:spacing w:after="20"/>
              <w:jc w:val="right"/>
            </w:pPr>
            <w:r>
              <w:rPr>
                <w:b/>
                <w:color w:val="1C3A36"/>
                <w:sz w:val="17"/>
              </w:rPr>
              <w:t>the class primary</w:t>
            </w:r>
          </w:p>
        </w:tc>
        <w:tc>
          <w:tcPr>
            <w:tcW w:type="dxa" w:w="1642"/>
            <w:shd w:val="clear" w:color="auto" w:fill="F6F1E6"/>
          </w:tcPr>
          <w:p>
            <w:pPr>
              <w:spacing w:after="20"/>
              <w:jc w:val="right"/>
            </w:pPr>
            <w:r>
              <w:rPr>
                <w:b/>
                <w:color w:val="1C3A36"/>
                <w:sz w:val="17"/>
              </w:rPr>
              <w:t>-32%</w:t>
            </w:r>
          </w:p>
        </w:tc>
      </w:tr>
      <w:tr>
        <w:tc>
          <w:tcPr>
            <w:tcW w:type="dxa" w:w="3384"/>
          </w:tcPr>
          <w:p>
            <w:pPr>
              <w:spacing w:after="20"/>
            </w:pPr>
            <w:r>
              <w:rPr>
                <w:color w:val="1C3A36"/>
                <w:sz w:val="17"/>
              </w:rPr>
              <w:t>NOT AVERAGED — the retired blend, published unused</w:t>
            </w:r>
          </w:p>
        </w:tc>
        <w:tc>
          <w:tcPr>
            <w:tcW w:type="dxa" w:w="1238"/>
          </w:tcPr>
          <w:p>
            <w:pPr>
              <w:spacing w:after="20"/>
              <w:jc w:val="right"/>
            </w:pPr>
            <w:r>
              <w:rPr>
                <w:color w:val="1C3A36"/>
                <w:sz w:val="17"/>
              </w:rPr>
            </w:r>
          </w:p>
        </w:tc>
        <w:tc>
          <w:tcPr>
            <w:tcW w:type="dxa" w:w="1238"/>
          </w:tcPr>
          <w:p>
            <w:pPr>
              <w:spacing w:after="20"/>
              <w:jc w:val="right"/>
            </w:pPr>
            <w:r>
              <w:rPr>
                <w:color w:val="1C3A36"/>
                <w:sz w:val="17"/>
              </w:rPr>
              <w:t>86.16</w:t>
            </w:r>
          </w:p>
        </w:tc>
        <w:tc>
          <w:tcPr>
            <w:tcW w:type="dxa" w:w="1238"/>
          </w:tcPr>
          <w:p>
            <w:pPr>
              <w:spacing w:after="20"/>
              <w:jc w:val="right"/>
            </w:pPr>
            <w:r>
              <w:rPr>
                <w:color w:val="1C3A36"/>
                <w:sz w:val="17"/>
              </w:rPr>
            </w:r>
          </w:p>
        </w:tc>
        <w:tc>
          <w:tcPr>
            <w:tcW w:type="dxa" w:w="1195"/>
          </w:tcPr>
          <w:p>
            <w:pPr>
              <w:spacing w:after="20"/>
              <w:jc w:val="right"/>
            </w:pPr>
            <w:r>
              <w:rPr>
                <w:color w:val="1C3A36"/>
                <w:sz w:val="17"/>
              </w:rPr>
              <w:t>retired</w:t>
            </w:r>
          </w:p>
        </w:tc>
        <w:tc>
          <w:tcPr>
            <w:tcW w:type="dxa" w:w="1642"/>
          </w:tcPr>
          <w:p>
            <w:pPr>
              <w:spacing w:after="20"/>
              <w:jc w:val="right"/>
            </w:pPr>
            <w:r>
              <w:rPr>
                <w:color w:val="1C3A36"/>
                <w:sz w:val="17"/>
              </w:rPr>
              <w:t>-34%</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CENTRAL DOES NOT SIT BETWEEN THEM: it is the cash-flow lens itself at EGP 87.94, and the market-anchored reads are published beside it at their own values so a reader can judge the disagreement rather than receive a number in which it has already been settled by a weight. An earlier edition did settle it that way and reported EGP 86.16, -34% against the price where this study holds -32%.</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The company's own quarterly earnings releases DO, and they are read: Cables is built as a unit model on the disclosed tonnage series times a copper and currency pass-through measured out of that segment's own audited revenue per tonne — 55.4% of FY2025 revenue. Constructions and Electrical products have no unit in any source, so they taper on their own recent revenue growth and margin path. THE SEGMENT MARGINS ARE INPUTS in all three, not outputs: each is a constant held flat across the window, set at FY2025's level plus the reviewed half's like-for-like change (cabl 11.43%, cons 8.99%, elec 23.62%). Only the group EBITDA margin is an output, and only of the mix. This is the largest single lever in the study and section 1.9 prices both sides of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14,350</w:t>
            </w:r>
          </w:p>
        </w:tc>
        <w:tc>
          <w:tcPr>
            <w:tcW w:type="dxa" w:w="1051"/>
          </w:tcPr>
          <w:p>
            <w:pPr>
              <w:spacing w:after="20"/>
              <w:jc w:val="right"/>
            </w:pPr>
            <w:r>
              <w:rPr>
                <w:color w:val="1C3A36"/>
                <w:sz w:val="16"/>
              </w:rPr>
              <w:t>14,709</w:t>
            </w:r>
          </w:p>
        </w:tc>
        <w:tc>
          <w:tcPr>
            <w:tcW w:type="dxa" w:w="1051"/>
          </w:tcPr>
          <w:p>
            <w:pPr>
              <w:spacing w:after="20"/>
              <w:jc w:val="right"/>
            </w:pPr>
            <w:r>
              <w:rPr>
                <w:color w:val="1C3A36"/>
                <w:sz w:val="16"/>
              </w:rPr>
              <w:t>15,076</w:t>
            </w:r>
          </w:p>
        </w:tc>
        <w:tc>
          <w:tcPr>
            <w:tcW w:type="dxa" w:w="1051"/>
          </w:tcPr>
          <w:p>
            <w:pPr>
              <w:spacing w:after="20"/>
              <w:jc w:val="right"/>
            </w:pPr>
            <w:r>
              <w:rPr>
                <w:color w:val="1C3A36"/>
                <w:sz w:val="16"/>
              </w:rPr>
              <w:t>15,453</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47.7</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59.0</w:t>
            </w:r>
          </w:p>
        </w:tc>
        <w:tc>
          <w:tcPr>
            <w:tcW w:type="dxa" w:w="1051"/>
          </w:tcPr>
          <w:p>
            <w:pPr>
              <w:spacing w:after="20"/>
              <w:jc w:val="right"/>
            </w:pPr>
            <w:r>
              <w:rPr>
                <w:color w:val="1C3A36"/>
                <w:sz w:val="16"/>
              </w:rPr>
              <w:t>62.7</w:t>
            </w:r>
          </w:p>
        </w:tc>
        <w:tc>
          <w:tcPr>
            <w:tcW w:type="dxa" w:w="1051"/>
          </w:tcPr>
          <w:p>
            <w:pPr>
              <w:spacing w:after="20"/>
              <w:jc w:val="right"/>
            </w:pPr>
            <w:r>
              <w:rPr>
                <w:color w:val="1C3A36"/>
                <w:sz w:val="16"/>
              </w:rPr>
              <w:t>65.8</w:t>
            </w:r>
          </w:p>
        </w:tc>
        <w:tc>
          <w:tcPr>
            <w:tcW w:type="dxa" w:w="1051"/>
          </w:tcPr>
          <w:p>
            <w:pPr>
              <w:spacing w:after="20"/>
              <w:jc w:val="right"/>
            </w:pPr>
            <w:r>
              <w:rPr>
                <w:color w:val="1C3A36"/>
                <w:sz w:val="16"/>
              </w:rPr>
              <w:t>68.7</w:t>
            </w:r>
          </w:p>
        </w:tc>
      </w:tr>
      <w:tr>
        <w:tc>
          <w:tcPr>
            <w:tcW w:type="dxa" w:w="3384"/>
          </w:tcPr>
          <w:p>
            <w:pPr>
              <w:spacing w:after="20"/>
            </w:pPr>
            <w:r>
              <w:rPr>
                <w:color w:val="1C3A36"/>
                <w:sz w:val="16"/>
              </w:rPr>
              <w:t>Cables — FY2026 growth, MEASURED on the reviewed half</w:t>
            </w:r>
          </w:p>
        </w:tc>
        <w:tc>
          <w:tcPr>
            <w:tcW w:type="dxa" w:w="1051"/>
          </w:tcPr>
          <w:p>
            <w:pPr>
              <w:spacing w:after="20"/>
              <w:jc w:val="right"/>
            </w:pPr>
            <w:r>
              <w:rPr>
                <w:color w:val="1C3A36"/>
                <w:sz w:val="16"/>
              </w:rPr>
              <w:t>—</w:t>
            </w:r>
          </w:p>
        </w:tc>
        <w:tc>
          <w:tcPr>
            <w:tcW w:type="dxa" w:w="1051"/>
          </w:tcPr>
          <w:p>
            <w:pPr>
              <w:spacing w:after="20"/>
              <w:jc w:val="right"/>
            </w:pPr>
            <w:r>
              <w:rPr>
                <w:color w:val="1C3A36"/>
                <w:sz w:val="16"/>
              </w:rPr>
              <w:t>30.57%</w:t>
            </w:r>
          </w:p>
        </w:tc>
        <w:tc>
          <w:tcPr>
            <w:tcW w:type="dxa" w:w="1051"/>
          </w:tcPr>
          <w:p>
            <w:pPr>
              <w:spacing w:after="20"/>
              <w:jc w:val="right"/>
            </w:pPr>
            <w:r>
              <w:rPr>
                <w:color w:val="1C3A36"/>
                <w:sz w:val="16"/>
              </w:rPr>
              <w:t>—</w:t>
            </w:r>
          </w:p>
        </w:tc>
        <w:tc>
          <w:tcPr>
            <w:tcW w:type="dxa" w:w="1051"/>
          </w:tcPr>
          <w:p>
            <w:pPr>
              <w:spacing w:after="20"/>
              <w:jc w:val="right"/>
            </w:pPr>
            <w:r>
              <w:rPr>
                <w:color w:val="1C3A36"/>
                <w:sz w:val="16"/>
              </w:rPr>
              <w:t>—</w:t>
            </w:r>
          </w:p>
        </w:tc>
        <w:tc>
          <w:tcPr>
            <w:tcW w:type="dxa" w:w="1051"/>
          </w:tcPr>
          <w:p>
            <w:pPr>
              <w:spacing w:after="20"/>
              <w:jc w:val="right"/>
            </w:pPr>
            <w:r>
              <w:rPr>
                <w:color w:val="1C3A36"/>
                <w:sz w:val="16"/>
              </w:rPr>
              <w:t>—</w:t>
            </w:r>
          </w:p>
        </w:tc>
        <w:tc>
          <w:tcPr>
            <w:tcW w:type="dxa" w:w="1051"/>
          </w:tcPr>
          <w:p>
            <w:pPr>
              <w:spacing w:after="20"/>
              <w:jc w:val="right"/>
            </w:pPr>
            <w:r>
              <w:rPr>
                <w:color w:val="1C3A36"/>
                <w:sz w:val="16"/>
              </w:rPr>
              <w:t>—</w:t>
            </w:r>
          </w:p>
        </w:tc>
      </w:tr>
      <w:tr>
        <w:tc>
          <w:tcPr>
            <w:tcW w:type="dxa" w:w="3384"/>
          </w:tcPr>
          <w:p>
            <w:pPr>
              <w:spacing w:after="20"/>
            </w:pPr>
            <w:r>
              <w:rPr>
                <w:color w:val="1C3A36"/>
                <w:sz w:val="16"/>
              </w:rPr>
              <w:t>Cables — tonnage growth (the disclosed volume driver, FY2027-30)</w:t>
            </w:r>
          </w:p>
        </w:tc>
        <w:tc>
          <w:tcPr>
            <w:tcW w:type="dxa" w:w="1051"/>
          </w:tcPr>
          <w:p>
            <w:pPr>
              <w:spacing w:after="20"/>
              <w:jc w:val="right"/>
            </w:pPr>
            <w:r>
              <w:rPr>
                <w:color w:val="1C3A36"/>
                <w:sz w:val="16"/>
              </w:rPr>
              <w:t>—</w:t>
            </w:r>
          </w:p>
        </w:tc>
        <w:tc>
          <w:tcPr>
            <w:tcW w:type="dxa" w:w="1051"/>
          </w:tcPr>
          <w:p>
            <w:pPr>
              <w:spacing w:after="20"/>
              <w:jc w:val="right"/>
            </w:pPr>
            <w:r>
              <w:rPr>
                <w:color w:val="1C3A36"/>
                <w:sz w:val="16"/>
              </w:rPr>
              <w:t>—</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7.5%</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5.5%</w:t>
            </w:r>
          </w:p>
        </w:tc>
      </w:tr>
      <w:tr>
        <w:tc>
          <w:tcPr>
            <w:tcW w:type="dxa" w:w="3384"/>
          </w:tcPr>
          <w:p>
            <w:pPr>
              <w:spacing w:after="20"/>
            </w:pPr>
            <w:r>
              <w:rPr>
                <w:color w:val="1C3A36"/>
                <w:sz w:val="16"/>
              </w:rPr>
              <w:t>Cables — copper/FX pass-through to revenue (FY2027-30)</w:t>
            </w:r>
          </w:p>
        </w:tc>
        <w:tc>
          <w:tcPr>
            <w:tcW w:type="dxa" w:w="1051"/>
          </w:tcPr>
          <w:p>
            <w:pPr>
              <w:spacing w:after="20"/>
              <w:jc w:val="right"/>
            </w:pPr>
            <w:r>
              <w:rPr>
                <w:color w:val="1C3A36"/>
                <w:sz w:val="16"/>
              </w:rPr>
              <w:t>—</w:t>
            </w:r>
          </w:p>
        </w:tc>
        <w:tc>
          <w:tcPr>
            <w:tcW w:type="dxa" w:w="1051"/>
          </w:tcPr>
          <w:p>
            <w:pPr>
              <w:spacing w:after="20"/>
              <w:jc w:val="right"/>
            </w:pPr>
            <w:r>
              <w:rPr>
                <w:color w:val="1C3A36"/>
                <w:sz w:val="16"/>
              </w:rPr>
              <w:t>—</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-2.2%</w:t>
            </w:r>
          </w:p>
        </w:tc>
        <w:tc>
          <w:tcPr>
            <w:tcW w:type="dxa" w:w="1051"/>
          </w:tcPr>
          <w:p>
            <w:pPr>
              <w:spacing w:after="20"/>
              <w:jc w:val="right"/>
            </w:pPr>
            <w:r>
              <w:rPr>
                <w:color w:val="1C3A36"/>
                <w:sz w:val="16"/>
              </w:rPr>
              <w:t>nil</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27.4%</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15.0%</w:t>
            </w:r>
          </w:p>
        </w:tc>
        <w:tc>
          <w:tcPr>
            <w:tcW w:type="dxa" w:w="1051"/>
          </w:tcPr>
          <w:p>
            <w:pPr>
              <w:spacing w:after="20"/>
              <w:jc w:val="right"/>
            </w:pPr>
            <w:r>
              <w:rPr>
                <w:color w:val="1C3A36"/>
                <w:sz w:val="16"/>
              </w:rPr>
              <w:t>11.5%</w:t>
            </w:r>
          </w:p>
        </w:tc>
        <w:tc>
          <w:tcPr>
            <w:tcW w:type="dxa" w:w="1051"/>
          </w:tcPr>
          <w:p>
            <w:pPr>
              <w:spacing w:after="20"/>
              <w:jc w:val="right"/>
            </w:pPr>
            <w:r>
              <w:rPr>
                <w:color w:val="1C3A36"/>
                <w:sz w:val="16"/>
              </w:rPr>
              <w:t>9.0%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48.3%</w:t>
            </w:r>
          </w:p>
        </w:tc>
        <w:tc>
          <w:tcPr>
            <w:tcW w:type="dxa" w:w="1051"/>
          </w:tcPr>
          <w:p>
            <w:pPr>
              <w:spacing w:after="20"/>
              <w:jc w:val="right"/>
            </w:pPr>
            <w:r>
              <w:rPr>
                <w:color w:val="1C3A36"/>
                <w:sz w:val="16"/>
              </w:rPr>
              <w:t>33.0%</w:t>
            </w:r>
          </w:p>
        </w:tc>
        <w:tc>
          <w:tcPr>
            <w:tcW w:type="dxa" w:w="1051"/>
          </w:tcPr>
          <w:p>
            <w:pPr>
              <w:spacing w:after="20"/>
              <w:jc w:val="right"/>
            </w:pPr>
            <w:r>
              <w:rPr>
                <w:color w:val="1C3A36"/>
                <w:sz w:val="16"/>
              </w:rPr>
              <w:t>23.0%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11.0%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r>
      <w:tr>
        <w:tc>
          <w:tcPr>
            <w:tcW w:type="dxa" w:w="3384"/>
          </w:tcPr>
          <w:p>
            <w:pPr>
              <w:spacing w:after="20"/>
            </w:pPr>
            <w:r>
              <w:rPr>
                <w:color w:val="1C3A36"/>
                <w:sz w:val="16"/>
              </w:rPr>
              <w:t>Corporate cost load, segment profit → EBIT basis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r>
      <w:tr>
        <w:tc>
          <w:tcPr>
            <w:tcW w:type="dxa" w:w="3384"/>
          </w:tcPr>
          <w:p>
            <w:pPr>
              <w:spacing w:after="20"/>
            </w:pPr>
            <w:r>
              <w:rPr>
                <w:color w:val="1C3A36"/>
                <w:sz w:val="16"/>
              </w:rPr>
              <w:t>Capital expenditure (% of revenue)</w:t>
            </w:r>
          </w:p>
        </w:tc>
        <w:tc>
          <w:tcPr>
            <w:tcW w:type="dxa" w:w="1051"/>
          </w:tcPr>
          <w:p>
            <w:pPr>
              <w:spacing w:after="20"/>
              <w:jc w:val="right"/>
            </w:pPr>
            <w:r>
              <w:rPr>
                <w:color w:val="1C3A36"/>
                <w:sz w:val="16"/>
              </w:rPr>
              <w:t>4.7%</w:t>
            </w:r>
          </w:p>
        </w:tc>
        <w:tc>
          <w:tcPr>
            <w:tcW w:type="dxa" w:w="1051"/>
          </w:tcPr>
          <w:p>
            <w:pPr>
              <w:spacing w:after="20"/>
              <w:jc w:val="right"/>
            </w:pPr>
            <w:r>
              <w:rPr>
                <w:color w:val="1C3A36"/>
                <w:sz w:val="16"/>
              </w:rPr>
              <w:t>3.57%</w:t>
            </w:r>
          </w:p>
        </w:tc>
        <w:tc>
          <w:tcPr>
            <w:tcW w:type="dxa" w:w="1051"/>
          </w:tcPr>
          <w:p>
            <w:pPr>
              <w:spacing w:after="20"/>
              <w:jc w:val="right"/>
            </w:pPr>
            <w:r>
              <w:rPr>
                <w:color w:val="1C3A36"/>
                <w:sz w:val="16"/>
              </w:rPr>
              <w:t>3.57%</w:t>
            </w:r>
          </w:p>
        </w:tc>
        <w:tc>
          <w:tcPr>
            <w:tcW w:type="dxa" w:w="1051"/>
          </w:tcPr>
          <w:p>
            <w:pPr>
              <w:spacing w:after="20"/>
              <w:jc w:val="right"/>
            </w:pPr>
            <w:r>
              <w:rPr>
                <w:color w:val="1C3A36"/>
                <w:sz w:val="16"/>
              </w:rPr>
              <w:t>3.57%</w:t>
            </w:r>
          </w:p>
        </w:tc>
        <w:tc>
          <w:tcPr>
            <w:tcW w:type="dxa" w:w="1051"/>
          </w:tcPr>
          <w:p>
            <w:pPr>
              <w:spacing w:after="20"/>
              <w:jc w:val="right"/>
            </w:pPr>
            <w:r>
              <w:rPr>
                <w:color w:val="1C3A36"/>
                <w:sz w:val="16"/>
              </w:rPr>
              <w:t>3.57%</w:t>
            </w:r>
          </w:p>
        </w:tc>
        <w:tc>
          <w:tcPr>
            <w:tcW w:type="dxa" w:w="1051"/>
          </w:tcPr>
          <w:p>
            <w:pPr>
              <w:spacing w:after="20"/>
              <w:jc w:val="right"/>
            </w:pPr>
            <w:r>
              <w:rPr>
                <w:color w:val="1C3A36"/>
                <w:sz w:val="16"/>
              </w:rPr>
              <w:t>3.57%</w:t>
            </w:r>
          </w:p>
        </w:tc>
      </w:tr>
      <w:tr>
        <w:tc>
          <w:tcPr>
            <w:tcW w:type="dxa" w:w="3384"/>
          </w:tcPr>
          <w:p>
            <w:pPr>
              <w:spacing w:after="20"/>
            </w:pPr>
            <w:r>
              <w:rPr>
                <w:color w:val="1C3A36"/>
                <w:sz w:val="16"/>
              </w:rPr>
              <w:t>Depreciation and amortisation (% of revenue)</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Cables grows on DISCLOSED TONNAGE — 185,449 tonnes in FY2025 from the company's own quarterly releases, a 8.5% three-year compound rate — times a copper and currency pass-through measured out of the segment's own audited revenue per tonne, rather than on a revenue growth assumption. The audited statements disclose no tonnage for any segment; the releases are the issuer's own and are cited as such. Constructions and Electrical products taper on their own FY2023-25 revenue CAGR. The corporate cost load — stated on the same segment-profit-to-EBIT basis as the audited history (5.70% / 4.30% / 3.16%) — is HELD FLAT at 3.07% in every forecast year, slightly BELOW FY2025's own 3.16% — the reviewed half measures the level holding rather than reverting, and the forecast follows the measurement. THIS IS THE STUDY'S MOST CONSEQUENTIAL CONTESTED JUDGEMENT AND IT IS PUBLISHED BOTH WAYS: the retired reversion path (4.55% / 4.65% / 4.75% / 4.75% / 4.85%) gives EGP 54.00 a share, -39% against the central. The capex and D&amp;A paths are shown because they are live free-cash-flow drivers, not footnotes: capex is held at a flat 3.57% of revenue, the rate measured off the completed 2024-25 programme (it ran 3.1% in FY2023, 3.7% in FY2024 and peaked at 4.7% in FY2025). Holding it at that FY2025 peak instead would cost EGP 8.29 on the cash-flow lens, taking it to 79.65 — an earlier edition of this caption put that cost at 1.8 and was wrong by a factor of 4.6.</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370,194</w:t>
            </w:r>
          </w:p>
        </w:tc>
        <w:tc>
          <w:tcPr>
            <w:tcW w:type="dxa" w:w="1426"/>
          </w:tcPr>
          <w:p>
            <w:pPr>
              <w:spacing w:after="20"/>
              <w:jc w:val="right"/>
            </w:pPr>
            <w:r>
              <w:rPr>
                <w:color w:val="1C3A36"/>
                <w:sz w:val="16"/>
              </w:rPr>
              <w:t>449,226</w:t>
            </w:r>
          </w:p>
        </w:tc>
        <w:tc>
          <w:tcPr>
            <w:tcW w:type="dxa" w:w="1426"/>
          </w:tcPr>
          <w:p>
            <w:pPr>
              <w:spacing w:after="20"/>
              <w:jc w:val="right"/>
            </w:pPr>
            <w:r>
              <w:rPr>
                <w:color w:val="1C3A36"/>
                <w:sz w:val="16"/>
              </w:rPr>
              <w:t>514,907</w:t>
            </w:r>
          </w:p>
        </w:tc>
        <w:tc>
          <w:tcPr>
            <w:tcW w:type="dxa" w:w="1426"/>
          </w:tcPr>
          <w:p>
            <w:pPr>
              <w:spacing w:after="20"/>
              <w:jc w:val="right"/>
            </w:pPr>
            <w:r>
              <w:rPr>
                <w:color w:val="1C3A36"/>
                <w:sz w:val="16"/>
              </w:rPr>
              <w:t>579,202</w:t>
            </w:r>
          </w:p>
        </w:tc>
        <w:tc>
          <w:tcPr>
            <w:tcW w:type="dxa" w:w="1426"/>
          </w:tcPr>
          <w:p>
            <w:pPr>
              <w:spacing w:after="20"/>
              <w:jc w:val="right"/>
            </w:pPr>
            <w:r>
              <w:rPr>
                <w:color w:val="1C3A36"/>
                <w:sz w:val="16"/>
              </w:rPr>
              <w:t>645,083</w:t>
            </w:r>
          </w:p>
        </w:tc>
      </w:tr>
      <w:tr>
        <w:tc>
          <w:tcPr>
            <w:tcW w:type="dxa" w:w="2952"/>
          </w:tcPr>
          <w:p>
            <w:pPr>
              <w:spacing w:after="20"/>
            </w:pPr>
            <w:r>
              <w:rPr>
                <w:color w:val="1C3A36"/>
                <w:sz w:val="16"/>
              </w:rPr>
              <w:t>Segment profit (Note 16 basis)</w:t>
            </w:r>
          </w:p>
        </w:tc>
        <w:tc>
          <w:tcPr>
            <w:tcW w:type="dxa" w:w="1426"/>
          </w:tcPr>
          <w:p>
            <w:pPr>
              <w:spacing w:after="20"/>
              <w:jc w:val="right"/>
            </w:pPr>
            <w:r>
              <w:rPr>
                <w:color w:val="1C3A36"/>
                <w:sz w:val="16"/>
              </w:rPr>
              <w:t>45,690</w:t>
            </w:r>
          </w:p>
        </w:tc>
        <w:tc>
          <w:tcPr>
            <w:tcW w:type="dxa" w:w="1426"/>
          </w:tcPr>
          <w:p>
            <w:pPr>
              <w:spacing w:after="20"/>
              <w:jc w:val="right"/>
            </w:pPr>
            <w:r>
              <w:rPr>
                <w:color w:val="1C3A36"/>
                <w:sz w:val="16"/>
              </w:rPr>
              <w:t>56,205</w:t>
            </w:r>
          </w:p>
        </w:tc>
        <w:tc>
          <w:tcPr>
            <w:tcW w:type="dxa" w:w="1426"/>
          </w:tcPr>
          <w:p>
            <w:pPr>
              <w:spacing w:after="20"/>
              <w:jc w:val="right"/>
            </w:pPr>
            <w:r>
              <w:rPr>
                <w:color w:val="1C3A36"/>
                <w:sz w:val="16"/>
              </w:rPr>
              <w:t>65,101</w:t>
            </w:r>
          </w:p>
        </w:tc>
        <w:tc>
          <w:tcPr>
            <w:tcW w:type="dxa" w:w="1426"/>
          </w:tcPr>
          <w:p>
            <w:pPr>
              <w:spacing w:after="20"/>
              <w:jc w:val="right"/>
            </w:pPr>
            <w:r>
              <w:rPr>
                <w:color w:val="1C3A36"/>
                <w:sz w:val="16"/>
              </w:rPr>
              <w:t>73,624</w:t>
            </w:r>
          </w:p>
        </w:tc>
        <w:tc>
          <w:tcPr>
            <w:tcW w:type="dxa" w:w="1426"/>
          </w:tcPr>
          <w:p>
            <w:pPr>
              <w:spacing w:after="20"/>
              <w:jc w:val="right"/>
            </w:pPr>
            <w:r>
              <w:rPr>
                <w:color w:val="1C3A36"/>
                <w:sz w:val="16"/>
              </w:rPr>
              <w:t>82,058</w:t>
            </w:r>
          </w:p>
        </w:tc>
      </w:tr>
      <w:tr>
        <w:tc>
          <w:tcPr>
            <w:tcW w:type="dxa" w:w="2952"/>
          </w:tcPr>
          <w:p>
            <w:pPr>
              <w:spacing w:after="20"/>
            </w:pPr>
            <w:r>
              <w:rPr>
                <w:color w:val="1C3A36"/>
                <w:sz w:val="16"/>
              </w:rPr>
              <w:t>Segment profit margin</w:t>
            </w:r>
          </w:p>
        </w:tc>
        <w:tc>
          <w:tcPr>
            <w:tcW w:type="dxa" w:w="1426"/>
          </w:tcPr>
          <w:p>
            <w:pPr>
              <w:spacing w:after="20"/>
              <w:jc w:val="right"/>
            </w:pPr>
            <w:r>
              <w:rPr>
                <w:color w:val="1C3A36"/>
                <w:sz w:val="16"/>
              </w:rPr>
              <w:t>12.3%</w:t>
            </w:r>
          </w:p>
        </w:tc>
        <w:tc>
          <w:tcPr>
            <w:tcW w:type="dxa" w:w="1426"/>
          </w:tcPr>
          <w:p>
            <w:pPr>
              <w:spacing w:after="20"/>
              <w:jc w:val="right"/>
            </w:pPr>
            <w:r>
              <w:rPr>
                <w:color w:val="1C3A36"/>
                <w:sz w:val="16"/>
              </w:rPr>
              <w:t>12.5%</w:t>
            </w:r>
          </w:p>
        </w:tc>
        <w:tc>
          <w:tcPr>
            <w:tcW w:type="dxa" w:w="1426"/>
          </w:tcPr>
          <w:p>
            <w:pPr>
              <w:spacing w:after="20"/>
              <w:jc w:val="right"/>
            </w:pPr>
            <w:r>
              <w:rPr>
                <w:color w:val="1C3A36"/>
                <w:sz w:val="16"/>
              </w:rPr>
              <w:t>12.6%</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r>
      <w:tr>
        <w:tc>
          <w:tcPr>
            <w:tcW w:type="dxa" w:w="2952"/>
          </w:tcPr>
          <w:p>
            <w:pPr>
              <w:spacing w:after="20"/>
            </w:pPr>
            <w:r>
              <w:rPr>
                <w:color w:val="1C3A36"/>
                <w:sz w:val="16"/>
              </w:rPr>
              <w:t>Less corporate cost load (to EBIT)</w:t>
            </w:r>
          </w:p>
        </w:tc>
        <w:tc>
          <w:tcPr>
            <w:tcW w:type="dxa" w:w="1426"/>
          </w:tcPr>
          <w:p>
            <w:pPr>
              <w:spacing w:after="20"/>
              <w:jc w:val="right"/>
            </w:pPr>
            <w:r>
              <w:rPr>
                <w:color w:val="1C3A36"/>
                <w:sz w:val="16"/>
              </w:rPr>
              <w:t>(11,365)</w:t>
            </w:r>
          </w:p>
        </w:tc>
        <w:tc>
          <w:tcPr>
            <w:tcW w:type="dxa" w:w="1426"/>
          </w:tcPr>
          <w:p>
            <w:pPr>
              <w:spacing w:after="20"/>
              <w:jc w:val="right"/>
            </w:pPr>
            <w:r>
              <w:rPr>
                <w:color w:val="1C3A36"/>
                <w:sz w:val="16"/>
              </w:rPr>
              <w:t>(13,791)</w:t>
            </w:r>
          </w:p>
        </w:tc>
        <w:tc>
          <w:tcPr>
            <w:tcW w:type="dxa" w:w="1426"/>
          </w:tcPr>
          <w:p>
            <w:pPr>
              <w:spacing w:after="20"/>
              <w:jc w:val="right"/>
            </w:pPr>
            <w:r>
              <w:rPr>
                <w:color w:val="1C3A36"/>
                <w:sz w:val="16"/>
              </w:rPr>
              <w:t>(15,808)</w:t>
            </w:r>
          </w:p>
        </w:tc>
        <w:tc>
          <w:tcPr>
            <w:tcW w:type="dxa" w:w="1426"/>
          </w:tcPr>
          <w:p>
            <w:pPr>
              <w:spacing w:after="20"/>
              <w:jc w:val="right"/>
            </w:pPr>
            <w:r>
              <w:rPr>
                <w:color w:val="1C3A36"/>
                <w:sz w:val="16"/>
              </w:rPr>
              <w:t>(17,781)</w:t>
            </w:r>
          </w:p>
        </w:tc>
        <w:tc>
          <w:tcPr>
            <w:tcW w:type="dxa" w:w="1426"/>
          </w:tcPr>
          <w:p>
            <w:pPr>
              <w:spacing w:after="20"/>
              <w:jc w:val="right"/>
            </w:pPr>
            <w:r>
              <w:rPr>
                <w:color w:val="1C3A36"/>
                <w:sz w:val="16"/>
              </w:rPr>
              <w:t>(19,804)</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34,325</w:t>
            </w:r>
          </w:p>
        </w:tc>
        <w:tc>
          <w:tcPr>
            <w:tcW w:type="dxa" w:w="1426"/>
            <w:shd w:val="clear" w:color="auto" w:fill="F6F1E6"/>
          </w:tcPr>
          <w:p>
            <w:pPr>
              <w:spacing w:after="20"/>
              <w:jc w:val="right"/>
            </w:pPr>
            <w:r>
              <w:rPr>
                <w:b/>
                <w:color w:val="1C3A36"/>
                <w:sz w:val="16"/>
              </w:rPr>
              <w:t>42,414</w:t>
            </w:r>
          </w:p>
        </w:tc>
        <w:tc>
          <w:tcPr>
            <w:tcW w:type="dxa" w:w="1426"/>
            <w:shd w:val="clear" w:color="auto" w:fill="F6F1E6"/>
          </w:tcPr>
          <w:p>
            <w:pPr>
              <w:spacing w:after="20"/>
              <w:jc w:val="right"/>
            </w:pPr>
            <w:r>
              <w:rPr>
                <w:b/>
                <w:color w:val="1C3A36"/>
                <w:sz w:val="16"/>
              </w:rPr>
              <w:t>49,293</w:t>
            </w:r>
          </w:p>
        </w:tc>
        <w:tc>
          <w:tcPr>
            <w:tcW w:type="dxa" w:w="1426"/>
            <w:shd w:val="clear" w:color="auto" w:fill="F6F1E6"/>
          </w:tcPr>
          <w:p>
            <w:pPr>
              <w:spacing w:after="20"/>
              <w:jc w:val="right"/>
            </w:pPr>
            <w:r>
              <w:rPr>
                <w:b/>
                <w:color w:val="1C3A36"/>
                <w:sz w:val="16"/>
              </w:rPr>
              <w:t>55,843</w:t>
            </w:r>
          </w:p>
        </w:tc>
        <w:tc>
          <w:tcPr>
            <w:tcW w:type="dxa" w:w="1426"/>
            <w:shd w:val="clear" w:color="auto" w:fill="F6F1E6"/>
          </w:tcPr>
          <w:p>
            <w:pPr>
              <w:spacing w:after="20"/>
              <w:jc w:val="right"/>
            </w:pPr>
            <w:r>
              <w:rPr>
                <w:b/>
                <w:color w:val="1C3A36"/>
                <w:sz w:val="16"/>
              </w:rPr>
              <w:t>62,254</w:t>
            </w:r>
          </w:p>
        </w:tc>
      </w:tr>
      <w:tr>
        <w:tc>
          <w:tcPr>
            <w:tcW w:type="dxa" w:w="2952"/>
          </w:tcPr>
          <w:p>
            <w:pPr>
              <w:spacing w:after="20"/>
            </w:pPr>
            <w:r>
              <w:rPr>
                <w:color w:val="1C3A36"/>
                <w:sz w:val="16"/>
              </w:rPr>
              <w:t>Add back depreciation and amortisation</w:t>
            </w:r>
          </w:p>
        </w:tc>
        <w:tc>
          <w:tcPr>
            <w:tcW w:type="dxa" w:w="1426"/>
          </w:tcPr>
          <w:p>
            <w:pPr>
              <w:spacing w:after="20"/>
              <w:jc w:val="right"/>
            </w:pPr>
            <w:r>
              <w:rPr>
                <w:color w:val="1C3A36"/>
                <w:sz w:val="16"/>
              </w:rPr>
              <w:t>3,961</w:t>
            </w:r>
          </w:p>
        </w:tc>
        <w:tc>
          <w:tcPr>
            <w:tcW w:type="dxa" w:w="1426"/>
          </w:tcPr>
          <w:p>
            <w:pPr>
              <w:spacing w:after="20"/>
              <w:jc w:val="right"/>
            </w:pPr>
            <w:r>
              <w:rPr>
                <w:color w:val="1C3A36"/>
                <w:sz w:val="16"/>
              </w:rPr>
              <w:t>4,807</w:t>
            </w:r>
          </w:p>
        </w:tc>
        <w:tc>
          <w:tcPr>
            <w:tcW w:type="dxa" w:w="1426"/>
          </w:tcPr>
          <w:p>
            <w:pPr>
              <w:spacing w:after="20"/>
              <w:jc w:val="right"/>
            </w:pPr>
            <w:r>
              <w:rPr>
                <w:color w:val="1C3A36"/>
                <w:sz w:val="16"/>
              </w:rPr>
              <w:t>5,510</w:t>
            </w:r>
          </w:p>
        </w:tc>
        <w:tc>
          <w:tcPr>
            <w:tcW w:type="dxa" w:w="1426"/>
          </w:tcPr>
          <w:p>
            <w:pPr>
              <w:spacing w:after="20"/>
              <w:jc w:val="right"/>
            </w:pPr>
            <w:r>
              <w:rPr>
                <w:color w:val="1C3A36"/>
                <w:sz w:val="16"/>
              </w:rPr>
              <w:t>6,197</w:t>
            </w:r>
          </w:p>
        </w:tc>
        <w:tc>
          <w:tcPr>
            <w:tcW w:type="dxa" w:w="1426"/>
          </w:tcPr>
          <w:p>
            <w:pPr>
              <w:spacing w:after="20"/>
              <w:jc w:val="right"/>
            </w:pPr>
            <w:r>
              <w:rPr>
                <w:color w:val="1C3A36"/>
                <w:sz w:val="16"/>
              </w:rPr>
              <w:t>6,902</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38,286</w:t>
            </w:r>
          </w:p>
        </w:tc>
        <w:tc>
          <w:tcPr>
            <w:tcW w:type="dxa" w:w="1426"/>
            <w:shd w:val="clear" w:color="auto" w:fill="F6F1E6"/>
          </w:tcPr>
          <w:p>
            <w:pPr>
              <w:spacing w:after="20"/>
              <w:jc w:val="right"/>
            </w:pPr>
            <w:r>
              <w:rPr>
                <w:b/>
                <w:color w:val="1C3A36"/>
                <w:sz w:val="16"/>
              </w:rPr>
              <w:t>47,221</w:t>
            </w:r>
          </w:p>
        </w:tc>
        <w:tc>
          <w:tcPr>
            <w:tcW w:type="dxa" w:w="1426"/>
            <w:shd w:val="clear" w:color="auto" w:fill="F6F1E6"/>
          </w:tcPr>
          <w:p>
            <w:pPr>
              <w:spacing w:after="20"/>
              <w:jc w:val="right"/>
            </w:pPr>
            <w:r>
              <w:rPr>
                <w:b/>
                <w:color w:val="1C3A36"/>
                <w:sz w:val="16"/>
              </w:rPr>
              <w:t>54,802</w:t>
            </w:r>
          </w:p>
        </w:tc>
        <w:tc>
          <w:tcPr>
            <w:tcW w:type="dxa" w:w="1426"/>
            <w:shd w:val="clear" w:color="auto" w:fill="F6F1E6"/>
          </w:tcPr>
          <w:p>
            <w:pPr>
              <w:spacing w:after="20"/>
              <w:jc w:val="right"/>
            </w:pPr>
            <w:r>
              <w:rPr>
                <w:b/>
                <w:color w:val="1C3A36"/>
                <w:sz w:val="16"/>
              </w:rPr>
              <w:t>62,040</w:t>
            </w:r>
          </w:p>
        </w:tc>
        <w:tc>
          <w:tcPr>
            <w:tcW w:type="dxa" w:w="1426"/>
            <w:shd w:val="clear" w:color="auto" w:fill="F6F1E6"/>
          </w:tcPr>
          <w:p>
            <w:pPr>
              <w:spacing w:after="20"/>
              <w:jc w:val="right"/>
            </w:pPr>
            <w:r>
              <w:rPr>
                <w:b/>
                <w:color w:val="1C3A36"/>
                <w:sz w:val="16"/>
              </w:rPr>
              <w:t>69,157</w:t>
            </w:r>
          </w:p>
        </w:tc>
      </w:tr>
      <w:tr>
        <w:tc>
          <w:tcPr>
            <w:tcW w:type="dxa" w:w="2952"/>
          </w:tcPr>
          <w:p>
            <w:pPr>
              <w:spacing w:after="20"/>
            </w:pPr>
            <w:r>
              <w:rPr>
                <w:color w:val="1C3A36"/>
                <w:sz w:val="16"/>
              </w:rPr>
              <w:t>EBITDA margin</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10.5%</w:t>
            </w:r>
          </w:p>
        </w:tc>
        <w:tc>
          <w:tcPr>
            <w:tcW w:type="dxa" w:w="1426"/>
          </w:tcPr>
          <w:p>
            <w:pPr>
              <w:spacing w:after="20"/>
              <w:jc w:val="right"/>
            </w:pPr>
            <w:r>
              <w:rPr>
                <w:color w:val="1C3A36"/>
                <w:sz w:val="16"/>
              </w:rPr>
              <w:t>10.6%</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r>
    </w:tbl>
    <w:p>
      <w:pPr>
        <w:spacing w:after="40"/>
      </w:pPr>
    </w:p>
    <w:p>
      <w:pPr>
        <w:spacing w:after="200" w:before="0"/>
      </w:pPr>
      <w:r>
        <w:rPr>
          <w:b w:val="0"/>
          <w:i/>
          <w:color w:val="6E7B77"/>
          <w:sz w:val="17"/>
        </w:rPr>
        <w:t>THE FY2026 BUILD IS CALIBRATED ON THE REVIEWED HALF TO 30 JUNE 2026, not merely checked against it: all three segment growth rates are that half's own year-on-year ratios (cables 30.57%, construct 27.44%, elecprod 48.28%), all three margins are FY2025 plus its like-for-like change, and working capital and capital expenditure are re-anchored on it. The Q1-2026 gross-up is therefore NOT an independent check — it is a quarter of the period the build stands on — and it is shown for continuity rather than as corroboration: the disclosed Q1-2026 revenue of 75,298, grossed up on the Q1-2025 seasonal share of FY2025, implies a full FY2026 of roughly 356,323 against the build's 370,194, a +4% difference.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343,539</w:t>
            </w:r>
          </w:p>
        </w:tc>
        <w:tc>
          <w:tcPr>
            <w:tcW w:type="dxa" w:w="1181"/>
          </w:tcPr>
          <w:p>
            <w:pPr>
              <w:spacing w:after="20"/>
              <w:jc w:val="right"/>
            </w:pPr>
            <w:r>
              <w:rPr>
                <w:color w:val="1C3A36"/>
                <w:sz w:val="16"/>
              </w:rPr>
              <w:t>53.3%</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194,420</w:t>
            </w:r>
          </w:p>
        </w:tc>
        <w:tc>
          <w:tcPr>
            <w:tcW w:type="dxa" w:w="1181"/>
          </w:tcPr>
          <w:p>
            <w:pPr>
              <w:spacing w:after="20"/>
              <w:jc w:val="right"/>
            </w:pPr>
            <w:r>
              <w:rPr>
                <w:color w:val="1C3A36"/>
                <w:sz w:val="16"/>
              </w:rPr>
              <w:t>30.1%</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107,125</w:t>
            </w:r>
          </w:p>
        </w:tc>
        <w:tc>
          <w:tcPr>
            <w:tcW w:type="dxa" w:w="1181"/>
          </w:tcPr>
          <w:p>
            <w:pPr>
              <w:spacing w:after="20"/>
              <w:jc w:val="right"/>
            </w:pPr>
            <w:r>
              <w:rPr>
                <w:color w:val="1C3A36"/>
                <w:sz w:val="16"/>
              </w:rPr>
              <w:t>16.6%</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645,083</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53.3%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16,965mn working-capital build cuts free cash flow to the firm to just EGP -319mn, against EGP 5,227mn the following year once the step-up is absorbed. A rising copper price is not good news for this business in the year it happens.</w:t>
      </w:r>
    </w:p>
    <w:p>
      <w:pPr>
        <w:spacing w:after="120" w:before="0"/>
      </w:pPr>
      <w:r>
        <w:rPr>
          <w:b w:val="0"/>
          <w:i w:val="0"/>
          <w:color w:val="1C3A36"/>
          <w:sz w:val="21"/>
        </w:rPr>
        <w:t>The model holds this ratio near 19.7% of revenue, the FY2025 disclosed level. That single assumption is worth a great deal: every percentage point of revenue added to or removed from working-capital intensity is worth roughly EGP 2.87-3.67 per share (the local slope at the base and the average across the tested 17-23% span).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(readings on the anchor date span roughly 22.3-23.0% across sources and disagree; the adopted point sits at the low end and the rate is carried in the sensitivity). Terminal = 7.0% long-run Egyptian inflation READ FROM THE HOUSE MACRO PATH plus a 3.5% real-rate convention = 10.50%. It is the same inflation the terminal growth rate of 9.14% is derived from, by construction rather than by coincidence — a discount rate and a growth rate built on two different inflations would be a free lunch of two points in perpetuity</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hard-currency CDS spread, netted from the local yield and then re-entering, volatility-scaled, through the country premium inside the ERP. The NET country charge through the equity channel is therefore about +1.9pp, not zero — stated plainly, since an earlier wording implied the netting removed the charge outright. The un-netted construction (cost of equity 33.8%) is retired but retained in the audit trail</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1.225</w:t>
            </w:r>
          </w:p>
        </w:tc>
        <w:tc>
          <w:tcPr>
            <w:tcW w:type="dxa" w:w="1152"/>
          </w:tcPr>
          <w:p>
            <w:pPr>
              <w:spacing w:after="20"/>
              <w:jc w:val="right"/>
            </w:pPr>
            <w:r>
              <w:rPr>
                <w:color w:val="1C3A36"/>
                <w:sz w:val="16"/>
              </w:rPr>
              <w:t>1.000</w:t>
            </w:r>
          </w:p>
        </w:tc>
        <w:tc>
          <w:tcPr>
            <w:tcW w:type="dxa" w:w="5299"/>
          </w:tcPr>
          <w:p>
            <w:pPr>
              <w:spacing w:after="20"/>
              <w:jc w:val="right"/>
            </w:pPr>
            <w:r>
              <w:rPr>
                <w:color w:val="1C3A36"/>
                <w:sz w:val="16"/>
              </w:rPr>
              <w:t>explicit window: own-stock weekly regression against the published EGX30 index of the exchange this share is listed on, over 4.94 years: R-squared 0.368, n = 256, standard error 0.170, 90% interval [0.95, 1.50]. Terminal: beta is carried to 1.00 rather than held at the measured figure — today's relative risk is not a property of the company in perpetuity, and the construction is named in the cost-of-capital record as beta_to_one_split</w:t>
            </w:r>
          </w:p>
        </w:tc>
      </w:tr>
      <w:tr>
        <w:tc>
          <w:tcPr>
            <w:tcW w:type="dxa" w:w="2304"/>
          </w:tcPr>
          <w:p>
            <w:pPr>
              <w:spacing w:after="20"/>
            </w:pPr>
            <w:r>
              <w:rPr>
                <w:color w:val="1C3A36"/>
                <w:sz w:val="16"/>
              </w:rPr>
              <w:t>Equity risk premium — mature-market leg (beta applies HERE, and only here)</w:t>
            </w:r>
          </w:p>
        </w:tc>
        <w:tc>
          <w:tcPr>
            <w:tcW w:type="dxa" w:w="1325"/>
          </w:tcPr>
          <w:p>
            <w:pPr>
              <w:spacing w:after="20"/>
              <w:jc w:val="right"/>
            </w:pPr>
            <w:r>
              <w:rPr>
                <w:color w:val="1C3A36"/>
                <w:sz w:val="16"/>
              </w:rPr>
              <w:t>4.24%</w:t>
            </w:r>
          </w:p>
        </w:tc>
        <w:tc>
          <w:tcPr>
            <w:tcW w:type="dxa" w:w="1152"/>
          </w:tcPr>
          <w:p>
            <w:pPr>
              <w:spacing w:after="20"/>
              <w:jc w:val="right"/>
            </w:pPr>
            <w:r>
              <w:rPr>
                <w:color w:val="1C3A36"/>
                <w:sz w:val="16"/>
              </w:rPr>
              <w:t>4.24%</w:t>
            </w:r>
          </w:p>
        </w:tc>
        <w:tc>
          <w:tcPr>
            <w:tcW w:type="dxa" w:w="5299"/>
          </w:tcPr>
          <w:p>
            <w:pPr>
              <w:spacing w:after="20"/>
              <w:jc w:val="right"/>
            </w:pPr>
            <w:r>
              <w:rPr>
                <w:color w:val="1C3A36"/>
                <w:sz w:val="16"/>
              </w:rPr>
              <w:t>the mature-market equity risk premium out of the published country-premium file (January-2026 vintage). This is the only leg the beta above multiplies</w:t>
            </w:r>
          </w:p>
        </w:tc>
      </w:tr>
      <w:tr>
        <w:tc>
          <w:tcPr>
            <w:tcW w:type="dxa" w:w="2304"/>
          </w:tcPr>
          <w:p>
            <w:pPr>
              <w:spacing w:after="20"/>
            </w:pPr>
            <w:r>
              <w:rPr>
                <w:color w:val="1C3A36"/>
                <w:sz w:val="16"/>
              </w:rPr>
              <w:t xml:space="preserve">  → beta × the mature leg</w:t>
            </w:r>
          </w:p>
        </w:tc>
        <w:tc>
          <w:tcPr>
            <w:tcW w:type="dxa" w:w="1325"/>
          </w:tcPr>
          <w:p>
            <w:pPr>
              <w:spacing w:after="20"/>
              <w:jc w:val="right"/>
            </w:pPr>
            <w:r>
              <w:rPr>
                <w:color w:val="1C3A36"/>
                <w:sz w:val="16"/>
              </w:rPr>
              <w:t>5.20%</w:t>
            </w:r>
          </w:p>
        </w:tc>
        <w:tc>
          <w:tcPr>
            <w:tcW w:type="dxa" w:w="1152"/>
          </w:tcPr>
          <w:p>
            <w:pPr>
              <w:spacing w:after="20"/>
              <w:jc w:val="right"/>
            </w:pPr>
            <w:r>
              <w:rPr>
                <w:color w:val="1C3A36"/>
                <w:sz w:val="16"/>
              </w:rPr>
              <w:t>4.24%</w:t>
            </w:r>
          </w:p>
        </w:tc>
        <w:tc>
          <w:tcPr>
            <w:tcW w:type="dxa" w:w="5299"/>
          </w:tcPr>
          <w:p>
            <w:pPr>
              <w:spacing w:after="20"/>
              <w:jc w:val="right"/>
            </w:pPr>
            <w:r>
              <w:rPr>
                <w:color w:val="1C3A36"/>
                <w:sz w:val="16"/>
              </w:rPr>
              <w:t>the product of the two rows above it</w:t>
            </w:r>
          </w:p>
        </w:tc>
      </w:tr>
      <w:tr>
        <w:tc>
          <w:tcPr>
            <w:tcW w:type="dxa" w:w="2304"/>
          </w:tcPr>
          <w:p>
            <w:pPr>
              <w:spacing w:after="20"/>
            </w:pPr>
            <w:r>
              <w:rPr>
                <w:color w:val="1C3A36"/>
                <w:sz w:val="16"/>
              </w:rPr>
              <w:t>Country premium — levied FLAT, never multiplied by beta</w:t>
            </w:r>
          </w:p>
        </w:tc>
        <w:tc>
          <w:tcPr>
            <w:tcW w:type="dxa" w:w="1325"/>
          </w:tcPr>
          <w:p>
            <w:pPr>
              <w:spacing w:after="20"/>
              <w:jc w:val="right"/>
            </w:pPr>
            <w:r>
              <w:rPr>
                <w:color w:val="1C3A36"/>
                <w:sz w:val="16"/>
              </w:rPr>
              <w:t>3.98%</w:t>
            </w:r>
          </w:p>
        </w:tc>
        <w:tc>
          <w:tcPr>
            <w:tcW w:type="dxa" w:w="1152"/>
          </w:tcPr>
          <w:p>
            <w:pPr>
              <w:spacing w:after="20"/>
              <w:jc w:val="right"/>
            </w:pPr>
            <w:r>
              <w:rPr>
                <w:color w:val="1C3A36"/>
                <w:sz w:val="16"/>
              </w:rPr>
              <w:t>2.13%</w:t>
            </w:r>
          </w:p>
        </w:tc>
        <w:tc>
          <w:tcPr>
            <w:tcW w:type="dxa" w:w="5299"/>
          </w:tcPr>
          <w:p>
            <w:pPr>
              <w:spacing w:after="20"/>
              <w:jc w:val="right"/>
            </w:pPr>
            <w:r>
              <w:rPr>
                <w:color w:val="1C3A36"/>
                <w:sz w:val="16"/>
              </w:rPr>
              <w:t>Egypt's home premium of 5.17% weighted at 0.5928 for the share of operations inside Egypt, blended with a 2.26% premium on the rest. Charging a 1.22-beta company 22% more country risk than the market is a separate claim and this study does not make it</w:t>
            </w:r>
          </w:p>
        </w:tc>
      </w:tr>
      <w:tr>
        <w:tc>
          <w:tcPr>
            <w:tcW w:type="dxa" w:w="2304"/>
            <w:shd w:val="clear" w:color="auto" w:fill="F6F1E6"/>
          </w:tcPr>
          <w:p>
            <w:pPr>
              <w:spacing w:after="20"/>
            </w:pPr>
            <w:r>
              <w:rPr>
                <w:b/>
                <w:color w:val="1C3A36"/>
                <w:sz w:val="16"/>
              </w:rPr>
              <w:t>Total premium charged (the two legs above)</w:t>
            </w:r>
          </w:p>
        </w:tc>
        <w:tc>
          <w:tcPr>
            <w:tcW w:type="dxa" w:w="1325"/>
            <w:shd w:val="clear" w:color="auto" w:fill="F6F1E6"/>
          </w:tcPr>
          <w:p>
            <w:pPr>
              <w:spacing w:after="20"/>
              <w:jc w:val="right"/>
            </w:pPr>
            <w:r>
              <w:rPr>
                <w:b/>
                <w:color w:val="1C3A36"/>
                <w:sz w:val="16"/>
              </w:rPr>
              <w:t>9.18%</w:t>
            </w:r>
          </w:p>
        </w:tc>
        <w:tc>
          <w:tcPr>
            <w:tcW w:type="dxa" w:w="1152"/>
            <w:shd w:val="clear" w:color="auto" w:fill="F6F1E6"/>
          </w:tcPr>
          <w:p>
            <w:pPr>
              <w:spacing w:after="20"/>
              <w:jc w:val="right"/>
            </w:pPr>
            <w:r>
              <w:rPr>
                <w:b/>
                <w:color w:val="1C3A36"/>
                <w:sz w:val="16"/>
              </w:rPr>
              <w:t>6.37%</w:t>
            </w:r>
          </w:p>
        </w:tc>
        <w:tc>
          <w:tcPr>
            <w:tcW w:type="dxa" w:w="5299"/>
            <w:shd w:val="clear" w:color="auto" w:fill="F6F1E6"/>
          </w:tcPr>
          <w:p>
            <w:pPr>
              <w:spacing w:after="20"/>
              <w:jc w:val="right"/>
            </w:pPr>
            <w:r>
              <w:rPr>
                <w:b/>
                <w:color w:val="1C3A36"/>
                <w:sz w:val="16"/>
              </w:rPr>
              <w:t>for comparison, the undivided published premium is 9.4% on the credit-default-swap basis; multiplying THAT by beta is the retired construction and gives a cost of equity of 33.8%</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28.1%</w:t>
            </w:r>
          </w:p>
        </w:tc>
        <w:tc>
          <w:tcPr>
            <w:tcW w:type="dxa" w:w="1152"/>
          </w:tcPr>
          <w:p>
            <w:pPr>
              <w:spacing w:after="20"/>
              <w:jc w:val="right"/>
            </w:pPr>
            <w:r>
              <w:rPr>
                <w:color w:val="1C3A36"/>
                <w:sz w:val="16"/>
              </w:rPr>
              <w:t>16.9%</w:t>
            </w:r>
          </w:p>
        </w:tc>
        <w:tc>
          <w:tcPr>
            <w:tcW w:type="dxa" w:w="5299"/>
          </w:tcPr>
          <w:p>
            <w:pPr>
              <w:spacing w:after="20"/>
              <w:jc w:val="right"/>
            </w:pPr>
            <w:r>
              <w:rPr>
                <w:color w:val="1C3A36"/>
                <w:sz w:val="16"/>
              </w:rPr>
              <w:t>the adjusted risk-free rate plus the two premium legs above — and the rows of this table now reach it: 18.91% + 5.20% + 3.98% = 28.09%</w:t>
            </w:r>
          </w:p>
        </w:tc>
      </w:tr>
      <w:tr>
        <w:tc>
          <w:tcPr>
            <w:tcW w:type="dxa" w:w="2304"/>
          </w:tcPr>
          <w:p>
            <w:pPr>
              <w:spacing w:after="20"/>
            </w:pPr>
            <w:r>
              <w:rPr>
                <w:color w:val="1C3A36"/>
                <w:sz w:val="16"/>
              </w:rPr>
              <w:t>Cost of debt (blended, pre-tax)</w:t>
            </w:r>
          </w:p>
        </w:tc>
        <w:tc>
          <w:tcPr>
            <w:tcW w:type="dxa" w:w="1325"/>
          </w:tcPr>
          <w:p>
            <w:pPr>
              <w:spacing w:after="20"/>
              <w:jc w:val="right"/>
            </w:pPr>
            <w:r>
              <w:rPr>
                <w:color w:val="1C3A36"/>
                <w:sz w:val="16"/>
              </w:rPr>
              <w:t>9.5%</w:t>
            </w:r>
          </w:p>
        </w:tc>
        <w:tc>
          <w:tcPr>
            <w:tcW w:type="dxa" w:w="1152"/>
          </w:tcPr>
          <w:p>
            <w:pPr>
              <w:spacing w:after="20"/>
              <w:jc w:val="right"/>
            </w:pPr>
            <w:r>
              <w:rPr>
                <w:color w:val="1C3A36"/>
                <w:sz w:val="16"/>
              </w:rPr>
              <w:t>8.9%</w:t>
            </w:r>
          </w:p>
        </w:tc>
        <w:tc>
          <w:tcPr>
            <w:tcW w:type="dxa" w:w="5299"/>
          </w:tcPr>
          <w:p>
            <w:pPr>
              <w:spacing w:after="20"/>
              <w:jc w:val="right"/>
            </w:pPr>
            <w:r>
              <w:rPr>
                <w:color w:val="1C3A36"/>
                <w:sz w:val="16"/>
              </w:rPr>
              <w:t>currency-blended — see the evidence immediately below. 9.5% is the FY2026 forward point of the disclosed cost-of-debt path under the central bank's easing cycle; the FY2025 trailing effective rate was 9.8%, and the integrity gate bounds the two against each other</w:t>
            </w:r>
          </w:p>
        </w:tc>
      </w:tr>
      <w:tr>
        <w:tc>
          <w:tcPr>
            <w:tcW w:type="dxa" w:w="2304"/>
          </w:tcPr>
          <w:p>
            <w:pPr>
              <w:spacing w:after="20"/>
            </w:pPr>
            <w:r>
              <w:rPr>
                <w:color w:val="1C3A36"/>
                <w:sz w:val="16"/>
              </w:rPr>
              <w:t>Cost-of-debt path (drives the glide)</w:t>
            </w:r>
          </w:p>
        </w:tc>
        <w:tc>
          <w:tcPr>
            <w:tcW w:type="dxa" w:w="1325"/>
          </w:tcPr>
          <w:p>
            <w:pPr>
              <w:spacing w:after="20"/>
              <w:jc w:val="right"/>
            </w:pPr>
            <w:r>
              <w:rPr>
                <w:color w:val="1C3A36"/>
                <w:sz w:val="16"/>
              </w:rPr>
              <w:t>9.5% / 8.9% / 8.4% / 8.0% / 7.7%</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forward rates whose cumulative progress sets the glide fractions between the explicit-window and terminal cost of capital — published so the three intermediate discount rates are reproducible</w:t>
            </w:r>
          </w:p>
        </w:tc>
      </w:tr>
      <w:tr>
        <w:tc>
          <w:tcPr>
            <w:tcW w:type="dxa" w:w="2304"/>
            <w:shd w:val="clear" w:color="auto" w:fill="F6F1E6"/>
          </w:tcPr>
          <w:p>
            <w:pPr>
              <w:spacing w:after="20"/>
            </w:pPr>
            <w:r>
              <w:rPr>
                <w:b/>
                <w:color w:val="1C3A36"/>
                <w:sz w:val="16"/>
              </w:rPr>
              <w:t>Debt weight</w:t>
            </w:r>
          </w:p>
        </w:tc>
        <w:tc>
          <w:tcPr>
            <w:tcW w:type="dxa" w:w="1325"/>
            <w:shd w:val="clear" w:color="auto" w:fill="F6F1E6"/>
          </w:tcPr>
          <w:p>
            <w:pPr>
              <w:spacing w:after="20"/>
              <w:jc w:val="right"/>
            </w:pPr>
            <w:r>
              <w:rPr>
                <w:b/>
                <w:color w:val="1C3A36"/>
                <w:sz w:val="16"/>
              </w:rPr>
              <w:t>6.9%</w:t>
            </w:r>
          </w:p>
        </w:tc>
        <w:tc>
          <w:tcPr>
            <w:tcW w:type="dxa" w:w="1152"/>
            <w:shd w:val="clear" w:color="auto" w:fill="F6F1E6"/>
          </w:tcPr>
          <w:p>
            <w:pPr>
              <w:spacing w:after="20"/>
              <w:jc w:val="right"/>
            </w:pPr>
            <w:r>
              <w:rPr>
                <w:b/>
                <w:color w:val="1C3A36"/>
                <w:sz w:val="16"/>
              </w:rPr>
              <w:t>15.0%</w:t>
            </w:r>
          </w:p>
        </w:tc>
        <w:tc>
          <w:tcPr>
            <w:tcW w:type="dxa" w:w="5299"/>
            <w:shd w:val="clear" w:color="auto" w:fill="F6F1E6"/>
          </w:tcPr>
          <w:p>
            <w:pPr>
              <w:spacing w:after="20"/>
              <w:jc w:val="right"/>
            </w:pPr>
            <w:r>
              <w:rPr>
                <w:b/>
                <w:color w:val="1C3A36"/>
                <w:sz w:val="16"/>
              </w:rPr>
              <w:t>net debt against market capitalisation for the explicit window; a normalised 15% for the terminal — REVISED from 25% after review showed the old weight contradicted the model's own forecast deleveraging in the direction that flattered the valuation; worth about -2.4 on the cash-flow lens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26.7%</w:t>
            </w:r>
          </w:p>
        </w:tc>
        <w:tc>
          <w:tcPr>
            <w:tcW w:type="dxa" w:w="1152"/>
          </w:tcPr>
          <w:p>
            <w:pPr>
              <w:spacing w:after="20"/>
              <w:jc w:val="right"/>
            </w:pPr>
            <w:r>
              <w:rPr>
                <w:color w:val="1C3A36"/>
                <w:sz w:val="16"/>
              </w:rPr>
              <w:t>15.3%</w:t>
            </w:r>
          </w:p>
        </w:tc>
        <w:tc>
          <w:tcPr>
            <w:tcW w:type="dxa" w:w="5299"/>
          </w:tcPr>
          <w:p>
            <w:pPr>
              <w:spacing w:after="20"/>
              <w:jc w:val="right"/>
            </w:pPr>
            <w:r>
              <w:rPr>
                <w:color w:val="1C3A36"/>
                <w:sz w:val="16"/>
              </w:rPr>
            </w:r>
          </w:p>
        </w:tc>
      </w:tr>
    </w:tbl>
    <w:p>
      <w:pPr>
        <w:spacing w:after="40"/>
      </w:pPr>
    </w:p>
    <w:p>
      <w:pPr>
        <w:spacing w:after="200" w:before="0"/>
      </w:pPr>
      <w:r>
        <w:rPr>
          <w:b w:val="0"/>
          <w:i/>
          <w:color w:val="6E7B77"/>
          <w:sz w:val="17"/>
        </w:rPr>
        <w:t>Discounting is end-of-year discrete (each year's flow at its full-year factor) — the conservative convention; mid-year discounting would raise the explicit strip about 7%. All values are then rolled to the 2026-09-03 anchor as shown in the bridge.</w:t>
      </w: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roughly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in the construction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33.0%</w:t>
            </w:r>
          </w:p>
        </w:tc>
        <w:tc>
          <w:tcPr>
            <w:tcW w:type="dxa" w:w="1843"/>
          </w:tcPr>
          <w:p>
            <w:pPr>
              <w:spacing w:after="20"/>
              <w:jc w:val="right"/>
            </w:pPr>
            <w:r>
              <w:rPr>
                <w:color w:val="1C3A36"/>
                <w:sz w:val="16"/>
              </w:rPr>
              <w:t>EGP 33.67 (against 87.94)</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54.27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99.33 (11.39)</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(18.3% weight, cost of capital 24.3%)</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(15.5%): the hard-currency legs loaded with the pound's own 7.6%/year forecast depreciation, under uncovered interest parity</w:t>
            </w:r>
          </w:p>
        </w:tc>
        <w:tc>
          <w:tcPr>
            <w:tcW w:type="dxa" w:w="1843"/>
          </w:tcPr>
          <w:p>
            <w:pPr>
              <w:spacing w:after="20"/>
              <w:jc w:val="right"/>
            </w:pPr>
            <w:r>
              <w:rPr>
                <w:color w:val="1C3A36"/>
                <w:sz w:val="16"/>
              </w:rPr>
              <w:t>EGP 87.41 (-0.54)</w:t>
            </w:r>
          </w:p>
        </w:tc>
        <w:tc>
          <w:tcPr>
            <w:tcW w:type="dxa" w:w="3096"/>
          </w:tcPr>
          <w:p>
            <w:pPr>
              <w:spacing w:after="20"/>
              <w:jc w:val="right"/>
            </w:pPr>
            <w:r>
              <w:rPr>
                <w:color w:val="1C3A36"/>
                <w:sz w:val="16"/>
              </w:rPr>
              <w:t>Net debt carries only 6.9% of the capital structure, so even this 604-basis-point swing in Kd moves the fair value by well under 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22.3% to 23.0%, and disagree with each other; the adopted point sits at the low end</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Because the readings conflict, the rate is carried in the sensitivity grid rather than presented as precise; the direction of the low-end choice is generous and is said so here</w:t>
            </w:r>
          </w:p>
        </w:tc>
      </w:tr>
      <w:tr>
        <w:tc>
          <w:tcPr>
            <w:tcW w:type="dxa" w:w="2477"/>
          </w:tcPr>
          <w:p>
            <w:pPr>
              <w:spacing w:after="20"/>
            </w:pPr>
            <w:r>
              <w:rPr>
                <w:color w:val="1C3A36"/>
                <w:sz w:val="16"/>
              </w:rPr>
              <w:t>Forecast effective tax rate 24.5%</w:t>
            </w:r>
          </w:p>
        </w:tc>
        <w:tc>
          <w:tcPr>
            <w:tcW w:type="dxa" w:w="2664"/>
          </w:tcPr>
          <w:p>
            <w:pPr>
              <w:spacing w:after="20"/>
              <w:jc w:val="right"/>
            </w:pPr>
            <w:r>
              <w:rPr>
                <w:color w:val="1C3A36"/>
                <w:sz w:val="16"/>
              </w:rPr>
              <w:t>Egypt's statutory 22.5%, or FY2025's actual effective 22.57%</w:t>
            </w:r>
          </w:p>
        </w:tc>
        <w:tc>
          <w:tcPr>
            <w:tcW w:type="dxa" w:w="1843"/>
          </w:tcPr>
          <w:p>
            <w:pPr>
              <w:spacing w:after="20"/>
              <w:jc w:val="right"/>
            </w:pPr>
            <w:r>
              <w:rPr>
                <w:color w:val="1C3A36"/>
                <w:sz w:val="16"/>
              </w:rPr>
              <w:t>roughly +1.8 on the cash-flow lens (+2.5%)</w:t>
            </w:r>
          </w:p>
        </w:tc>
        <w:tc>
          <w:tcPr>
            <w:tcW w:type="dxa" w:w="3096"/>
          </w:tcPr>
          <w:p>
            <w:pPr>
              <w:spacing w:after="20"/>
              <w:jc w:val="right"/>
            </w:pPr>
            <w:r>
              <w:rPr>
                <w:color w:val="1C3A36"/>
                <w:sz w:val="16"/>
              </w:rPr>
              <w:t>Audited effective rates ran 31.3% (FY2023), 30.1% (FY2024), 22.6% (FY2025) and 25.75% (Q1-2026); no statutory-vs-effective reconciliation is disclosed, and the group pays tax in 15+ jurisdictions plus revenue-basis Free-Zone entities. 24.5% sits between the FY2025 print and the Q1-2026 print rather than extrapolating the single best year — an external review correctly noted this choice was priced in the register but not displayed here; it now is</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33.67 the alternative sits well below the primary. A reader who prefers agency ratings to market spreads should use that number. (A July-2026 refresh of the same file reportedly lifts the rating-basis premium by roughly one point, making that alternative slightly more adverse still; the CDS-basis primary reproduces almost unchanged from the July parameters.)</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4 of the 25 cells reach the market price of 130.00, all of them in the corner combining the lowest terminal cost of capital with the highest terminal growth; the grid tops out at 221.10. What it takes to get there is the point: a terminal cost of capital 200bp below the adopted one at the same time as terminal growth at the top of the tested range — the two most favourable assumptions in the grid, together.</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23.7%</w:t>
            </w:r>
          </w:p>
        </w:tc>
        <w:tc>
          <w:tcPr>
            <w:tcW w:type="dxa" w:w="1541"/>
            <w:shd w:val="clear" w:color="auto" w:fill="EAF0EE"/>
          </w:tcPr>
          <w:p>
            <w:pPr>
              <w:spacing w:after="20"/>
            </w:pPr>
            <w:r>
              <w:rPr>
                <w:b/>
                <w:color w:val="1C3A36"/>
                <w:sz w:val="16"/>
              </w:rPr>
              <w:t>25.2%</w:t>
            </w:r>
          </w:p>
        </w:tc>
        <w:tc>
          <w:tcPr>
            <w:tcW w:type="dxa" w:w="1541"/>
            <w:shd w:val="clear" w:color="auto" w:fill="EAF0EE"/>
          </w:tcPr>
          <w:p>
            <w:pPr>
              <w:spacing w:after="20"/>
            </w:pPr>
            <w:r>
              <w:rPr>
                <w:b/>
                <w:color w:val="1C3A36"/>
                <w:sz w:val="16"/>
              </w:rPr>
              <w:t>26.7%</w:t>
            </w:r>
          </w:p>
        </w:tc>
        <w:tc>
          <w:tcPr>
            <w:tcW w:type="dxa" w:w="1541"/>
            <w:shd w:val="clear" w:color="auto" w:fill="EAF0EE"/>
          </w:tcPr>
          <w:p>
            <w:pPr>
              <w:spacing w:after="20"/>
            </w:pPr>
            <w:r>
              <w:rPr>
                <w:b/>
                <w:color w:val="1C3A36"/>
                <w:sz w:val="16"/>
              </w:rPr>
              <w:t>28.2%</w:t>
            </w:r>
          </w:p>
        </w:tc>
        <w:tc>
          <w:tcPr>
            <w:tcW w:type="dxa" w:w="1541"/>
            <w:shd w:val="clear" w:color="auto" w:fill="EAF0EE"/>
          </w:tcPr>
          <w:p>
            <w:pPr>
              <w:spacing w:after="20"/>
            </w:pPr>
            <w:r>
              <w:rPr>
                <w:b/>
                <w:color w:val="1C3A36"/>
                <w:sz w:val="16"/>
              </w:rPr>
              <w:t>29.7%</w:t>
            </w:r>
          </w:p>
        </w:tc>
      </w:tr>
      <w:tr>
        <w:tc>
          <w:tcPr>
            <w:tcW w:type="dxa" w:w="2333"/>
          </w:tcPr>
          <w:p>
            <w:pPr>
              <w:spacing w:after="20"/>
            </w:pPr>
            <w:r>
              <w:rPr>
                <w:color w:val="1C3A36"/>
                <w:sz w:val="16"/>
              </w:rPr>
              <w:t>terminal 13.3%</w:t>
            </w:r>
          </w:p>
        </w:tc>
        <w:tc>
          <w:tcPr>
            <w:tcW w:type="dxa" w:w="1541"/>
          </w:tcPr>
          <w:p>
            <w:pPr>
              <w:spacing w:after="20"/>
              <w:jc w:val="right"/>
            </w:pPr>
            <w:r>
              <w:rPr>
                <w:color w:val="1C3A36"/>
                <w:sz w:val="16"/>
              </w:rPr>
              <w:t>143.24</w:t>
            </w:r>
          </w:p>
        </w:tc>
        <w:tc>
          <w:tcPr>
            <w:tcW w:type="dxa" w:w="1541"/>
          </w:tcPr>
          <w:p>
            <w:pPr>
              <w:spacing w:after="20"/>
              <w:jc w:val="right"/>
            </w:pPr>
            <w:r>
              <w:rPr>
                <w:color w:val="1C3A36"/>
                <w:sz w:val="16"/>
              </w:rPr>
              <w:t>139.16</w:t>
            </w:r>
          </w:p>
        </w:tc>
        <w:tc>
          <w:tcPr>
            <w:tcW w:type="dxa" w:w="1541"/>
          </w:tcPr>
          <w:p>
            <w:pPr>
              <w:spacing w:after="20"/>
              <w:jc w:val="right"/>
            </w:pPr>
            <w:r>
              <w:rPr>
                <w:color w:val="1C3A36"/>
                <w:sz w:val="16"/>
              </w:rPr>
              <w:t>135.22</w:t>
            </w:r>
          </w:p>
        </w:tc>
        <w:tc>
          <w:tcPr>
            <w:tcW w:type="dxa" w:w="1541"/>
          </w:tcPr>
          <w:p>
            <w:pPr>
              <w:spacing w:after="20"/>
              <w:jc w:val="right"/>
            </w:pPr>
            <w:r>
              <w:rPr>
                <w:color w:val="1C3A36"/>
                <w:sz w:val="16"/>
              </w:rPr>
              <w:t>131.42</w:t>
            </w:r>
          </w:p>
        </w:tc>
        <w:tc>
          <w:tcPr>
            <w:tcW w:type="dxa" w:w="1541"/>
          </w:tcPr>
          <w:p>
            <w:pPr>
              <w:spacing w:after="20"/>
              <w:jc w:val="right"/>
            </w:pPr>
            <w:r>
              <w:rPr>
                <w:color w:val="1C3A36"/>
                <w:sz w:val="16"/>
              </w:rPr>
              <w:t>127.75</w:t>
            </w:r>
          </w:p>
        </w:tc>
      </w:tr>
      <w:tr>
        <w:tc>
          <w:tcPr>
            <w:tcW w:type="dxa" w:w="2333"/>
          </w:tcPr>
          <w:p>
            <w:pPr>
              <w:spacing w:after="20"/>
            </w:pPr>
            <w:r>
              <w:rPr>
                <w:color w:val="1C3A36"/>
                <w:sz w:val="16"/>
              </w:rPr>
              <w:t>terminal 14.3%</w:t>
            </w:r>
          </w:p>
        </w:tc>
        <w:tc>
          <w:tcPr>
            <w:tcW w:type="dxa" w:w="1541"/>
          </w:tcPr>
          <w:p>
            <w:pPr>
              <w:spacing w:after="20"/>
              <w:jc w:val="right"/>
            </w:pPr>
            <w:r>
              <w:rPr>
                <w:color w:val="1C3A36"/>
                <w:sz w:val="16"/>
              </w:rPr>
              <w:t>113.45</w:t>
            </w:r>
          </w:p>
        </w:tc>
        <w:tc>
          <w:tcPr>
            <w:tcW w:type="dxa" w:w="1541"/>
          </w:tcPr>
          <w:p>
            <w:pPr>
              <w:spacing w:after="20"/>
              <w:jc w:val="right"/>
            </w:pPr>
            <w:r>
              <w:rPr>
                <w:color w:val="1C3A36"/>
                <w:sz w:val="16"/>
              </w:rPr>
              <w:t>110.18</w:t>
            </w:r>
          </w:p>
        </w:tc>
        <w:tc>
          <w:tcPr>
            <w:tcW w:type="dxa" w:w="1541"/>
          </w:tcPr>
          <w:p>
            <w:pPr>
              <w:spacing w:after="20"/>
              <w:jc w:val="right"/>
            </w:pPr>
            <w:r>
              <w:rPr>
                <w:color w:val="1C3A36"/>
                <w:sz w:val="16"/>
              </w:rPr>
              <w:t>107.03</w:t>
            </w:r>
          </w:p>
        </w:tc>
        <w:tc>
          <w:tcPr>
            <w:tcW w:type="dxa" w:w="1541"/>
          </w:tcPr>
          <w:p>
            <w:pPr>
              <w:spacing w:after="20"/>
              <w:jc w:val="right"/>
            </w:pPr>
            <w:r>
              <w:rPr>
                <w:color w:val="1C3A36"/>
                <w:sz w:val="16"/>
              </w:rPr>
              <w:t>103.98</w:t>
            </w:r>
          </w:p>
        </w:tc>
        <w:tc>
          <w:tcPr>
            <w:tcW w:type="dxa" w:w="1541"/>
          </w:tcPr>
          <w:p>
            <w:pPr>
              <w:spacing w:after="20"/>
              <w:jc w:val="right"/>
            </w:pPr>
            <w:r>
              <w:rPr>
                <w:color w:val="1C3A36"/>
                <w:sz w:val="16"/>
              </w:rPr>
              <w:t>101.05</w:t>
            </w:r>
          </w:p>
        </w:tc>
      </w:tr>
      <w:tr>
        <w:tc>
          <w:tcPr>
            <w:tcW w:type="dxa" w:w="2333"/>
          </w:tcPr>
          <w:p>
            <w:pPr>
              <w:spacing w:after="20"/>
            </w:pPr>
            <w:r>
              <w:rPr>
                <w:color w:val="1C3A36"/>
                <w:sz w:val="16"/>
              </w:rPr>
              <w:t>terminal 15.3%</w:t>
            </w:r>
          </w:p>
        </w:tc>
        <w:tc>
          <w:tcPr>
            <w:tcW w:type="dxa" w:w="1541"/>
          </w:tcPr>
          <w:p>
            <w:pPr>
              <w:spacing w:after="20"/>
              <w:jc w:val="right"/>
            </w:pPr>
            <w:r>
              <w:rPr>
                <w:color w:val="1C3A36"/>
                <w:sz w:val="16"/>
              </w:rPr>
              <w:t>93.28</w:t>
            </w:r>
          </w:p>
        </w:tc>
        <w:tc>
          <w:tcPr>
            <w:tcW w:type="dxa" w:w="1541"/>
          </w:tcPr>
          <w:p>
            <w:pPr>
              <w:spacing w:after="20"/>
              <w:jc w:val="right"/>
            </w:pPr>
            <w:r>
              <w:rPr>
                <w:color w:val="1C3A36"/>
                <w:sz w:val="16"/>
              </w:rPr>
              <w:t>90.56</w:t>
            </w:r>
          </w:p>
        </w:tc>
        <w:tc>
          <w:tcPr>
            <w:tcW w:type="dxa" w:w="1541"/>
          </w:tcPr>
          <w:p>
            <w:pPr>
              <w:spacing w:after="20"/>
              <w:jc w:val="right"/>
            </w:pPr>
            <w:r>
              <w:rPr>
                <w:color w:val="1C3A36"/>
                <w:sz w:val="16"/>
              </w:rPr>
              <w:t>87.94</w:t>
            </w:r>
          </w:p>
        </w:tc>
        <w:tc>
          <w:tcPr>
            <w:tcW w:type="dxa" w:w="1541"/>
          </w:tcPr>
          <w:p>
            <w:pPr>
              <w:spacing w:after="20"/>
              <w:jc w:val="right"/>
            </w:pPr>
            <w:r>
              <w:rPr>
                <w:color w:val="1C3A36"/>
                <w:sz w:val="16"/>
              </w:rPr>
              <w:t>85.41</w:t>
            </w:r>
          </w:p>
        </w:tc>
        <w:tc>
          <w:tcPr>
            <w:tcW w:type="dxa" w:w="1541"/>
          </w:tcPr>
          <w:p>
            <w:pPr>
              <w:spacing w:after="20"/>
              <w:jc w:val="right"/>
            </w:pPr>
            <w:r>
              <w:rPr>
                <w:color w:val="1C3A36"/>
                <w:sz w:val="16"/>
              </w:rPr>
              <w:t>82.97</w:t>
            </w:r>
          </w:p>
        </w:tc>
      </w:tr>
      <w:tr>
        <w:tc>
          <w:tcPr>
            <w:tcW w:type="dxa" w:w="2333"/>
          </w:tcPr>
          <w:p>
            <w:pPr>
              <w:spacing w:after="20"/>
            </w:pPr>
            <w:r>
              <w:rPr>
                <w:color w:val="1C3A36"/>
                <w:sz w:val="16"/>
              </w:rPr>
              <w:t>terminal 16.3%</w:t>
            </w:r>
          </w:p>
        </w:tc>
        <w:tc>
          <w:tcPr>
            <w:tcW w:type="dxa" w:w="1541"/>
          </w:tcPr>
          <w:p>
            <w:pPr>
              <w:spacing w:after="20"/>
              <w:jc w:val="right"/>
            </w:pPr>
            <w:r>
              <w:rPr>
                <w:color w:val="1C3A36"/>
                <w:sz w:val="16"/>
              </w:rPr>
              <w:t>78.73</w:t>
            </w:r>
          </w:p>
        </w:tc>
        <w:tc>
          <w:tcPr>
            <w:tcW w:type="dxa" w:w="1541"/>
          </w:tcPr>
          <w:p>
            <w:pPr>
              <w:spacing w:after="20"/>
              <w:jc w:val="right"/>
            </w:pPr>
            <w:r>
              <w:rPr>
                <w:color w:val="1C3A36"/>
                <w:sz w:val="16"/>
              </w:rPr>
              <w:t>76.41</w:t>
            </w:r>
          </w:p>
        </w:tc>
        <w:tc>
          <w:tcPr>
            <w:tcW w:type="dxa" w:w="1541"/>
          </w:tcPr>
          <w:p>
            <w:pPr>
              <w:spacing w:after="20"/>
              <w:jc w:val="right"/>
            </w:pPr>
            <w:r>
              <w:rPr>
                <w:color w:val="1C3A36"/>
                <w:sz w:val="16"/>
              </w:rPr>
              <w:t>74.17</w:t>
            </w:r>
          </w:p>
        </w:tc>
        <w:tc>
          <w:tcPr>
            <w:tcW w:type="dxa" w:w="1541"/>
          </w:tcPr>
          <w:p>
            <w:pPr>
              <w:spacing w:after="20"/>
              <w:jc w:val="right"/>
            </w:pPr>
            <w:r>
              <w:rPr>
                <w:color w:val="1C3A36"/>
                <w:sz w:val="16"/>
              </w:rPr>
              <w:t>72.01</w:t>
            </w:r>
          </w:p>
        </w:tc>
        <w:tc>
          <w:tcPr>
            <w:tcW w:type="dxa" w:w="1541"/>
          </w:tcPr>
          <w:p>
            <w:pPr>
              <w:spacing w:after="20"/>
              <w:jc w:val="right"/>
            </w:pPr>
            <w:r>
              <w:rPr>
                <w:color w:val="1C3A36"/>
                <w:sz w:val="16"/>
              </w:rPr>
              <w:t>69.93</w:t>
            </w:r>
          </w:p>
        </w:tc>
      </w:tr>
      <w:tr>
        <w:tc>
          <w:tcPr>
            <w:tcW w:type="dxa" w:w="2333"/>
          </w:tcPr>
          <w:p>
            <w:pPr>
              <w:spacing w:after="20"/>
            </w:pPr>
            <w:r>
              <w:rPr>
                <w:color w:val="1C3A36"/>
                <w:sz w:val="16"/>
              </w:rPr>
              <w:t>terminal 17.3%</w:t>
            </w:r>
          </w:p>
        </w:tc>
        <w:tc>
          <w:tcPr>
            <w:tcW w:type="dxa" w:w="1541"/>
          </w:tcPr>
          <w:p>
            <w:pPr>
              <w:spacing w:after="20"/>
              <w:jc w:val="right"/>
            </w:pPr>
            <w:r>
              <w:rPr>
                <w:color w:val="1C3A36"/>
                <w:sz w:val="16"/>
              </w:rPr>
              <w:t>67.74</w:t>
            </w:r>
          </w:p>
        </w:tc>
        <w:tc>
          <w:tcPr>
            <w:tcW w:type="dxa" w:w="1541"/>
          </w:tcPr>
          <w:p>
            <w:pPr>
              <w:spacing w:after="20"/>
              <w:jc w:val="right"/>
            </w:pPr>
            <w:r>
              <w:rPr>
                <w:color w:val="1C3A36"/>
                <w:sz w:val="16"/>
              </w:rPr>
              <w:t>65.72</w:t>
            </w:r>
          </w:p>
        </w:tc>
        <w:tc>
          <w:tcPr>
            <w:tcW w:type="dxa" w:w="1541"/>
          </w:tcPr>
          <w:p>
            <w:pPr>
              <w:spacing w:after="20"/>
              <w:jc w:val="right"/>
            </w:pPr>
            <w:r>
              <w:rPr>
                <w:color w:val="1C3A36"/>
                <w:sz w:val="16"/>
              </w:rPr>
              <w:t>63.77</w:t>
            </w:r>
          </w:p>
        </w:tc>
        <w:tc>
          <w:tcPr>
            <w:tcW w:type="dxa" w:w="1541"/>
          </w:tcPr>
          <w:p>
            <w:pPr>
              <w:spacing w:after="20"/>
              <w:jc w:val="right"/>
            </w:pPr>
            <w:r>
              <w:rPr>
                <w:color w:val="1C3A36"/>
                <w:sz w:val="16"/>
              </w:rPr>
              <w:t>61.89</w:t>
            </w:r>
          </w:p>
        </w:tc>
        <w:tc>
          <w:tcPr>
            <w:tcW w:type="dxa" w:w="1541"/>
          </w:tcPr>
          <w:p>
            <w:pPr>
              <w:spacing w:after="20"/>
              <w:jc w:val="right"/>
            </w:pPr>
            <w:r>
              <w:rPr>
                <w:color w:val="1C3A36"/>
                <w:sz w:val="16"/>
              </w:rPr>
              <w:t>60.08</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87.44 – 92.31</w:t>
            </w:r>
          </w:p>
        </w:tc>
        <w:tc>
          <w:tcPr>
            <w:tcW w:type="dxa" w:w="1944"/>
          </w:tcPr>
          <w:p>
            <w:pPr>
              <w:spacing w:after="20"/>
              <w:jc w:val="right"/>
            </w:pPr>
            <w:r>
              <w:rPr>
                <w:color w:val="1C3A36"/>
                <w:sz w:val="17"/>
              </w:rPr>
              <w:t>4.87</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+70% (the deep tail is the interest-parity case)</w:t>
            </w:r>
          </w:p>
        </w:tc>
        <w:tc>
          <w:tcPr>
            <w:tcW w:type="dxa" w:w="2736"/>
          </w:tcPr>
          <w:p>
            <w:pPr>
              <w:spacing w:after="20"/>
              <w:jc w:val="right"/>
            </w:pPr>
            <w:r>
              <w:rPr>
                <w:color w:val="1C3A36"/>
                <w:sz w:val="17"/>
              </w:rPr>
              <w:t>85.02 – 108.43</w:t>
            </w:r>
          </w:p>
        </w:tc>
        <w:tc>
          <w:tcPr>
            <w:tcW w:type="dxa" w:w="1944"/>
          </w:tcPr>
          <w:p>
            <w:pPr>
              <w:spacing w:after="20"/>
              <w:jc w:val="right"/>
            </w:pPr>
            <w:r>
              <w:rPr>
                <w:color w:val="1C3A36"/>
                <w:sz w:val="17"/>
              </w:rPr>
              <w:t>23.41</w:t>
            </w:r>
          </w:p>
        </w:tc>
      </w:tr>
      <w:tr>
        <w:tc>
          <w:tcPr>
            <w:tcW w:type="dxa" w:w="3168"/>
          </w:tcPr>
          <w:p>
            <w:pPr>
              <w:spacing w:after="20"/>
            </w:pPr>
            <w:r>
              <w:rPr>
                <w:color w:val="1C3A36"/>
                <w:sz w:val="17"/>
              </w:rPr>
              <w:t>Segment margins (all three, multiplicative)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50.94 – 124.94</w:t>
            </w:r>
          </w:p>
        </w:tc>
        <w:tc>
          <w:tcPr>
            <w:tcW w:type="dxa" w:w="1944"/>
          </w:tcPr>
          <w:p>
            <w:pPr>
              <w:spacing w:after="20"/>
              <w:jc w:val="right"/>
            </w:pPr>
            <w:r>
              <w:rPr>
                <w:color w:val="1C3A36"/>
                <w:sz w:val="17"/>
              </w:rPr>
              <w:t>74.00</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83.55 – 92.33</w:t>
            </w:r>
          </w:p>
        </w:tc>
        <w:tc>
          <w:tcPr>
            <w:tcW w:type="dxa" w:w="1944"/>
          </w:tcPr>
          <w:p>
            <w:pPr>
              <w:spacing w:after="20"/>
              <w:jc w:val="right"/>
            </w:pPr>
            <w:r>
              <w:rPr>
                <w:color w:val="1C3A36"/>
                <w:sz w:val="17"/>
              </w:rPr>
              <w:t>8.78</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75.71 – 97.75</w:t>
            </w:r>
          </w:p>
        </w:tc>
        <w:tc>
          <w:tcPr>
            <w:tcW w:type="dxa" w:w="1944"/>
          </w:tcPr>
          <w:p>
            <w:pPr>
              <w:spacing w:after="20"/>
              <w:jc w:val="right"/>
            </w:pPr>
            <w:r>
              <w:rPr>
                <w:color w:val="1C3A36"/>
                <w:sz w:val="17"/>
              </w:rPr>
              <w:t>22.04</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81.02 – 91.47</w:t>
            </w:r>
          </w:p>
        </w:tc>
        <w:tc>
          <w:tcPr>
            <w:tcW w:type="dxa" w:w="1944"/>
          </w:tcPr>
          <w:p>
            <w:pPr>
              <w:spacing w:after="20"/>
              <w:jc w:val="right"/>
            </w:pPr>
            <w:r>
              <w:rPr>
                <w:color w:val="1C3A36"/>
                <w:sz w:val="17"/>
              </w:rPr>
              <w:t>10.45</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7% – 11%</w:t>
            </w:r>
          </w:p>
        </w:tc>
        <w:tc>
          <w:tcPr>
            <w:tcW w:type="dxa" w:w="2736"/>
          </w:tcPr>
          <w:p>
            <w:pPr>
              <w:spacing w:after="20"/>
              <w:jc w:val="right"/>
            </w:pPr>
            <w:r>
              <w:rPr>
                <w:color w:val="1C3A36"/>
                <w:sz w:val="17"/>
              </w:rPr>
              <w:t>75.53 – 111.45</w:t>
            </w:r>
          </w:p>
        </w:tc>
        <w:tc>
          <w:tcPr>
            <w:tcW w:type="dxa" w:w="1944"/>
          </w:tcPr>
          <w:p>
            <w:pPr>
              <w:spacing w:after="20"/>
              <w:jc w:val="right"/>
            </w:pPr>
            <w:r>
              <w:rPr>
                <w:color w:val="1C3A36"/>
                <w:sz w:val="17"/>
              </w:rPr>
              <w:t>35.92</w:t>
            </w:r>
          </w:p>
        </w:tc>
      </w:tr>
    </w:tbl>
    <w:p>
      <w:pPr>
        <w:spacing w:after="40"/>
      </w:pPr>
    </w:p>
    <w:p>
      <w:pPr>
        <w:spacing w:after="80" w:before="200"/>
      </w:pPr>
      <w:r>
        <w:rPr>
          <w:b/>
          <w:i w:val="0"/>
          <w:color w:val="1C3A36"/>
          <w:sz w:val="24"/>
        </w:rPr>
        <w:t>1.9b  The five judgements that move the answer, priced both ways</w:t>
      </w:r>
    </w:p>
    <w:p>
      <w:pPr>
        <w:spacing w:after="120" w:before="0"/>
      </w:pPr>
      <w:r>
        <w:rPr>
          <w:b w:val="0"/>
          <w:i w:val="0"/>
          <w:color w:val="1C3A36"/>
          <w:sz w:val="19"/>
        </w:rPr>
        <w:t>Each row below is a FULL RE-RUN of the model with one input changed — not an elasticity and not a multiplier on a finished line. None of them is adopted. Three of the five would raise the value toward the traded price, and that is the reason they are shown rather than taken: a judgement that happens to close a gap has to be right on its own merits before it is right at 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520"/>
        <w:gridCol w:w="2520"/>
        <w:gridCol w:w="1656"/>
      </w:tblGrid>
      <w:tr>
        <w:tc>
          <w:tcPr>
            <w:tcW w:type="dxa" w:w="2664"/>
            <w:shd w:val="clear" w:color="auto" w:fill="EAF0EE"/>
          </w:tcPr>
          <w:p>
            <w:pPr>
              <w:spacing w:after="20"/>
            </w:pPr>
            <w:r>
              <w:rPr>
                <w:b/>
                <w:color w:val="1C3A36"/>
                <w:sz w:val="16"/>
              </w:rPr>
              <w:t>The judgement</w:t>
            </w:r>
          </w:p>
        </w:tc>
        <w:tc>
          <w:tcPr>
            <w:tcW w:type="dxa" w:w="2520"/>
            <w:shd w:val="clear" w:color="auto" w:fill="EAF0EE"/>
          </w:tcPr>
          <w:p>
            <w:pPr>
              <w:spacing w:after="20"/>
            </w:pPr>
            <w:r>
              <w:rPr>
                <w:b/>
                <w:color w:val="1C3A36"/>
                <w:sz w:val="16"/>
              </w:rPr>
              <w:t>What this study adopts</w:t>
            </w:r>
          </w:p>
        </w:tc>
        <w:tc>
          <w:tcPr>
            <w:tcW w:type="dxa" w:w="2520"/>
            <w:shd w:val="clear" w:color="auto" w:fill="EAF0EE"/>
          </w:tcPr>
          <w:p>
            <w:pPr>
              <w:spacing w:after="20"/>
            </w:pPr>
            <w:r>
              <w:rPr>
                <w:b/>
                <w:color w:val="1C3A36"/>
                <w:sz w:val="16"/>
              </w:rPr>
              <w:t>The alternative</w:t>
            </w:r>
          </w:p>
        </w:tc>
        <w:tc>
          <w:tcPr>
            <w:tcW w:type="dxa" w:w="1656"/>
            <w:shd w:val="clear" w:color="auto" w:fill="EAF0EE"/>
          </w:tcPr>
          <w:p>
            <w:pPr>
              <w:spacing w:after="20"/>
            </w:pPr>
            <w:r>
              <w:rPr>
                <w:b/>
                <w:color w:val="1C3A36"/>
                <w:sz w:val="16"/>
              </w:rPr>
              <w:t>EGP/share</w:t>
            </w:r>
          </w:p>
        </w:tc>
      </w:tr>
      <w:tr>
        <w:tc>
          <w:tcPr>
            <w:tcW w:type="dxa" w:w="2664"/>
          </w:tcPr>
          <w:p>
            <w:pPr>
              <w:spacing w:after="20"/>
            </w:pPr>
            <w:r>
              <w:rPr>
                <w:color w:val="1C3A36"/>
                <w:sz w:val="16"/>
              </w:rPr>
              <w:t>Segment margins: FY2025 plus the half's CHANGE, or the half's LEVEL</w:t>
            </w:r>
          </w:p>
        </w:tc>
        <w:tc>
          <w:tcPr>
            <w:tcW w:type="dxa" w:w="2520"/>
          </w:tcPr>
          <w:p>
            <w:pPr>
              <w:spacing w:after="20"/>
              <w:jc w:val="right"/>
            </w:pPr>
            <w:r>
              <w:rPr>
                <w:color w:val="1C3A36"/>
                <w:sz w:val="16"/>
              </w:rPr>
              <w:t>FY2025 + the measured like-for-like half change</w:t>
            </w:r>
          </w:p>
        </w:tc>
        <w:tc>
          <w:tcPr>
            <w:tcW w:type="dxa" w:w="2520"/>
          </w:tcPr>
          <w:p>
            <w:pPr>
              <w:spacing w:after="20"/>
              <w:jc w:val="right"/>
            </w:pPr>
            <w:r>
              <w:rPr>
                <w:color w:val="1C3A36"/>
                <w:sz w:val="16"/>
              </w:rPr>
              <w:t>the reviewed half's own margin level, held flat</w:t>
            </w:r>
          </w:p>
        </w:tc>
        <w:tc>
          <w:tcPr>
            <w:tcW w:type="dxa" w:w="1656"/>
          </w:tcPr>
          <w:p>
            <w:pPr>
              <w:spacing w:after="20"/>
              <w:jc w:val="right"/>
            </w:pPr>
            <w:r>
              <w:rPr>
                <w:color w:val="1C3A36"/>
                <w:sz w:val="16"/>
              </w:rPr>
              <w:t>118.32   (+35%)</w:t>
            </w:r>
          </w:p>
        </w:tc>
      </w:tr>
      <w:tr>
        <w:tc>
          <w:tcPr>
            <w:tcW w:type="dxa" w:w="2664"/>
          </w:tcPr>
          <w:p>
            <w:pPr>
              <w:spacing w:after="20"/>
            </w:pPr>
            <w:r>
              <w:rPr>
                <w:color w:val="1C3A36"/>
                <w:sz w:val="16"/>
              </w:rPr>
              <w:t>Forecast effective tax rate</w:t>
            </w:r>
          </w:p>
        </w:tc>
        <w:tc>
          <w:tcPr>
            <w:tcW w:type="dxa" w:w="2520"/>
          </w:tcPr>
          <w:p>
            <w:pPr>
              <w:spacing w:after="20"/>
              <w:jc w:val="right"/>
            </w:pPr>
            <w:r>
              <w:rPr>
                <w:color w:val="1C3A36"/>
                <w:sz w:val="16"/>
              </w:rPr>
              <w:t>24.5%, between the FY2025 print and the Q1-2026 print</w:t>
            </w:r>
          </w:p>
        </w:tc>
        <w:tc>
          <w:tcPr>
            <w:tcW w:type="dxa" w:w="2520"/>
          </w:tcPr>
          <w:p>
            <w:pPr>
              <w:spacing w:after="20"/>
              <w:jc w:val="right"/>
            </w:pPr>
            <w:r>
              <w:rPr>
                <w:color w:val="1C3A36"/>
                <w:sz w:val="16"/>
              </w:rPr>
              <w:t>the reviewed half's own 30.85%</w:t>
            </w:r>
          </w:p>
        </w:tc>
        <w:tc>
          <w:tcPr>
            <w:tcW w:type="dxa" w:w="1656"/>
          </w:tcPr>
          <w:p>
            <w:pPr>
              <w:spacing w:after="20"/>
              <w:jc w:val="right"/>
            </w:pPr>
            <w:r>
              <w:rPr>
                <w:color w:val="1C3A36"/>
                <w:sz w:val="16"/>
              </w:rPr>
              <w:t>73.45   (-16%)</w:t>
            </w:r>
          </w:p>
        </w:tc>
      </w:tr>
      <w:tr>
        <w:tc>
          <w:tcPr>
            <w:tcW w:type="dxa" w:w="2664"/>
          </w:tcPr>
          <w:p>
            <w:pPr>
              <w:spacing w:after="20"/>
            </w:pPr>
            <w:r>
              <w:rPr>
                <w:color w:val="1C3A36"/>
                <w:sz w:val="16"/>
              </w:rPr>
              <w:t>Capital expenditure: flat as a SHARE of revenue, or flat in LEVEL</w:t>
            </w:r>
          </w:p>
        </w:tc>
        <w:tc>
          <w:tcPr>
            <w:tcW w:type="dxa" w:w="2520"/>
          </w:tcPr>
          <w:p>
            <w:pPr>
              <w:spacing w:after="20"/>
              <w:jc w:val="right"/>
            </w:pPr>
            <w:r>
              <w:rPr>
                <w:color w:val="1C3A36"/>
                <w:sz w:val="16"/>
              </w:rPr>
              <w:t>a flat measured share of a revenue line that grows 2.3x</w:t>
            </w:r>
          </w:p>
        </w:tc>
        <w:tc>
          <w:tcPr>
            <w:tcW w:type="dxa" w:w="2520"/>
          </w:tcPr>
          <w:p>
            <w:pPr>
              <w:spacing w:after="20"/>
              <w:jc w:val="right"/>
            </w:pPr>
            <w:r>
              <w:rPr>
                <w:color w:val="1C3A36"/>
                <w:sz w:val="16"/>
              </w:rPr>
              <w:t>held flat in level, as the completed programme measures</w:t>
            </w:r>
          </w:p>
        </w:tc>
        <w:tc>
          <w:tcPr>
            <w:tcW w:type="dxa" w:w="1656"/>
          </w:tcPr>
          <w:p>
            <w:pPr>
              <w:spacing w:after="20"/>
              <w:jc w:val="right"/>
            </w:pPr>
            <w:r>
              <w:rPr>
                <w:color w:val="1C3A36"/>
                <w:sz w:val="16"/>
              </w:rPr>
              <w:t>94.70   (+8%)</w:t>
            </w:r>
          </w:p>
        </w:tc>
      </w:tr>
      <w:tr>
        <w:tc>
          <w:tcPr>
            <w:tcW w:type="dxa" w:w="2664"/>
          </w:tcPr>
          <w:p>
            <w:pPr>
              <w:spacing w:after="20"/>
            </w:pPr>
            <w:r>
              <w:rPr>
                <w:color w:val="1C3A36"/>
                <w:sz w:val="16"/>
              </w:rPr>
              <w:t>Minority interests: the FY2025 profit share or the half's</w:t>
            </w:r>
          </w:p>
        </w:tc>
        <w:tc>
          <w:tcPr>
            <w:tcW w:type="dxa" w:w="2520"/>
          </w:tcPr>
          <w:p>
            <w:pPr>
              <w:spacing w:after="20"/>
              <w:jc w:val="right"/>
            </w:pPr>
            <w:r>
              <w:rPr>
                <w:color w:val="1C3A36"/>
                <w:sz w:val="16"/>
              </w:rPr>
              <w:t>9.675%, the FY2025 share of group profit</w:t>
            </w:r>
          </w:p>
        </w:tc>
        <w:tc>
          <w:tcPr>
            <w:tcW w:type="dxa" w:w="2520"/>
          </w:tcPr>
          <w:p>
            <w:pPr>
              <w:spacing w:after="20"/>
              <w:jc w:val="right"/>
            </w:pPr>
            <w:r>
              <w:rPr>
                <w:color w:val="1C3A36"/>
                <w:sz w:val="16"/>
              </w:rPr>
              <w:t>6.81%, the reviewed half's own share</w:t>
            </w:r>
          </w:p>
        </w:tc>
        <w:tc>
          <w:tcPr>
            <w:tcW w:type="dxa" w:w="1656"/>
          </w:tcPr>
          <w:p>
            <w:pPr>
              <w:spacing w:after="20"/>
              <w:jc w:val="right"/>
            </w:pPr>
            <w:r>
              <w:rPr>
                <w:color w:val="1C3A36"/>
                <w:sz w:val="16"/>
              </w:rPr>
              <w:t>90.79   (+3%)</w:t>
            </w:r>
          </w:p>
        </w:tc>
      </w:tr>
      <w:tr>
        <w:tc>
          <w:tcPr>
            <w:tcW w:type="dxa" w:w="2664"/>
          </w:tcPr>
          <w:p>
            <w:pPr>
              <w:spacing w:after="20"/>
            </w:pPr>
            <w:r>
              <w:rPr>
                <w:color w:val="1C3A36"/>
                <w:sz w:val="16"/>
              </w:rPr>
              <w:t>The equity bridge: the 31-Dec-2025 sheet or the 30-Jun-2026 sheet</w:t>
            </w:r>
          </w:p>
        </w:tc>
        <w:tc>
          <w:tcPr>
            <w:tcW w:type="dxa" w:w="2520"/>
          </w:tcPr>
          <w:p>
            <w:pPr>
              <w:spacing w:after="20"/>
              <w:jc w:val="right"/>
            </w:pPr>
            <w:r>
              <w:rPr>
                <w:color w:val="1C3A36"/>
                <w:sz w:val="16"/>
              </w:rPr>
              <w:t>31 December 2025, rolled forward at the cost of equity</w:t>
            </w:r>
          </w:p>
        </w:tc>
        <w:tc>
          <w:tcPr>
            <w:tcW w:type="dxa" w:w="2520"/>
          </w:tcPr>
          <w:p>
            <w:pPr>
              <w:spacing w:after="20"/>
              <w:jc w:val="right"/>
            </w:pPr>
            <w:r>
              <w:rPr>
                <w:color w:val="1C3A36"/>
                <w:sz w:val="16"/>
              </w:rPr>
              <w:t>the reviewed 30 June 2026 balance sheet</w:t>
            </w:r>
          </w:p>
        </w:tc>
        <w:tc>
          <w:tcPr>
            <w:tcW w:type="dxa" w:w="1656"/>
          </w:tcPr>
          <w:p>
            <w:pPr>
              <w:spacing w:after="20"/>
              <w:jc w:val="right"/>
            </w:pPr>
            <w:r>
              <w:rPr>
                <w:color w:val="1C3A36"/>
                <w:sz w:val="16"/>
              </w:rPr>
              <w:t>not re-run — see note</w:t>
            </w:r>
          </w:p>
        </w:tc>
      </w:tr>
    </w:tbl>
    <w:p>
      <w:pPr>
        <w:spacing w:after="40"/>
      </w:pPr>
    </w:p>
    <w:p>
      <w:pPr>
        <w:spacing w:after="120" w:before="0"/>
      </w:pPr>
      <w:r>
        <w:rPr>
          <w:b w:val="0"/>
          <w:i w:val="0"/>
          <w:color w:val="6E7B77"/>
          <w:sz w:val="18"/>
        </w:rPr>
        <w:t>Segment margins: FY2025 plus the half's CHANGE, or the half's LEVEL — THE LARGEST SINGLE JUDGEMENT IN THIS STUDY and it was priced nowhere until now. The half printed cables 12.4890%, constructions 11.5934%, electrical 24.9066%; the study carries 11.4341%, 8.9871%, 23.6221%. The case for a change rather than a level is seasonality — H1-2025 ran 14.06% against H2-2025 10.71% — and it rests on a single year of split.</w:t>
      </w:r>
    </w:p>
    <w:p>
      <w:pPr>
        <w:spacing w:after="120" w:before="0"/>
      </w:pPr>
      <w:r>
        <w:rPr>
          <w:b w:val="0"/>
          <w:i w:val="0"/>
          <w:color w:val="6E7B77"/>
          <w:sz w:val="18"/>
        </w:rPr>
        <w:t>Forecast effective tax rate — The half is the most recent and most adverse observation, it is registered, and the register itself calls it "a material step this re-issue must price rather than average away". One half is not a five-year forecast; that it was never discussed was the defect.</w:t>
      </w:r>
    </w:p>
    <w:p>
      <w:pPr>
        <w:spacing w:after="120" w:before="0"/>
      </w:pPr>
      <w:r>
        <w:rPr>
          <w:b w:val="0"/>
          <w:i w:val="0"/>
          <w:color w:val="6E7B77"/>
          <w:sz w:val="18"/>
        </w:rPr>
        <w:t>Capital expenditure: flat as a SHARE of revenue, or flat in LEVEL — On the adopted basis capex rises 74% in level and runs 3.34x depreciation for five consecutive years, against an announced programme of about EGP 11bn.</w:t>
      </w:r>
    </w:p>
    <w:p>
      <w:pPr>
        <w:spacing w:after="120" w:before="0"/>
      </w:pPr>
      <w:r>
        <w:rPr>
          <w:b w:val="0"/>
          <w:i w:val="0"/>
          <w:color w:val="6E7B77"/>
          <w:sz w:val="18"/>
        </w:rPr>
        <w:t>Minority interests: the FY2025 profit share or the half's — Both are registered and the half was declined. Whatever decides the margin question above should decide this one: they are the same question about the same filing.</w:t>
      </w:r>
    </w:p>
    <w:p>
      <w:pPr>
        <w:spacing w:after="120" w:before="0"/>
      </w:pPr>
      <w:r>
        <w:rPr>
          <w:b w:val="0"/>
          <w:i w:val="0"/>
          <w:color w:val="6E7B77"/>
          <w:sz w:val="18"/>
        </w:rPr>
        <w:t>The equity bridge: the 31-Dec-2025 sheet or the 30-Jun-2026 sheet — Net debt at 30 June is 28,629.0 against the 20,560.0 the bridge subtracts. The alternative is worth about -3.4 a share on net debt alone and is NOT re-run here: the bridge identity is asserted against the December sheet and a clean re-run needs the half-year cash flow already realised to be dropped with it, which is a rebuild rather than a switch. The roll-forward convention is defensible and the model's own FY2026 net-debt forecast lands within 2% of the June actual; what was wrong was never telling the reader a newer sheet existed.</w:t>
      </w:r>
    </w:p>
    <w:p>
      <w:pPr>
        <w:spacing w:after="200" w:before="0"/>
      </w:pPr>
      <w:r>
        <w:rPr>
          <w:b w:val="0"/>
          <w:i/>
          <w:color w:val="6E7B77"/>
          <w:sz w:val="17"/>
        </w:rPr>
        <w:t>The central of EGP 87.94 is the study's answer and none of these alternatives displaces it. They are published because a reader is entitled to see the levers that move the number most, and because this study's own gap to the market — -32% — is mostly ONE of them: read the reviewed half as a level rather than as a change, and apply that consistently to margins, capital expenditure and the minority share, and the answer lands near the traded price. That is a methodological disagreement about a filing we read, not a disagreement about information the market has and we lack, and it is stated here rather than left for an auditor to find.</w:t>
      </w: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segment profit exactly as it does in the base case. Note the copper row — it is the SMALLEST swing of any operating driver at EGP 8.78 a share across a ±15% move, and it runs upward throughout: a higher metal price raises Cables' revenue and its working capital together, and raises the profit earned on that revenue hardly at all. Ranked by single-row swing, the segment-margin row is the LARGEST at EGP 74.00 a share, ahead of the currency row at EGP 23.41 — an earlier caption claimed the terminal assumptions dominated every operating driver, which this table itself contradicts (a review caught it); what remains true is that the two cost-of-capital grids jointly span the widest surface, and a ±15% margin shock is a far larger displacement of the base case than any one row's parameter step.</w:t>
      </w:r>
    </w:p>
    <w:p>
      <w:pPr>
        <w:spacing w:after="200" w:before="0"/>
      </w:pPr>
      <w:r>
        <w:rPr>
          <w:b w:val="0"/>
          <w:i w:val="0"/>
          <w:color w:val="1C3A36"/>
          <w:sz w:val="21"/>
        </w:rPr>
        <w:t>Every grid above is produced by the SAME valuation function as the headline, and it is asserted to reproduce it: at the adopted rates, growth and beta the function returns EGP 87.94 against the published central of 87.94. Until this edition the grids ran through a second function that re-implemented the terminal on a construction the study had already retired and omitted the employees' statutory share of profit that the bridge charges, so the surface was centred at EGP 49.71 rather than on the answer it was supposed to be testing. Note also where the adopted point SITS in each range rather than assuming it is the middle: terminal growth is adopted at 9%, the TOP of the 7%–11% range tested, so the terminal-growth row runs from the answer downwards and not symmetrically around it.</w:t>
      </w:r>
    </w:p>
    <w:p>
      <w:pPr>
        <w:spacing w:after="200" w:before="0"/>
      </w:pPr>
      <w:r>
        <w:rPr>
          <w:b w:val="0"/>
          <w:i w:val="0"/>
          <w:color w:val="1C3A36"/>
          <w:sz w:val="21"/>
        </w:rPr>
        <w:t>The beta deserves a note. At 1.225 with an R-squared of 0.368 over 256 weekly observations and a standard error of 0.170, this is a well-identified estimate by the standards of this market — the 90% interval spans [0.95, 1.50],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119.65</w:t>
            </w:r>
          </w:p>
        </w:tc>
        <w:tc>
          <w:tcPr>
            <w:tcW w:type="dxa" w:w="5760"/>
          </w:tcPr>
          <w:p>
            <w:pPr>
              <w:spacing w:after="20"/>
              <w:jc w:val="right"/>
            </w:pPr>
            <w:r>
              <w:rPr>
                <w:color w:val="1C3A36"/>
                <w:sz w:val="17"/>
              </w:rPr>
              <w:t>price is +9%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102.80</w:t>
            </w:r>
          </w:p>
        </w:tc>
        <w:tc>
          <w:tcPr>
            <w:tcW w:type="dxa" w:w="5760"/>
          </w:tcPr>
          <w:p>
            <w:pPr>
              <w:spacing w:after="20"/>
              <w:jc w:val="right"/>
            </w:pPr>
            <w:r>
              <w:rPr>
                <w:color w:val="1C3A36"/>
                <w:sz w:val="17"/>
              </w:rPr>
              <w:t>price is +26%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94.30</w:t>
            </w:r>
          </w:p>
        </w:tc>
        <w:tc>
          <w:tcPr>
            <w:tcW w:type="dxa" w:w="5760"/>
          </w:tcPr>
          <w:p>
            <w:pPr>
              <w:spacing w:after="20"/>
              <w:jc w:val="right"/>
            </w:pPr>
            <w:r>
              <w:rPr>
                <w:color w:val="1C3A36"/>
                <w:sz w:val="17"/>
              </w:rPr>
              <w:t>price is +38%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86.19</w:t>
            </w:r>
          </w:p>
        </w:tc>
        <w:tc>
          <w:tcPr>
            <w:tcW w:type="dxa" w:w="5760"/>
          </w:tcPr>
          <w:p>
            <w:pPr>
              <w:spacing w:after="20"/>
              <w:jc w:val="right"/>
            </w:pPr>
            <w:r>
              <w:rPr>
                <w:color w:val="1C3A36"/>
                <w:sz w:val="17"/>
              </w:rPr>
              <w:t>price is +51%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high IS this study's own anchor close of 130.00 on 2026-09-03 — the share is AT its 52-week closing high, which is worth stating plainly rather than as a distance from it</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133.98</w:t>
            </w:r>
          </w:p>
        </w:tc>
        <w:tc>
          <w:tcPr>
            <w:tcW w:type="dxa" w:w="5760"/>
          </w:tcPr>
          <w:p>
            <w:pPr>
              <w:spacing w:after="20"/>
              <w:jc w:val="right"/>
            </w:pPr>
            <w:r>
              <w:rPr>
                <w:color w:val="1C3A36"/>
                <w:sz w:val="17"/>
              </w:rPr>
              <w:t>-3%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+98%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49.3%</w:t>
            </w:r>
          </w:p>
        </w:tc>
        <w:tc>
          <w:tcPr>
            <w:tcW w:type="dxa" w:w="5760"/>
          </w:tcPr>
          <w:p>
            <w:pPr>
              <w:spacing w:after="20"/>
              <w:jc w:val="right"/>
            </w:pPr>
            <w:r>
              <w:rPr>
                <w:color w:val="1C3A36"/>
                <w:sz w:val="17"/>
              </w:rPr>
              <w:t>the fitted range-based volatility model's CURRENT state (an exponentially-weighted estimate, not a fixed window — the 50-session simple figure is given below for comparison),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+69% over the last 252 trading sessions (the exchange's trailing year on the supplied series) and sits +0.0% from its 52-week high. Realised volatility of about 49%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49.3% annualised figure is dominated by a single session: the shares rose 14.1% on 4 August 2026 on roughly eleven times normal volume. Realised volatility over the last 50 sessions is 49.4%; strip out that one session and it falls to 49.4%.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an EGP deposit-rate carry, ~18% annualised as implied by the median path, deliberately below the 22.3% bond yield and carrying no directional view.</w:t>
      </w:r>
    </w:p>
    <w:p>
      <w:pPr>
        <w:spacing w:after="120" w:before="0"/>
      </w:pPr>
      <w:r>
        <w:rPr>
          <w:b w:val="0"/>
          <w:i w:val="0"/>
          <w:color w:val="1C3A36"/>
          <w:sz w:val="21"/>
        </w:rPr>
        <w:t>The widths below are calibrated rather than assumed. Tested by walk-forward simulation over nearly five years — 19 independent non-overlapping quarterly windows with origins from 2021-10-05 to 2026-04-12 (the final window runs three months past its origin), each one forecast using only data available before it — outcomes fell inside the stated bands at close to the advertised rate (42% inside the 50% band, 79% inside the 80%, 84% inside the 90%, over those 19 windows). Close is tested rather than asserted: a two-sided exact binomial against each band's own rate returns p = 0.65, 1.00 and 0.43, so on this sample none of the three departs from its stated rate by more than chance would produce — which is a statement about the sample's size as much as about the calibration, and is worth reading that way. And the outcomes were spread evenly across the distribution rather than bunching at one end — a uniformity test returns p = 0.86, comfortably consistent with a well-calibrated forecast. Over the very long run the picture is more mixed: across the full 14-year history the bands are about 21% wider than a naive carry-anchored band, which is a real limitation — a wider band catches more by construction — and is stated here rather than left out. THE FULL-HISTORY FIGURES ARE DIFFERENT AND BOTH ARE PUBLISHED: over all 57 windows the 90% band caught 91% against the 84% on the five-year window above, and the 50% band 46% against 42%. That is one method measured over two samples and not two answers to one question — the longer window is the better-covered of the two, and a reader comparing this page against a coverage figure quoted elsewhere for this name should check which window it is on before concluding anything from the difference.</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87.94; the dotted line is the spot of 130.00.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2026-10-04)</w:t>
            </w:r>
          </w:p>
        </w:tc>
        <w:tc>
          <w:tcPr>
            <w:tcW w:type="dxa" w:w="1152"/>
          </w:tcPr>
          <w:p>
            <w:pPr>
              <w:spacing w:after="20"/>
              <w:jc w:val="right"/>
            </w:pPr>
            <w:r>
              <w:rPr>
                <w:color w:val="1C3A36"/>
                <w:sz w:val="17"/>
              </w:rPr>
              <w:t>109.51</w:t>
            </w:r>
          </w:p>
        </w:tc>
        <w:tc>
          <w:tcPr>
            <w:tcW w:type="dxa" w:w="1152"/>
          </w:tcPr>
          <w:p>
            <w:pPr>
              <w:spacing w:after="20"/>
              <w:jc w:val="right"/>
            </w:pPr>
            <w:r>
              <w:rPr>
                <w:color w:val="1C3A36"/>
                <w:sz w:val="17"/>
              </w:rPr>
              <w:t>124.05</w:t>
            </w:r>
          </w:p>
        </w:tc>
        <w:tc>
          <w:tcPr>
            <w:tcW w:type="dxa" w:w="1152"/>
          </w:tcPr>
          <w:p>
            <w:pPr>
              <w:spacing w:after="20"/>
              <w:jc w:val="right"/>
            </w:pPr>
            <w:r>
              <w:rPr>
                <w:color w:val="1C3A36"/>
                <w:sz w:val="17"/>
              </w:rPr>
              <w:t>133.06</w:t>
            </w:r>
          </w:p>
        </w:tc>
        <w:tc>
          <w:tcPr>
            <w:tcW w:type="dxa" w:w="1152"/>
          </w:tcPr>
          <w:p>
            <w:pPr>
              <w:spacing w:after="20"/>
              <w:jc w:val="right"/>
            </w:pPr>
            <w:r>
              <w:rPr>
                <w:color w:val="1C3A36"/>
                <w:sz w:val="17"/>
              </w:rPr>
              <w:t>142.73</w:t>
            </w:r>
          </w:p>
        </w:tc>
        <w:tc>
          <w:tcPr>
            <w:tcW w:type="dxa" w:w="1152"/>
          </w:tcPr>
          <w:p>
            <w:pPr>
              <w:spacing w:after="20"/>
              <w:jc w:val="right"/>
            </w:pPr>
            <w:r>
              <w:rPr>
                <w:color w:val="1C3A36"/>
                <w:sz w:val="17"/>
              </w:rPr>
              <w:t>161.64</w:t>
            </w:r>
          </w:p>
        </w:tc>
        <w:tc>
          <w:tcPr>
            <w:tcW w:type="dxa" w:w="1800"/>
          </w:tcPr>
          <w:p>
            <w:pPr>
              <w:spacing w:after="20"/>
              <w:jc w:val="right"/>
            </w:pPr>
            <w:r>
              <w:rPr>
                <w:color w:val="1C3A36"/>
                <w:sz w:val="17"/>
              </w:rPr>
              <w:t>59%</w:t>
            </w:r>
          </w:p>
        </w:tc>
      </w:tr>
      <w:tr>
        <w:tc>
          <w:tcPr>
            <w:tcW w:type="dxa" w:w="2520"/>
          </w:tcPr>
          <w:p>
            <w:pPr>
              <w:spacing w:after="20"/>
            </w:pPr>
            <w:r>
              <w:rPr>
                <w:color w:val="1C3A36"/>
                <w:sz w:val="17"/>
              </w:rPr>
              <w:t>3 months (to 2026-12-03)</w:t>
            </w:r>
          </w:p>
        </w:tc>
        <w:tc>
          <w:tcPr>
            <w:tcW w:type="dxa" w:w="1152"/>
          </w:tcPr>
          <w:p>
            <w:pPr>
              <w:spacing w:after="20"/>
              <w:jc w:val="right"/>
            </w:pPr>
            <w:r>
              <w:rPr>
                <w:color w:val="1C3A36"/>
                <w:sz w:val="17"/>
              </w:rPr>
              <w:t>98.49</w:t>
            </w:r>
          </w:p>
        </w:tc>
        <w:tc>
          <w:tcPr>
            <w:tcW w:type="dxa" w:w="1152"/>
          </w:tcPr>
          <w:p>
            <w:pPr>
              <w:spacing w:after="20"/>
              <w:jc w:val="right"/>
            </w:pPr>
            <w:r>
              <w:rPr>
                <w:color w:val="1C3A36"/>
                <w:sz w:val="17"/>
              </w:rPr>
              <w:t>122.22</w:t>
            </w:r>
          </w:p>
        </w:tc>
        <w:tc>
          <w:tcPr>
            <w:tcW w:type="dxa" w:w="1152"/>
          </w:tcPr>
          <w:p>
            <w:pPr>
              <w:spacing w:after="20"/>
              <w:jc w:val="right"/>
            </w:pPr>
            <w:r>
              <w:rPr>
                <w:color w:val="1C3A36"/>
                <w:sz w:val="17"/>
              </w:rPr>
              <w:t>137.99</w:t>
            </w:r>
          </w:p>
        </w:tc>
        <w:tc>
          <w:tcPr>
            <w:tcW w:type="dxa" w:w="1152"/>
          </w:tcPr>
          <w:p>
            <w:pPr>
              <w:spacing w:after="20"/>
              <w:jc w:val="right"/>
            </w:pPr>
            <w:r>
              <w:rPr>
                <w:color w:val="1C3A36"/>
                <w:sz w:val="17"/>
              </w:rPr>
              <w:t>155.79</w:t>
            </w:r>
          </w:p>
        </w:tc>
        <w:tc>
          <w:tcPr>
            <w:tcW w:type="dxa" w:w="1152"/>
          </w:tcPr>
          <w:p>
            <w:pPr>
              <w:spacing w:after="20"/>
              <w:jc w:val="right"/>
            </w:pPr>
            <w:r>
              <w:rPr>
                <w:color w:val="1C3A36"/>
                <w:sz w:val="17"/>
              </w:rPr>
              <w:t>193.01</w:t>
            </w:r>
          </w:p>
        </w:tc>
        <w:tc>
          <w:tcPr>
            <w:tcW w:type="dxa" w:w="1800"/>
          </w:tcPr>
          <w:p>
            <w:pPr>
              <w:spacing w:after="20"/>
              <w:jc w:val="right"/>
            </w:pPr>
            <w:r>
              <w:rPr>
                <w:color w:val="1C3A36"/>
                <w:sz w:val="17"/>
              </w:rPr>
              <w:t>63%</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24%</w:t>
            </w:r>
          </w:p>
        </w:tc>
        <w:tc>
          <w:tcPr>
            <w:tcW w:type="dxa" w:w="1944"/>
          </w:tcPr>
          <w:p>
            <w:pPr>
              <w:spacing w:after="20"/>
              <w:jc w:val="right"/>
            </w:pPr>
            <w:r>
              <w:rPr>
                <w:color w:val="1C3A36"/>
                <w:sz w:val="17"/>
              </w:rPr>
              <w:t>42%</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12%</w:t>
            </w:r>
          </w:p>
        </w:tc>
        <w:tc>
          <w:tcPr>
            <w:tcW w:type="dxa" w:w="1944"/>
          </w:tcPr>
          <w:p>
            <w:pPr>
              <w:spacing w:after="20"/>
              <w:jc w:val="right"/>
            </w:pPr>
            <w:r>
              <w:rPr>
                <w:color w:val="1C3A36"/>
                <w:sz w:val="17"/>
              </w:rPr>
              <w:t>18%</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38%</w:t>
            </w:r>
          </w:p>
        </w:tc>
        <w:tc>
          <w:tcPr>
            <w:tcW w:type="dxa" w:w="1944"/>
          </w:tcPr>
          <w:p>
            <w:pPr>
              <w:spacing w:after="20"/>
              <w:jc w:val="right"/>
            </w:pPr>
            <w:r>
              <w:rPr>
                <w:color w:val="1C3A36"/>
                <w:sz w:val="17"/>
              </w:rPr>
              <w:t>65%</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22%</w:t>
            </w:r>
          </w:p>
        </w:tc>
        <w:tc>
          <w:tcPr>
            <w:tcW w:type="dxa" w:w="1944"/>
          </w:tcPr>
          <w:p>
            <w:pPr>
              <w:spacing w:after="20"/>
              <w:jc w:val="right"/>
            </w:pPr>
            <w:r>
              <w:rPr>
                <w:color w:val="1C3A36"/>
                <w:sz w:val="17"/>
              </w:rPr>
              <w:t>40%</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(the cash-flow lens, unweighted)</w:t>
            </w:r>
          </w:p>
        </w:tc>
        <w:tc>
          <w:tcPr>
            <w:tcW w:type="dxa" w:w="3168"/>
          </w:tcPr>
          <w:p>
            <w:pPr>
              <w:spacing w:after="20"/>
              <w:jc w:val="right"/>
            </w:pPr>
            <w:r>
              <w:rPr>
                <w:color w:val="1C3A36"/>
                <w:sz w:val="17"/>
              </w:rPr>
              <w:t>EGP 87.94 central, -32% against the market</w:t>
            </w:r>
          </w:p>
        </w:tc>
        <w:tc>
          <w:tcPr>
            <w:tcW w:type="dxa" w:w="4248"/>
          </w:tcPr>
          <w:p>
            <w:pPr>
              <w:spacing w:after="20"/>
              <w:jc w:val="right"/>
            </w:pPr>
            <w:r>
              <w:rPr>
                <w:color w:val="1C3A36"/>
                <w:sz w:val="17"/>
              </w:rPr>
              <w:t>one lens is the answer and the others are cross-checks published beside it — never a weighted blend</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87.94, -32%</w:t>
            </w:r>
          </w:p>
        </w:tc>
        <w:tc>
          <w:tcPr>
            <w:tcW w:type="dxa" w:w="4248"/>
          </w:tcPr>
          <w:p>
            <w:pPr>
              <w:spacing w:after="20"/>
              <w:jc w:val="right"/>
            </w:pPr>
            <w:r>
              <w:rPr>
                <w:color w:val="1C3A36"/>
                <w:sz w:val="17"/>
              </w:rPr>
              <w:t>a cost of capital gliding 26.7% to 15.3%</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77.86, -40%</w:t>
            </w:r>
          </w:p>
        </w:tc>
        <w:tc>
          <w:tcPr>
            <w:tcW w:type="dxa" w:w="4248"/>
          </w:tcPr>
          <w:p>
            <w:pPr>
              <w:spacing w:after="20"/>
              <w:jc w:val="right"/>
            </w:pPr>
            <w:r>
              <w:rPr>
                <w:color w:val="1C3A36"/>
                <w:sz w:val="17"/>
              </w:rPr>
              <w:t>the hard-currency cash-flow leg discounted at about 11.3%</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79.68, -39%</w:t>
            </w:r>
          </w:p>
        </w:tc>
        <w:tc>
          <w:tcPr>
            <w:tcW w:type="dxa" w:w="4248"/>
          </w:tcPr>
          <w:p>
            <w:pPr>
              <w:spacing w:after="20"/>
              <w:jc w:val="right"/>
            </w:pPr>
            <w:r>
              <w:rPr>
                <w:color w:val="1C3A36"/>
                <w:sz w:val="17"/>
              </w:rPr>
              <w:t>a judged multiple on forward earnings, discounted back, is the right way to price this (no peer multiple is computed anywhere in this study — §1.3)</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130.00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137.99, 63%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a country premium of 3.98% — weighted at 0.5928 for the Egyptian share of operations, and levied FLAT rather than multiplied by beta, which is what our primary construction does — is the conservative choice, not the obviously correct one. Charging it none of that premium, which is roughly what the market price implies, is the aggressive one. Charging the whole 5.17% home premium unweighted, which an earlier construction did and this study retired, would be more conservative still.</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77.86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19.7%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in any AUDITED filing. The company's own quarterly releases disclose an engineering backlog of EGP 346bn at 30 June 2026, which is read; they do not disclose the burn profile that would turn it into revenue, so the Constructions and infrastructure forecast tapers on its own revenue growth and the backlog corroborates that taper rather than setting it</w:t>
            </w:r>
          </w:p>
        </w:tc>
        <w:tc>
          <w:tcPr>
            <w:tcW w:type="dxa" w:w="4104"/>
          </w:tcPr>
          <w:p>
            <w:pPr>
              <w:spacing w:after="20"/>
              <w:jc w:val="right"/>
            </w:pPr>
            <w:r>
              <w:rPr>
                <w:color w:val="1C3A36"/>
                <w:sz w:val="16"/>
              </w:rPr>
              <w:t>whether Constructions and infrastructure revenue growth (18%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FY2025 payout ALREADY stepped up +85%, to EGP 1.85 (paid June 2026, 22.8% of attributable EPS); the forecast assumes 25% — whether the step-up is the start of a trajectory or a plateau moves the equity roll-forward and the net-debt path</w:t>
            </w:r>
          </w:p>
        </w:tc>
        <w:tc>
          <w:tcPr>
            <w:tcW w:type="dxa" w:w="4104"/>
          </w:tcPr>
          <w:p>
            <w:pPr>
              <w:spacing w:after="20"/>
              <w:jc w:val="right"/>
            </w:pPr>
            <w:r>
              <w:rPr>
                <w:color w:val="1C3A36"/>
                <w:sz w:val="16"/>
              </w:rPr>
              <w:t>the distribution proposed on the FY2026 result, against the 22.8% just paid</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137.99 and a 5th-to-95th percentile span of 98.49 to 193.01. Read that span honestly: it means the model considers a -24% move and a +48%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98.49</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122.22 – 137.99</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137.99 – 155.79</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193.01</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87.94</w:t>
            </w:r>
          </w:p>
        </w:tc>
        <w:tc>
          <w:tcPr>
            <w:tcW w:type="dxa" w:w="5040"/>
          </w:tcPr>
          <w:p>
            <w:pPr>
              <w:spacing w:after="20"/>
              <w:jc w:val="right"/>
            </w:pPr>
            <w:r>
              <w:rPr>
                <w:color w:val="1C3A36"/>
                <w:sz w:val="17"/>
              </w:rPr>
              <w:t>below even the 5th percentile (98.49) of the three-month distribution — the price map and the valuation genuinely disagree, and stating the gap at its full size is the point</w:t>
            </w:r>
          </w:p>
        </w:tc>
      </w:tr>
    </w:tbl>
    <w:p>
      <w:pPr>
        <w:spacing w:after="40"/>
      </w:pPr>
    </w:p>
    <w:p>
      <w:pPr>
        <w:spacing w:after="120" w:before="280"/>
      </w:pPr>
      <w:r>
        <w:rPr>
          <w:b/>
          <w:i w:val="0"/>
          <w:color w:val="1C3A36"/>
          <w:sz w:val="30"/>
        </w:rPr>
        <w:t>7  Caveats and what would change our mind</w:t>
      </w:r>
    </w:p>
    <w:p>
      <w:pPr>
        <w:spacing w:after="120" w:before="0"/>
      </w:pPr>
      <w:r>
        <w:rPr>
          <w:b w:val="0"/>
          <w:i w:val="0"/>
          <w:color w:val="1C3A36"/>
          <w:sz w:val="21"/>
        </w:rPr>
        <w:t>The far forecast years are published as RANGES rather than as points, and the range is not an opinion about uncertainty. The method used to build this forecast was rebuilt at twelve past year-ends of Elsewedy Electric's own history, projected forward from each, and scored against what the company went on to report — 750 driver-years in all. The bands below are that record's own error distribution applied to the point path: they say how far this method has actually missed by, at this distance, on this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728"/>
        <w:gridCol w:w="1728"/>
        <w:gridCol w:w="1728"/>
        <w:gridCol w:w="1584"/>
      </w:tblGrid>
      <w:tr>
        <w:tc>
          <w:tcPr>
            <w:tcW w:type="dxa" w:w="3312"/>
            <w:shd w:val="clear" w:color="auto" w:fill="EAF0EE"/>
          </w:tcPr>
          <w:p>
            <w:pPr>
              <w:spacing w:after="20"/>
            </w:pPr>
            <w:r>
              <w:rPr>
                <w:b/>
                <w:color w:val="1C3A36"/>
                <w:sz w:val="17"/>
              </w:rPr>
              <w:t>Year (horizon)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584"/>
            <w:shd w:val="clear" w:color="auto" w:fill="EAF0EE"/>
          </w:tcPr>
          <w:p>
            <w:pPr>
              <w:spacing w:after="20"/>
            </w:pPr>
            <w:r>
              <w:rPr>
                <w:b/>
                <w:color w:val="1C3A36"/>
                <w:sz w:val="17"/>
              </w:rPr>
              <w:t>Basis (observations)</w:t>
            </w:r>
          </w:p>
        </w:tc>
      </w:tr>
      <w:tr>
        <w:tc>
          <w:tcPr>
            <w:tcW w:type="dxa" w:w="3312"/>
          </w:tcPr>
          <w:p>
            <w:pPr>
              <w:spacing w:after="20"/>
            </w:pPr>
            <w:r>
              <w:rPr>
                <w:color w:val="1C3A36"/>
                <w:sz w:val="17"/>
              </w:rPr>
              <w:t>FY2028E — Revenue (EGP mn)</w:t>
            </w:r>
          </w:p>
        </w:tc>
        <w:tc>
          <w:tcPr>
            <w:tcW w:type="dxa" w:w="1728"/>
          </w:tcPr>
          <w:p>
            <w:pPr>
              <w:spacing w:after="20"/>
              <w:jc w:val="right"/>
            </w:pPr>
            <w:r>
              <w:rPr>
                <w:color w:val="1C3A36"/>
                <w:sz w:val="17"/>
              </w:rPr>
              <w:t>279,062</w:t>
            </w:r>
          </w:p>
        </w:tc>
        <w:tc>
          <w:tcPr>
            <w:tcW w:type="dxa" w:w="1728"/>
          </w:tcPr>
          <w:p>
            <w:pPr>
              <w:spacing w:after="20"/>
              <w:jc w:val="right"/>
            </w:pPr>
            <w:r>
              <w:rPr>
                <w:color w:val="1C3A36"/>
                <w:sz w:val="17"/>
              </w:rPr>
              <w:t>514,907</w:t>
            </w:r>
          </w:p>
        </w:tc>
        <w:tc>
          <w:tcPr>
            <w:tcW w:type="dxa" w:w="1728"/>
          </w:tcPr>
          <w:p>
            <w:pPr>
              <w:spacing w:after="20"/>
              <w:jc w:val="right"/>
            </w:pPr>
            <w:r>
              <w:rPr>
                <w:color w:val="1C3A36"/>
                <w:sz w:val="17"/>
              </w:rPr>
              <w:t>1,336,734</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Revenue (EGP mn)</w:t>
            </w:r>
          </w:p>
        </w:tc>
        <w:tc>
          <w:tcPr>
            <w:tcW w:type="dxa" w:w="1728"/>
          </w:tcPr>
          <w:p>
            <w:pPr>
              <w:spacing w:after="20"/>
              <w:jc w:val="right"/>
            </w:pPr>
            <w:r>
              <w:rPr>
                <w:color w:val="1C3A36"/>
                <w:sz w:val="17"/>
              </w:rPr>
              <w:t>207,766</w:t>
            </w:r>
          </w:p>
        </w:tc>
        <w:tc>
          <w:tcPr>
            <w:tcW w:type="dxa" w:w="1728"/>
          </w:tcPr>
          <w:p>
            <w:pPr>
              <w:spacing w:after="20"/>
              <w:jc w:val="right"/>
            </w:pPr>
            <w:r>
              <w:rPr>
                <w:color w:val="1C3A36"/>
                <w:sz w:val="17"/>
              </w:rPr>
              <w:t>579,202</w:t>
            </w:r>
          </w:p>
        </w:tc>
        <w:tc>
          <w:tcPr>
            <w:tcW w:type="dxa" w:w="1728"/>
          </w:tcPr>
          <w:p>
            <w:pPr>
              <w:spacing w:after="20"/>
              <w:jc w:val="right"/>
            </w:pPr>
            <w:r>
              <w:rPr>
                <w:color w:val="1C3A36"/>
                <w:sz w:val="17"/>
              </w:rPr>
              <w:t>1,964,242</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Revenue (EGP mn)</w:t>
            </w:r>
          </w:p>
        </w:tc>
        <w:tc>
          <w:tcPr>
            <w:tcW w:type="dxa" w:w="1728"/>
          </w:tcPr>
          <w:p>
            <w:pPr>
              <w:spacing w:after="20"/>
              <w:jc w:val="right"/>
            </w:pPr>
            <w:r>
              <w:rPr>
                <w:color w:val="1C3A36"/>
                <w:sz w:val="17"/>
              </w:rPr>
              <w:t>226,682</w:t>
            </w:r>
          </w:p>
        </w:tc>
        <w:tc>
          <w:tcPr>
            <w:tcW w:type="dxa" w:w="1728"/>
          </w:tcPr>
          <w:p>
            <w:pPr>
              <w:spacing w:after="20"/>
              <w:jc w:val="right"/>
            </w:pPr>
            <w:r>
              <w:rPr>
                <w:color w:val="1C3A36"/>
                <w:sz w:val="17"/>
              </w:rPr>
              <w:t>645,083</w:t>
            </w:r>
          </w:p>
        </w:tc>
        <w:tc>
          <w:tcPr>
            <w:tcW w:type="dxa" w:w="1728"/>
          </w:tcPr>
          <w:p>
            <w:pPr>
              <w:spacing w:after="20"/>
              <w:jc w:val="right"/>
            </w:pPr>
            <w:r>
              <w:rPr>
                <w:color w:val="1C3A36"/>
                <w:sz w:val="17"/>
              </w:rPr>
              <w:t>2,351,216</w:t>
            </w:r>
          </w:p>
        </w:tc>
        <w:tc>
          <w:tcPr>
            <w:tcW w:type="dxa" w:w="1584"/>
          </w:tcPr>
          <w:p>
            <w:pPr>
              <w:spacing w:after="20"/>
              <w:jc w:val="right"/>
            </w:pPr>
            <w:r>
              <w:rPr>
                <w:color w:val="1C3A36"/>
                <w:sz w:val="17"/>
              </w:rPr>
              <w:t>span (7)</w:t>
            </w:r>
          </w:p>
        </w:tc>
      </w:tr>
      <w:tr>
        <w:tc>
          <w:tcPr>
            <w:tcW w:type="dxa" w:w="3312"/>
          </w:tcPr>
          <w:p>
            <w:pPr>
              <w:spacing w:after="20"/>
            </w:pPr>
            <w:r>
              <w:rPr>
                <w:color w:val="1C3A36"/>
                <w:sz w:val="17"/>
              </w:rPr>
              <w:t>FY2028E — Gross profit (EGP mn)</w:t>
            </w:r>
          </w:p>
        </w:tc>
        <w:tc>
          <w:tcPr>
            <w:tcW w:type="dxa" w:w="1728"/>
          </w:tcPr>
          <w:p>
            <w:pPr>
              <w:spacing w:after="20"/>
              <w:jc w:val="right"/>
            </w:pPr>
            <w:r>
              <w:rPr>
                <w:color w:val="1C3A36"/>
                <w:sz w:val="17"/>
              </w:rPr>
              <w:t>30,111</w:t>
            </w:r>
          </w:p>
        </w:tc>
        <w:tc>
          <w:tcPr>
            <w:tcW w:type="dxa" w:w="1728"/>
          </w:tcPr>
          <w:p>
            <w:pPr>
              <w:spacing w:after="20"/>
              <w:jc w:val="right"/>
            </w:pPr>
            <w:r>
              <w:rPr>
                <w:color w:val="1C3A36"/>
                <w:sz w:val="17"/>
              </w:rPr>
              <w:t>65,101</w:t>
            </w:r>
          </w:p>
        </w:tc>
        <w:tc>
          <w:tcPr>
            <w:tcW w:type="dxa" w:w="1728"/>
          </w:tcPr>
          <w:p>
            <w:pPr>
              <w:spacing w:after="20"/>
              <w:jc w:val="right"/>
            </w:pPr>
            <w:r>
              <w:rPr>
                <w:color w:val="1C3A36"/>
                <w:sz w:val="17"/>
              </w:rPr>
              <w:t>186,472</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Gross profit (EGP mn)</w:t>
            </w:r>
          </w:p>
        </w:tc>
        <w:tc>
          <w:tcPr>
            <w:tcW w:type="dxa" w:w="1728"/>
          </w:tcPr>
          <w:p>
            <w:pPr>
              <w:spacing w:after="20"/>
              <w:jc w:val="right"/>
            </w:pPr>
            <w:r>
              <w:rPr>
                <w:color w:val="1C3A36"/>
                <w:sz w:val="17"/>
              </w:rPr>
              <w:t>28,508</w:t>
            </w:r>
          </w:p>
        </w:tc>
        <w:tc>
          <w:tcPr>
            <w:tcW w:type="dxa" w:w="1728"/>
          </w:tcPr>
          <w:p>
            <w:pPr>
              <w:spacing w:after="20"/>
              <w:jc w:val="right"/>
            </w:pPr>
            <w:r>
              <w:rPr>
                <w:color w:val="1C3A36"/>
                <w:sz w:val="17"/>
              </w:rPr>
              <w:t>73,624</w:t>
            </w:r>
          </w:p>
        </w:tc>
        <w:tc>
          <w:tcPr>
            <w:tcW w:type="dxa" w:w="1728"/>
          </w:tcPr>
          <w:p>
            <w:pPr>
              <w:spacing w:after="20"/>
              <w:jc w:val="right"/>
            </w:pPr>
            <w:r>
              <w:rPr>
                <w:color w:val="1C3A36"/>
                <w:sz w:val="17"/>
              </w:rPr>
              <w:t>311,870</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Gross profit (EGP mn)</w:t>
            </w:r>
          </w:p>
        </w:tc>
        <w:tc>
          <w:tcPr>
            <w:tcW w:type="dxa" w:w="1728"/>
          </w:tcPr>
          <w:p>
            <w:pPr>
              <w:spacing w:after="20"/>
              <w:jc w:val="right"/>
            </w:pPr>
            <w:r>
              <w:rPr>
                <w:color w:val="1C3A36"/>
                <w:sz w:val="17"/>
              </w:rPr>
              <w:t>42,058</w:t>
            </w:r>
          </w:p>
        </w:tc>
        <w:tc>
          <w:tcPr>
            <w:tcW w:type="dxa" w:w="1728"/>
          </w:tcPr>
          <w:p>
            <w:pPr>
              <w:spacing w:after="20"/>
              <w:jc w:val="right"/>
            </w:pPr>
            <w:r>
              <w:rPr>
                <w:color w:val="1C3A36"/>
                <w:sz w:val="17"/>
              </w:rPr>
              <w:t>82,058</w:t>
            </w:r>
          </w:p>
        </w:tc>
        <w:tc>
          <w:tcPr>
            <w:tcW w:type="dxa" w:w="1728"/>
          </w:tcPr>
          <w:p>
            <w:pPr>
              <w:spacing w:after="20"/>
              <w:jc w:val="right"/>
            </w:pPr>
            <w:r>
              <w:rPr>
                <w:color w:val="1C3A36"/>
                <w:sz w:val="17"/>
              </w:rPr>
              <w:t>284,317</w:t>
            </w:r>
          </w:p>
        </w:tc>
        <w:tc>
          <w:tcPr>
            <w:tcW w:type="dxa" w:w="1584"/>
          </w:tcPr>
          <w:p>
            <w:pPr>
              <w:spacing w:after="20"/>
              <w:jc w:val="right"/>
            </w:pPr>
            <w:r>
              <w:rPr>
                <w:color w:val="1C3A36"/>
                <w:sz w:val="17"/>
              </w:rPr>
              <w:t>span (7)</w:t>
            </w:r>
          </w:p>
        </w:tc>
      </w:tr>
    </w:tbl>
    <w:p>
      <w:pPr>
        <w:spacing w:after="40"/>
      </w:pPr>
    </w:p>
    <w:p>
      <w:pPr>
        <w:spacing w:after="120" w:before="0"/>
      </w:pPr>
      <w:r>
        <w:rPr>
          <w:b w:val="0"/>
          <w:i w:val="0"/>
          <w:color w:val="1C3A36"/>
          <w:sz w:val="21"/>
        </w:rPr>
        <w:t>The bands are wide and they are honest about why: the twelve years they are measured over contain a currency that went from about seven to the pound to about forty-eight, and a revenue line that grew sixteen and a half times. A method scored across that is not going to produce a narrow band at five years, and a narrow one would be a claim this record cannot support. Where nine or more observations exist the band is a tenth-to-ninetieth percentile; below that it is the SPAN of the observations, which is a smaller claim and is labelled as one. Each band multiplies the point: a low of 0.55 and a high of 2.60 means the outturn has landed between 0.55 and 2.60 times what this method projected.</w:t>
      </w:r>
    </w:p>
    <w:p>
      <w:pPr>
        <w:pStyle w:val="ListBullet"/>
        <w:spacing w:after="60"/>
      </w:pPr>
      <w:r>
        <w:rPr>
          <w:b/>
          <w:color w:val="1C3A36"/>
          <w:sz w:val="21"/>
        </w:rPr>
        <w:t xml:space="preserve">The audited statements carry no volumes; the company's own releases do, and they are read. </w:t>
      </w:r>
      <w:r>
        <w:rPr>
          <w:color w:val="1C3A36"/>
          <w:sz w:val="21"/>
        </w:rPr>
        <w:t>All three audited financial statements and the Q1-2026 interim disclose segment revenue and segment profit, but no tonnage, MVA, meter count or order-book figure for any segment. THE COMPANY'S QUARTERLY EARNINGS RELEASES CARRY BOTH, and this edition reads them. Cable volumes run 144,997 / 156,748 / 167,665 / 185,449 tonnes over FY2022-25 and 99,239 in the reviewed half against 89,636, and that series now sets the Cables growth driver instead of a residual. Engineering backlog reaches EGP 346bn at 30 June 2026, read and NOT burnt down — it corroborates the Constructions taper rather than producing it. TWO EARLIER WORDINGS ARE WITHDRAWN: one said this data was 'disclosed anywhere', which overclaimed the scope of a negative result, and one said the releases 'were not reachable from this research environment', which was simply wrong — they were held here the whole time. Cross-checking the Constructions taper against the released backlog was named as the first refinement to make when those releases become obtainable.</w:t>
      </w:r>
    </w:p>
    <w:p>
      <w:pPr>
        <w:pStyle w:val="ListBullet"/>
        <w:spacing w:after="60"/>
      </w:pPr>
      <w:r>
        <w:rPr>
          <w:b/>
          <w:color w:val="1C3A36"/>
          <w:sz w:val="21"/>
        </w:rPr>
        <w:t xml:space="preserve">The valuation is dated, and the dating is now explicit. </w:t>
      </w:r>
      <w:r>
        <w:rPr>
          <w:color w:val="1C3A36"/>
          <w:sz w:val="21"/>
        </w:rPr>
        <w:t>The cash-flow model is constructed at 31 December 2025 (the audited balance-sheet date); every lens value is rolled 246/365 of a year to the 3-Sep-2026 anchor at the 28.1% cost of equity, less the FY2025 dividend carried forward to that anchor at the same rate: EGP 1.85 went ex on 4 June and is worth EGP 1.97 by 3 September. The roll is worth about +13.82 gross on the primary lens, +11.85 after the dividend leaves. An earlier revision omitted this roll and compared a 31-Dec-2025 value directly to the August price; an external review flagged it, correctly.</w:t>
      </w:r>
    </w:p>
    <w:p>
      <w:pPr>
        <w:pStyle w:val="ListBullet"/>
        <w:spacing w:after="60"/>
      </w:pPr>
      <w:r>
        <w:rPr>
          <w:b/>
          <w:color w:val="1C3A36"/>
          <w:sz w:val="21"/>
        </w:rPr>
        <w:t xml:space="preserve">The terminal value is a large share of the answer. </w:t>
      </w:r>
      <w:r>
        <w:rPr>
          <w:color w:val="1C3A36"/>
          <w:sz w:val="21"/>
        </w:rPr>
        <w:t>89%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calibrated on ONE reviewed half, not tested against it. </w:t>
      </w:r>
      <w:r>
        <w:rPr>
          <w:color w:val="1C3A36"/>
          <w:sz w:val="21"/>
        </w:rPr>
        <w:t>Every FY2026 segment driver is the H1-2026 half's own measurement: growth rates cables 30.57%, construct 27.44%, elecprod 48.28%, margins at FY2025 plus that half's like-for-like change, and working capital and capital expenditure re-anchored on the same half. The Q1-2026 gross-up shown in section 1.6 is therefore NOT an independent check — it covers a quarter of the period the build stands on. THE REAL EXPOSURE IS THIS: a single half sets the base year of a five-year model, and whether that half is read as a LEVEL or as a CHANGE is worth more than any other judgement in this study. Section 1.9 prices both readings. What would settle it is a second half measured the same way — the FY2026 full-year result, not the half already in hand.</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beta against a mature-market premium of 4.24% and an Egyptian country premium of 3.98% FLAT beside it rather than multiplied through it, to a company earning just over half its money on a hard-currency-linked basis. The country charge is weighted at 0.5928 for the share of operations inside Egypt rather than levied whole, and beta is not applied to it: charging a 1.22-beta company 22% more Egypt risk than the market is a separate claim and this study does not make it. The alternative construction gives EGP 77.86. We have chosen the conservative reading and shown the other in full rather than splitting the difference silently.</w:t>
      </w:r>
    </w:p>
    <w:p>
      <w:pPr>
        <w:pStyle w:val="ListBullet"/>
        <w:spacing w:after="60"/>
      </w:pPr>
      <w:r>
        <w:rPr>
          <w:b/>
          <w:color w:val="1C3A36"/>
          <w:sz w:val="21"/>
        </w:rPr>
        <w:t xml:space="preserve">Terminal growth of 9.14% is 2.0% in real terms. </w:t>
      </w:r>
      <w:r>
        <w:rPr>
          <w:color w:val="1C3A36"/>
          <w:sz w:val="21"/>
        </w:rPr>
        <w:t>The terminal rate embeds 7% inflation and the terminal growth rate is DERIVED from it and a STATED real growth of 2.0%: (1+7%)(1+2.0%)-1 = 9.14%, so it is not a nominal figure somebody typed beside an inflation assumption. What that assumes is that the company grows 2.0% a year faster than prices for ever, and that is a CLAIM rather than a neutral choice — it is held below Egypt's long-run real growth, so the company is assumed to cede share of the economy, but it is not zero and this study does not pretend it is. The growth grid runs 7.14% to 11.14%; at its bottom, which is 0.14% real, the cash-flow lens gives EGP 75.53.</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19,872mn (9.28 per share) from the equity value — EGP 6.89 per share MORE than deducting the audited book value of 5,119mn would (an earlier wording conflated the total charge with the excess; this states both). It is also the internally consistent choice: this study values the group's equity at 1.9× book, so valuing the minorities' stake at 1.0× book while valuing everyone else's above it would apply two different standards to the same subsidiaries.</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370,194</w:t>
            </w:r>
          </w:p>
        </w:tc>
        <w:tc>
          <w:tcPr>
            <w:tcW w:type="dxa" w:w="950"/>
          </w:tcPr>
          <w:p>
            <w:pPr>
              <w:spacing w:after="20"/>
              <w:jc w:val="right"/>
            </w:pPr>
            <w:r>
              <w:rPr>
                <w:color w:val="1C3A36"/>
                <w:sz w:val="15"/>
              </w:rPr>
              <w:t>449,226</w:t>
            </w:r>
          </w:p>
        </w:tc>
        <w:tc>
          <w:tcPr>
            <w:tcW w:type="dxa" w:w="950"/>
          </w:tcPr>
          <w:p>
            <w:pPr>
              <w:spacing w:after="20"/>
              <w:jc w:val="right"/>
            </w:pPr>
            <w:r>
              <w:rPr>
                <w:color w:val="1C3A36"/>
                <w:sz w:val="15"/>
              </w:rPr>
              <w:t>514,907</w:t>
            </w:r>
          </w:p>
        </w:tc>
        <w:tc>
          <w:tcPr>
            <w:tcW w:type="dxa" w:w="950"/>
          </w:tcPr>
          <w:p>
            <w:pPr>
              <w:spacing w:after="20"/>
              <w:jc w:val="right"/>
            </w:pPr>
            <w:r>
              <w:rPr>
                <w:color w:val="1C3A36"/>
                <w:sz w:val="15"/>
              </w:rPr>
              <w:t>579,202</w:t>
            </w:r>
          </w:p>
        </w:tc>
        <w:tc>
          <w:tcPr>
            <w:tcW w:type="dxa" w:w="950"/>
          </w:tcPr>
          <w:p>
            <w:pPr>
              <w:spacing w:after="20"/>
              <w:jc w:val="right"/>
            </w:pPr>
            <w:r>
              <w:rPr>
                <w:color w:val="1C3A36"/>
                <w:sz w:val="15"/>
              </w:rPr>
              <w:t>645,083</w:t>
            </w:r>
          </w:p>
        </w:tc>
      </w:tr>
      <w:tr>
        <w:tc>
          <w:tcPr>
            <w:tcW w:type="dxa" w:w="2477"/>
          </w:tcPr>
          <w:p>
            <w:pPr>
              <w:spacing w:after="20"/>
            </w:pPr>
            <w:r>
              <w:rPr>
                <w:color w:val="1C3A36"/>
                <w:sz w:val="15"/>
              </w:rPr>
              <w:t>Gross profit (audited face: revenue less cost of sales)</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Segment profit, three disclosed segments (Note 16 basis — the forecast build)</w:t>
            </w:r>
          </w:p>
        </w:tc>
        <w:tc>
          <w:tcPr>
            <w:tcW w:type="dxa" w:w="950"/>
            <w:shd w:val="clear" w:color="auto" w:fill="F6F1E6"/>
          </w:tcPr>
          <w:p>
            <w:pPr>
              <w:spacing w:after="20"/>
              <w:jc w:val="right"/>
            </w:pPr>
            <w:r>
              <w:rPr>
                <w:b/>
                <w:color w:val="1C3A36"/>
                <w:sz w:val="15"/>
              </w:rPr>
              <w:t>26,416</w:t>
            </w:r>
          </w:p>
        </w:tc>
        <w:tc>
          <w:tcPr>
            <w:tcW w:type="dxa" w:w="950"/>
            <w:shd w:val="clear" w:color="auto" w:fill="F6F1E6"/>
          </w:tcPr>
          <w:p>
            <w:pPr>
              <w:spacing w:after="20"/>
              <w:jc w:val="right"/>
            </w:pPr>
            <w:r>
              <w:rPr>
                <w:b/>
                <w:color w:val="1C3A36"/>
                <w:sz w:val="15"/>
              </w:rPr>
              <w:t>39,313</w:t>
            </w:r>
          </w:p>
        </w:tc>
        <w:tc>
          <w:tcPr>
            <w:tcW w:type="dxa" w:w="950"/>
            <w:shd w:val="clear" w:color="auto" w:fill="F6F1E6"/>
          </w:tcPr>
          <w:p>
            <w:pPr>
              <w:spacing w:after="20"/>
              <w:jc w:val="right"/>
            </w:pPr>
            <w:r>
              <w:rPr>
                <w:b/>
                <w:color w:val="1C3A36"/>
                <w:sz w:val="15"/>
              </w:rPr>
              <w:t>34,490</w:t>
            </w:r>
          </w:p>
        </w:tc>
        <w:tc>
          <w:tcPr>
            <w:tcW w:type="dxa" w:w="950"/>
            <w:shd w:val="clear" w:color="auto" w:fill="F6F1E6"/>
          </w:tcPr>
          <w:p>
            <w:pPr>
              <w:spacing w:after="20"/>
              <w:jc w:val="right"/>
            </w:pPr>
            <w:r>
              <w:rPr>
                <w:b/>
                <w:color w:val="1C3A36"/>
                <w:sz w:val="15"/>
              </w:rPr>
              <w:t>45,690</w:t>
            </w:r>
          </w:p>
        </w:tc>
        <w:tc>
          <w:tcPr>
            <w:tcW w:type="dxa" w:w="950"/>
            <w:shd w:val="clear" w:color="auto" w:fill="F6F1E6"/>
          </w:tcPr>
          <w:p>
            <w:pPr>
              <w:spacing w:after="20"/>
              <w:jc w:val="right"/>
            </w:pPr>
            <w:r>
              <w:rPr>
                <w:b/>
                <w:color w:val="1C3A36"/>
                <w:sz w:val="15"/>
              </w:rPr>
              <w:t>56,205</w:t>
            </w:r>
          </w:p>
        </w:tc>
        <w:tc>
          <w:tcPr>
            <w:tcW w:type="dxa" w:w="950"/>
            <w:shd w:val="clear" w:color="auto" w:fill="F6F1E6"/>
          </w:tcPr>
          <w:p>
            <w:pPr>
              <w:spacing w:after="20"/>
              <w:jc w:val="right"/>
            </w:pPr>
            <w:r>
              <w:rPr>
                <w:b/>
                <w:color w:val="1C3A36"/>
                <w:sz w:val="15"/>
              </w:rPr>
              <w:t>65,101</w:t>
            </w:r>
          </w:p>
        </w:tc>
        <w:tc>
          <w:tcPr>
            <w:tcW w:type="dxa" w:w="950"/>
            <w:shd w:val="clear" w:color="auto" w:fill="F6F1E6"/>
          </w:tcPr>
          <w:p>
            <w:pPr>
              <w:spacing w:after="20"/>
              <w:jc w:val="right"/>
            </w:pPr>
            <w:r>
              <w:rPr>
                <w:b/>
                <w:color w:val="1C3A36"/>
                <w:sz w:val="15"/>
              </w:rPr>
              <w:t>73,624</w:t>
            </w:r>
          </w:p>
        </w:tc>
        <w:tc>
          <w:tcPr>
            <w:tcW w:type="dxa" w:w="950"/>
            <w:shd w:val="clear" w:color="auto" w:fill="F6F1E6"/>
          </w:tcPr>
          <w:p>
            <w:pPr>
              <w:spacing w:after="20"/>
              <w:jc w:val="right"/>
            </w:pPr>
            <w:r>
              <w:rPr>
                <w:b/>
                <w:color w:val="1C3A36"/>
                <w:sz w:val="15"/>
              </w:rPr>
              <w:t>82,058</w:t>
            </w:r>
          </w:p>
        </w:tc>
      </w:tr>
      <w:tr>
        <w:tc>
          <w:tcPr>
            <w:tcW w:type="dxa" w:w="2477"/>
          </w:tcPr>
          <w:p>
            <w:pPr>
              <w:spacing w:after="20"/>
            </w:pPr>
            <w:r>
              <w:rPr>
                <w:color w:val="1C3A36"/>
                <w:sz w:val="15"/>
              </w:rPr>
              <w:t>EBITDA (derived: EBIT + D&amp;A)</w:t>
            </w:r>
          </w:p>
        </w:tc>
        <w:tc>
          <w:tcPr>
            <w:tcW w:type="dxa" w:w="950"/>
          </w:tcPr>
          <w:p>
            <w:pPr>
              <w:spacing w:after="20"/>
              <w:jc w:val="right"/>
            </w:pPr>
            <w:r>
              <w:rPr>
                <w:color w:val="1C3A36"/>
                <w:sz w:val="15"/>
              </w:rPr>
              <w:t>20,035</w:t>
            </w:r>
          </w:p>
        </w:tc>
        <w:tc>
          <w:tcPr>
            <w:tcW w:type="dxa" w:w="950"/>
          </w:tcPr>
          <w:p>
            <w:pPr>
              <w:spacing w:after="20"/>
              <w:jc w:val="right"/>
            </w:pPr>
            <w:r>
              <w:rPr>
                <w:color w:val="1C3A36"/>
                <w:sz w:val="15"/>
              </w:rPr>
              <w:t>31,601</w:t>
            </w:r>
          </w:p>
        </w:tc>
        <w:tc>
          <w:tcPr>
            <w:tcW w:type="dxa" w:w="950"/>
          </w:tcPr>
          <w:p>
            <w:pPr>
              <w:spacing w:after="20"/>
              <w:jc w:val="right"/>
            </w:pPr>
            <w:r>
              <w:rPr>
                <w:color w:val="1C3A36"/>
                <w:sz w:val="15"/>
              </w:rPr>
              <w:t>28,363</w:t>
            </w:r>
          </w:p>
        </w:tc>
        <w:tc>
          <w:tcPr>
            <w:tcW w:type="dxa" w:w="950"/>
          </w:tcPr>
          <w:p>
            <w:pPr>
              <w:spacing w:after="20"/>
              <w:jc w:val="right"/>
            </w:pPr>
            <w:r>
              <w:rPr>
                <w:color w:val="1C3A36"/>
                <w:sz w:val="15"/>
              </w:rPr>
              <w:t>38,286</w:t>
            </w:r>
          </w:p>
        </w:tc>
        <w:tc>
          <w:tcPr>
            <w:tcW w:type="dxa" w:w="950"/>
          </w:tcPr>
          <w:p>
            <w:pPr>
              <w:spacing w:after="20"/>
              <w:jc w:val="right"/>
            </w:pPr>
            <w:r>
              <w:rPr>
                <w:color w:val="1C3A36"/>
                <w:sz w:val="15"/>
              </w:rPr>
              <w:t>47,221</w:t>
            </w:r>
          </w:p>
        </w:tc>
        <w:tc>
          <w:tcPr>
            <w:tcW w:type="dxa" w:w="950"/>
          </w:tcPr>
          <w:p>
            <w:pPr>
              <w:spacing w:after="20"/>
              <w:jc w:val="right"/>
            </w:pPr>
            <w:r>
              <w:rPr>
                <w:color w:val="1C3A36"/>
                <w:sz w:val="15"/>
              </w:rPr>
              <w:t>54,802</w:t>
            </w:r>
          </w:p>
        </w:tc>
        <w:tc>
          <w:tcPr>
            <w:tcW w:type="dxa" w:w="950"/>
          </w:tcPr>
          <w:p>
            <w:pPr>
              <w:spacing w:after="20"/>
              <w:jc w:val="right"/>
            </w:pPr>
            <w:r>
              <w:rPr>
                <w:color w:val="1C3A36"/>
                <w:sz w:val="15"/>
              </w:rPr>
              <w:t>62,040</w:t>
            </w:r>
          </w:p>
        </w:tc>
        <w:tc>
          <w:tcPr>
            <w:tcW w:type="dxa" w:w="950"/>
          </w:tcPr>
          <w:p>
            <w:pPr>
              <w:spacing w:after="20"/>
              <w:jc w:val="right"/>
            </w:pPr>
            <w:r>
              <w:rPr>
                <w:color w:val="1C3A36"/>
                <w:sz w:val="15"/>
              </w:rPr>
              <w:t>69,157</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10.5%</w:t>
            </w:r>
          </w:p>
        </w:tc>
        <w:tc>
          <w:tcPr>
            <w:tcW w:type="dxa" w:w="950"/>
          </w:tcPr>
          <w:p>
            <w:pPr>
              <w:spacing w:after="20"/>
              <w:jc w:val="right"/>
            </w:pPr>
            <w:r>
              <w:rPr>
                <w:color w:val="1C3A36"/>
                <w:sz w:val="15"/>
              </w:rPr>
              <w:t>10.6%</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r>
      <w:tr>
        <w:tc>
          <w:tcPr>
            <w:tcW w:type="dxa" w:w="2477"/>
            <w:shd w:val="clear" w:color="auto" w:fill="F6F1E6"/>
          </w:tcPr>
          <w:p>
            <w:pPr>
              <w:spacing w:after="20"/>
            </w:pPr>
            <w:r>
              <w:rPr>
                <w:b/>
                <w:color w:val="1C3A36"/>
                <w:sz w:val="15"/>
              </w:rPr>
              <w:t>Depreciation and amortisation</w:t>
            </w:r>
          </w:p>
        </w:tc>
        <w:tc>
          <w:tcPr>
            <w:tcW w:type="dxa" w:w="950"/>
            <w:shd w:val="clear" w:color="auto" w:fill="F6F1E6"/>
          </w:tcPr>
          <w:p>
            <w:pPr>
              <w:spacing w:after="20"/>
              <w:jc w:val="right"/>
            </w:pPr>
            <w:r>
              <w:rPr>
                <w:b/>
                <w:color w:val="1C3A36"/>
                <w:sz w:val="15"/>
              </w:rPr>
              <w:t>(2,296)</w:t>
            </w:r>
          </w:p>
        </w:tc>
        <w:tc>
          <w:tcPr>
            <w:tcW w:type="dxa" w:w="950"/>
            <w:shd w:val="clear" w:color="auto" w:fill="F6F1E6"/>
          </w:tcPr>
          <w:p>
            <w:pPr>
              <w:spacing w:after="20"/>
              <w:jc w:val="right"/>
            </w:pPr>
            <w:r>
              <w:rPr>
                <w:b/>
                <w:color w:val="1C3A36"/>
                <w:sz w:val="15"/>
              </w:rPr>
              <w:t>(2,260)</w:t>
            </w:r>
          </w:p>
        </w:tc>
        <w:tc>
          <w:tcPr>
            <w:tcW w:type="dxa" w:w="950"/>
            <w:shd w:val="clear" w:color="auto" w:fill="F6F1E6"/>
          </w:tcPr>
          <w:p>
            <w:pPr>
              <w:spacing w:after="20"/>
              <w:jc w:val="right"/>
            </w:pPr>
            <w:r>
              <w:rPr>
                <w:b/>
                <w:color w:val="1C3A36"/>
                <w:sz w:val="15"/>
              </w:rPr>
              <w:t>(3,009)</w:t>
            </w:r>
          </w:p>
        </w:tc>
        <w:tc>
          <w:tcPr>
            <w:tcW w:type="dxa" w:w="950"/>
            <w:shd w:val="clear" w:color="auto" w:fill="F6F1E6"/>
          </w:tcPr>
          <w:p>
            <w:pPr>
              <w:spacing w:after="20"/>
              <w:jc w:val="right"/>
            </w:pPr>
            <w:r>
              <w:rPr>
                <w:b/>
                <w:color w:val="1C3A36"/>
                <w:sz w:val="15"/>
              </w:rPr>
              <w:t>(3,961)</w:t>
            </w:r>
          </w:p>
        </w:tc>
        <w:tc>
          <w:tcPr>
            <w:tcW w:type="dxa" w:w="950"/>
            <w:shd w:val="clear" w:color="auto" w:fill="F6F1E6"/>
          </w:tcPr>
          <w:p>
            <w:pPr>
              <w:spacing w:after="20"/>
              <w:jc w:val="right"/>
            </w:pPr>
            <w:r>
              <w:rPr>
                <w:b/>
                <w:color w:val="1C3A36"/>
                <w:sz w:val="15"/>
              </w:rPr>
              <w:t>(4,807)</w:t>
            </w:r>
          </w:p>
        </w:tc>
        <w:tc>
          <w:tcPr>
            <w:tcW w:type="dxa" w:w="950"/>
            <w:shd w:val="clear" w:color="auto" w:fill="F6F1E6"/>
          </w:tcPr>
          <w:p>
            <w:pPr>
              <w:spacing w:after="20"/>
              <w:jc w:val="right"/>
            </w:pPr>
            <w:r>
              <w:rPr>
                <w:b/>
                <w:color w:val="1C3A36"/>
                <w:sz w:val="15"/>
              </w:rPr>
              <w:t>(5,510)</w:t>
            </w:r>
          </w:p>
        </w:tc>
        <w:tc>
          <w:tcPr>
            <w:tcW w:type="dxa" w:w="950"/>
            <w:shd w:val="clear" w:color="auto" w:fill="F6F1E6"/>
          </w:tcPr>
          <w:p>
            <w:pPr>
              <w:spacing w:after="20"/>
              <w:jc w:val="right"/>
            </w:pPr>
            <w:r>
              <w:rPr>
                <w:b/>
                <w:color w:val="1C3A36"/>
                <w:sz w:val="15"/>
              </w:rPr>
              <w:t>(6,197)</w:t>
            </w:r>
          </w:p>
        </w:tc>
        <w:tc>
          <w:tcPr>
            <w:tcW w:type="dxa" w:w="950"/>
            <w:shd w:val="clear" w:color="auto" w:fill="F6F1E6"/>
          </w:tcPr>
          <w:p>
            <w:pPr>
              <w:spacing w:after="20"/>
              <w:jc w:val="right"/>
            </w:pPr>
            <w:r>
              <w:rPr>
                <w:b/>
                <w:color w:val="1C3A36"/>
                <w:sz w:val="15"/>
              </w:rPr>
              <w:t>(6,902)</w:t>
            </w:r>
          </w:p>
        </w:tc>
      </w:tr>
      <w:tr>
        <w:tc>
          <w:tcPr>
            <w:tcW w:type="dxa" w:w="2477"/>
          </w:tcPr>
          <w:p>
            <w:pPr>
              <w:spacing w:after="20"/>
            </w:pPr>
            <w:r>
              <w:rPr>
                <w:color w:val="1C3A36"/>
                <w:sz w:val="15"/>
              </w:rPr>
              <w:t>EBIT</w:t>
            </w:r>
          </w:p>
        </w:tc>
        <w:tc>
          <w:tcPr>
            <w:tcW w:type="dxa" w:w="950"/>
          </w:tcPr>
          <w:p>
            <w:pPr>
              <w:spacing w:after="20"/>
              <w:jc w:val="right"/>
            </w:pPr>
            <w:r>
              <w:rPr>
                <w:color w:val="1C3A36"/>
                <w:sz w:val="15"/>
              </w:rPr>
              <w:t>17,739</w:t>
            </w:r>
          </w:p>
        </w:tc>
        <w:tc>
          <w:tcPr>
            <w:tcW w:type="dxa" w:w="950"/>
          </w:tcPr>
          <w:p>
            <w:pPr>
              <w:spacing w:after="20"/>
              <w:jc w:val="right"/>
            </w:pPr>
            <w:r>
              <w:rPr>
                <w:color w:val="1C3A36"/>
                <w:sz w:val="15"/>
              </w:rPr>
              <w:t>29,342</w:t>
            </w:r>
          </w:p>
        </w:tc>
        <w:tc>
          <w:tcPr>
            <w:tcW w:type="dxa" w:w="950"/>
          </w:tcPr>
          <w:p>
            <w:pPr>
              <w:spacing w:after="20"/>
              <w:jc w:val="right"/>
            </w:pPr>
            <w:r>
              <w:rPr>
                <w:color w:val="1C3A36"/>
                <w:sz w:val="15"/>
              </w:rPr>
              <w:t>25,354</w:t>
            </w:r>
          </w:p>
        </w:tc>
        <w:tc>
          <w:tcPr>
            <w:tcW w:type="dxa" w:w="950"/>
          </w:tcPr>
          <w:p>
            <w:pPr>
              <w:spacing w:after="20"/>
              <w:jc w:val="right"/>
            </w:pPr>
            <w:r>
              <w:rPr>
                <w:color w:val="1C3A36"/>
                <w:sz w:val="15"/>
              </w:rPr>
              <w:t>34,325</w:t>
            </w:r>
          </w:p>
        </w:tc>
        <w:tc>
          <w:tcPr>
            <w:tcW w:type="dxa" w:w="950"/>
          </w:tcPr>
          <w:p>
            <w:pPr>
              <w:spacing w:after="20"/>
              <w:jc w:val="right"/>
            </w:pPr>
            <w:r>
              <w:rPr>
                <w:color w:val="1C3A36"/>
                <w:sz w:val="15"/>
              </w:rPr>
              <w:t>42,414</w:t>
            </w:r>
          </w:p>
        </w:tc>
        <w:tc>
          <w:tcPr>
            <w:tcW w:type="dxa" w:w="950"/>
          </w:tcPr>
          <w:p>
            <w:pPr>
              <w:spacing w:after="20"/>
              <w:jc w:val="right"/>
            </w:pPr>
            <w:r>
              <w:rPr>
                <w:color w:val="1C3A36"/>
                <w:sz w:val="15"/>
              </w:rPr>
              <w:t>49,293</w:t>
            </w:r>
          </w:p>
        </w:tc>
        <w:tc>
          <w:tcPr>
            <w:tcW w:type="dxa" w:w="950"/>
          </w:tcPr>
          <w:p>
            <w:pPr>
              <w:spacing w:after="20"/>
              <w:jc w:val="right"/>
            </w:pPr>
            <w:r>
              <w:rPr>
                <w:color w:val="1C3A36"/>
                <w:sz w:val="15"/>
              </w:rPr>
              <w:t>55,843</w:t>
            </w:r>
          </w:p>
        </w:tc>
        <w:tc>
          <w:tcPr>
            <w:tcW w:type="dxa" w:w="950"/>
          </w:tcPr>
          <w:p>
            <w:pPr>
              <w:spacing w:after="20"/>
              <w:jc w:val="right"/>
            </w:pPr>
            <w:r>
              <w:rPr>
                <w:color w:val="1C3A36"/>
                <w:sz w:val="15"/>
              </w:rPr>
              <w:t>62,254</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(2,116)</w:t>
            </w:r>
          </w:p>
        </w:tc>
        <w:tc>
          <w:tcPr>
            <w:tcW w:type="dxa" w:w="950"/>
          </w:tcPr>
          <w:p>
            <w:pPr>
              <w:spacing w:after="20"/>
              <w:jc w:val="right"/>
            </w:pPr>
            <w:r>
              <w:rPr>
                <w:color w:val="1C3A36"/>
                <w:sz w:val="15"/>
              </w:rPr>
              <w:t>(2,159)</w:t>
            </w:r>
          </w:p>
        </w:tc>
        <w:tc>
          <w:tcPr>
            <w:tcW w:type="dxa" w:w="950"/>
          </w:tcPr>
          <w:p>
            <w:pPr>
              <w:spacing w:after="20"/>
              <w:jc w:val="right"/>
            </w:pPr>
            <w:r>
              <w:rPr>
                <w:color w:val="1C3A36"/>
                <w:sz w:val="15"/>
              </w:rPr>
              <w:t>(1,769)</w:t>
            </w:r>
          </w:p>
        </w:tc>
        <w:tc>
          <w:tcPr>
            <w:tcW w:type="dxa" w:w="950"/>
          </w:tcPr>
          <w:p>
            <w:pPr>
              <w:spacing w:after="20"/>
              <w:jc w:val="right"/>
            </w:pPr>
            <w:r>
              <w:rPr>
                <w:color w:val="1C3A36"/>
                <w:sz w:val="15"/>
              </w:rPr>
              <w:t>(1,172)</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34,276</w:t>
            </w:r>
          </w:p>
        </w:tc>
        <w:tc>
          <w:tcPr>
            <w:tcW w:type="dxa" w:w="950"/>
          </w:tcPr>
          <w:p>
            <w:pPr>
              <w:spacing w:after="20"/>
              <w:jc w:val="right"/>
            </w:pPr>
            <w:r>
              <w:rPr>
                <w:color w:val="1C3A36"/>
                <w:sz w:val="15"/>
              </w:rPr>
              <w:t>42,127</w:t>
            </w:r>
          </w:p>
        </w:tc>
        <w:tc>
          <w:tcPr>
            <w:tcW w:type="dxa" w:w="950"/>
          </w:tcPr>
          <w:p>
            <w:pPr>
              <w:spacing w:after="20"/>
              <w:jc w:val="right"/>
            </w:pPr>
            <w:r>
              <w:rPr>
                <w:color w:val="1C3A36"/>
                <w:sz w:val="15"/>
              </w:rPr>
              <w:t>49,110</w:t>
            </w:r>
          </w:p>
        </w:tc>
        <w:tc>
          <w:tcPr>
            <w:tcW w:type="dxa" w:w="950"/>
          </w:tcPr>
          <w:p>
            <w:pPr>
              <w:spacing w:after="20"/>
              <w:jc w:val="right"/>
            </w:pPr>
            <w:r>
              <w:rPr>
                <w:color w:val="1C3A36"/>
                <w:sz w:val="15"/>
              </w:rPr>
              <w:t>56,208</w:t>
            </w:r>
          </w:p>
        </w:tc>
        <w:tc>
          <w:tcPr>
            <w:tcW w:type="dxa" w:w="950"/>
          </w:tcPr>
          <w:p>
            <w:pPr>
              <w:spacing w:after="20"/>
              <w:jc w:val="right"/>
            </w:pPr>
            <w:r>
              <w:rPr>
                <w:color w:val="1C3A36"/>
                <w:sz w:val="15"/>
              </w:rPr>
              <w:t>63,387</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(8,398)</w:t>
            </w:r>
          </w:p>
        </w:tc>
        <w:tc>
          <w:tcPr>
            <w:tcW w:type="dxa" w:w="950"/>
          </w:tcPr>
          <w:p>
            <w:pPr>
              <w:spacing w:after="20"/>
              <w:jc w:val="right"/>
            </w:pPr>
            <w:r>
              <w:rPr>
                <w:color w:val="1C3A36"/>
                <w:sz w:val="15"/>
              </w:rPr>
              <w:t>(10,321)</w:t>
            </w:r>
          </w:p>
        </w:tc>
        <w:tc>
          <w:tcPr>
            <w:tcW w:type="dxa" w:w="950"/>
          </w:tcPr>
          <w:p>
            <w:pPr>
              <w:spacing w:after="20"/>
              <w:jc w:val="right"/>
            </w:pPr>
            <w:r>
              <w:rPr>
                <w:color w:val="1C3A36"/>
                <w:sz w:val="15"/>
              </w:rPr>
              <w:t>(12,032)</w:t>
            </w:r>
          </w:p>
        </w:tc>
        <w:tc>
          <w:tcPr>
            <w:tcW w:type="dxa" w:w="950"/>
          </w:tcPr>
          <w:p>
            <w:pPr>
              <w:spacing w:after="20"/>
              <w:jc w:val="right"/>
            </w:pPr>
            <w:r>
              <w:rPr>
                <w:color w:val="1C3A36"/>
                <w:sz w:val="15"/>
              </w:rPr>
              <w:t>(13,771)</w:t>
            </w:r>
          </w:p>
        </w:tc>
        <w:tc>
          <w:tcPr>
            <w:tcW w:type="dxa" w:w="950"/>
          </w:tcPr>
          <w:p>
            <w:pPr>
              <w:spacing w:after="20"/>
              <w:jc w:val="right"/>
            </w:pPr>
            <w:r>
              <w:rPr>
                <w:color w:val="1C3A36"/>
                <w:sz w:val="15"/>
              </w:rPr>
              <w:t>(15,530)</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25,879</w:t>
            </w:r>
          </w:p>
        </w:tc>
        <w:tc>
          <w:tcPr>
            <w:tcW w:type="dxa" w:w="950"/>
          </w:tcPr>
          <w:p>
            <w:pPr>
              <w:spacing w:after="20"/>
              <w:jc w:val="right"/>
            </w:pPr>
            <w:r>
              <w:rPr>
                <w:color w:val="1C3A36"/>
                <w:sz w:val="15"/>
              </w:rPr>
              <w:t>31,806</w:t>
            </w:r>
          </w:p>
        </w:tc>
        <w:tc>
          <w:tcPr>
            <w:tcW w:type="dxa" w:w="950"/>
          </w:tcPr>
          <w:p>
            <w:pPr>
              <w:spacing w:after="20"/>
              <w:jc w:val="right"/>
            </w:pPr>
            <w:r>
              <w:rPr>
                <w:color w:val="1C3A36"/>
                <w:sz w:val="15"/>
              </w:rPr>
              <w:t>37,078</w:t>
            </w:r>
          </w:p>
        </w:tc>
        <w:tc>
          <w:tcPr>
            <w:tcW w:type="dxa" w:w="950"/>
          </w:tcPr>
          <w:p>
            <w:pPr>
              <w:spacing w:after="20"/>
              <w:jc w:val="right"/>
            </w:pPr>
            <w:r>
              <w:rPr>
                <w:color w:val="1C3A36"/>
                <w:sz w:val="15"/>
              </w:rPr>
              <w:t>42,437</w:t>
            </w:r>
          </w:p>
        </w:tc>
        <w:tc>
          <w:tcPr>
            <w:tcW w:type="dxa" w:w="950"/>
          </w:tcPr>
          <w:p>
            <w:pPr>
              <w:spacing w:after="20"/>
              <w:jc w:val="right"/>
            </w:pPr>
            <w:r>
              <w:rPr>
                <w:color w:val="1C3A36"/>
                <w:sz w:val="15"/>
              </w:rPr>
              <w:t>47,857</w:t>
            </w:r>
          </w:p>
        </w:tc>
      </w:tr>
      <w:tr>
        <w:tc>
          <w:tcPr>
            <w:tcW w:type="dxa" w:w="2477"/>
            <w:shd w:val="clear" w:color="auto" w:fill="F6F1E6"/>
          </w:tcPr>
          <w:p>
            <w:pPr>
              <w:spacing w:after="20"/>
            </w:pPr>
            <w:r>
              <w:rPr>
                <w:b/>
                <w:color w:val="1C3A36"/>
                <w:sz w:val="15"/>
              </w:rPr>
              <w:t>Non-controlling interests</w:t>
            </w:r>
          </w:p>
        </w:tc>
        <w:tc>
          <w:tcPr>
            <w:tcW w:type="dxa" w:w="950"/>
            <w:shd w:val="clear" w:color="auto" w:fill="F6F1E6"/>
          </w:tcPr>
          <w:p>
            <w:pPr>
              <w:spacing w:after="20"/>
              <w:jc w:val="right"/>
            </w:pPr>
            <w:r>
              <w:rPr>
                <w:b/>
                <w:color w:val="1C3A36"/>
                <w:sz w:val="15"/>
              </w:rPr>
              <w:t>(1,022)</w:t>
            </w:r>
          </w:p>
        </w:tc>
        <w:tc>
          <w:tcPr>
            <w:tcW w:type="dxa" w:w="950"/>
            <w:shd w:val="clear" w:color="auto" w:fill="F6F1E6"/>
          </w:tcPr>
          <w:p>
            <w:pPr>
              <w:spacing w:after="20"/>
              <w:jc w:val="right"/>
            </w:pPr>
            <w:r>
              <w:rPr>
                <w:b/>
                <w:color w:val="1C3A36"/>
                <w:sz w:val="15"/>
              </w:rPr>
              <w:t>(1,376)</w:t>
            </w:r>
          </w:p>
        </w:tc>
        <w:tc>
          <w:tcPr>
            <w:tcW w:type="dxa" w:w="950"/>
            <w:shd w:val="clear" w:color="auto" w:fill="F6F1E6"/>
          </w:tcPr>
          <w:p>
            <w:pPr>
              <w:spacing w:after="20"/>
              <w:jc w:val="right"/>
            </w:pPr>
            <w:r>
              <w:rPr>
                <w:b/>
                <w:color w:val="1C3A36"/>
                <w:sz w:val="15"/>
              </w:rPr>
              <w:t>(1,856)</w:t>
            </w:r>
          </w:p>
        </w:tc>
        <w:tc>
          <w:tcPr>
            <w:tcW w:type="dxa" w:w="950"/>
            <w:shd w:val="clear" w:color="auto" w:fill="F6F1E6"/>
          </w:tcPr>
          <w:p>
            <w:pPr>
              <w:spacing w:after="20"/>
              <w:jc w:val="right"/>
            </w:pPr>
            <w:r>
              <w:rPr>
                <w:b/>
                <w:color w:val="1C3A36"/>
                <w:sz w:val="15"/>
              </w:rPr>
              <w:t>(2,504)</w:t>
            </w:r>
          </w:p>
        </w:tc>
        <w:tc>
          <w:tcPr>
            <w:tcW w:type="dxa" w:w="950"/>
            <w:shd w:val="clear" w:color="auto" w:fill="F6F1E6"/>
          </w:tcPr>
          <w:p>
            <w:pPr>
              <w:spacing w:after="20"/>
              <w:jc w:val="right"/>
            </w:pPr>
            <w:r>
              <w:rPr>
                <w:b/>
                <w:color w:val="1C3A36"/>
                <w:sz w:val="15"/>
              </w:rPr>
              <w:t>(3,077)</w:t>
            </w:r>
          </w:p>
        </w:tc>
        <w:tc>
          <w:tcPr>
            <w:tcW w:type="dxa" w:w="950"/>
            <w:shd w:val="clear" w:color="auto" w:fill="F6F1E6"/>
          </w:tcPr>
          <w:p>
            <w:pPr>
              <w:spacing w:after="20"/>
              <w:jc w:val="right"/>
            </w:pPr>
            <w:r>
              <w:rPr>
                <w:b/>
                <w:color w:val="1C3A36"/>
                <w:sz w:val="15"/>
              </w:rPr>
              <w:t>(3,587)</w:t>
            </w:r>
          </w:p>
        </w:tc>
        <w:tc>
          <w:tcPr>
            <w:tcW w:type="dxa" w:w="950"/>
            <w:shd w:val="clear" w:color="auto" w:fill="F6F1E6"/>
          </w:tcPr>
          <w:p>
            <w:pPr>
              <w:spacing w:after="20"/>
              <w:jc w:val="right"/>
            </w:pPr>
            <w:r>
              <w:rPr>
                <w:b/>
                <w:color w:val="1C3A36"/>
                <w:sz w:val="15"/>
              </w:rPr>
              <w:t>(4,106)</w:t>
            </w:r>
          </w:p>
        </w:tc>
        <w:tc>
          <w:tcPr>
            <w:tcW w:type="dxa" w:w="950"/>
            <w:shd w:val="clear" w:color="auto" w:fill="F6F1E6"/>
          </w:tcPr>
          <w:p>
            <w:pPr>
              <w:spacing w:after="20"/>
              <w:jc w:val="right"/>
            </w:pPr>
            <w:r>
              <w:rPr>
                <w:b/>
                <w:color w:val="1C3A36"/>
                <w:sz w:val="15"/>
              </w:rPr>
              <w:t>(4,630)</w:t>
            </w:r>
          </w:p>
        </w:tc>
      </w:tr>
      <w:tr>
        <w:tc>
          <w:tcPr>
            <w:tcW w:type="dxa" w:w="2477"/>
          </w:tcPr>
          <w:p>
            <w:pPr>
              <w:spacing w:after="20"/>
            </w:pPr>
            <w:r>
              <w:rPr>
                <w:color w:val="1C3A36"/>
                <w:sz w:val="15"/>
              </w:rPr>
              <w:t>Profit attributable to shareholders</w:t>
            </w:r>
          </w:p>
        </w:tc>
        <w:tc>
          <w:tcPr>
            <w:tcW w:type="dxa" w:w="950"/>
          </w:tcPr>
          <w:p>
            <w:pPr>
              <w:spacing w:after="20"/>
              <w:jc w:val="right"/>
            </w:pPr>
            <w:r>
              <w:rPr>
                <w:color w:val="1C3A36"/>
                <w:sz w:val="15"/>
              </w:rPr>
              <w:t>10,116</w:t>
            </w:r>
          </w:p>
        </w:tc>
        <w:tc>
          <w:tcPr>
            <w:tcW w:type="dxa" w:w="950"/>
          </w:tcPr>
          <w:p>
            <w:pPr>
              <w:spacing w:after="20"/>
              <w:jc w:val="right"/>
            </w:pPr>
            <w:r>
              <w:rPr>
                <w:color w:val="1C3A36"/>
                <w:sz w:val="15"/>
              </w:rPr>
              <w:t>17,461</w:t>
            </w:r>
          </w:p>
        </w:tc>
        <w:tc>
          <w:tcPr>
            <w:tcW w:type="dxa" w:w="950"/>
          </w:tcPr>
          <w:p>
            <w:pPr>
              <w:spacing w:after="20"/>
              <w:jc w:val="right"/>
            </w:pPr>
            <w:r>
              <w:rPr>
                <w:color w:val="1C3A36"/>
                <w:sz w:val="15"/>
              </w:rPr>
              <w:t>17,330</w:t>
            </w:r>
          </w:p>
        </w:tc>
        <w:tc>
          <w:tcPr>
            <w:tcW w:type="dxa" w:w="950"/>
          </w:tcPr>
          <w:p>
            <w:pPr>
              <w:spacing w:after="20"/>
              <w:jc w:val="right"/>
            </w:pPr>
            <w:r>
              <w:rPr>
                <w:color w:val="1C3A36"/>
                <w:sz w:val="15"/>
              </w:rPr>
              <w:t>23,375</w:t>
            </w:r>
          </w:p>
        </w:tc>
        <w:tc>
          <w:tcPr>
            <w:tcW w:type="dxa" w:w="950"/>
          </w:tcPr>
          <w:p>
            <w:pPr>
              <w:spacing w:after="20"/>
              <w:jc w:val="right"/>
            </w:pPr>
            <w:r>
              <w:rPr>
                <w:color w:val="1C3A36"/>
                <w:sz w:val="15"/>
              </w:rPr>
              <w:t>28,729</w:t>
            </w:r>
          </w:p>
        </w:tc>
        <w:tc>
          <w:tcPr>
            <w:tcW w:type="dxa" w:w="950"/>
          </w:tcPr>
          <w:p>
            <w:pPr>
              <w:spacing w:after="20"/>
              <w:jc w:val="right"/>
            </w:pPr>
            <w:r>
              <w:rPr>
                <w:color w:val="1C3A36"/>
                <w:sz w:val="15"/>
              </w:rPr>
              <w:t>33,491</w:t>
            </w:r>
          </w:p>
        </w:tc>
        <w:tc>
          <w:tcPr>
            <w:tcW w:type="dxa" w:w="950"/>
          </w:tcPr>
          <w:p>
            <w:pPr>
              <w:spacing w:after="20"/>
              <w:jc w:val="right"/>
            </w:pPr>
            <w:r>
              <w:rPr>
                <w:color w:val="1C3A36"/>
                <w:sz w:val="15"/>
              </w:rPr>
              <w:t>38,331</w:t>
            </w:r>
          </w:p>
        </w:tc>
        <w:tc>
          <w:tcPr>
            <w:tcW w:type="dxa" w:w="950"/>
          </w:tcPr>
          <w:p>
            <w:pPr>
              <w:spacing w:after="20"/>
              <w:jc w:val="right"/>
            </w:pPr>
            <w:r>
              <w:rPr>
                <w:color w:val="1C3A36"/>
                <w:sz w:val="15"/>
              </w:rPr>
              <w:t>43,227</w:t>
            </w:r>
          </w:p>
        </w:tc>
      </w:tr>
      <w:tr>
        <w:tc>
          <w:tcPr>
            <w:tcW w:type="dxa" w:w="2477"/>
          </w:tcPr>
          <w:p>
            <w:pPr>
              <w:spacing w:after="20"/>
            </w:pPr>
            <w:r>
              <w:rPr>
                <w:color w:val="1C3A36"/>
                <w:sz w:val="15"/>
              </w:rPr>
              <w:t>Earnings per share (derived: attributable ÷ shares,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10.92</w:t>
            </w:r>
          </w:p>
        </w:tc>
        <w:tc>
          <w:tcPr>
            <w:tcW w:type="dxa" w:w="950"/>
          </w:tcPr>
          <w:p>
            <w:pPr>
              <w:spacing w:after="20"/>
              <w:jc w:val="right"/>
            </w:pPr>
            <w:r>
              <w:rPr>
                <w:color w:val="1C3A36"/>
                <w:sz w:val="15"/>
              </w:rPr>
              <w:t>13.42</w:t>
            </w:r>
          </w:p>
        </w:tc>
        <w:tc>
          <w:tcPr>
            <w:tcW w:type="dxa" w:w="950"/>
          </w:tcPr>
          <w:p>
            <w:pPr>
              <w:spacing w:after="20"/>
              <w:jc w:val="right"/>
            </w:pPr>
            <w:r>
              <w:rPr>
                <w:color w:val="1C3A36"/>
                <w:sz w:val="15"/>
              </w:rPr>
              <w:t>15.64</w:t>
            </w:r>
          </w:p>
        </w:tc>
        <w:tc>
          <w:tcPr>
            <w:tcW w:type="dxa" w:w="950"/>
          </w:tcPr>
          <w:p>
            <w:pPr>
              <w:spacing w:after="20"/>
              <w:jc w:val="right"/>
            </w:pPr>
            <w:r>
              <w:rPr>
                <w:color w:val="1C3A36"/>
                <w:sz w:val="15"/>
              </w:rPr>
              <w:t>17.91</w:t>
            </w:r>
          </w:p>
        </w:tc>
        <w:tc>
          <w:tcPr>
            <w:tcW w:type="dxa" w:w="950"/>
          </w:tcPr>
          <w:p>
            <w:pPr>
              <w:spacing w:after="20"/>
              <w:jc w:val="right"/>
            </w:pPr>
            <w:r>
              <w:rPr>
                <w:color w:val="1C3A36"/>
                <w:sz w:val="15"/>
              </w:rPr>
              <w:t>20.19</w:t>
            </w:r>
          </w:p>
        </w:tc>
      </w:tr>
    </w:tbl>
    <w:p>
      <w:pPr>
        <w:spacing w:after="40"/>
      </w:pPr>
    </w:p>
    <w:p>
      <w:pPr>
        <w:spacing w:after="200" w:before="0"/>
      </w:pPr>
      <w:r>
        <w:rPr>
          <w:b w:val="0"/>
          <w:i/>
          <w:color w:val="6E7B77"/>
          <w:sz w:val="17"/>
        </w:rPr>
        <w:t>Every FY2023-25 STATEMENT line is taken directly from the company's audited consolidated statements. Two rows are house DERIVATIONS and are labelled as such: EBITDA (EBIT plus D&amp;A — the audited statements contain no EBITDA line, and the company's own separately published non-GAAP EBITDA is a different, larger definition) and earnings per share (attributable profit over shares outstanding; the company's own reported EPS of 4.26 / 7.22 / 7.13 is struck after the Egyptian employee and board profit-share appropriation and is accordingly lower — both bases appear in §1.3). Forecast profit is struck after net interest on the estimated debt and cash balances and after tax and minority interests, and therefore differs slightly from the free-cash-flow waterfall in section 1.1, which is a pre-financing measure by construction.</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72,817</w:t>
            </w:r>
          </w:p>
        </w:tc>
        <w:tc>
          <w:tcPr>
            <w:tcW w:type="dxa" w:w="1426"/>
          </w:tcPr>
          <w:p>
            <w:pPr>
              <w:spacing w:after="20"/>
              <w:jc w:val="right"/>
            </w:pPr>
            <w:r>
              <w:rPr>
                <w:color w:val="1C3A36"/>
                <w:sz w:val="16"/>
              </w:rPr>
              <w:t>88,363</w:t>
            </w:r>
          </w:p>
        </w:tc>
        <w:tc>
          <w:tcPr>
            <w:tcW w:type="dxa" w:w="1426"/>
          </w:tcPr>
          <w:p>
            <w:pPr>
              <w:spacing w:after="20"/>
              <w:jc w:val="right"/>
            </w:pPr>
            <w:r>
              <w:rPr>
                <w:color w:val="1C3A36"/>
                <w:sz w:val="16"/>
              </w:rPr>
              <w:t>101,282</w:t>
            </w:r>
          </w:p>
        </w:tc>
        <w:tc>
          <w:tcPr>
            <w:tcW w:type="dxa" w:w="1426"/>
          </w:tcPr>
          <w:p>
            <w:pPr>
              <w:spacing w:after="20"/>
              <w:jc w:val="right"/>
            </w:pPr>
            <w:r>
              <w:rPr>
                <w:color w:val="1C3A36"/>
                <w:sz w:val="16"/>
              </w:rPr>
              <w:t>113,929</w:t>
            </w:r>
          </w:p>
        </w:tc>
        <w:tc>
          <w:tcPr>
            <w:tcW w:type="dxa" w:w="1426"/>
          </w:tcPr>
          <w:p>
            <w:pPr>
              <w:spacing w:after="20"/>
              <w:jc w:val="right"/>
            </w:pPr>
            <w:r>
              <w:rPr>
                <w:color w:val="1C3A36"/>
                <w:sz w:val="16"/>
              </w:rPr>
              <w:t>126,888</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45,232</w:t>
            </w:r>
          </w:p>
        </w:tc>
        <w:tc>
          <w:tcPr>
            <w:tcW w:type="dxa" w:w="1426"/>
          </w:tcPr>
          <w:p>
            <w:pPr>
              <w:spacing w:after="20"/>
              <w:jc w:val="right"/>
            </w:pPr>
            <w:r>
              <w:rPr>
                <w:color w:val="1C3A36"/>
                <w:sz w:val="16"/>
              </w:rPr>
              <w:t>56,481</w:t>
            </w:r>
          </w:p>
        </w:tc>
        <w:tc>
          <w:tcPr>
            <w:tcW w:type="dxa" w:w="1426"/>
          </w:tcPr>
          <w:p>
            <w:pPr>
              <w:spacing w:after="20"/>
              <w:jc w:val="right"/>
            </w:pPr>
            <w:r>
              <w:rPr>
                <w:color w:val="1C3A36"/>
                <w:sz w:val="16"/>
              </w:rPr>
              <w:t>69,376</w:t>
            </w:r>
          </w:p>
        </w:tc>
        <w:tc>
          <w:tcPr>
            <w:tcW w:type="dxa" w:w="1426"/>
          </w:tcPr>
          <w:p>
            <w:pPr>
              <w:spacing w:after="20"/>
              <w:jc w:val="right"/>
            </w:pPr>
            <w:r>
              <w:rPr>
                <w:color w:val="1C3A36"/>
                <w:sz w:val="16"/>
              </w:rPr>
              <w:t>83,880</w:t>
            </w:r>
          </w:p>
        </w:tc>
        <w:tc>
          <w:tcPr>
            <w:tcW w:type="dxa" w:w="1426"/>
          </w:tcPr>
          <w:p>
            <w:pPr>
              <w:spacing w:after="20"/>
              <w:jc w:val="right"/>
            </w:pPr>
            <w:r>
              <w:rPr>
                <w:color w:val="1C3A36"/>
                <w:sz w:val="16"/>
              </w:rPr>
              <w:t>100,035</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119,797</w:t>
            </w:r>
          </w:p>
        </w:tc>
        <w:tc>
          <w:tcPr>
            <w:tcW w:type="dxa" w:w="1426"/>
          </w:tcPr>
          <w:p>
            <w:pPr>
              <w:spacing w:after="20"/>
              <w:jc w:val="right"/>
            </w:pPr>
            <w:r>
              <w:rPr>
                <w:color w:val="1C3A36"/>
                <w:sz w:val="16"/>
              </w:rPr>
              <w:t>146,593</w:t>
            </w:r>
          </w:p>
        </w:tc>
        <w:tc>
          <w:tcPr>
            <w:tcW w:type="dxa" w:w="1426"/>
          </w:tcPr>
          <w:p>
            <w:pPr>
              <w:spacing w:after="20"/>
              <w:jc w:val="right"/>
            </w:pPr>
            <w:r>
              <w:rPr>
                <w:color w:val="1C3A36"/>
                <w:sz w:val="16"/>
              </w:rPr>
              <w:t>172,407</w:t>
            </w:r>
          </w:p>
        </w:tc>
        <w:tc>
          <w:tcPr>
            <w:tcW w:type="dxa" w:w="1426"/>
          </w:tcPr>
          <w:p>
            <w:pPr>
              <w:spacing w:after="20"/>
              <w:jc w:val="right"/>
            </w:pPr>
            <w:r>
              <w:rPr>
                <w:color w:val="1C3A36"/>
                <w:sz w:val="16"/>
              </w:rPr>
              <w:t>199,558</w:t>
            </w:r>
          </w:p>
        </w:tc>
        <w:tc>
          <w:tcPr>
            <w:tcW w:type="dxa" w:w="1426"/>
          </w:tcPr>
          <w:p>
            <w:pPr>
              <w:spacing w:after="20"/>
              <w:jc w:val="right"/>
            </w:pPr>
            <w:r>
              <w:rPr>
                <w:color w:val="1C3A36"/>
                <w:sz w:val="16"/>
              </w:rPr>
              <w:t>228,671</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(13,232)</w:t>
            </w:r>
          </w:p>
        </w:tc>
        <w:tc>
          <w:tcPr>
            <w:tcW w:type="dxa" w:w="1426"/>
          </w:tcPr>
          <w:p>
            <w:pPr>
              <w:spacing w:after="20"/>
              <w:jc w:val="right"/>
            </w:pPr>
            <w:r>
              <w:rPr>
                <w:color w:val="1C3A36"/>
                <w:sz w:val="16"/>
              </w:rPr>
              <w:t>(16,056)</w:t>
            </w:r>
          </w:p>
        </w:tc>
        <w:tc>
          <w:tcPr>
            <w:tcW w:type="dxa" w:w="1426"/>
          </w:tcPr>
          <w:p>
            <w:pPr>
              <w:spacing w:after="20"/>
              <w:jc w:val="right"/>
            </w:pPr>
            <w:r>
              <w:rPr>
                <w:color w:val="1C3A36"/>
                <w:sz w:val="16"/>
              </w:rPr>
              <w:t>(18,404)</w:t>
            </w:r>
          </w:p>
        </w:tc>
        <w:tc>
          <w:tcPr>
            <w:tcW w:type="dxa" w:w="1426"/>
          </w:tcPr>
          <w:p>
            <w:pPr>
              <w:spacing w:after="20"/>
              <w:jc w:val="right"/>
            </w:pPr>
            <w:r>
              <w:rPr>
                <w:color w:val="1C3A36"/>
                <w:sz w:val="16"/>
              </w:rPr>
              <w:t>(20,702)</w:t>
            </w:r>
          </w:p>
        </w:tc>
        <w:tc>
          <w:tcPr>
            <w:tcW w:type="dxa" w:w="1426"/>
          </w:tcPr>
          <w:p>
            <w:pPr>
              <w:spacing w:after="20"/>
              <w:jc w:val="right"/>
            </w:pPr>
            <w:r>
              <w:rPr>
                <w:color w:val="1C3A36"/>
                <w:sz w:val="16"/>
              </w:rPr>
              <w:t>(23,057)</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(16,965)</w:t>
            </w:r>
          </w:p>
        </w:tc>
        <w:tc>
          <w:tcPr>
            <w:tcW w:type="dxa" w:w="1426"/>
            <w:shd w:val="clear" w:color="auto" w:fill="F6F1E6"/>
          </w:tcPr>
          <w:p>
            <w:pPr>
              <w:spacing w:after="20"/>
              <w:jc w:val="right"/>
            </w:pPr>
            <w:r>
              <w:rPr>
                <w:b/>
                <w:color w:val="1C3A36"/>
                <w:sz w:val="16"/>
              </w:rPr>
              <w:t>(15,546)</w:t>
            </w:r>
          </w:p>
        </w:tc>
        <w:tc>
          <w:tcPr>
            <w:tcW w:type="dxa" w:w="1426"/>
            <w:shd w:val="clear" w:color="auto" w:fill="F6F1E6"/>
          </w:tcPr>
          <w:p>
            <w:pPr>
              <w:spacing w:after="20"/>
              <w:jc w:val="right"/>
            </w:pPr>
            <w:r>
              <w:rPr>
                <w:b/>
                <w:color w:val="1C3A36"/>
                <w:sz w:val="16"/>
              </w:rPr>
              <w:t>(12,920)</w:t>
            </w:r>
          </w:p>
        </w:tc>
        <w:tc>
          <w:tcPr>
            <w:tcW w:type="dxa" w:w="1426"/>
            <w:shd w:val="clear" w:color="auto" w:fill="F6F1E6"/>
          </w:tcPr>
          <w:p>
            <w:pPr>
              <w:spacing w:after="20"/>
              <w:jc w:val="right"/>
            </w:pPr>
            <w:r>
              <w:rPr>
                <w:b/>
                <w:color w:val="1C3A36"/>
                <w:sz w:val="16"/>
              </w:rPr>
              <w:t>(12,647)</w:t>
            </w:r>
          </w:p>
        </w:tc>
        <w:tc>
          <w:tcPr>
            <w:tcW w:type="dxa" w:w="1426"/>
            <w:shd w:val="clear" w:color="auto" w:fill="F6F1E6"/>
          </w:tcPr>
          <w:p>
            <w:pPr>
              <w:spacing w:after="20"/>
              <w:jc w:val="right"/>
            </w:pPr>
            <w:r>
              <w:rPr>
                <w:b/>
                <w:color w:val="1C3A36"/>
                <w:sz w:val="16"/>
              </w:rPr>
              <w:t>(12,959)</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-319</w:t>
            </w:r>
          </w:p>
        </w:tc>
        <w:tc>
          <w:tcPr>
            <w:tcW w:type="dxa" w:w="1426"/>
          </w:tcPr>
          <w:p>
            <w:pPr>
              <w:spacing w:after="20"/>
              <w:jc w:val="right"/>
            </w:pPr>
            <w:r>
              <w:rPr>
                <w:color w:val="1C3A36"/>
                <w:sz w:val="16"/>
              </w:rPr>
              <w:t>5,227</w:t>
            </w:r>
          </w:p>
        </w:tc>
        <w:tc>
          <w:tcPr>
            <w:tcW w:type="dxa" w:w="1426"/>
          </w:tcPr>
          <w:p>
            <w:pPr>
              <w:spacing w:after="20"/>
              <w:jc w:val="right"/>
            </w:pPr>
            <w:r>
              <w:rPr>
                <w:color w:val="1C3A36"/>
                <w:sz w:val="16"/>
              </w:rPr>
              <w:t>11,402</w:t>
            </w:r>
          </w:p>
        </w:tc>
        <w:tc>
          <w:tcPr>
            <w:tcW w:type="dxa" w:w="1426"/>
          </w:tcPr>
          <w:p>
            <w:pPr>
              <w:spacing w:after="20"/>
              <w:jc w:val="right"/>
            </w:pPr>
            <w:r>
              <w:rPr>
                <w:color w:val="1C3A36"/>
                <w:sz w:val="16"/>
              </w:rPr>
              <w:t>15,010</w:t>
            </w:r>
          </w:p>
        </w:tc>
        <w:tc>
          <w:tcPr>
            <w:tcW w:type="dxa" w:w="1426"/>
          </w:tcPr>
          <w:p>
            <w:pPr>
              <w:spacing w:after="20"/>
              <w:jc w:val="right"/>
            </w:pPr>
            <w:r>
              <w:rPr>
                <w:color w:val="1C3A36"/>
                <w:sz w:val="16"/>
              </w:rPr>
              <w:t>17,889</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84,402</w:t>
            </w:r>
          </w:p>
        </w:tc>
        <w:tc>
          <w:tcPr>
            <w:tcW w:type="dxa" w:w="1426"/>
          </w:tcPr>
          <w:p>
            <w:pPr>
              <w:spacing w:after="20"/>
              <w:jc w:val="right"/>
            </w:pPr>
            <w:r>
              <w:rPr>
                <w:color w:val="1C3A36"/>
                <w:sz w:val="16"/>
              </w:rPr>
              <w:t>105,949</w:t>
            </w:r>
          </w:p>
        </w:tc>
        <w:tc>
          <w:tcPr>
            <w:tcW w:type="dxa" w:w="1426"/>
          </w:tcPr>
          <w:p>
            <w:pPr>
              <w:spacing w:after="20"/>
              <w:jc w:val="right"/>
            </w:pPr>
            <w:r>
              <w:rPr>
                <w:color w:val="1C3A36"/>
                <w:sz w:val="16"/>
              </w:rPr>
              <w:t>131,067</w:t>
            </w:r>
          </w:p>
        </w:tc>
        <w:tc>
          <w:tcPr>
            <w:tcW w:type="dxa" w:w="1426"/>
          </w:tcPr>
          <w:p>
            <w:pPr>
              <w:spacing w:after="20"/>
              <w:jc w:val="right"/>
            </w:pPr>
            <w:r>
              <w:rPr>
                <w:color w:val="1C3A36"/>
                <w:sz w:val="16"/>
              </w:rPr>
              <w:t>159,815</w:t>
            </w:r>
          </w:p>
        </w:tc>
        <w:tc>
          <w:tcPr>
            <w:tcW w:type="dxa" w:w="1426"/>
          </w:tcPr>
          <w:p>
            <w:pPr>
              <w:spacing w:after="20"/>
              <w:jc w:val="right"/>
            </w:pPr>
            <w:r>
              <w:rPr>
                <w:color w:val="1C3A36"/>
                <w:sz w:val="16"/>
              </w:rPr>
              <w:t>192,236</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28,039</w:t>
            </w:r>
          </w:p>
        </w:tc>
        <w:tc>
          <w:tcPr>
            <w:tcW w:type="dxa" w:w="1426"/>
          </w:tcPr>
          <w:p>
            <w:pPr>
              <w:spacing w:after="20"/>
              <w:jc w:val="right"/>
            </w:pPr>
            <w:r>
              <w:rPr>
                <w:color w:val="1C3A36"/>
                <w:sz w:val="16"/>
              </w:rPr>
              <w:t>31,592</w:t>
            </w:r>
          </w:p>
        </w:tc>
        <w:tc>
          <w:tcPr>
            <w:tcW w:type="dxa" w:w="1426"/>
          </w:tcPr>
          <w:p>
            <w:pPr>
              <w:spacing w:after="20"/>
              <w:jc w:val="right"/>
            </w:pPr>
            <w:r>
              <w:rPr>
                <w:color w:val="1C3A36"/>
                <w:sz w:val="16"/>
              </w:rPr>
              <w:t>30,193</w:t>
            </w:r>
          </w:p>
        </w:tc>
        <w:tc>
          <w:tcPr>
            <w:tcW w:type="dxa" w:w="1426"/>
          </w:tcPr>
          <w:p>
            <w:pPr>
              <w:spacing w:after="20"/>
              <w:jc w:val="right"/>
            </w:pPr>
            <w:r>
              <w:rPr>
                <w:color w:val="1C3A36"/>
                <w:sz w:val="16"/>
              </w:rPr>
              <w:t>26,102</w:t>
            </w:r>
          </w:p>
        </w:tc>
        <w:tc>
          <w:tcPr>
            <w:tcW w:type="dxa" w:w="1426"/>
          </w:tcPr>
          <w:p>
            <w:pPr>
              <w:spacing w:after="20"/>
              <w:jc w:val="right"/>
            </w:pPr>
            <w:r>
              <w:rPr>
                <w:color w:val="1C3A36"/>
                <w:sz w:val="16"/>
              </w:rPr>
              <w:t>19,905</w:t>
            </w:r>
          </w:p>
        </w:tc>
      </w:tr>
    </w:tbl>
    <w:p>
      <w:pPr>
        <w:spacing w:after="40"/>
      </w:pP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32%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is published BESIDE the central at its own value rather than averaged into it: it carries no weight, because there is no weighting. A reader who thinks the imported multiple is the better guide can read it off the page unmixed, which is the point of showing it.</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23.41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83.16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22.04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74.00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10.45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Cables is the exception and it is the largest segment: it is built as a unit model on the tonnage the company discloses in its own quarterly releases. The backlog is read and not burnt down, because no source discloses the burn profile that would take</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in the audited statements. </w:t>
      </w:r>
      <w:r>
        <w:rPr>
          <w:color w:val="1C3A36"/>
          <w:sz w:val="21"/>
        </w:rPr>
        <w:t>Neither the three audited annual statements nor the Q1-2026 interim discloses a tonnage, MVA, meter-count or backlog figure for any segment. THIS NEGATIVE RESULT IS NOW PARTLY ANSWERED AND IS RECORDED THAT WAY: the company's own quarterly earnings releases carry the data and were read — cable tonnage of 144,997 / 156,748 / 167,665 / 185,449 over FY2022-25 and 99,239 in the reviewed half, and an engineering backlog of EGP 346bn at 30 June 2026. The tonnage series sets the Cables growth driver; the backlog corroborates the Constructions taper rather than producing it. What remains negative is narrower and is stated as such: the AUDITED statements disclose none of it, so none of it is audited.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what would prove them wrong. They are not asked to agree, and they do not. Two dating and independence notes, stated up front: every panel figure is rolled to the 2026-09-03 anchor exactly as the four lenses are; and Expert 1 deliberately runs the SAME kind of earnings-power question as section 1.4 with different persona choices — FY2028-scale earnings at 9.5× against the lens's current-scale earnings at 9.0× — which is why the two land 176.13 and 103.30 respectively. The divergence is the persona doing what it says (no time-value discipline), it is disclosed, and only the section-1.4 construction enters the central.</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514,907</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10.6%</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49,293</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15.87</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176.13</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129.26 – 222.99</w:t>
            </w:r>
          </w:p>
        </w:tc>
      </w:tr>
    </w:tbl>
    <w:p>
      <w:pPr>
        <w:spacing w:after="40"/>
      </w:pPr>
    </w:p>
    <w:p>
      <w:pPr>
        <w:spacing w:after="120" w:before="0"/>
      </w:pPr>
      <w:r>
        <w:rPr>
          <w:b w:val="0"/>
          <w:i w:val="0"/>
          <w:color w:val="1C3A36"/>
          <w:sz w:val="21"/>
        </w:rPr>
        <w:t>Named sensitivity: each one-turn change in the multiple is worth EGP 15.87 per share, and each percentage point of mid-cycle EBITDA margin is worth roughly EGP 1.49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14,767</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 — the FY2029 point of the forecast's net-finance construction (cost-of-debt path × gross book less 10% on the FY2025 cash balance), after tax; shown because a review correctly noted it was not reconcilable as previously displayed</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(1,370)</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12,789</w:t>
            </w:r>
          </w:p>
        </w:tc>
      </w:tr>
      <w:tr>
        <w:tc>
          <w:tcPr>
            <w:tcW w:type="dxa" w:w="6264"/>
          </w:tcPr>
          <w:p>
            <w:pPr>
              <w:spacing w:after="20"/>
            </w:pPr>
            <w:r>
              <w:rPr>
                <w:color w:val="1C3A36"/>
                <w:sz w:val="17"/>
              </w:rPr>
              <w:t>Grown one year and capitalised at cost of equity less growth</w:t>
            </w:r>
          </w:p>
        </w:tc>
        <w:tc>
          <w:tcPr>
            <w:tcW w:type="dxa" w:w="2232"/>
          </w:tcPr>
          <w:p>
            <w:pPr>
              <w:spacing w:after="20"/>
              <w:jc w:val="right"/>
            </w:pPr>
            <w:r>
              <w:rPr>
                <w:color w:val="1C3A36"/>
                <w:sz w:val="17"/>
              </w:rPr>
              <w:t>× 1.09 ÷ (16.9% − 9%)</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97.72</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69.84 – 160.97</w:t>
            </w:r>
          </w:p>
        </w:tc>
      </w:tr>
    </w:tbl>
    <w:p>
      <w:pPr>
        <w:spacing w:after="40"/>
      </w:pPr>
    </w:p>
    <w:p>
      <w:pPr>
        <w:spacing w:after="120" w:before="0"/>
      </w:pPr>
      <w:r>
        <w:rPr>
          <w:b w:val="0"/>
          <w:i w:val="0"/>
          <w:color w:val="1C3A36"/>
          <w:sz w:val="21"/>
        </w:rPr>
        <w:t>This is the harshest of the three readings, at EGP 97.72,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20,383</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83,197</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197,142</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89.43</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66.70 – 112.16</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26.7%</w:t>
            </w:r>
          </w:p>
        </w:tc>
        <w:tc>
          <w:tcPr>
            <w:tcW w:type="dxa" w:w="1426"/>
          </w:tcPr>
          <w:p>
            <w:pPr>
              <w:spacing w:after="20"/>
              <w:jc w:val="right"/>
            </w:pPr>
            <w:r>
              <w:rPr>
                <w:color w:val="1C3A36"/>
                <w:sz w:val="16"/>
              </w:rPr>
              <w:t>22.9%</w:t>
            </w:r>
          </w:p>
        </w:tc>
        <w:tc>
          <w:tcPr>
            <w:tcW w:type="dxa" w:w="1426"/>
          </w:tcPr>
          <w:p>
            <w:pPr>
              <w:spacing w:after="20"/>
              <w:jc w:val="right"/>
            </w:pPr>
            <w:r>
              <w:rPr>
                <w:color w:val="1C3A36"/>
                <w:sz w:val="16"/>
              </w:rPr>
              <w:t>19.7%</w:t>
            </w:r>
          </w:p>
        </w:tc>
        <w:tc>
          <w:tcPr>
            <w:tcW w:type="dxa" w:w="1426"/>
          </w:tcPr>
          <w:p>
            <w:pPr>
              <w:spacing w:after="20"/>
              <w:jc w:val="right"/>
            </w:pPr>
            <w:r>
              <w:rPr>
                <w:color w:val="1C3A36"/>
                <w:sz w:val="16"/>
              </w:rPr>
              <w:t>17.2%</w:t>
            </w:r>
          </w:p>
        </w:tc>
        <w:tc>
          <w:tcPr>
            <w:tcW w:type="dxa" w:w="1426"/>
          </w:tcPr>
          <w:p>
            <w:pPr>
              <w:spacing w:after="20"/>
              <w:jc w:val="right"/>
            </w:pPr>
            <w:r>
              <w:rPr>
                <w:color w:val="1C3A36"/>
                <w:sz w:val="16"/>
              </w:rPr>
              <w:t>15.3%</w:t>
            </w:r>
          </w:p>
        </w:tc>
      </w:tr>
      <w:tr>
        <w:tc>
          <w:tcPr>
            <w:tcW w:type="dxa" w:w="2952"/>
          </w:tcPr>
          <w:p>
            <w:pPr>
              <w:spacing w:after="20"/>
            </w:pPr>
            <w:r>
              <w:rPr>
                <w:color w:val="1C3A36"/>
                <w:sz w:val="16"/>
              </w:rPr>
              <w:t>Spread</w:t>
            </w:r>
          </w:p>
        </w:tc>
        <w:tc>
          <w:tcPr>
            <w:tcW w:type="dxa" w:w="1426"/>
          </w:tcPr>
          <w:p>
            <w:pPr>
              <w:spacing w:after="20"/>
              <w:jc w:val="right"/>
            </w:pPr>
            <w:r>
              <w:rPr>
                <w:color w:val="1C3A36"/>
                <w:sz w:val="16"/>
              </w:rPr>
              <w:t>-5.0pp</w:t>
            </w:r>
          </w:p>
        </w:tc>
        <w:tc>
          <w:tcPr>
            <w:tcW w:type="dxa" w:w="1426"/>
          </w:tcPr>
          <w:p>
            <w:pPr>
              <w:spacing w:after="20"/>
              <w:jc w:val="right"/>
            </w:pPr>
            <w:r>
              <w:rPr>
                <w:color w:val="1C3A36"/>
                <w:sz w:val="16"/>
              </w:rPr>
              <w:t>-1.0pp</w:t>
            </w:r>
          </w:p>
        </w:tc>
        <w:tc>
          <w:tcPr>
            <w:tcW w:type="dxa" w:w="1426"/>
          </w:tcPr>
          <w:p>
            <w:pPr>
              <w:spacing w:after="20"/>
              <w:jc w:val="right"/>
            </w:pPr>
            <w:r>
              <w:rPr>
                <w:color w:val="1C3A36"/>
                <w:sz w:val="16"/>
              </w:rPr>
              <w:t>+1.8pp</w:t>
            </w:r>
          </w:p>
        </w:tc>
        <w:tc>
          <w:tcPr>
            <w:tcW w:type="dxa" w:w="1426"/>
          </w:tcPr>
          <w:p>
            <w:pPr>
              <w:spacing w:after="20"/>
              <w:jc w:val="right"/>
            </w:pPr>
            <w:r>
              <w:rPr>
                <w:color w:val="1C3A36"/>
                <w:sz w:val="16"/>
              </w:rPr>
              <w:t>+3.9pp</w:t>
            </w:r>
          </w:p>
        </w:tc>
        <w:tc>
          <w:tcPr>
            <w:tcW w:type="dxa" w:w="1426"/>
          </w:tcPr>
          <w:p>
            <w:pPr>
              <w:spacing w:after="20"/>
              <w:jc w:val="right"/>
            </w:pPr>
            <w:r>
              <w:rPr>
                <w:color w:val="1C3A36"/>
                <w:sz w:val="16"/>
              </w:rPr>
              <w:t>+5.2pp</w:t>
            </w:r>
          </w:p>
        </w:tc>
      </w:tr>
      <w:tr>
        <w:tc>
          <w:tcPr>
            <w:tcW w:type="dxa" w:w="2952"/>
            <w:shd w:val="clear" w:color="auto" w:fill="F6F1E6"/>
          </w:tcPr>
          <w:p>
            <w:pPr>
              <w:spacing w:after="20"/>
            </w:pPr>
            <w:r>
              <w:rPr>
                <w:b/>
                <w:color w:val="1C3A36"/>
                <w:sz w:val="16"/>
              </w:rPr>
              <w:t>Economic profit (NOPAT − charge on OPENING capital, EGP mn)</w:t>
            </w:r>
          </w:p>
        </w:tc>
        <w:tc>
          <w:tcPr>
            <w:tcW w:type="dxa" w:w="1426"/>
            <w:shd w:val="clear" w:color="auto" w:fill="F6F1E6"/>
          </w:tcPr>
          <w:p>
            <w:pPr>
              <w:spacing w:after="20"/>
              <w:jc w:val="right"/>
            </w:pPr>
            <w:r>
              <w:rPr>
                <w:b/>
                <w:color w:val="1C3A36"/>
                <w:sz w:val="16"/>
              </w:rPr>
              <w:t>980</w:t>
            </w:r>
          </w:p>
        </w:tc>
        <w:tc>
          <w:tcPr>
            <w:tcW w:type="dxa" w:w="1426"/>
            <w:shd w:val="clear" w:color="auto" w:fill="F6F1E6"/>
          </w:tcPr>
          <w:p>
            <w:pPr>
              <w:spacing w:after="20"/>
              <w:jc w:val="right"/>
            </w:pPr>
            <w:r>
              <w:rPr>
                <w:b/>
                <w:color w:val="1C3A36"/>
                <w:sz w:val="16"/>
              </w:rPr>
              <w:t>4,611</w:t>
            </w:r>
          </w:p>
        </w:tc>
        <w:tc>
          <w:tcPr>
            <w:tcW w:type="dxa" w:w="1426"/>
            <w:shd w:val="clear" w:color="auto" w:fill="F6F1E6"/>
          </w:tcPr>
          <w:p>
            <w:pPr>
              <w:spacing w:after="20"/>
              <w:jc w:val="right"/>
            </w:pPr>
            <w:r>
              <w:rPr>
                <w:b/>
                <w:color w:val="1C3A36"/>
                <w:sz w:val="16"/>
              </w:rPr>
              <w:t>8,278</w:t>
            </w:r>
          </w:p>
        </w:tc>
        <w:tc>
          <w:tcPr>
            <w:tcW w:type="dxa" w:w="1426"/>
            <w:shd w:val="clear" w:color="auto" w:fill="F6F1E6"/>
          </w:tcPr>
          <w:p>
            <w:pPr>
              <w:spacing w:after="20"/>
              <w:jc w:val="right"/>
            </w:pPr>
            <w:r>
              <w:rPr>
                <w:b/>
                <w:color w:val="1C3A36"/>
                <w:sz w:val="16"/>
              </w:rPr>
              <w:t>12,459</w:t>
            </w:r>
          </w:p>
        </w:tc>
        <w:tc>
          <w:tcPr>
            <w:tcW w:type="dxa" w:w="1426"/>
            <w:shd w:val="clear" w:color="auto" w:fill="F6F1E6"/>
          </w:tcPr>
          <w:p>
            <w:pPr>
              <w:spacing w:after="20"/>
              <w:jc w:val="right"/>
            </w:pPr>
            <w:r>
              <w:rPr>
                <w:b/>
                <w:color w:val="1C3A36"/>
                <w:sz w:val="16"/>
              </w:rPr>
              <w:t>16,383</w:t>
            </w:r>
          </w:p>
        </w:tc>
      </w:tr>
    </w:tbl>
    <w:p>
      <w:pPr>
        <w:spacing w:after="40"/>
      </w:pPr>
    </w:p>
    <w:p>
      <w:pPr>
        <w:spacing w:after="200" w:before="0"/>
      </w:pPr>
      <w:r>
        <w:rPr>
          <w:b w:val="0"/>
          <w:i/>
          <w:color w:val="6E7B77"/>
          <w:sz w:val="17"/>
        </w:rPr>
        <w:t>Two conventions sit in this table and are named so they cannot be confused: the ROIC row divides by CLOSING capital (matching Appendix A.3), while economic profit charges the cost of capital on OPENING capital — the capital actually employed through the year. So spread × closing capital will not reproduce the economic-profit row; the identity holds on opening capital. Note also that this leg's enterprise value (197,142) and the DCF's (219,193) differ by 22,051: economic-profit and FCFF valuations are algebraically identical on identical assumptions, and the gap here is exactly the different terminal treatment (a fading economic-profit perpetuity versus the reinvestment-rate terminal value). Expert 3 is therefore a RESTATEMENT of the DCF under a different terminal discipline, not an independent confirmation, and is read as such.</w:t>
      </w: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97.72; the vertical line is the market price of 130.00.</w:t>
      </w:r>
    </w:p>
    <w:p>
      <w:pPr>
        <w:spacing w:after="120" w:before="0"/>
      </w:pPr>
      <w:r>
        <w:rPr>
          <w:b w:val="0"/>
          <w:i w:val="0"/>
          <w:color w:val="1C3A36"/>
          <w:sz w:val="21"/>
        </w:rPr>
        <w:t>The panel spans EGP 89.43 to 176.13 — a factor of 2.0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97.72 sits -25% against the market price and +11% against the study's own central of 87.94 — a real gap, stated at its size rather than smoothed, and driven by the panel's harsher cash and returns legs outvoting its generous earnings leg.</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16.9%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9%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89%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