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20.05 a share against a market price of EGP 13.50. Fair value sits 48.5% ABOVE the price; equivalently the price stands 32.7% BELOW fair value. The range across the lenses is EGP 1.66 to 27.52 and the price is inside it. Three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21.65, 60.4%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9.90%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62%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1.66</w:t>
            </w:r>
          </w:p>
        </w:tc>
        <w:tc>
          <w:tcPr>
            <w:tcW w:type="dxa" w:w="1037"/>
          </w:tcPr>
          <w:p>
            <w:pPr>
              <w:spacing w:after="20"/>
              <w:jc w:val="right"/>
            </w:pPr>
            <w:r>
              <w:rPr>
                <w:color w:val="1C3A36"/>
                <w:sz w:val="18"/>
              </w:rPr>
              <w:t>20.05</w:t>
            </w:r>
          </w:p>
        </w:tc>
        <w:tc>
          <w:tcPr>
            <w:tcW w:type="dxa" w:w="1037"/>
          </w:tcPr>
          <w:p>
            <w:pPr>
              <w:spacing w:after="20"/>
              <w:jc w:val="right"/>
            </w:pPr>
            <w:r>
              <w:rPr>
                <w:color w:val="1C3A36"/>
                <w:sz w:val="18"/>
              </w:rPr>
              <w:t>27.52</w:t>
            </w:r>
          </w:p>
        </w:tc>
        <w:tc>
          <w:tcPr>
            <w:tcW w:type="dxa" w:w="1037"/>
          </w:tcPr>
          <w:p>
            <w:pPr>
              <w:spacing w:after="20"/>
              <w:jc w:val="right"/>
            </w:pPr>
            <w:r>
              <w:rPr>
                <w:color w:val="1C3A36"/>
                <w:sz w:val="18"/>
              </w:rPr>
              <w:t>48.5%</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9.88</w:t>
            </w:r>
          </w:p>
        </w:tc>
        <w:tc>
          <w:tcPr>
            <w:tcW w:type="dxa" w:w="1037"/>
          </w:tcPr>
          <w:p>
            <w:pPr>
              <w:spacing w:after="20"/>
              <w:jc w:val="right"/>
            </w:pPr>
            <w:r>
              <w:rPr>
                <w:color w:val="1C3A36"/>
                <w:sz w:val="18"/>
              </w:rPr>
              <w:t>12.98</w:t>
            </w:r>
          </w:p>
        </w:tc>
        <w:tc>
          <w:tcPr>
            <w:tcW w:type="dxa" w:w="1037"/>
          </w:tcPr>
          <w:p>
            <w:pPr>
              <w:spacing w:after="20"/>
              <w:jc w:val="right"/>
            </w:pPr>
            <w:r>
              <w:rPr>
                <w:color w:val="1C3A36"/>
                <w:sz w:val="18"/>
              </w:rPr>
              <w:t>16.09</w:t>
            </w:r>
          </w:p>
        </w:tc>
        <w:tc>
          <w:tcPr>
            <w:tcW w:type="dxa" w:w="1037"/>
          </w:tcPr>
          <w:p>
            <w:pPr>
              <w:spacing w:after="20"/>
              <w:jc w:val="right"/>
            </w:pPr>
            <w:r>
              <w:rPr>
                <w:color w:val="1C3A36"/>
                <w:sz w:val="18"/>
              </w:rPr>
              <w:t>-3.8%</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5.03</w:t>
            </w:r>
          </w:p>
        </w:tc>
        <w:tc>
          <w:tcPr>
            <w:tcW w:type="dxa" w:w="1037"/>
          </w:tcPr>
          <w:p>
            <w:pPr>
              <w:spacing w:after="20"/>
              <w:jc w:val="right"/>
            </w:pPr>
            <w:r>
              <w:rPr>
                <w:color w:val="1C3A36"/>
                <w:sz w:val="18"/>
              </w:rPr>
              <w:t>6.71</w:t>
            </w:r>
          </w:p>
        </w:tc>
        <w:tc>
          <w:tcPr>
            <w:tcW w:type="dxa" w:w="1037"/>
          </w:tcPr>
          <w:p>
            <w:pPr>
              <w:spacing w:after="20"/>
              <w:jc w:val="right"/>
            </w:pPr>
            <w:r>
              <w:rPr>
                <w:color w:val="1C3A36"/>
                <w:sz w:val="18"/>
              </w:rPr>
              <w:t>7.67</w:t>
            </w:r>
          </w:p>
        </w:tc>
        <w:tc>
          <w:tcPr>
            <w:tcW w:type="dxa" w:w="1037"/>
          </w:tcPr>
          <w:p>
            <w:pPr>
              <w:spacing w:after="20"/>
              <w:jc w:val="right"/>
            </w:pPr>
            <w:r>
              <w:rPr>
                <w:color w:val="1C3A36"/>
                <w:sz w:val="18"/>
              </w:rPr>
              <w:t>-50.3%</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1.66</w:t>
            </w:r>
          </w:p>
        </w:tc>
        <w:tc>
          <w:tcPr>
            <w:tcW w:type="dxa" w:w="1037"/>
            <w:shd w:val="clear" w:color="auto" w:fill="F6F1E6"/>
          </w:tcPr>
          <w:p>
            <w:pPr>
              <w:spacing w:after="20"/>
              <w:jc w:val="right"/>
            </w:pPr>
            <w:r>
              <w:rPr>
                <w:b/>
                <w:color w:val="1C3A36"/>
                <w:sz w:val="18"/>
              </w:rPr>
              <w:t>20.05</w:t>
            </w:r>
          </w:p>
        </w:tc>
        <w:tc>
          <w:tcPr>
            <w:tcW w:type="dxa" w:w="1037"/>
            <w:shd w:val="clear" w:color="auto" w:fill="F6F1E6"/>
          </w:tcPr>
          <w:p>
            <w:pPr>
              <w:spacing w:after="20"/>
              <w:jc w:val="right"/>
            </w:pPr>
            <w:r>
              <w:rPr>
                <w:b/>
                <w:color w:val="1C3A36"/>
                <w:sz w:val="18"/>
              </w:rPr>
              <w:t>27.52</w:t>
            </w:r>
          </w:p>
        </w:tc>
        <w:tc>
          <w:tcPr>
            <w:tcW w:type="dxa" w:w="1037"/>
            <w:shd w:val="clear" w:color="auto" w:fill="F6F1E6"/>
          </w:tcPr>
          <w:p>
            <w:pPr>
              <w:spacing w:after="20"/>
              <w:jc w:val="right"/>
            </w:pPr>
            <w:r>
              <w:rPr>
                <w:b/>
                <w:color w:val="1C3A36"/>
                <w:sz w:val="18"/>
              </w:rPr>
              <w:t>48.5%</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1.66–27.52; that is reported as an ENVELOPE. The retired 45/20/20/15 blend of these four would read EGP 15.14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answer and the reads held beside it. The cash-flow lens is the answer and carries its own bear-to-bull span; the relative multiple is drawn as a point because it is withdrawn, book value as a disclosed floor, and normalised earnings as a diagnostic this class does not value on. The vertical line is the traded price.</w:t>
      </w:r>
    </w:p>
    <w:p>
      <w:pPr>
        <w:spacing w:after="120" w:before="280"/>
      </w:pPr>
      <w:r>
        <w:rPr>
          <w:b/>
          <w:i w:val="0"/>
          <w:color w:val="1C3A36"/>
          <w:sz w:val="30"/>
        </w:rPr>
        <w:t>Company overview</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REVIEWED half to 30 June 2026. No annualisation scalar is applied to either half and no period is estimated. BOTH HALVES ARE FILED — an earlier edition of this study treated the second as a press release and solved its gross profit from the profit line; the reviewed statements settle it, and the released figure was right to within a fraction of a per cent.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both halves FILED</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r>
        <w:tc>
          <w:tcPr>
            <w:tcW w:type="dxa" w:w="2448"/>
          </w:tcPr>
          <w:p>
            <w:pPr>
              <w:spacing w:after="20"/>
            </w:pPr>
            <w:r>
              <w:rPr>
                <w:color w:val="1C3A36"/>
                <w:sz w:val="18"/>
              </w:rPr>
              <w:t>6M Jun-2026</w:t>
            </w:r>
          </w:p>
        </w:tc>
        <w:tc>
          <w:tcPr>
            <w:tcW w:type="dxa" w:w="1800"/>
          </w:tcPr>
          <w:p>
            <w:pPr>
              <w:spacing w:after="20"/>
              <w:jc w:val="right"/>
            </w:pPr>
            <w:r>
              <w:rPr>
                <w:color w:val="1C3A36"/>
                <w:sz w:val="18"/>
              </w:rPr>
              <w:t>26,223</w:t>
            </w:r>
          </w:p>
        </w:tc>
        <w:tc>
          <w:tcPr>
            <w:tcW w:type="dxa" w:w="1800"/>
          </w:tcPr>
          <w:p>
            <w:pPr>
              <w:spacing w:after="20"/>
              <w:jc w:val="right"/>
            </w:pPr>
            <w:r>
              <w:rPr>
                <w:color w:val="1C3A36"/>
                <w:sz w:val="18"/>
              </w:rPr>
              <w:t>3,259</w:t>
            </w:r>
          </w:p>
        </w:tc>
        <w:tc>
          <w:tcPr>
            <w:tcW w:type="dxa" w:w="1656"/>
          </w:tcPr>
          <w:p>
            <w:pPr>
              <w:spacing w:after="20"/>
              <w:jc w:val="right"/>
            </w:pPr>
            <w:r>
              <w:rPr>
                <w:color w:val="1C3A36"/>
                <w:sz w:val="18"/>
              </w:rPr>
              <w:t>12.43%</w:t>
            </w:r>
          </w:p>
        </w:tc>
        <w:tc>
          <w:tcPr>
            <w:tcW w:type="dxa" w:w="1944"/>
          </w:tcPr>
          <w:p>
            <w:pPr>
              <w:spacing w:after="20"/>
              <w:jc w:val="right"/>
            </w:pPr>
            <w:r>
              <w:rPr>
                <w:color w:val="1C3A36"/>
                <w:sz w:val="18"/>
              </w:rPr>
              <w:t>2,456</w:t>
            </w:r>
          </w:p>
        </w:tc>
      </w:tr>
    </w:tbl>
    <w:p>
      <w:pPr>
        <w:spacing w:after="40"/>
      </w:pPr>
    </w:p>
    <w:p>
      <w:pPr>
        <w:spacing w:after="200" w:before="0"/>
      </w:pPr>
      <w:r>
        <w:rPr>
          <w:b w:val="0"/>
          <w:i/>
          <w:color w:val="6E7B77"/>
          <w:sz w:val="17"/>
        </w:rPr>
        <w:t>Table 6 — the filed margin record. Five consecutively filed periods; the margin ranges 5.05% to 12.43%, a spread of 737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20.38  (+1.7%)</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20.82  (+3.8%)</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20.25  (+1.0%)</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7,820</w:t>
            </w:r>
          </w:p>
        </w:tc>
        <w:tc>
          <w:tcPr>
            <w:tcW w:type="dxa" w:w="1195"/>
          </w:tcPr>
          <w:p>
            <w:pPr>
              <w:spacing w:after="20"/>
              <w:jc w:val="right"/>
            </w:pPr>
            <w:r>
              <w:rPr>
                <w:color w:val="1C3A36"/>
                <w:sz w:val="16"/>
              </w:rPr>
              <w:t>8,545</w:t>
            </w:r>
          </w:p>
        </w:tc>
        <w:tc>
          <w:tcPr>
            <w:tcW w:type="dxa" w:w="1195"/>
          </w:tcPr>
          <w:p>
            <w:pPr>
              <w:spacing w:after="20"/>
              <w:jc w:val="right"/>
            </w:pPr>
            <w:r>
              <w:rPr>
                <w:color w:val="1C3A36"/>
                <w:sz w:val="16"/>
              </w:rPr>
              <w:t>9,087</w:t>
            </w:r>
          </w:p>
        </w:tc>
        <w:tc>
          <w:tcPr>
            <w:tcW w:type="dxa" w:w="1195"/>
          </w:tcPr>
          <w:p>
            <w:pPr>
              <w:spacing w:after="20"/>
              <w:jc w:val="right"/>
            </w:pPr>
            <w:r>
              <w:rPr>
                <w:color w:val="1C3A36"/>
                <w:sz w:val="16"/>
              </w:rPr>
              <w:t>9,530</w:t>
            </w:r>
          </w:p>
        </w:tc>
        <w:tc>
          <w:tcPr>
            <w:tcW w:type="dxa" w:w="1195"/>
          </w:tcPr>
          <w:p>
            <w:pPr>
              <w:spacing w:after="20"/>
              <w:jc w:val="right"/>
            </w:pPr>
            <w:r>
              <w:rPr>
                <w:color w:val="1C3A36"/>
                <w:sz w:val="16"/>
              </w:rPr>
              <w:t>9,949</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5,266</w:t>
            </w:r>
          </w:p>
        </w:tc>
        <w:tc>
          <w:tcPr>
            <w:tcW w:type="dxa" w:w="1195"/>
          </w:tcPr>
          <w:p>
            <w:pPr>
              <w:spacing w:after="20"/>
              <w:jc w:val="right"/>
            </w:pPr>
            <w:r>
              <w:rPr>
                <w:color w:val="1C3A36"/>
                <w:sz w:val="16"/>
              </w:rPr>
              <w:t>5,754</w:t>
            </w:r>
          </w:p>
        </w:tc>
        <w:tc>
          <w:tcPr>
            <w:tcW w:type="dxa" w:w="1195"/>
          </w:tcPr>
          <w:p>
            <w:pPr>
              <w:spacing w:after="20"/>
              <w:jc w:val="right"/>
            </w:pPr>
            <w:r>
              <w:rPr>
                <w:color w:val="1C3A36"/>
                <w:sz w:val="16"/>
              </w:rPr>
              <w:t>6,119</w:t>
            </w:r>
          </w:p>
        </w:tc>
        <w:tc>
          <w:tcPr>
            <w:tcW w:type="dxa" w:w="1195"/>
          </w:tcPr>
          <w:p>
            <w:pPr>
              <w:spacing w:after="20"/>
              <w:jc w:val="right"/>
            </w:pPr>
            <w:r>
              <w:rPr>
                <w:color w:val="1C3A36"/>
                <w:sz w:val="16"/>
              </w:rPr>
              <w:t>6,417</w:t>
            </w:r>
          </w:p>
        </w:tc>
        <w:tc>
          <w:tcPr>
            <w:tcW w:type="dxa" w:w="1195"/>
          </w:tcPr>
          <w:p>
            <w:pPr>
              <w:spacing w:after="20"/>
              <w:jc w:val="right"/>
            </w:pPr>
            <w:r>
              <w:rPr>
                <w:color w:val="1C3A36"/>
                <w:sz w:val="16"/>
              </w:rPr>
              <w:t>6,699</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14,749</w:t>
            </w:r>
          </w:p>
        </w:tc>
        <w:tc>
          <w:tcPr>
            <w:tcW w:type="dxa" w:w="1195"/>
          </w:tcPr>
          <w:p>
            <w:pPr>
              <w:spacing w:after="20"/>
              <w:jc w:val="right"/>
            </w:pPr>
            <w:r>
              <w:rPr>
                <w:color w:val="1C3A36"/>
                <w:sz w:val="16"/>
              </w:rPr>
              <w:t>16,117</w:t>
            </w:r>
          </w:p>
        </w:tc>
        <w:tc>
          <w:tcPr>
            <w:tcW w:type="dxa" w:w="1195"/>
          </w:tcPr>
          <w:p>
            <w:pPr>
              <w:spacing w:after="20"/>
              <w:jc w:val="right"/>
            </w:pPr>
            <w:r>
              <w:rPr>
                <w:color w:val="1C3A36"/>
                <w:sz w:val="16"/>
              </w:rPr>
              <w:t>17,139</w:t>
            </w:r>
          </w:p>
        </w:tc>
        <w:tc>
          <w:tcPr>
            <w:tcW w:type="dxa" w:w="1195"/>
          </w:tcPr>
          <w:p>
            <w:pPr>
              <w:spacing w:after="20"/>
              <w:jc w:val="right"/>
            </w:pPr>
            <w:r>
              <w:rPr>
                <w:color w:val="1C3A36"/>
                <w:sz w:val="16"/>
              </w:rPr>
              <w:t>17,975</w:t>
            </w:r>
          </w:p>
        </w:tc>
        <w:tc>
          <w:tcPr>
            <w:tcW w:type="dxa" w:w="1195"/>
          </w:tcPr>
          <w:p>
            <w:pPr>
              <w:spacing w:after="20"/>
              <w:jc w:val="right"/>
            </w:pPr>
            <w:r>
              <w:rPr>
                <w:color w:val="1C3A36"/>
                <w:sz w:val="16"/>
              </w:rPr>
              <w:t>18,764</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2,532</w:t>
            </w:r>
          </w:p>
        </w:tc>
        <w:tc>
          <w:tcPr>
            <w:tcW w:type="dxa" w:w="1195"/>
          </w:tcPr>
          <w:p>
            <w:pPr>
              <w:spacing w:after="20"/>
              <w:jc w:val="right"/>
            </w:pPr>
            <w:r>
              <w:rPr>
                <w:color w:val="1C3A36"/>
                <w:sz w:val="16"/>
              </w:rPr>
              <w:t>2,767</w:t>
            </w:r>
          </w:p>
        </w:tc>
        <w:tc>
          <w:tcPr>
            <w:tcW w:type="dxa" w:w="1195"/>
          </w:tcPr>
          <w:p>
            <w:pPr>
              <w:spacing w:after="20"/>
              <w:jc w:val="right"/>
            </w:pPr>
            <w:r>
              <w:rPr>
                <w:color w:val="1C3A36"/>
                <w:sz w:val="16"/>
              </w:rPr>
              <w:t>2,943</w:t>
            </w:r>
          </w:p>
        </w:tc>
        <w:tc>
          <w:tcPr>
            <w:tcW w:type="dxa" w:w="1195"/>
          </w:tcPr>
          <w:p>
            <w:pPr>
              <w:spacing w:after="20"/>
              <w:jc w:val="right"/>
            </w:pPr>
            <w:r>
              <w:rPr>
                <w:color w:val="1C3A36"/>
                <w:sz w:val="16"/>
              </w:rPr>
              <w:t>3,086</w:t>
            </w:r>
          </w:p>
        </w:tc>
        <w:tc>
          <w:tcPr>
            <w:tcW w:type="dxa" w:w="1195"/>
          </w:tcPr>
          <w:p>
            <w:pPr>
              <w:spacing w:after="20"/>
              <w:jc w:val="right"/>
            </w:pPr>
            <w:r>
              <w:rPr>
                <w:color w:val="1C3A36"/>
                <w:sz w:val="16"/>
              </w:rPr>
              <w:t>3,222</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2,343</w:t>
            </w:r>
          </w:p>
        </w:tc>
        <w:tc>
          <w:tcPr>
            <w:tcW w:type="dxa" w:w="1195"/>
          </w:tcPr>
          <w:p>
            <w:pPr>
              <w:spacing w:after="20"/>
              <w:jc w:val="right"/>
            </w:pPr>
            <w:r>
              <w:rPr>
                <w:color w:val="1C3A36"/>
                <w:sz w:val="16"/>
              </w:rPr>
              <w:t>2,560</w:t>
            </w:r>
          </w:p>
        </w:tc>
        <w:tc>
          <w:tcPr>
            <w:tcW w:type="dxa" w:w="1195"/>
          </w:tcPr>
          <w:p>
            <w:pPr>
              <w:spacing w:after="20"/>
              <w:jc w:val="right"/>
            </w:pPr>
            <w:r>
              <w:rPr>
                <w:color w:val="1C3A36"/>
                <w:sz w:val="16"/>
              </w:rPr>
              <w:t>2,723</w:t>
            </w:r>
          </w:p>
        </w:tc>
        <w:tc>
          <w:tcPr>
            <w:tcW w:type="dxa" w:w="1195"/>
          </w:tcPr>
          <w:p>
            <w:pPr>
              <w:spacing w:after="20"/>
              <w:jc w:val="right"/>
            </w:pPr>
            <w:r>
              <w:rPr>
                <w:color w:val="1C3A36"/>
                <w:sz w:val="16"/>
              </w:rPr>
              <w:t>2,856</w:t>
            </w:r>
          </w:p>
        </w:tc>
        <w:tc>
          <w:tcPr>
            <w:tcW w:type="dxa" w:w="1195"/>
          </w:tcPr>
          <w:p>
            <w:pPr>
              <w:spacing w:after="20"/>
              <w:jc w:val="right"/>
            </w:pPr>
            <w:r>
              <w:rPr>
                <w:color w:val="1C3A36"/>
                <w:sz w:val="16"/>
              </w:rPr>
              <w:t>2,981</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19,963</w:t>
            </w:r>
          </w:p>
        </w:tc>
        <w:tc>
          <w:tcPr>
            <w:tcW w:type="dxa" w:w="1195"/>
          </w:tcPr>
          <w:p>
            <w:pPr>
              <w:spacing w:after="20"/>
              <w:jc w:val="right"/>
            </w:pPr>
            <w:r>
              <w:rPr>
                <w:color w:val="1C3A36"/>
                <w:sz w:val="16"/>
              </w:rPr>
              <w:t>21,813</w:t>
            </w:r>
          </w:p>
        </w:tc>
        <w:tc>
          <w:tcPr>
            <w:tcW w:type="dxa" w:w="1195"/>
          </w:tcPr>
          <w:p>
            <w:pPr>
              <w:spacing w:after="20"/>
              <w:jc w:val="right"/>
            </w:pPr>
            <w:r>
              <w:rPr>
                <w:color w:val="1C3A36"/>
                <w:sz w:val="16"/>
              </w:rPr>
              <w:t>23,196</w:t>
            </w:r>
          </w:p>
        </w:tc>
        <w:tc>
          <w:tcPr>
            <w:tcW w:type="dxa" w:w="1195"/>
          </w:tcPr>
          <w:p>
            <w:pPr>
              <w:spacing w:after="20"/>
              <w:jc w:val="right"/>
            </w:pPr>
            <w:r>
              <w:rPr>
                <w:color w:val="1C3A36"/>
                <w:sz w:val="16"/>
              </w:rPr>
              <w:t>24,328</w:t>
            </w:r>
          </w:p>
        </w:tc>
        <w:tc>
          <w:tcPr>
            <w:tcW w:type="dxa" w:w="1195"/>
          </w:tcPr>
          <w:p>
            <w:pPr>
              <w:spacing w:after="20"/>
              <w:jc w:val="right"/>
            </w:pPr>
            <w:r>
              <w:rPr>
                <w:color w:val="1C3A36"/>
                <w:sz w:val="16"/>
              </w:rPr>
              <w:t>25,396</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469</w:t>
            </w:r>
          </w:p>
        </w:tc>
        <w:tc>
          <w:tcPr>
            <w:tcW w:type="dxa" w:w="1195"/>
          </w:tcPr>
          <w:p>
            <w:pPr>
              <w:spacing w:after="20"/>
              <w:jc w:val="right"/>
            </w:pPr>
            <w:r>
              <w:rPr>
                <w:color w:val="1C3A36"/>
                <w:sz w:val="16"/>
              </w:rPr>
              <w:t>513</w:t>
            </w:r>
          </w:p>
        </w:tc>
        <w:tc>
          <w:tcPr>
            <w:tcW w:type="dxa" w:w="1195"/>
          </w:tcPr>
          <w:p>
            <w:pPr>
              <w:spacing w:after="20"/>
              <w:jc w:val="right"/>
            </w:pPr>
            <w:r>
              <w:rPr>
                <w:color w:val="1C3A36"/>
                <w:sz w:val="16"/>
              </w:rPr>
              <w:t>545</w:t>
            </w:r>
          </w:p>
        </w:tc>
        <w:tc>
          <w:tcPr>
            <w:tcW w:type="dxa" w:w="1195"/>
          </w:tcPr>
          <w:p>
            <w:pPr>
              <w:spacing w:after="20"/>
              <w:jc w:val="right"/>
            </w:pPr>
            <w:r>
              <w:rPr>
                <w:color w:val="1C3A36"/>
                <w:sz w:val="16"/>
              </w:rPr>
              <w:t>572</w:t>
            </w:r>
          </w:p>
        </w:tc>
        <w:tc>
          <w:tcPr>
            <w:tcW w:type="dxa" w:w="1195"/>
          </w:tcPr>
          <w:p>
            <w:pPr>
              <w:spacing w:after="20"/>
              <w:jc w:val="right"/>
            </w:pPr>
            <w:r>
              <w:rPr>
                <w:color w:val="1C3A36"/>
                <w:sz w:val="16"/>
              </w:rPr>
              <w:t>597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53,144</w:t>
            </w:r>
          </w:p>
        </w:tc>
        <w:tc>
          <w:tcPr>
            <w:tcW w:type="dxa" w:w="1195"/>
            <w:shd w:val="clear" w:color="auto" w:fill="F6F1E6"/>
          </w:tcPr>
          <w:p>
            <w:pPr>
              <w:spacing w:after="20"/>
              <w:jc w:val="right"/>
            </w:pPr>
            <w:r>
              <w:rPr>
                <w:b/>
                <w:color w:val="1C3A36"/>
                <w:sz w:val="16"/>
              </w:rPr>
              <w:t>58,069</w:t>
            </w:r>
          </w:p>
        </w:tc>
        <w:tc>
          <w:tcPr>
            <w:tcW w:type="dxa" w:w="1195"/>
            <w:shd w:val="clear" w:color="auto" w:fill="F6F1E6"/>
          </w:tcPr>
          <w:p>
            <w:pPr>
              <w:spacing w:after="20"/>
              <w:jc w:val="right"/>
            </w:pPr>
            <w:r>
              <w:rPr>
                <w:b/>
                <w:color w:val="1C3A36"/>
                <w:sz w:val="16"/>
              </w:rPr>
              <w:t>61,752</w:t>
            </w:r>
          </w:p>
        </w:tc>
        <w:tc>
          <w:tcPr>
            <w:tcW w:type="dxa" w:w="1195"/>
            <w:shd w:val="clear" w:color="auto" w:fill="F6F1E6"/>
          </w:tcPr>
          <w:p>
            <w:pPr>
              <w:spacing w:after="20"/>
              <w:jc w:val="right"/>
            </w:pPr>
            <w:r>
              <w:rPr>
                <w:b/>
                <w:color w:val="1C3A36"/>
                <w:sz w:val="16"/>
              </w:rPr>
              <w:t>64,764</w:t>
            </w:r>
          </w:p>
        </w:tc>
        <w:tc>
          <w:tcPr>
            <w:tcW w:type="dxa" w:w="1195"/>
            <w:shd w:val="clear" w:color="auto" w:fill="F6F1E6"/>
          </w:tcPr>
          <w:p>
            <w:pPr>
              <w:spacing w:after="20"/>
              <w:jc w:val="right"/>
            </w:pPr>
            <w:r>
              <w:rPr>
                <w:b/>
                <w:color w:val="1C3A36"/>
                <w:sz w:val="16"/>
              </w:rPr>
              <w:t>67,607</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10.50%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0.906</w:t>
            </w:r>
          </w:p>
        </w:tc>
        <w:tc>
          <w:tcPr>
            <w:tcW w:type="dxa" w:w="1296"/>
          </w:tcPr>
          <w:p>
            <w:pPr>
              <w:spacing w:after="20"/>
              <w:jc w:val="right"/>
            </w:pPr>
            <w:r>
              <w:rPr>
                <w:color w:val="1C3A36"/>
                <w:sz w:val="17"/>
              </w:rPr>
              <w:t>0.906</w:t>
            </w:r>
          </w:p>
        </w:tc>
        <w:tc>
          <w:tcPr>
            <w:tcW w:type="dxa" w:w="4824"/>
          </w:tcPr>
          <w:p>
            <w:pPr>
              <w:spacing w:after="20"/>
            </w:pPr>
            <w:r>
              <w:rPr>
                <w:color w:val="1C3A36"/>
                <w:sz w:val="17"/>
              </w:rPr>
              <w:t>own-stock regression, n=256, R² 23.6%, standard error 0.175, 90% interval [0.619, 1.193]</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27.44%</w:t>
            </w:r>
          </w:p>
        </w:tc>
        <w:tc>
          <w:tcPr>
            <w:tcW w:type="dxa" w:w="1296"/>
            <w:shd w:val="clear" w:color="auto" w:fill="F6F1E6"/>
          </w:tcPr>
          <w:p>
            <w:pPr>
              <w:spacing w:after="20"/>
              <w:jc w:val="right"/>
            </w:pPr>
            <w:r>
              <w:rPr>
                <w:b/>
                <w:color w:val="1C3A36"/>
                <w:sz w:val="17"/>
              </w:rPr>
              <w:t>16.84%</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99.90%</w:t>
            </w:r>
          </w:p>
        </w:tc>
        <w:tc>
          <w:tcPr>
            <w:tcW w:type="dxa" w:w="1296"/>
          </w:tcPr>
          <w:p>
            <w:pPr>
              <w:spacing w:after="20"/>
              <w:jc w:val="right"/>
            </w:pPr>
            <w:r>
              <w:rPr>
                <w:color w:val="1C3A36"/>
                <w:sz w:val="17"/>
              </w:rPr>
              <w:t>90.00%</w:t>
            </w:r>
          </w:p>
        </w:tc>
        <w:tc>
          <w:tcPr>
            <w:tcW w:type="dxa" w:w="4824"/>
          </w:tcPr>
          <w:p>
            <w:pPr>
              <w:spacing w:after="20"/>
            </w:pPr>
            <w:r>
              <w:rPr>
                <w:color w:val="1C3A36"/>
                <w:sz w:val="17"/>
              </w:rPr>
              <w:t>on GROSS borrowings: the operations are valued at the unlevered rate and the cash is added once, in the bridge</w:t>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0.10%</w:t>
            </w:r>
          </w:p>
        </w:tc>
        <w:tc>
          <w:tcPr>
            <w:tcW w:type="dxa" w:w="1296"/>
          </w:tcPr>
          <w:p>
            <w:pPr>
              <w:spacing w:after="20"/>
              <w:jc w:val="right"/>
            </w:pPr>
            <w:r>
              <w:rPr>
                <w:color w:val="1C3A36"/>
                <w:sz w:val="17"/>
              </w:rPr>
              <w:t>10.00%</w:t>
            </w:r>
          </w:p>
        </w:tc>
        <w:tc>
          <w:tcPr>
            <w:tcW w:type="dxa" w:w="4824"/>
          </w:tcPr>
          <w:p>
            <w:pPr>
              <w:spacing w:after="20"/>
            </w:pPr>
            <w:r>
              <w:rPr>
                <w:color w:val="1C3A36"/>
                <w:sz w:val="17"/>
              </w:rPr>
              <w:t>gross borrowings are a tenth of one per cent of capital at market value</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27.44%</w:t>
            </w:r>
          </w:p>
        </w:tc>
        <w:tc>
          <w:tcPr>
            <w:tcW w:type="dxa" w:w="1296"/>
            <w:shd w:val="clear" w:color="auto" w:fill="F6F1E6"/>
          </w:tcPr>
          <w:p>
            <w:pPr>
              <w:spacing w:after="20"/>
              <w:jc w:val="right"/>
            </w:pPr>
            <w:r>
              <w:rPr>
                <w:b/>
                <w:color w:val="1C3A36"/>
                <w:sz w:val="17"/>
              </w:rPr>
              <w:t>16.33%</w:t>
            </w:r>
          </w:p>
        </w:tc>
        <w:tc>
          <w:tcPr>
            <w:tcW w:type="dxa" w:w="4824"/>
            <w:shd w:val="clear" w:color="auto" w:fill="F6F1E6"/>
          </w:tcPr>
          <w:p>
            <w:pPr>
              <w:spacing w:after="20"/>
            </w:pPr>
            <w:r>
              <w:rPr>
                <w:b/>
                <w:color w:val="1C3A36"/>
                <w:sz w:val="17"/>
              </w:rPr>
              <w:t>the operating rate; at that debt weight it IS the cost of equity to three decimals</w:t>
            </w:r>
          </w:p>
        </w:tc>
      </w:tr>
      <w:tr>
        <w:tc>
          <w:tcPr>
            <w:tcW w:type="dxa" w:w="2592"/>
          </w:tcPr>
          <w:p>
            <w:pPr>
              <w:spacing w:after="20"/>
            </w:pPr>
            <w:r>
              <w:rPr>
                <w:color w:val="1C3A36"/>
                <w:sz w:val="17"/>
              </w:rPr>
              <w:t>— the retired net-debt construction</w:t>
            </w:r>
          </w:p>
        </w:tc>
        <w:tc>
          <w:tcPr>
            <w:tcW w:type="dxa" w:w="1512"/>
          </w:tcPr>
          <w:p>
            <w:pPr>
              <w:spacing w:after="20"/>
              <w:jc w:val="right"/>
            </w:pPr>
            <w:r>
              <w:rPr>
                <w:color w:val="1C3A36"/>
                <w:sz w:val="17"/>
              </w:rPr>
              <w:t>30.40%</w:t>
            </w:r>
          </w:p>
        </w:tc>
        <w:tc>
          <w:tcPr>
            <w:tcW w:type="dxa" w:w="1296"/>
          </w:tcPr>
          <w:p>
            <w:pPr>
              <w:spacing w:after="20"/>
              <w:jc w:val="right"/>
            </w:pPr>
            <w:r>
              <w:rPr>
                <w:color w:val="1C3A36"/>
                <w:sz w:val="17"/>
              </w:rPr>
              <w:t>—</w:t>
            </w:r>
          </w:p>
        </w:tc>
        <w:tc>
          <w:tcPr>
            <w:tcW w:type="dxa" w:w="4824"/>
          </w:tcPr>
          <w:p>
            <w:pPr>
              <w:spacing w:after="20"/>
            </w:pPr>
            <w:r>
              <w:rPr>
                <w:color w:val="1C3A36"/>
                <w:sz w:val="17"/>
              </w:rPr>
              <w:t>weights 120.80% equity and -20.80% debt, which is what a NET-cash weighting produces; it is shown because the previous edition used it AND added the cash back at face, charging for the same cash twice</w:t>
            </w:r>
          </w:p>
        </w:tc>
      </w:tr>
    </w:tbl>
    <w:p>
      <w:pPr>
        <w:spacing w:after="40"/>
      </w:pPr>
    </w:p>
    <w:p>
      <w:pPr>
        <w:spacing w:after="200" w:before="0"/>
      </w:pPr>
      <w:r>
        <w:rPr>
          <w:b w:val="0"/>
          <w:i/>
          <w:color w:val="6E7B77"/>
          <w:sz w:val="17"/>
        </w:rPr>
        <w:t>Table 10 — the discount-rate stack. The construction that matters most here is what the cash is doing. A naive model lets a cash pile drag the weighted rate DOWN; the previous edition went the other way, weighting on NET debt at -20.8% and reaching 30.4% — 296 basis points ABOVE the 27.4% cost of equity — and THEN added the same cash back at face in the bridge, which charges for it twice. This edition values the operations at the unlevered rate of 27.44% and adds the cash once,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27.44%</w:t>
            </w:r>
          </w:p>
        </w:tc>
        <w:tc>
          <w:tcPr>
            <w:tcW w:type="dxa" w:w="1195"/>
          </w:tcPr>
          <w:p>
            <w:pPr>
              <w:spacing w:after="20"/>
              <w:jc w:val="right"/>
            </w:pPr>
            <w:r>
              <w:rPr>
                <w:color w:val="1C3A36"/>
                <w:sz w:val="17"/>
              </w:rPr>
              <w:t>21.70%</w:t>
            </w:r>
          </w:p>
        </w:tc>
        <w:tc>
          <w:tcPr>
            <w:tcW w:type="dxa" w:w="1195"/>
          </w:tcPr>
          <w:p>
            <w:pPr>
              <w:spacing w:after="20"/>
              <w:jc w:val="right"/>
            </w:pPr>
            <w:r>
              <w:rPr>
                <w:color w:val="1C3A36"/>
                <w:sz w:val="17"/>
              </w:rPr>
              <w:t>19.31%</w:t>
            </w:r>
          </w:p>
        </w:tc>
        <w:tc>
          <w:tcPr>
            <w:tcW w:type="dxa" w:w="1195"/>
          </w:tcPr>
          <w:p>
            <w:pPr>
              <w:spacing w:after="20"/>
              <w:jc w:val="right"/>
            </w:pPr>
            <w:r>
              <w:rPr>
                <w:color w:val="1C3A36"/>
                <w:sz w:val="17"/>
              </w:rPr>
              <w:t>17.52%</w:t>
            </w:r>
          </w:p>
        </w:tc>
        <w:tc>
          <w:tcPr>
            <w:tcW w:type="dxa" w:w="1195"/>
          </w:tcPr>
          <w:p>
            <w:pPr>
              <w:spacing w:after="20"/>
              <w:jc w:val="right"/>
            </w:pPr>
            <w:r>
              <w:rPr>
                <w:color w:val="1C3A36"/>
                <w:sz w:val="17"/>
              </w:rPr>
              <w:t>16.33%</w:t>
            </w:r>
          </w:p>
        </w:tc>
        <w:tc>
          <w:tcPr>
            <w:tcW w:type="dxa" w:w="1224"/>
          </w:tcPr>
          <w:p>
            <w:pPr>
              <w:spacing w:after="20"/>
              <w:jc w:val="right"/>
            </w:pPr>
            <w:r>
              <w:rPr>
                <w:color w:val="1C3A36"/>
                <w:sz w:val="17"/>
              </w:rPr>
              <w:t>16.33%</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0.78469</w:t>
            </w:r>
          </w:p>
        </w:tc>
        <w:tc>
          <w:tcPr>
            <w:tcW w:type="dxa" w:w="1195"/>
          </w:tcPr>
          <w:p>
            <w:pPr>
              <w:spacing w:after="20"/>
              <w:jc w:val="right"/>
            </w:pPr>
            <w:r>
              <w:rPr>
                <w:color w:val="1C3A36"/>
                <w:sz w:val="17"/>
              </w:rPr>
              <w:t>0.64478</w:t>
            </w:r>
          </w:p>
        </w:tc>
        <w:tc>
          <w:tcPr>
            <w:tcW w:type="dxa" w:w="1195"/>
          </w:tcPr>
          <w:p>
            <w:pPr>
              <w:spacing w:after="20"/>
              <w:jc w:val="right"/>
            </w:pPr>
            <w:r>
              <w:rPr>
                <w:color w:val="1C3A36"/>
                <w:sz w:val="17"/>
              </w:rPr>
              <w:t>0.54042</w:t>
            </w:r>
          </w:p>
        </w:tc>
        <w:tc>
          <w:tcPr>
            <w:tcW w:type="dxa" w:w="1195"/>
          </w:tcPr>
          <w:p>
            <w:pPr>
              <w:spacing w:after="20"/>
              <w:jc w:val="right"/>
            </w:pPr>
            <w:r>
              <w:rPr>
                <w:color w:val="1C3A36"/>
                <w:sz w:val="17"/>
              </w:rPr>
              <w:t>0.45985</w:t>
            </w:r>
          </w:p>
        </w:tc>
        <w:tc>
          <w:tcPr>
            <w:tcW w:type="dxa" w:w="1195"/>
          </w:tcPr>
          <w:p>
            <w:pPr>
              <w:spacing w:after="20"/>
              <w:jc w:val="right"/>
            </w:pPr>
            <w:r>
              <w:rPr>
                <w:color w:val="1C3A36"/>
                <w:sz w:val="17"/>
              </w:rPr>
              <w:t>0.39530</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53,144</w:t>
            </w:r>
          </w:p>
        </w:tc>
        <w:tc>
          <w:tcPr>
            <w:tcW w:type="dxa" w:w="1238"/>
          </w:tcPr>
          <w:p>
            <w:pPr>
              <w:spacing w:after="20"/>
              <w:jc w:val="right"/>
            </w:pPr>
            <w:r>
              <w:rPr>
                <w:color w:val="1C3A36"/>
                <w:sz w:val="17"/>
              </w:rPr>
              <w:t>58,069</w:t>
            </w:r>
          </w:p>
        </w:tc>
        <w:tc>
          <w:tcPr>
            <w:tcW w:type="dxa" w:w="1238"/>
          </w:tcPr>
          <w:p>
            <w:pPr>
              <w:spacing w:after="20"/>
              <w:jc w:val="right"/>
            </w:pPr>
            <w:r>
              <w:rPr>
                <w:color w:val="1C3A36"/>
                <w:sz w:val="17"/>
              </w:rPr>
              <w:t>61,752</w:t>
            </w:r>
          </w:p>
        </w:tc>
        <w:tc>
          <w:tcPr>
            <w:tcW w:type="dxa" w:w="1238"/>
          </w:tcPr>
          <w:p>
            <w:pPr>
              <w:spacing w:after="20"/>
              <w:jc w:val="right"/>
            </w:pPr>
            <w:r>
              <w:rPr>
                <w:color w:val="1C3A36"/>
                <w:sz w:val="17"/>
              </w:rPr>
              <w:t>64,764</w:t>
            </w:r>
          </w:p>
        </w:tc>
        <w:tc>
          <w:tcPr>
            <w:tcW w:type="dxa" w:w="1238"/>
          </w:tcPr>
          <w:p>
            <w:pPr>
              <w:spacing w:after="20"/>
              <w:jc w:val="right"/>
            </w:pPr>
            <w:r>
              <w:rPr>
                <w:color w:val="1C3A36"/>
                <w:sz w:val="17"/>
              </w:rPr>
              <w:t>67,607</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46,539</w:t>
            </w:r>
          </w:p>
        </w:tc>
        <w:tc>
          <w:tcPr>
            <w:tcW w:type="dxa" w:w="1238"/>
          </w:tcPr>
          <w:p>
            <w:pPr>
              <w:spacing w:after="20"/>
              <w:jc w:val="right"/>
            </w:pPr>
            <w:r>
              <w:rPr>
                <w:color w:val="1C3A36"/>
                <w:sz w:val="17"/>
              </w:rPr>
              <w:t>50,841</w:t>
            </w:r>
          </w:p>
        </w:tc>
        <w:tc>
          <w:tcPr>
            <w:tcW w:type="dxa" w:w="1238"/>
          </w:tcPr>
          <w:p>
            <w:pPr>
              <w:spacing w:after="20"/>
              <w:jc w:val="right"/>
            </w:pPr>
            <w:r>
              <w:rPr>
                <w:color w:val="1C3A36"/>
                <w:sz w:val="17"/>
              </w:rPr>
              <w:t>54,057</w:t>
            </w:r>
          </w:p>
        </w:tc>
        <w:tc>
          <w:tcPr>
            <w:tcW w:type="dxa" w:w="1238"/>
          </w:tcPr>
          <w:p>
            <w:pPr>
              <w:spacing w:after="20"/>
              <w:jc w:val="right"/>
            </w:pPr>
            <w:r>
              <w:rPr>
                <w:color w:val="1C3A36"/>
                <w:sz w:val="17"/>
              </w:rPr>
              <w:t>56,688</w:t>
            </w:r>
          </w:p>
        </w:tc>
        <w:tc>
          <w:tcPr>
            <w:tcW w:type="dxa" w:w="1238"/>
          </w:tcPr>
          <w:p>
            <w:pPr>
              <w:spacing w:after="20"/>
              <w:jc w:val="right"/>
            </w:pPr>
            <w:r>
              <w:rPr>
                <w:color w:val="1C3A36"/>
                <w:sz w:val="17"/>
              </w:rPr>
              <w:t>59,171</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6,605</w:t>
            </w:r>
          </w:p>
        </w:tc>
        <w:tc>
          <w:tcPr>
            <w:tcW w:type="dxa" w:w="1238"/>
            <w:shd w:val="clear" w:color="auto" w:fill="F6F1E6"/>
          </w:tcPr>
          <w:p>
            <w:pPr>
              <w:spacing w:after="20"/>
              <w:jc w:val="right"/>
            </w:pPr>
            <w:r>
              <w:rPr>
                <w:b/>
                <w:color w:val="1C3A36"/>
                <w:sz w:val="17"/>
              </w:rPr>
              <w:t>7,228</w:t>
            </w:r>
          </w:p>
        </w:tc>
        <w:tc>
          <w:tcPr>
            <w:tcW w:type="dxa" w:w="1238"/>
            <w:shd w:val="clear" w:color="auto" w:fill="F6F1E6"/>
          </w:tcPr>
          <w:p>
            <w:pPr>
              <w:spacing w:after="20"/>
              <w:jc w:val="right"/>
            </w:pPr>
            <w:r>
              <w:rPr>
                <w:b/>
                <w:color w:val="1C3A36"/>
                <w:sz w:val="17"/>
              </w:rPr>
              <w:t>7,694</w:t>
            </w:r>
          </w:p>
        </w:tc>
        <w:tc>
          <w:tcPr>
            <w:tcW w:type="dxa" w:w="1238"/>
            <w:shd w:val="clear" w:color="auto" w:fill="F6F1E6"/>
          </w:tcPr>
          <w:p>
            <w:pPr>
              <w:spacing w:after="20"/>
              <w:jc w:val="right"/>
            </w:pPr>
            <w:r>
              <w:rPr>
                <w:b/>
                <w:color w:val="1C3A36"/>
                <w:sz w:val="17"/>
              </w:rPr>
              <w:t>8,076</w:t>
            </w:r>
          </w:p>
        </w:tc>
        <w:tc>
          <w:tcPr>
            <w:tcW w:type="dxa" w:w="1238"/>
            <w:shd w:val="clear" w:color="auto" w:fill="F6F1E6"/>
          </w:tcPr>
          <w:p>
            <w:pPr>
              <w:spacing w:after="20"/>
              <w:jc w:val="right"/>
            </w:pPr>
            <w:r>
              <w:rPr>
                <w:b/>
                <w:color w:val="1C3A36"/>
                <w:sz w:val="17"/>
              </w:rPr>
              <w:t>8,436</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12.43%</w:t>
            </w:r>
          </w:p>
        </w:tc>
        <w:tc>
          <w:tcPr>
            <w:tcW w:type="dxa" w:w="1238"/>
          </w:tcPr>
          <w:p>
            <w:pPr>
              <w:spacing w:after="20"/>
              <w:jc w:val="right"/>
            </w:pPr>
            <w:r>
              <w:rPr>
                <w:color w:val="1C3A36"/>
                <w:sz w:val="17"/>
              </w:rPr>
              <w:t>12.45%</w:t>
            </w:r>
          </w:p>
        </w:tc>
        <w:tc>
          <w:tcPr>
            <w:tcW w:type="dxa" w:w="1238"/>
          </w:tcPr>
          <w:p>
            <w:pPr>
              <w:spacing w:after="20"/>
              <w:jc w:val="right"/>
            </w:pPr>
            <w:r>
              <w:rPr>
                <w:color w:val="1C3A36"/>
                <w:sz w:val="17"/>
              </w:rPr>
              <w:t>12.46%</w:t>
            </w:r>
          </w:p>
        </w:tc>
        <w:tc>
          <w:tcPr>
            <w:tcW w:type="dxa" w:w="1238"/>
          </w:tcPr>
          <w:p>
            <w:pPr>
              <w:spacing w:after="20"/>
              <w:jc w:val="right"/>
            </w:pPr>
            <w:r>
              <w:rPr>
                <w:color w:val="1C3A36"/>
                <w:sz w:val="17"/>
              </w:rPr>
              <w:t>12.47%</w:t>
            </w:r>
          </w:p>
        </w:tc>
        <w:tc>
          <w:tcPr>
            <w:tcW w:type="dxa" w:w="1238"/>
          </w:tcPr>
          <w:p>
            <w:pPr>
              <w:spacing w:after="20"/>
              <w:jc w:val="right"/>
            </w:pPr>
            <w:r>
              <w:rPr>
                <w:color w:val="1C3A36"/>
                <w:sz w:val="17"/>
              </w:rPr>
              <w:t>12.48%</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2,017</w:t>
            </w:r>
          </w:p>
        </w:tc>
        <w:tc>
          <w:tcPr>
            <w:tcW w:type="dxa" w:w="1238"/>
          </w:tcPr>
          <w:p>
            <w:pPr>
              <w:spacing w:after="20"/>
              <w:jc w:val="right"/>
            </w:pPr>
            <w:r>
              <w:rPr>
                <w:color w:val="1C3A36"/>
                <w:sz w:val="17"/>
              </w:rPr>
              <w:t>2,259</w:t>
            </w:r>
          </w:p>
        </w:tc>
        <w:tc>
          <w:tcPr>
            <w:tcW w:type="dxa" w:w="1238"/>
          </w:tcPr>
          <w:p>
            <w:pPr>
              <w:spacing w:after="20"/>
              <w:jc w:val="right"/>
            </w:pPr>
            <w:r>
              <w:rPr>
                <w:color w:val="1C3A36"/>
                <w:sz w:val="17"/>
              </w:rPr>
              <w:t>2,462</w:t>
            </w:r>
          </w:p>
        </w:tc>
        <w:tc>
          <w:tcPr>
            <w:tcW w:type="dxa" w:w="1238"/>
          </w:tcPr>
          <w:p>
            <w:pPr>
              <w:spacing w:after="20"/>
              <w:jc w:val="right"/>
            </w:pPr>
            <w:r>
              <w:rPr>
                <w:color w:val="1C3A36"/>
                <w:sz w:val="17"/>
              </w:rPr>
              <w:t>2,647</w:t>
            </w:r>
          </w:p>
        </w:tc>
        <w:tc>
          <w:tcPr>
            <w:tcW w:type="dxa" w:w="1238"/>
          </w:tcPr>
          <w:p>
            <w:pPr>
              <w:spacing w:after="20"/>
              <w:jc w:val="right"/>
            </w:pPr>
            <w:r>
              <w:rPr>
                <w:color w:val="1C3A36"/>
                <w:sz w:val="17"/>
              </w:rPr>
              <w:t>2,832</w:t>
            </w:r>
          </w:p>
        </w:tc>
      </w:tr>
      <w:tr>
        <w:tc>
          <w:tcPr>
            <w:tcW w:type="dxa" w:w="3600"/>
          </w:tcPr>
          <w:p>
            <w:pPr>
              <w:spacing w:after="20"/>
            </w:pPr>
            <w:r>
              <w:rPr>
                <w:color w:val="1C3A36"/>
                <w:sz w:val="17"/>
              </w:rPr>
              <w:t>EBITDA</w:t>
            </w:r>
          </w:p>
        </w:tc>
        <w:tc>
          <w:tcPr>
            <w:tcW w:type="dxa" w:w="1238"/>
          </w:tcPr>
          <w:p>
            <w:pPr>
              <w:spacing w:after="20"/>
              <w:jc w:val="right"/>
            </w:pPr>
            <w:r>
              <w:rPr>
                <w:color w:val="1C3A36"/>
                <w:sz w:val="17"/>
              </w:rPr>
              <w:t>4,588</w:t>
            </w:r>
          </w:p>
        </w:tc>
        <w:tc>
          <w:tcPr>
            <w:tcW w:type="dxa" w:w="1238"/>
          </w:tcPr>
          <w:p>
            <w:pPr>
              <w:spacing w:after="20"/>
              <w:jc w:val="right"/>
            </w:pPr>
            <w:r>
              <w:rPr>
                <w:color w:val="1C3A36"/>
                <w:sz w:val="17"/>
              </w:rPr>
              <w:t>4,969</w:t>
            </w:r>
          </w:p>
        </w:tc>
        <w:tc>
          <w:tcPr>
            <w:tcW w:type="dxa" w:w="1238"/>
          </w:tcPr>
          <w:p>
            <w:pPr>
              <w:spacing w:after="20"/>
              <w:jc w:val="right"/>
            </w:pPr>
            <w:r>
              <w:rPr>
                <w:color w:val="1C3A36"/>
                <w:sz w:val="17"/>
              </w:rPr>
              <w:t>5,232</w:t>
            </w:r>
          </w:p>
        </w:tc>
        <w:tc>
          <w:tcPr>
            <w:tcW w:type="dxa" w:w="1238"/>
          </w:tcPr>
          <w:p>
            <w:pPr>
              <w:spacing w:after="20"/>
              <w:jc w:val="right"/>
            </w:pPr>
            <w:r>
              <w:rPr>
                <w:color w:val="1C3A36"/>
                <w:sz w:val="17"/>
              </w:rPr>
              <w:t>5,429</w:t>
            </w:r>
          </w:p>
        </w:tc>
        <w:tc>
          <w:tcPr>
            <w:tcW w:type="dxa" w:w="1238"/>
          </w:tcPr>
          <w:p>
            <w:pPr>
              <w:spacing w:after="20"/>
              <w:jc w:val="right"/>
            </w:pPr>
            <w:r>
              <w:rPr>
                <w:color w:val="1C3A36"/>
                <w:sz w:val="17"/>
              </w:rPr>
              <w:t>5,603</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4,407</w:t>
            </w:r>
          </w:p>
        </w:tc>
        <w:tc>
          <w:tcPr>
            <w:tcW w:type="dxa" w:w="1238"/>
          </w:tcPr>
          <w:p>
            <w:pPr>
              <w:spacing w:after="20"/>
              <w:jc w:val="right"/>
            </w:pPr>
            <w:r>
              <w:rPr>
                <w:color w:val="1C3A36"/>
                <w:sz w:val="17"/>
              </w:rPr>
              <w:t>4,779</w:t>
            </w:r>
          </w:p>
        </w:tc>
        <w:tc>
          <w:tcPr>
            <w:tcW w:type="dxa" w:w="1238"/>
          </w:tcPr>
          <w:p>
            <w:pPr>
              <w:spacing w:after="20"/>
              <w:jc w:val="right"/>
            </w:pPr>
            <w:r>
              <w:rPr>
                <w:color w:val="1C3A36"/>
                <w:sz w:val="17"/>
              </w:rPr>
              <w:t>5,030</w:t>
            </w:r>
          </w:p>
        </w:tc>
        <w:tc>
          <w:tcPr>
            <w:tcW w:type="dxa" w:w="1238"/>
          </w:tcPr>
          <w:p>
            <w:pPr>
              <w:spacing w:after="20"/>
              <w:jc w:val="right"/>
            </w:pPr>
            <w:r>
              <w:rPr>
                <w:color w:val="1C3A36"/>
                <w:sz w:val="17"/>
              </w:rPr>
              <w:t>5,214</w:t>
            </w:r>
          </w:p>
        </w:tc>
        <w:tc>
          <w:tcPr>
            <w:tcW w:type="dxa" w:w="1238"/>
          </w:tcPr>
          <w:p>
            <w:pPr>
              <w:spacing w:after="20"/>
              <w:jc w:val="right"/>
            </w:pPr>
            <w:r>
              <w:rPr>
                <w:color w:val="1C3A36"/>
                <w:sz w:val="17"/>
              </w:rPr>
              <w:t>5,375</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3,237</w:t>
            </w:r>
          </w:p>
        </w:tc>
        <w:tc>
          <w:tcPr>
            <w:tcW w:type="dxa" w:w="1238"/>
          </w:tcPr>
          <w:p>
            <w:pPr>
              <w:spacing w:after="20"/>
              <w:jc w:val="right"/>
            </w:pPr>
            <w:r>
              <w:rPr>
                <w:color w:val="1C3A36"/>
                <w:sz w:val="17"/>
              </w:rPr>
              <w:t>3,509</w:t>
            </w:r>
          </w:p>
        </w:tc>
        <w:tc>
          <w:tcPr>
            <w:tcW w:type="dxa" w:w="1238"/>
          </w:tcPr>
          <w:p>
            <w:pPr>
              <w:spacing w:after="20"/>
              <w:jc w:val="right"/>
            </w:pPr>
            <w:r>
              <w:rPr>
                <w:color w:val="1C3A36"/>
                <w:sz w:val="17"/>
              </w:rPr>
              <w:t>3,694</w:t>
            </w:r>
          </w:p>
        </w:tc>
        <w:tc>
          <w:tcPr>
            <w:tcW w:type="dxa" w:w="1238"/>
          </w:tcPr>
          <w:p>
            <w:pPr>
              <w:spacing w:after="20"/>
              <w:jc w:val="right"/>
            </w:pPr>
            <w:r>
              <w:rPr>
                <w:color w:val="1C3A36"/>
                <w:sz w:val="17"/>
              </w:rPr>
              <w:t>3,829</w:t>
            </w:r>
          </w:p>
        </w:tc>
        <w:tc>
          <w:tcPr>
            <w:tcW w:type="dxa" w:w="1238"/>
          </w:tcPr>
          <w:p>
            <w:pPr>
              <w:spacing w:after="20"/>
              <w:jc w:val="right"/>
            </w:pPr>
            <w:r>
              <w:rPr>
                <w:color w:val="1C3A36"/>
                <w:sz w:val="17"/>
              </w:rPr>
              <w:t>3,947</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182</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222</w:t>
            </w:r>
          </w:p>
        </w:tc>
        <w:tc>
          <w:tcPr>
            <w:tcW w:type="dxa" w:w="1238"/>
          </w:tcPr>
          <w:p>
            <w:pPr>
              <w:spacing w:after="20"/>
              <w:jc w:val="right"/>
            </w:pPr>
            <w:r>
              <w:rPr>
                <w:color w:val="1C3A36"/>
                <w:sz w:val="17"/>
              </w:rPr>
              <w:t>238</w:t>
            </w:r>
          </w:p>
        </w:tc>
        <w:tc>
          <w:tcPr>
            <w:tcW w:type="dxa" w:w="1238"/>
          </w:tcPr>
          <w:p>
            <w:pPr>
              <w:spacing w:after="20"/>
              <w:jc w:val="right"/>
            </w:pPr>
            <w:r>
              <w:rPr>
                <w:color w:val="1C3A36"/>
                <w:sz w:val="17"/>
              </w:rPr>
              <w:t>255</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446</w:t>
            </w:r>
          </w:p>
        </w:tc>
        <w:tc>
          <w:tcPr>
            <w:tcW w:type="dxa" w:w="1238"/>
          </w:tcPr>
          <w:p>
            <w:pPr>
              <w:spacing w:after="20"/>
              <w:jc w:val="right"/>
            </w:pPr>
            <w:r>
              <w:rPr>
                <w:color w:val="1C3A36"/>
                <w:sz w:val="17"/>
              </w:rPr>
              <w:t>355</w:t>
            </w:r>
          </w:p>
        </w:tc>
        <w:tc>
          <w:tcPr>
            <w:tcW w:type="dxa" w:w="1238"/>
          </w:tcPr>
          <w:p>
            <w:pPr>
              <w:spacing w:after="20"/>
              <w:jc w:val="right"/>
            </w:pPr>
            <w:r>
              <w:rPr>
                <w:color w:val="1C3A36"/>
                <w:sz w:val="17"/>
              </w:rPr>
              <w:t>266</w:t>
            </w:r>
          </w:p>
        </w:tc>
        <w:tc>
          <w:tcPr>
            <w:tcW w:type="dxa" w:w="1238"/>
          </w:tcPr>
          <w:p>
            <w:pPr>
              <w:spacing w:after="20"/>
              <w:jc w:val="right"/>
            </w:pPr>
            <w:r>
              <w:rPr>
                <w:color w:val="1C3A36"/>
                <w:sz w:val="17"/>
              </w:rPr>
              <w:t>217</w:t>
            </w:r>
          </w:p>
        </w:tc>
        <w:tc>
          <w:tcPr>
            <w:tcW w:type="dxa" w:w="1238"/>
          </w:tcPr>
          <w:p>
            <w:pPr>
              <w:spacing w:after="20"/>
              <w:jc w:val="right"/>
            </w:pPr>
            <w:r>
              <w:rPr>
                <w:color w:val="1C3A36"/>
                <w:sz w:val="17"/>
              </w:rPr>
              <w:t>205</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2,789</w:t>
            </w:r>
          </w:p>
        </w:tc>
        <w:tc>
          <w:tcPr>
            <w:tcW w:type="dxa" w:w="1238"/>
            <w:shd w:val="clear" w:color="auto" w:fill="F6F1E6"/>
          </w:tcPr>
          <w:p>
            <w:pPr>
              <w:spacing w:after="20"/>
              <w:jc w:val="right"/>
            </w:pPr>
            <w:r>
              <w:rPr>
                <w:b/>
                <w:color w:val="1C3A36"/>
                <w:sz w:val="17"/>
              </w:rPr>
              <w:t>3,141</w:t>
            </w:r>
          </w:p>
        </w:tc>
        <w:tc>
          <w:tcPr>
            <w:tcW w:type="dxa" w:w="1238"/>
            <w:shd w:val="clear" w:color="auto" w:fill="F6F1E6"/>
          </w:tcPr>
          <w:p>
            <w:pPr>
              <w:spacing w:after="20"/>
              <w:jc w:val="right"/>
            </w:pPr>
            <w:r>
              <w:rPr>
                <w:b/>
                <w:color w:val="1C3A36"/>
                <w:sz w:val="17"/>
              </w:rPr>
              <w:t>3,409</w:t>
            </w:r>
          </w:p>
        </w:tc>
        <w:tc>
          <w:tcPr>
            <w:tcW w:type="dxa" w:w="1238"/>
            <w:shd w:val="clear" w:color="auto" w:fill="F6F1E6"/>
          </w:tcPr>
          <w:p>
            <w:pPr>
              <w:spacing w:after="20"/>
              <w:jc w:val="right"/>
            </w:pPr>
            <w:r>
              <w:rPr>
                <w:b/>
                <w:color w:val="1C3A36"/>
                <w:sz w:val="17"/>
              </w:rPr>
              <w:t>3,588</w:t>
            </w:r>
          </w:p>
        </w:tc>
        <w:tc>
          <w:tcPr>
            <w:tcW w:type="dxa" w:w="1238"/>
            <w:shd w:val="clear" w:color="auto" w:fill="F6F1E6"/>
          </w:tcPr>
          <w:p>
            <w:pPr>
              <w:spacing w:after="20"/>
              <w:jc w:val="right"/>
            </w:pPr>
            <w:r>
              <w:rPr>
                <w:b/>
                <w:color w:val="1C3A36"/>
                <w:sz w:val="17"/>
              </w:rPr>
              <w:t>3,716</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0.78469</w:t>
            </w:r>
          </w:p>
        </w:tc>
        <w:tc>
          <w:tcPr>
            <w:tcW w:type="dxa" w:w="1238"/>
          </w:tcPr>
          <w:p>
            <w:pPr>
              <w:spacing w:after="20"/>
              <w:jc w:val="right"/>
            </w:pPr>
            <w:r>
              <w:rPr>
                <w:color w:val="1C3A36"/>
                <w:sz w:val="17"/>
              </w:rPr>
              <w:t>0.64478</w:t>
            </w:r>
          </w:p>
        </w:tc>
        <w:tc>
          <w:tcPr>
            <w:tcW w:type="dxa" w:w="1238"/>
          </w:tcPr>
          <w:p>
            <w:pPr>
              <w:spacing w:after="20"/>
              <w:jc w:val="right"/>
            </w:pPr>
            <w:r>
              <w:rPr>
                <w:color w:val="1C3A36"/>
                <w:sz w:val="17"/>
              </w:rPr>
              <w:t>0.54042</w:t>
            </w:r>
          </w:p>
        </w:tc>
        <w:tc>
          <w:tcPr>
            <w:tcW w:type="dxa" w:w="1238"/>
          </w:tcPr>
          <w:p>
            <w:pPr>
              <w:spacing w:after="20"/>
              <w:jc w:val="right"/>
            </w:pPr>
            <w:r>
              <w:rPr>
                <w:color w:val="1C3A36"/>
                <w:sz w:val="17"/>
              </w:rPr>
              <w:t>0.45985</w:t>
            </w:r>
          </w:p>
        </w:tc>
        <w:tc>
          <w:tcPr>
            <w:tcW w:type="dxa" w:w="1238"/>
          </w:tcPr>
          <w:p>
            <w:pPr>
              <w:spacing w:after="20"/>
              <w:jc w:val="right"/>
            </w:pPr>
            <w:r>
              <w:rPr>
                <w:color w:val="1C3A36"/>
                <w:sz w:val="17"/>
              </w:rPr>
              <w:t>0.39530</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2,189</w:t>
            </w:r>
          </w:p>
        </w:tc>
        <w:tc>
          <w:tcPr>
            <w:tcW w:type="dxa" w:w="1238"/>
            <w:shd w:val="clear" w:color="auto" w:fill="F6F1E6"/>
          </w:tcPr>
          <w:p>
            <w:pPr>
              <w:spacing w:after="20"/>
              <w:jc w:val="right"/>
            </w:pPr>
            <w:r>
              <w:rPr>
                <w:b/>
                <w:color w:val="1C3A36"/>
                <w:sz w:val="17"/>
              </w:rPr>
              <w:t>2,026</w:t>
            </w:r>
          </w:p>
        </w:tc>
        <w:tc>
          <w:tcPr>
            <w:tcW w:type="dxa" w:w="1238"/>
            <w:shd w:val="clear" w:color="auto" w:fill="F6F1E6"/>
          </w:tcPr>
          <w:p>
            <w:pPr>
              <w:spacing w:after="20"/>
              <w:jc w:val="right"/>
            </w:pPr>
            <w:r>
              <w:rPr>
                <w:b/>
                <w:color w:val="1C3A36"/>
                <w:sz w:val="17"/>
              </w:rPr>
              <w:t>1,842</w:t>
            </w:r>
          </w:p>
        </w:tc>
        <w:tc>
          <w:tcPr>
            <w:tcW w:type="dxa" w:w="1238"/>
            <w:shd w:val="clear" w:color="auto" w:fill="F6F1E6"/>
          </w:tcPr>
          <w:p>
            <w:pPr>
              <w:spacing w:after="20"/>
              <w:jc w:val="right"/>
            </w:pPr>
            <w:r>
              <w:rPr>
                <w:b/>
                <w:color w:val="1C3A36"/>
                <w:sz w:val="17"/>
              </w:rPr>
              <w:t>1,650</w:t>
            </w:r>
          </w:p>
        </w:tc>
        <w:tc>
          <w:tcPr>
            <w:tcW w:type="dxa" w:w="1238"/>
            <w:shd w:val="clear" w:color="auto" w:fill="F6F1E6"/>
          </w:tcPr>
          <w:p>
            <w:pPr>
              <w:spacing w:after="20"/>
              <w:jc w:val="right"/>
            </w:pPr>
            <w:r>
              <w:rPr>
                <w:b/>
                <w:color w:val="1C3A36"/>
                <w:sz w:val="17"/>
              </w:rPr>
              <w:t>1,469</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9,176</w:t>
            </w:r>
          </w:p>
        </w:tc>
        <w:tc>
          <w:tcPr>
            <w:tcW w:type="dxa" w:w="1296"/>
          </w:tcPr>
          <w:p>
            <w:pPr>
              <w:spacing w:after="20"/>
              <w:jc w:val="right"/>
            </w:pPr>
            <w:r>
              <w:rPr>
                <w:color w:val="1C3A36"/>
                <w:sz w:val="17"/>
              </w:rPr>
              <w:t>7.10</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15,189</w:t>
            </w:r>
          </w:p>
        </w:tc>
        <w:tc>
          <w:tcPr>
            <w:tcW w:type="dxa" w:w="1296"/>
          </w:tcPr>
          <w:p>
            <w:pPr>
              <w:spacing w:after="20"/>
              <w:jc w:val="right"/>
            </w:pPr>
            <w:r>
              <w:rPr>
                <w:color w:val="1C3A36"/>
                <w:sz w:val="17"/>
              </w:rPr>
              <w:t>11.76</w:t>
            </w:r>
          </w:p>
        </w:tc>
        <w:tc>
          <w:tcPr>
            <w:tcW w:type="dxa" w:w="3600"/>
          </w:tcPr>
          <w:p>
            <w:pPr>
              <w:spacing w:after="20"/>
            </w:pPr>
            <w:r>
              <w:rPr>
                <w:color w:val="1C3A36"/>
                <w:sz w:val="17"/>
              </w:rPr>
              <w:t>62.3%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24,365</w:t>
            </w:r>
          </w:p>
        </w:tc>
        <w:tc>
          <w:tcPr>
            <w:tcW w:type="dxa" w:w="1296"/>
            <w:shd w:val="clear" w:color="auto" w:fill="F6F1E6"/>
          </w:tcPr>
          <w:p>
            <w:pPr>
              <w:spacing w:after="20"/>
              <w:jc w:val="right"/>
            </w:pPr>
            <w:r>
              <w:rPr>
                <w:b/>
                <w:color w:val="1C3A36"/>
                <w:sz w:val="17"/>
              </w:rPr>
              <w:t>18.87</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27,366</w:t>
            </w:r>
          </w:p>
        </w:tc>
        <w:tc>
          <w:tcPr>
            <w:tcW w:type="dxa" w:w="1296"/>
          </w:tcPr>
          <w:p>
            <w:pPr>
              <w:spacing w:after="20"/>
              <w:jc w:val="right"/>
            </w:pPr>
            <w:r>
              <w:rPr>
                <w:color w:val="1C3A36"/>
                <w:sz w:val="17"/>
              </w:rPr>
              <w:t>21.19</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(811)</w:t>
            </w:r>
          </w:p>
        </w:tc>
        <w:tc>
          <w:tcPr>
            <w:tcW w:type="dxa" w:w="1296"/>
          </w:tcPr>
          <w:p>
            <w:pPr>
              <w:spacing w:after="20"/>
              <w:jc w:val="right"/>
            </w:pPr>
            <w:r>
              <w:rPr>
                <w:color w:val="1C3A36"/>
                <w:sz w:val="17"/>
              </w:rPr>
              <w:t>(0.63)</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25,895</w:t>
            </w:r>
          </w:p>
        </w:tc>
        <w:tc>
          <w:tcPr>
            <w:tcW w:type="dxa" w:w="1296"/>
            <w:shd w:val="clear" w:color="auto" w:fill="F6F1E6"/>
          </w:tcPr>
          <w:p>
            <w:pPr>
              <w:spacing w:after="20"/>
              <w:jc w:val="right"/>
            </w:pPr>
            <w:r>
              <w:rPr>
                <w:b/>
                <w:color w:val="1C3A36"/>
                <w:sz w:val="17"/>
              </w:rPr>
              <w:t>20.05</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1.14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46.2%.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46.2% return, the terminal block reinvests 15.1% of profit. That is ABOVE the final explicit year’s 5.9%, so the terminal block is funded rather than flattered — a step of +9.27%, disclosed here because it RAISES nothing and a reader is entitled to see it either way. Terminal value carries 62.3%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tcPr>
          <w:p>
            <w:pPr>
              <w:spacing w:after="20"/>
            </w:pPr>
            <w:r>
              <w:rPr>
                <w:color w:val="1C3A36"/>
                <w:sz w:val="17"/>
              </w:rPr>
              <w:t>6M Jun-2026</w:t>
            </w:r>
          </w:p>
        </w:tc>
        <w:tc>
          <w:tcPr>
            <w:tcW w:type="dxa" w:w="2520"/>
          </w:tcPr>
          <w:p>
            <w:pPr>
              <w:spacing w:after="20"/>
              <w:jc w:val="right"/>
            </w:pPr>
            <w:r>
              <w:rPr>
                <w:color w:val="1C3A36"/>
                <w:sz w:val="17"/>
              </w:rPr>
              <w:t>81.8%</w:t>
            </w:r>
          </w:p>
        </w:tc>
        <w:tc>
          <w:tcPr>
            <w:tcW w:type="dxa" w:w="2016"/>
          </w:tcPr>
          <w:p>
            <w:pPr>
              <w:spacing w:after="20"/>
              <w:jc w:val="right"/>
            </w:pPr>
            <w:r>
              <w:rPr>
                <w:color w:val="1C3A36"/>
                <w:sz w:val="17"/>
              </w:rPr>
              <w:t>2.8%</w:t>
            </w:r>
          </w:p>
        </w:tc>
        <w:tc>
          <w:tcPr>
            <w:tcW w:type="dxa" w:w="2664"/>
          </w:tcPr>
          <w:p>
            <w:pPr>
              <w:spacing w:after="20"/>
              <w:jc w:val="right"/>
            </w:pPr>
            <w:r>
              <w:rPr>
                <w:color w:val="1C3A36"/>
                <w:sz w:val="17"/>
              </w:rPr>
              <w:t>2.25%</w:t>
            </w:r>
          </w:p>
        </w:tc>
      </w:tr>
      <w:tr>
        <w:tc>
          <w:tcPr>
            <w:tcW w:type="dxa" w:w="2736"/>
            <w:shd w:val="clear" w:color="auto" w:fill="F6F1E6"/>
          </w:tcPr>
          <w:p>
            <w:pPr>
              <w:spacing w:after="20"/>
            </w:pPr>
            <w:r>
              <w:rPr>
                <w:b/>
                <w:color w:val="1C3A36"/>
                <w:sz w:val="17"/>
              </w:rPr>
              <w:t>Five-period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0.6%</w:t>
            </w:r>
          </w:p>
        </w:tc>
        <w:tc>
          <w:tcPr>
            <w:tcW w:type="dxa" w:w="2664"/>
            <w:shd w:val="clear" w:color="auto" w:fill="F6F1E6"/>
          </w:tcPr>
          <w:p>
            <w:pPr>
              <w:spacing w:after="20"/>
              <w:jc w:val="right"/>
            </w:pPr>
            <w:r>
              <w:rPr>
                <w:b/>
                <w:color w:val="1C3A36"/>
                <w:sz w:val="17"/>
              </w:rPr>
              <w:t>0.70%</w:t>
            </w:r>
          </w:p>
        </w:tc>
      </w:tr>
    </w:tbl>
    <w:p>
      <w:pPr>
        <w:spacing w:after="40"/>
      </w:pPr>
    </w:p>
    <w:p>
      <w:pPr>
        <w:spacing w:after="200" w:before="0"/>
      </w:pPr>
      <w:r>
        <w:rPr>
          <w:b w:val="0"/>
          <w:i/>
          <w:color w:val="6E7B77"/>
          <w:sz w:val="17"/>
        </w:rPr>
        <w:t>Table 14 — the reinvestment record. THREE of the 5 filed periods show POSITIVE reinvestment and the 5-period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7.84%; the 5-period average implies far less. The terminal growth sensitivity in section 1.11 shows why the choice barely matters here: because the reinvestment identity FUNDS growth before crediting it, the value moves only from EGP 17.09 at 3% to 20.05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17.43</w:t>
            </w:r>
          </w:p>
        </w:tc>
        <w:tc>
          <w:tcPr>
            <w:tcW w:type="dxa" w:w="1080"/>
          </w:tcPr>
          <w:p>
            <w:pPr>
              <w:spacing w:after="20"/>
              <w:jc w:val="right"/>
            </w:pPr>
            <w:r>
              <w:rPr>
                <w:color w:val="1C3A36"/>
                <w:sz w:val="17"/>
              </w:rPr>
              <w:t>18.74</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21.36</w:t>
            </w:r>
          </w:p>
        </w:tc>
        <w:tc>
          <w:tcPr>
            <w:tcW w:type="dxa" w:w="1080"/>
          </w:tcPr>
          <w:p>
            <w:pPr>
              <w:spacing w:after="20"/>
              <w:jc w:val="right"/>
            </w:pPr>
            <w:r>
              <w:rPr>
                <w:color w:val="1C3A36"/>
                <w:sz w:val="17"/>
              </w:rPr>
              <w:t>22.67</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13.78</w:t>
            </w:r>
          </w:p>
        </w:tc>
        <w:tc>
          <w:tcPr>
            <w:tcW w:type="dxa" w:w="1080"/>
          </w:tcPr>
          <w:p>
            <w:pPr>
              <w:spacing w:after="20"/>
              <w:jc w:val="right"/>
            </w:pPr>
            <w:r>
              <w:rPr>
                <w:color w:val="1C3A36"/>
                <w:sz w:val="17"/>
              </w:rPr>
              <w:t>16.74</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23.23</w:t>
            </w:r>
          </w:p>
        </w:tc>
        <w:tc>
          <w:tcPr>
            <w:tcW w:type="dxa" w:w="1080"/>
          </w:tcPr>
          <w:p>
            <w:pPr>
              <w:spacing w:after="20"/>
              <w:jc w:val="right"/>
            </w:pPr>
            <w:r>
              <w:rPr>
                <w:color w:val="1C3A36"/>
                <w:sz w:val="17"/>
              </w:rPr>
              <w:t>26.76</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19.15</w:t>
            </w:r>
          </w:p>
        </w:tc>
        <w:tc>
          <w:tcPr>
            <w:tcW w:type="dxa" w:w="1080"/>
          </w:tcPr>
          <w:p>
            <w:pPr>
              <w:spacing w:after="20"/>
              <w:jc w:val="right"/>
            </w:pPr>
            <w:r>
              <w:rPr>
                <w:color w:val="1C3A36"/>
                <w:sz w:val="17"/>
              </w:rPr>
              <w:t>19.60</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20.51</w:t>
            </w:r>
          </w:p>
        </w:tc>
        <w:tc>
          <w:tcPr>
            <w:tcW w:type="dxa" w:w="1080"/>
          </w:tcPr>
          <w:p>
            <w:pPr>
              <w:spacing w:after="20"/>
              <w:jc w:val="right"/>
            </w:pPr>
            <w:r>
              <w:rPr>
                <w:color w:val="1C3A36"/>
                <w:sz w:val="17"/>
              </w:rPr>
              <w:t>20.97</w:t>
            </w:r>
          </w:p>
        </w:tc>
      </w:tr>
      <w:tr>
        <w:tc>
          <w:tcPr>
            <w:tcW w:type="dxa" w:w="4104"/>
          </w:tcPr>
          <w:p>
            <w:pPr>
              <w:spacing w:after="20"/>
            </w:pPr>
            <w:r>
              <w:rPr>
                <w:color w:val="1C3A36"/>
                <w:sz w:val="17"/>
              </w:rPr>
              <w:t>Beta</w:t>
            </w:r>
          </w:p>
        </w:tc>
        <w:tc>
          <w:tcPr>
            <w:tcW w:type="dxa" w:w="1080"/>
          </w:tcPr>
          <w:p>
            <w:pPr>
              <w:spacing w:after="20"/>
              <w:jc w:val="right"/>
            </w:pPr>
            <w:r>
              <w:rPr>
                <w:color w:val="1C3A36"/>
                <w:sz w:val="17"/>
              </w:rPr>
              <w:t>24.87</w:t>
            </w:r>
          </w:p>
        </w:tc>
        <w:tc>
          <w:tcPr>
            <w:tcW w:type="dxa" w:w="1080"/>
          </w:tcPr>
          <w:p>
            <w:pPr>
              <w:spacing w:after="20"/>
              <w:jc w:val="right"/>
            </w:pPr>
            <w:r>
              <w:rPr>
                <w:color w:val="1C3A36"/>
                <w:sz w:val="17"/>
              </w:rPr>
              <w:t>21.48</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17.44</w:t>
            </w:r>
          </w:p>
        </w:tc>
        <w:tc>
          <w:tcPr>
            <w:tcW w:type="dxa" w:w="1080"/>
          </w:tcPr>
          <w:p>
            <w:pPr>
              <w:spacing w:after="20"/>
              <w:jc w:val="right"/>
            </w:pPr>
            <w:r>
              <w:rPr>
                <w:color w:val="1C3A36"/>
                <w:sz w:val="17"/>
              </w:rPr>
              <w:t>16.16</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21.93</w:t>
            </w:r>
          </w:p>
        </w:tc>
        <w:tc>
          <w:tcPr>
            <w:tcW w:type="dxa" w:w="1080"/>
          </w:tcPr>
          <w:p>
            <w:pPr>
              <w:spacing w:after="20"/>
              <w:jc w:val="right"/>
            </w:pPr>
            <w:r>
              <w:rPr>
                <w:color w:val="1C3A36"/>
                <w:sz w:val="17"/>
              </w:rPr>
              <w:t>20.99</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19.11</w:t>
            </w:r>
          </w:p>
        </w:tc>
        <w:tc>
          <w:tcPr>
            <w:tcW w:type="dxa" w:w="1080"/>
          </w:tcPr>
          <w:p>
            <w:pPr>
              <w:spacing w:after="20"/>
              <w:jc w:val="right"/>
            </w:pPr>
            <w:r>
              <w:rPr>
                <w:color w:val="1C3A36"/>
                <w:sz w:val="17"/>
              </w:rPr>
              <w:t>18.17</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17.09</w:t>
            </w:r>
          </w:p>
        </w:tc>
        <w:tc>
          <w:tcPr>
            <w:tcW w:type="dxa" w:w="1080"/>
          </w:tcPr>
          <w:p>
            <w:pPr>
              <w:spacing w:after="20"/>
              <w:jc w:val="right"/>
            </w:pPr>
            <w:r>
              <w:rPr>
                <w:color w:val="1C3A36"/>
                <w:sz w:val="17"/>
              </w:rPr>
              <w:t>17.65</w:t>
            </w:r>
          </w:p>
        </w:tc>
        <w:tc>
          <w:tcPr>
            <w:tcW w:type="dxa" w:w="1080"/>
          </w:tcPr>
          <w:p>
            <w:pPr>
              <w:spacing w:after="20"/>
              <w:jc w:val="right"/>
            </w:pPr>
            <w:r>
              <w:rPr>
                <w:color w:val="1C3A36"/>
                <w:sz w:val="17"/>
              </w:rPr>
              <w:t>18.31</w:t>
            </w:r>
          </w:p>
        </w:tc>
        <w:tc>
          <w:tcPr>
            <w:tcW w:type="dxa" w:w="1080"/>
          </w:tcPr>
          <w:p>
            <w:pPr>
              <w:spacing w:after="20"/>
              <w:jc w:val="right"/>
            </w:pPr>
            <w:r>
              <w:rPr>
                <w:color w:val="1C3A36"/>
                <w:sz w:val="17"/>
              </w:rPr>
              <w:t>19.09</w:t>
            </w:r>
          </w:p>
        </w:tc>
        <w:tc>
          <w:tcPr>
            <w:tcW w:type="dxa" w:w="1080"/>
          </w:tcPr>
          <w:p>
            <w:pPr>
              <w:spacing w:after="20"/>
              <w:jc w:val="right"/>
            </w:pPr>
            <w:r>
              <w:rPr>
                <w:color w:val="1C3A36"/>
                <w:sz w:val="17"/>
              </w:rPr>
              <w:t>20.05</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1.31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14.33%</w:t>
            </w:r>
          </w:p>
        </w:tc>
        <w:tc>
          <w:tcPr>
            <w:tcW w:type="dxa" w:w="1224"/>
          </w:tcPr>
          <w:p>
            <w:pPr>
              <w:spacing w:after="20"/>
              <w:jc w:val="right"/>
            </w:pPr>
            <w:r>
              <w:rPr>
                <w:color w:val="1C3A36"/>
                <w:sz w:val="17"/>
              </w:rPr>
              <w:t>19.27</w:t>
            </w:r>
          </w:p>
        </w:tc>
        <w:tc>
          <w:tcPr>
            <w:tcW w:type="dxa" w:w="1224"/>
          </w:tcPr>
          <w:p>
            <w:pPr>
              <w:spacing w:after="20"/>
              <w:jc w:val="right"/>
            </w:pPr>
            <w:r>
              <w:rPr>
                <w:color w:val="1C3A36"/>
                <w:sz w:val="17"/>
              </w:rPr>
              <w:t>20.13</w:t>
            </w:r>
          </w:p>
        </w:tc>
        <w:tc>
          <w:tcPr>
            <w:tcW w:type="dxa" w:w="1224"/>
          </w:tcPr>
          <w:p>
            <w:pPr>
              <w:spacing w:after="20"/>
              <w:jc w:val="right"/>
            </w:pPr>
            <w:r>
              <w:rPr>
                <w:color w:val="1C3A36"/>
                <w:sz w:val="17"/>
              </w:rPr>
              <w:t>21.17</w:t>
            </w:r>
          </w:p>
        </w:tc>
        <w:tc>
          <w:tcPr>
            <w:tcW w:type="dxa" w:w="1224"/>
          </w:tcPr>
          <w:p>
            <w:pPr>
              <w:spacing w:after="20"/>
              <w:jc w:val="right"/>
            </w:pPr>
            <w:r>
              <w:rPr>
                <w:color w:val="1C3A36"/>
                <w:sz w:val="17"/>
              </w:rPr>
              <w:t>22.47</w:t>
            </w:r>
          </w:p>
        </w:tc>
        <w:tc>
          <w:tcPr>
            <w:tcW w:type="dxa" w:w="1224"/>
          </w:tcPr>
          <w:p>
            <w:pPr>
              <w:spacing w:after="20"/>
              <w:jc w:val="right"/>
            </w:pPr>
            <w:r>
              <w:rPr>
                <w:color w:val="1C3A36"/>
                <w:sz w:val="17"/>
              </w:rPr>
              <w:t>24.11</w:t>
            </w:r>
          </w:p>
        </w:tc>
      </w:tr>
      <w:tr>
        <w:tc>
          <w:tcPr>
            <w:tcW w:type="dxa" w:w="3384"/>
          </w:tcPr>
          <w:p>
            <w:pPr>
              <w:spacing w:after="20"/>
            </w:pPr>
            <w:r>
              <w:rPr>
                <w:color w:val="1C3A36"/>
                <w:sz w:val="17"/>
              </w:rPr>
              <w:t>15.33%</w:t>
            </w:r>
          </w:p>
        </w:tc>
        <w:tc>
          <w:tcPr>
            <w:tcW w:type="dxa" w:w="1224"/>
          </w:tcPr>
          <w:p>
            <w:pPr>
              <w:spacing w:after="20"/>
              <w:jc w:val="right"/>
            </w:pPr>
            <w:r>
              <w:rPr>
                <w:color w:val="1C3A36"/>
                <w:sz w:val="17"/>
              </w:rPr>
              <w:t>18.09</w:t>
            </w:r>
          </w:p>
        </w:tc>
        <w:tc>
          <w:tcPr>
            <w:tcW w:type="dxa" w:w="1224"/>
          </w:tcPr>
          <w:p>
            <w:pPr>
              <w:spacing w:after="20"/>
              <w:jc w:val="right"/>
            </w:pPr>
            <w:r>
              <w:rPr>
                <w:color w:val="1C3A36"/>
                <w:sz w:val="17"/>
              </w:rPr>
              <w:t>18.78</w:t>
            </w:r>
          </w:p>
        </w:tc>
        <w:tc>
          <w:tcPr>
            <w:tcW w:type="dxa" w:w="1224"/>
          </w:tcPr>
          <w:p>
            <w:pPr>
              <w:spacing w:after="20"/>
              <w:jc w:val="right"/>
            </w:pPr>
            <w:r>
              <w:rPr>
                <w:color w:val="1C3A36"/>
                <w:sz w:val="17"/>
              </w:rPr>
              <w:t>19.60</w:t>
            </w:r>
          </w:p>
        </w:tc>
        <w:tc>
          <w:tcPr>
            <w:tcW w:type="dxa" w:w="1224"/>
          </w:tcPr>
          <w:p>
            <w:pPr>
              <w:spacing w:after="20"/>
              <w:jc w:val="right"/>
            </w:pPr>
            <w:r>
              <w:rPr>
                <w:color w:val="1C3A36"/>
                <w:sz w:val="17"/>
              </w:rPr>
              <w:t>20.60</w:t>
            </w:r>
          </w:p>
        </w:tc>
        <w:tc>
          <w:tcPr>
            <w:tcW w:type="dxa" w:w="1224"/>
          </w:tcPr>
          <w:p>
            <w:pPr>
              <w:spacing w:after="20"/>
              <w:jc w:val="right"/>
            </w:pPr>
            <w:r>
              <w:rPr>
                <w:color w:val="1C3A36"/>
                <w:sz w:val="17"/>
              </w:rPr>
              <w:t>21.84</w:t>
            </w:r>
          </w:p>
        </w:tc>
      </w:tr>
      <w:tr>
        <w:tc>
          <w:tcPr>
            <w:tcW w:type="dxa" w:w="3384"/>
          </w:tcPr>
          <w:p>
            <w:pPr>
              <w:spacing w:after="20"/>
            </w:pPr>
            <w:r>
              <w:rPr>
                <w:color w:val="1C3A36"/>
                <w:sz w:val="17"/>
              </w:rPr>
              <w:t>16.33%</w:t>
            </w:r>
          </w:p>
        </w:tc>
        <w:tc>
          <w:tcPr>
            <w:tcW w:type="dxa" w:w="1224"/>
          </w:tcPr>
          <w:p>
            <w:pPr>
              <w:spacing w:after="20"/>
              <w:jc w:val="right"/>
            </w:pPr>
            <w:r>
              <w:rPr>
                <w:color w:val="1C3A36"/>
                <w:sz w:val="17"/>
              </w:rPr>
              <w:t>17.09</w:t>
            </w:r>
          </w:p>
        </w:tc>
        <w:tc>
          <w:tcPr>
            <w:tcW w:type="dxa" w:w="1224"/>
          </w:tcPr>
          <w:p>
            <w:pPr>
              <w:spacing w:after="20"/>
              <w:jc w:val="right"/>
            </w:pPr>
            <w:r>
              <w:rPr>
                <w:color w:val="1C3A36"/>
                <w:sz w:val="17"/>
              </w:rPr>
              <w:t>17.65</w:t>
            </w:r>
          </w:p>
        </w:tc>
        <w:tc>
          <w:tcPr>
            <w:tcW w:type="dxa" w:w="1224"/>
          </w:tcPr>
          <w:p>
            <w:pPr>
              <w:spacing w:after="20"/>
              <w:jc w:val="right"/>
            </w:pPr>
            <w:r>
              <w:rPr>
                <w:color w:val="1C3A36"/>
                <w:sz w:val="17"/>
              </w:rPr>
              <w:t>18.31</w:t>
            </w:r>
          </w:p>
        </w:tc>
        <w:tc>
          <w:tcPr>
            <w:tcW w:type="dxa" w:w="1224"/>
          </w:tcPr>
          <w:p>
            <w:pPr>
              <w:spacing w:after="20"/>
              <w:jc w:val="right"/>
            </w:pPr>
            <w:r>
              <w:rPr>
                <w:color w:val="1C3A36"/>
                <w:sz w:val="17"/>
              </w:rPr>
              <w:t>19.09</w:t>
            </w:r>
          </w:p>
        </w:tc>
        <w:tc>
          <w:tcPr>
            <w:tcW w:type="dxa" w:w="1224"/>
          </w:tcPr>
          <w:p>
            <w:pPr>
              <w:spacing w:after="20"/>
              <w:jc w:val="right"/>
            </w:pPr>
            <w:r>
              <w:rPr>
                <w:color w:val="1C3A36"/>
                <w:sz w:val="17"/>
              </w:rPr>
              <w:t>20.05</w:t>
            </w:r>
          </w:p>
        </w:tc>
      </w:tr>
      <w:tr>
        <w:tc>
          <w:tcPr>
            <w:tcW w:type="dxa" w:w="3384"/>
          </w:tcPr>
          <w:p>
            <w:pPr>
              <w:spacing w:after="20"/>
            </w:pPr>
            <w:r>
              <w:rPr>
                <w:color w:val="1C3A36"/>
                <w:sz w:val="17"/>
              </w:rPr>
              <w:t>17.33%</w:t>
            </w:r>
          </w:p>
        </w:tc>
        <w:tc>
          <w:tcPr>
            <w:tcW w:type="dxa" w:w="1224"/>
          </w:tcPr>
          <w:p>
            <w:pPr>
              <w:spacing w:after="20"/>
              <w:jc w:val="right"/>
            </w:pPr>
            <w:r>
              <w:rPr>
                <w:color w:val="1C3A36"/>
                <w:sz w:val="17"/>
              </w:rPr>
              <w:t>16.22</w:t>
            </w:r>
          </w:p>
        </w:tc>
        <w:tc>
          <w:tcPr>
            <w:tcW w:type="dxa" w:w="1224"/>
          </w:tcPr>
          <w:p>
            <w:pPr>
              <w:spacing w:after="20"/>
              <w:jc w:val="right"/>
            </w:pPr>
            <w:r>
              <w:rPr>
                <w:color w:val="1C3A36"/>
                <w:sz w:val="17"/>
              </w:rPr>
              <w:t>16.68</w:t>
            </w:r>
          </w:p>
        </w:tc>
        <w:tc>
          <w:tcPr>
            <w:tcW w:type="dxa" w:w="1224"/>
          </w:tcPr>
          <w:p>
            <w:pPr>
              <w:spacing w:after="20"/>
              <w:jc w:val="right"/>
            </w:pPr>
            <w:r>
              <w:rPr>
                <w:color w:val="1C3A36"/>
                <w:sz w:val="17"/>
              </w:rPr>
              <w:t>17.22</w:t>
            </w:r>
          </w:p>
        </w:tc>
        <w:tc>
          <w:tcPr>
            <w:tcW w:type="dxa" w:w="1224"/>
          </w:tcPr>
          <w:p>
            <w:pPr>
              <w:spacing w:after="20"/>
              <w:jc w:val="right"/>
            </w:pPr>
            <w:r>
              <w:rPr>
                <w:color w:val="1C3A36"/>
                <w:sz w:val="17"/>
              </w:rPr>
              <w:t>17.85</w:t>
            </w:r>
          </w:p>
        </w:tc>
        <w:tc>
          <w:tcPr>
            <w:tcW w:type="dxa" w:w="1224"/>
          </w:tcPr>
          <w:p>
            <w:pPr>
              <w:spacing w:after="20"/>
              <w:jc w:val="right"/>
            </w:pPr>
            <w:r>
              <w:rPr>
                <w:color w:val="1C3A36"/>
                <w:sz w:val="17"/>
              </w:rPr>
              <w:t>18.60</w:t>
            </w:r>
          </w:p>
        </w:tc>
      </w:tr>
      <w:tr>
        <w:tc>
          <w:tcPr>
            <w:tcW w:type="dxa" w:w="3384"/>
          </w:tcPr>
          <w:p>
            <w:pPr>
              <w:spacing w:after="20"/>
            </w:pPr>
            <w:r>
              <w:rPr>
                <w:color w:val="1C3A36"/>
                <w:sz w:val="17"/>
              </w:rPr>
              <w:t>18.33%</w:t>
            </w:r>
          </w:p>
        </w:tc>
        <w:tc>
          <w:tcPr>
            <w:tcW w:type="dxa" w:w="1224"/>
          </w:tcPr>
          <w:p>
            <w:pPr>
              <w:spacing w:after="20"/>
              <w:jc w:val="right"/>
            </w:pPr>
            <w:r>
              <w:rPr>
                <w:color w:val="1C3A36"/>
                <w:sz w:val="17"/>
              </w:rPr>
              <w:t>15.47</w:t>
            </w:r>
          </w:p>
        </w:tc>
        <w:tc>
          <w:tcPr>
            <w:tcW w:type="dxa" w:w="1224"/>
          </w:tcPr>
          <w:p>
            <w:pPr>
              <w:spacing w:after="20"/>
              <w:jc w:val="right"/>
            </w:pPr>
            <w:r>
              <w:rPr>
                <w:color w:val="1C3A36"/>
                <w:sz w:val="17"/>
              </w:rPr>
              <w:t>15.85</w:t>
            </w:r>
          </w:p>
        </w:tc>
        <w:tc>
          <w:tcPr>
            <w:tcW w:type="dxa" w:w="1224"/>
          </w:tcPr>
          <w:p>
            <w:pPr>
              <w:spacing w:after="20"/>
              <w:jc w:val="right"/>
            </w:pPr>
            <w:r>
              <w:rPr>
                <w:color w:val="1C3A36"/>
                <w:sz w:val="17"/>
              </w:rPr>
              <w:t>16.29</w:t>
            </w:r>
          </w:p>
        </w:tc>
        <w:tc>
          <w:tcPr>
            <w:tcW w:type="dxa" w:w="1224"/>
          </w:tcPr>
          <w:p>
            <w:pPr>
              <w:spacing w:after="20"/>
              <w:jc w:val="right"/>
            </w:pPr>
            <w:r>
              <w:rPr>
                <w:color w:val="1C3A36"/>
                <w:sz w:val="17"/>
              </w:rPr>
              <w:t>16.81</w:t>
            </w:r>
          </w:p>
        </w:tc>
        <w:tc>
          <w:tcPr>
            <w:tcW w:type="dxa" w:w="1224"/>
          </w:tcPr>
          <w:p>
            <w:pPr>
              <w:spacing w:after="20"/>
              <w:jc w:val="right"/>
            </w:pPr>
            <w:r>
              <w:rPr>
                <w:color w:val="1C3A36"/>
                <w:sz w:val="17"/>
              </w:rPr>
              <w:t>17.41</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1.66</w:t>
            </w:r>
          </w:p>
        </w:tc>
        <w:tc>
          <w:tcPr>
            <w:tcW w:type="dxa" w:w="1512"/>
          </w:tcPr>
          <w:p>
            <w:pPr>
              <w:spacing w:after="20"/>
              <w:jc w:val="right"/>
            </w:pPr>
            <w:r>
              <w:rPr>
                <w:color w:val="1C3A36"/>
                <w:sz w:val="17"/>
              </w:rPr>
              <w:t>20.05</w:t>
            </w:r>
          </w:p>
        </w:tc>
        <w:tc>
          <w:tcPr>
            <w:tcW w:type="dxa" w:w="1512"/>
          </w:tcPr>
          <w:p>
            <w:pPr>
              <w:spacing w:after="20"/>
              <w:jc w:val="right"/>
            </w:pPr>
            <w:r>
              <w:rPr>
                <w:color w:val="1C3A36"/>
                <w:sz w:val="17"/>
              </w:rPr>
              <w:t>27.52</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2.775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12.98.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1.43 times = (sustainable return 28% less growth) over (cost of equity 21.70% less growth), on book value of EGP 4.70: EGP 6.71.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20.05</w:t>
            </w:r>
          </w:p>
        </w:tc>
        <w:tc>
          <w:tcPr>
            <w:tcW w:type="dxa" w:w="1224"/>
          </w:tcPr>
          <w:p>
            <w:pPr>
              <w:spacing w:after="20"/>
              <w:jc w:val="right"/>
            </w:pPr>
            <w:r>
              <w:rPr>
                <w:color w:val="1C3A36"/>
                <w:sz w:val="17"/>
              </w:rPr>
              <w:t>48.5%</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20.82</w:t>
            </w:r>
          </w:p>
        </w:tc>
        <w:tc>
          <w:tcPr>
            <w:tcW w:type="dxa" w:w="1224"/>
          </w:tcPr>
          <w:p>
            <w:pPr>
              <w:spacing w:after="20"/>
              <w:jc w:val="right"/>
            </w:pPr>
            <w:r>
              <w:rPr>
                <w:color w:val="1C3A36"/>
                <w:sz w:val="17"/>
              </w:rPr>
              <w:t>54.2%</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20.25</w:t>
            </w:r>
          </w:p>
        </w:tc>
        <w:tc>
          <w:tcPr>
            <w:tcW w:type="dxa" w:w="1224"/>
          </w:tcPr>
          <w:p>
            <w:pPr>
              <w:spacing w:after="20"/>
              <w:jc w:val="right"/>
            </w:pPr>
            <w:r>
              <w:rPr>
                <w:color w:val="1C3A36"/>
                <w:sz w:val="17"/>
              </w:rPr>
              <w:t>50.0%</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20.38</w:t>
            </w:r>
          </w:p>
        </w:tc>
        <w:tc>
          <w:tcPr>
            <w:tcW w:type="dxa" w:w="1224"/>
          </w:tcPr>
          <w:p>
            <w:pPr>
              <w:spacing w:after="20"/>
              <w:jc w:val="right"/>
            </w:pPr>
            <w:r>
              <w:rPr>
                <w:color w:val="1C3A36"/>
                <w:sz w:val="17"/>
              </w:rPr>
              <w:t>51.0%</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18.31</w:t>
            </w:r>
          </w:p>
        </w:tc>
        <w:tc>
          <w:tcPr>
            <w:tcW w:type="dxa" w:w="1224"/>
          </w:tcPr>
          <w:p>
            <w:pPr>
              <w:spacing w:after="20"/>
              <w:jc w:val="right"/>
            </w:pPr>
            <w:r>
              <w:rPr>
                <w:color w:val="1C3A36"/>
                <w:sz w:val="17"/>
              </w:rPr>
              <w:t>35.6%</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20.05</w:t>
            </w:r>
          </w:p>
        </w:tc>
        <w:tc>
          <w:tcPr>
            <w:tcW w:type="dxa" w:w="1224"/>
          </w:tcPr>
          <w:p>
            <w:pPr>
              <w:spacing w:after="20"/>
              <w:jc w:val="right"/>
            </w:pPr>
            <w:r>
              <w:rPr>
                <w:color w:val="1C3A36"/>
                <w:sz w:val="17"/>
              </w:rPr>
              <w:t>48.5%</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21.65</w:t>
            </w:r>
          </w:p>
        </w:tc>
        <w:tc>
          <w:tcPr>
            <w:tcW w:type="dxa" w:w="1224"/>
            <w:shd w:val="clear" w:color="auto" w:fill="F6F1E6"/>
          </w:tcPr>
          <w:p>
            <w:pPr>
              <w:spacing w:after="20"/>
              <w:jc w:val="right"/>
            </w:pPr>
            <w:r>
              <w:rPr>
                <w:b/>
                <w:color w:val="1C3A36"/>
                <w:sz w:val="17"/>
              </w:rPr>
              <w:t>60.4%</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 contested charge at once and the cash-flow lens reaches EGP 21.65, 60.4% above the market price of EGP 13.50.</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Every concession moves the answer further above the price rather than toward it, which is what makes this table adversarial in the direction that matters: the case against this valuation is not that it has been generous.</w:t>
      </w:r>
    </w:p>
    <w:p>
      <w:pPr>
        <w:spacing w:after="120" w:before="0"/>
      </w:pPr>
      <w:r>
        <w:rPr>
          <w:b w:val="0"/>
          <w:i w:val="0"/>
          <w:color w:val="1C3A36"/>
          <w:sz w:val="21"/>
        </w:rPr>
        <w:t>Two further contested choices are computed rather than conceded. On the RATING-BASIS equity risk premium instead of the CDS basis, the cash-flow lens is EGP 15.24;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20.55.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27.4% falling to 16.8%,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9.90% sustained in EVERY forecast year and in perpetuity, against a base year of 9.65% — that is a REDUCTION of -0.25%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9.90%.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9.10)</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51 of 57 (89.5%)</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82.5%</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54.4%</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1.194x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89.5%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1.19x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20.05</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0.0%</w:t>
            </w:r>
          </w:p>
        </w:tc>
        <w:tc>
          <w:tcPr>
            <w:tcW w:type="dxa" w:w="2880"/>
          </w:tcPr>
          <w:p>
            <w:pPr>
              <w:spacing w:after="20"/>
            </w:pPr>
            <w:r>
              <w:rPr>
                <w:color w:val="1C3A36"/>
                <w:sz w:val="17"/>
              </w:rPr>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20.05  (range 1.66–27.52)</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1.31 on the cash-flow lens, and the filed record spans 514 basis points;</w:t>
      </w:r>
    </w:p>
    <w:p>
      <w:pPr>
        <w:pStyle w:val="ListBullet"/>
        <w:spacing w:after="60"/>
      </w:pPr>
      <w:r>
        <w:rPr>
          <w:b/>
          <w:color w:val="1C3A36"/>
          <w:sz w:val="21"/>
        </w:rPr>
        <w:t xml:space="preserve">THE BASE ANCHOR — </w:t>
      </w:r>
      <w:r>
        <w:rPr>
          <w:color w:val="1C3A36"/>
          <w:sz w:val="21"/>
        </w:rPr>
        <w:t>the base year averages a strong reviewed half with a weaker audited one. If the weakness before 2026 turns out to be a superseded level rather than a season, the base is too low and the whole build moves with it — and note the direction, because it is the opposite of the usual caveat: anchoring on the latest reviewed half alone prices the central HIGHER, not lower, by about half again;</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13.8%</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66.9%</w:t>
            </w:r>
          </w:p>
        </w:tc>
      </w:tr>
      <w:tr>
        <w:tc>
          <w:tcPr>
            <w:tcW w:type="dxa" w:w="6048"/>
          </w:tcPr>
          <w:p>
            <w:pPr>
              <w:spacing w:after="20"/>
            </w:pPr>
            <w:r>
              <w:rPr>
                <w:color w:val="1C3A36"/>
                <w:sz w:val="18"/>
              </w:rPr>
              <w:t>EGP 11.00 to EGP 13.50 (the traded price)</w:t>
            </w:r>
          </w:p>
        </w:tc>
        <w:tc>
          <w:tcPr>
            <w:tcW w:type="dxa" w:w="2736"/>
          </w:tcPr>
          <w:p>
            <w:pPr>
              <w:spacing w:after="20"/>
              <w:jc w:val="right"/>
            </w:pPr>
            <w:r>
              <w:rPr>
                <w:color w:val="1C3A36"/>
                <w:sz w:val="18"/>
              </w:rPr>
              <w:t>16.0%</w:t>
            </w:r>
          </w:p>
        </w:tc>
      </w:tr>
      <w:tr>
        <w:tc>
          <w:tcPr>
            <w:tcW w:type="dxa" w:w="6048"/>
          </w:tcPr>
          <w:p>
            <w:pPr>
              <w:spacing w:after="20"/>
            </w:pPr>
            <w:r>
              <w:rPr>
                <w:color w:val="1C3A36"/>
                <w:sz w:val="18"/>
              </w:rPr>
              <w:t>EGP 13.50 (the traded price) to EGP 20.05</w:t>
            </w:r>
          </w:p>
        </w:tc>
        <w:tc>
          <w:tcPr>
            <w:tcW w:type="dxa" w:w="2736"/>
          </w:tcPr>
          <w:p>
            <w:pPr>
              <w:spacing w:after="20"/>
              <w:jc w:val="right"/>
            </w:pPr>
            <w:r>
              <w:rPr>
                <w:color w:val="1C3A36"/>
                <w:sz w:val="18"/>
              </w:rPr>
              <w:t>3.0%</w:t>
            </w:r>
          </w:p>
        </w:tc>
      </w:tr>
      <w:tr>
        <w:tc>
          <w:tcPr>
            <w:tcW w:type="dxa" w:w="6048"/>
          </w:tcPr>
          <w:p>
            <w:pPr>
              <w:spacing w:after="20"/>
            </w:pPr>
            <w:r>
              <w:rPr>
                <w:color w:val="1C3A36"/>
                <w:sz w:val="18"/>
              </w:rPr>
              <w:t>Above EGP 20.05</w:t>
            </w:r>
          </w:p>
        </w:tc>
        <w:tc>
          <w:tcPr>
            <w:tcW w:type="dxa" w:w="2736"/>
          </w:tcPr>
          <w:p>
            <w:pPr>
              <w:spacing w:after="20"/>
              <w:jc w:val="right"/>
            </w:pPr>
            <w:r>
              <w:rPr>
                <w:color w:val="1C3A36"/>
                <w:sz w:val="18"/>
              </w:rPr>
              <w:t>0.3%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62.3%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737-basis-point range across five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five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AS FILED</w:t>
            </w:r>
          </w:p>
        </w:tc>
        <w:tc>
          <w:tcPr>
            <w:tcW w:type="dxa" w:w="1224"/>
            <w:shd w:val="clear" w:color="auto" w:fill="EAF0EE"/>
          </w:tcPr>
          <w:p>
            <w:pPr>
              <w:spacing w:after="20"/>
            </w:pPr>
            <w:r>
              <w:rPr>
                <w:b/>
                <w:color w:val="1C3A36"/>
                <w:sz w:val="15"/>
              </w:rPr>
              <w:t>6M Dec-2024</w:t>
            </w:r>
          </w:p>
        </w:tc>
        <w:tc>
          <w:tcPr>
            <w:tcW w:type="dxa" w:w="1224"/>
            <w:shd w:val="clear" w:color="auto" w:fill="EAF0EE"/>
          </w:tcPr>
          <w:p>
            <w:pPr>
              <w:spacing w:after="20"/>
            </w:pPr>
            <w:r>
              <w:rPr>
                <w:b/>
                <w:color w:val="1C3A36"/>
                <w:sz w:val="15"/>
              </w:rPr>
              <w:t>3M Mar-2025</w:t>
            </w:r>
          </w:p>
        </w:tc>
        <w:tc>
          <w:tcPr>
            <w:tcW w:type="dxa" w:w="1224"/>
            <w:shd w:val="clear" w:color="auto" w:fill="EAF0EE"/>
          </w:tcPr>
          <w:p>
            <w:pPr>
              <w:spacing w:after="20"/>
            </w:pPr>
            <w:r>
              <w:rPr>
                <w:b/>
                <w:color w:val="1C3A36"/>
                <w:sz w:val="15"/>
              </w:rPr>
              <w:t>6M Dec-2025</w:t>
            </w:r>
          </w:p>
        </w:tc>
        <w:tc>
          <w:tcPr>
            <w:tcW w:type="dxa" w:w="1224"/>
            <w:shd w:val="clear" w:color="auto" w:fill="EAF0EE"/>
          </w:tcPr>
          <w:p>
            <w:pPr>
              <w:spacing w:after="20"/>
            </w:pPr>
            <w:r>
              <w:rPr>
                <w:b/>
                <w:color w:val="1C3A36"/>
                <w:sz w:val="15"/>
              </w:rPr>
              <w:t>3M Mar-2026</w:t>
            </w:r>
          </w:p>
        </w:tc>
        <w:tc>
          <w:tcPr>
            <w:tcW w:type="dxa" w:w="1224"/>
            <w:shd w:val="clear" w:color="auto" w:fill="EAF0EE"/>
          </w:tcPr>
          <w:p>
            <w:pPr>
              <w:spacing w:after="20"/>
            </w:pPr>
            <w:r>
              <w:rPr>
                <w:b/>
                <w:color w:val="1C3A36"/>
                <w:sz w:val="15"/>
              </w:rPr>
              <w:t>6M Jun-2026</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18,246</w:t>
            </w:r>
          </w:p>
        </w:tc>
        <w:tc>
          <w:tcPr>
            <w:tcW w:type="dxa" w:w="1224"/>
          </w:tcPr>
          <w:p>
            <w:pPr>
              <w:spacing w:after="20"/>
              <w:jc w:val="right"/>
            </w:pPr>
            <w:r>
              <w:rPr>
                <w:color w:val="1C3A36"/>
                <w:sz w:val="15"/>
              </w:rPr>
              <w:t>10,068</w:t>
            </w:r>
          </w:p>
        </w:tc>
        <w:tc>
          <w:tcPr>
            <w:tcW w:type="dxa" w:w="1224"/>
          </w:tcPr>
          <w:p>
            <w:pPr>
              <w:spacing w:after="20"/>
              <w:jc w:val="right"/>
            </w:pPr>
            <w:r>
              <w:rPr>
                <w:color w:val="1C3A36"/>
                <w:sz w:val="15"/>
              </w:rPr>
              <w:t>20,736</w:t>
            </w:r>
          </w:p>
        </w:tc>
        <w:tc>
          <w:tcPr>
            <w:tcW w:type="dxa" w:w="1224"/>
          </w:tcPr>
          <w:p>
            <w:pPr>
              <w:spacing w:after="20"/>
              <w:jc w:val="right"/>
            </w:pPr>
            <w:r>
              <w:rPr>
                <w:color w:val="1C3A36"/>
                <w:sz w:val="15"/>
              </w:rPr>
              <w:t>10,511</w:t>
            </w:r>
          </w:p>
        </w:tc>
        <w:tc>
          <w:tcPr>
            <w:tcW w:type="dxa" w:w="1224"/>
          </w:tcPr>
          <w:p>
            <w:pPr>
              <w:spacing w:after="20"/>
              <w:jc w:val="right"/>
            </w:pPr>
            <w:r>
              <w:rPr>
                <w:color w:val="1C3A36"/>
                <w:sz w:val="15"/>
              </w:rPr>
              <w:t>26,223</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16,995</w:t>
            </w:r>
          </w:p>
        </w:tc>
        <w:tc>
          <w:tcPr>
            <w:tcW w:type="dxa" w:w="1224"/>
          </w:tcPr>
          <w:p>
            <w:pPr>
              <w:spacing w:after="20"/>
              <w:jc w:val="right"/>
            </w:pPr>
            <w:r>
              <w:rPr>
                <w:color w:val="1C3A36"/>
                <w:sz w:val="15"/>
              </w:rPr>
              <w:t>9,560</w:t>
            </w:r>
          </w:p>
        </w:tc>
        <w:tc>
          <w:tcPr>
            <w:tcW w:type="dxa" w:w="1224"/>
          </w:tcPr>
          <w:p>
            <w:pPr>
              <w:spacing w:after="20"/>
              <w:jc w:val="right"/>
            </w:pPr>
            <w:r>
              <w:rPr>
                <w:color w:val="1C3A36"/>
                <w:sz w:val="15"/>
              </w:rPr>
              <w:t>19,462</w:t>
            </w:r>
          </w:p>
        </w:tc>
        <w:tc>
          <w:tcPr>
            <w:tcW w:type="dxa" w:w="1224"/>
          </w:tcPr>
          <w:p>
            <w:pPr>
              <w:spacing w:after="20"/>
              <w:jc w:val="right"/>
            </w:pPr>
            <w:r>
              <w:rPr>
                <w:color w:val="1C3A36"/>
                <w:sz w:val="15"/>
              </w:rPr>
              <w:t>9,440</w:t>
            </w:r>
          </w:p>
        </w:tc>
        <w:tc>
          <w:tcPr>
            <w:tcW w:type="dxa" w:w="1224"/>
          </w:tcPr>
          <w:p>
            <w:pPr>
              <w:spacing w:after="20"/>
              <w:jc w:val="right"/>
            </w:pPr>
            <w:r>
              <w:rPr>
                <w:color w:val="1C3A36"/>
                <w:sz w:val="15"/>
              </w:rPr>
              <w:t>22,964</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1,251</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1,274</w:t>
            </w:r>
          </w:p>
        </w:tc>
        <w:tc>
          <w:tcPr>
            <w:tcW w:type="dxa" w:w="1224"/>
          </w:tcPr>
          <w:p>
            <w:pPr>
              <w:spacing w:after="20"/>
              <w:jc w:val="right"/>
            </w:pPr>
            <w:r>
              <w:rPr>
                <w:color w:val="1C3A36"/>
                <w:sz w:val="15"/>
              </w:rPr>
              <w:t>1,071</w:t>
            </w:r>
          </w:p>
        </w:tc>
        <w:tc>
          <w:tcPr>
            <w:tcW w:type="dxa" w:w="1224"/>
          </w:tcPr>
          <w:p>
            <w:pPr>
              <w:spacing w:after="20"/>
              <w:jc w:val="right"/>
            </w:pPr>
            <w:r>
              <w:rPr>
                <w:color w:val="1C3A36"/>
                <w:sz w:val="15"/>
              </w:rPr>
              <w:t>3,259</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6.85%</w:t>
            </w:r>
          </w:p>
        </w:tc>
        <w:tc>
          <w:tcPr>
            <w:tcW w:type="dxa" w:w="1224"/>
          </w:tcPr>
          <w:p>
            <w:pPr>
              <w:spacing w:after="20"/>
              <w:jc w:val="right"/>
            </w:pPr>
            <w:r>
              <w:rPr>
                <w:color w:val="1C3A36"/>
                <w:sz w:val="15"/>
              </w:rPr>
              <w:t>5.05%</w:t>
            </w:r>
          </w:p>
        </w:tc>
        <w:tc>
          <w:tcPr>
            <w:tcW w:type="dxa" w:w="1224"/>
          </w:tcPr>
          <w:p>
            <w:pPr>
              <w:spacing w:after="20"/>
              <w:jc w:val="right"/>
            </w:pPr>
            <w:r>
              <w:rPr>
                <w:color w:val="1C3A36"/>
                <w:sz w:val="15"/>
              </w:rPr>
              <w:t>6.14%</w:t>
            </w:r>
          </w:p>
        </w:tc>
        <w:tc>
          <w:tcPr>
            <w:tcW w:type="dxa" w:w="1224"/>
          </w:tcPr>
          <w:p>
            <w:pPr>
              <w:spacing w:after="20"/>
              <w:jc w:val="right"/>
            </w:pPr>
            <w:r>
              <w:rPr>
                <w:color w:val="1C3A36"/>
                <w:sz w:val="15"/>
              </w:rPr>
              <w:t>10.19%</w:t>
            </w:r>
          </w:p>
        </w:tc>
        <w:tc>
          <w:tcPr>
            <w:tcW w:type="dxa" w:w="1224"/>
          </w:tcPr>
          <w:p>
            <w:pPr>
              <w:spacing w:after="20"/>
              <w:jc w:val="right"/>
            </w:pPr>
            <w:r>
              <w:rPr>
                <w:color w:val="1C3A36"/>
                <w:sz w:val="15"/>
              </w:rPr>
              <w:t>12.43%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FORECAST</w:t>
            </w:r>
          </w:p>
        </w:tc>
        <w:tc>
          <w:tcPr>
            <w:tcW w:type="dxa" w:w="1224"/>
            <w:shd w:val="clear" w:color="auto" w:fill="EAF0EE"/>
          </w:tcPr>
          <w:p>
            <w:pPr>
              <w:spacing w:after="20"/>
            </w:pPr>
            <w:r>
              <w:rPr>
                <w:b/>
                <w:color w:val="1C3A36"/>
                <w:sz w:val="15"/>
              </w:rPr>
              <w:t>2026E</w:t>
            </w:r>
          </w:p>
        </w:tc>
        <w:tc>
          <w:tcPr>
            <w:tcW w:type="dxa" w:w="1224"/>
            <w:shd w:val="clear" w:color="auto" w:fill="EAF0EE"/>
          </w:tcPr>
          <w:p>
            <w:pPr>
              <w:spacing w:after="20"/>
            </w:pPr>
            <w:r>
              <w:rPr>
                <w:b/>
                <w:color w:val="1C3A36"/>
                <w:sz w:val="15"/>
              </w:rPr>
              <w:t>2027E</w:t>
            </w:r>
          </w:p>
        </w:tc>
        <w:tc>
          <w:tcPr>
            <w:tcW w:type="dxa" w:w="1224"/>
            <w:shd w:val="clear" w:color="auto" w:fill="EAF0EE"/>
          </w:tcPr>
          <w:p>
            <w:pPr>
              <w:spacing w:after="20"/>
            </w:pPr>
            <w:r>
              <w:rPr>
                <w:b/>
                <w:color w:val="1C3A36"/>
                <w:sz w:val="15"/>
              </w:rPr>
              <w:t>2028E</w:t>
            </w:r>
          </w:p>
        </w:tc>
        <w:tc>
          <w:tcPr>
            <w:tcW w:type="dxa" w:w="1224"/>
            <w:shd w:val="clear" w:color="auto" w:fill="EAF0EE"/>
          </w:tcPr>
          <w:p>
            <w:pPr>
              <w:spacing w:after="20"/>
            </w:pPr>
            <w:r>
              <w:rPr>
                <w:b/>
                <w:color w:val="1C3A36"/>
                <w:sz w:val="15"/>
              </w:rPr>
              <w:t>2029E</w:t>
            </w:r>
          </w:p>
        </w:tc>
        <w:tc>
          <w:tcPr>
            <w:tcW w:type="dxa" w:w="1224"/>
            <w:shd w:val="clear" w:color="auto" w:fill="EAF0EE"/>
          </w:tcPr>
          <w:p>
            <w:pPr>
              <w:spacing w:after="20"/>
            </w:pPr>
            <w:r>
              <w:rPr>
                <w:b/>
                <w:color w:val="1C3A36"/>
                <w:sz w:val="15"/>
              </w:rPr>
              <w:t>2030E</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53,144</w:t>
            </w:r>
          </w:p>
        </w:tc>
        <w:tc>
          <w:tcPr>
            <w:tcW w:type="dxa" w:w="1224"/>
          </w:tcPr>
          <w:p>
            <w:pPr>
              <w:spacing w:after="20"/>
              <w:jc w:val="right"/>
            </w:pPr>
            <w:r>
              <w:rPr>
                <w:color w:val="1C3A36"/>
                <w:sz w:val="15"/>
              </w:rPr>
              <w:t>58,069</w:t>
            </w:r>
          </w:p>
        </w:tc>
        <w:tc>
          <w:tcPr>
            <w:tcW w:type="dxa" w:w="1224"/>
          </w:tcPr>
          <w:p>
            <w:pPr>
              <w:spacing w:after="20"/>
              <w:jc w:val="right"/>
            </w:pPr>
            <w:r>
              <w:rPr>
                <w:color w:val="1C3A36"/>
                <w:sz w:val="15"/>
              </w:rPr>
              <w:t>61,752</w:t>
            </w:r>
          </w:p>
        </w:tc>
        <w:tc>
          <w:tcPr>
            <w:tcW w:type="dxa" w:w="1224"/>
          </w:tcPr>
          <w:p>
            <w:pPr>
              <w:spacing w:after="20"/>
              <w:jc w:val="right"/>
            </w:pPr>
            <w:r>
              <w:rPr>
                <w:color w:val="1C3A36"/>
                <w:sz w:val="15"/>
              </w:rPr>
              <w:t>64,764</w:t>
            </w:r>
          </w:p>
        </w:tc>
        <w:tc>
          <w:tcPr>
            <w:tcW w:type="dxa" w:w="1224"/>
          </w:tcPr>
          <w:p>
            <w:pPr>
              <w:spacing w:after="20"/>
              <w:jc w:val="right"/>
            </w:pPr>
            <w:r>
              <w:rPr>
                <w:color w:val="1C3A36"/>
                <w:sz w:val="15"/>
              </w:rPr>
              <w:t>67,607</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46,539</w:t>
            </w:r>
          </w:p>
        </w:tc>
        <w:tc>
          <w:tcPr>
            <w:tcW w:type="dxa" w:w="1224"/>
          </w:tcPr>
          <w:p>
            <w:pPr>
              <w:spacing w:after="20"/>
              <w:jc w:val="right"/>
            </w:pPr>
            <w:r>
              <w:rPr>
                <w:color w:val="1C3A36"/>
                <w:sz w:val="15"/>
              </w:rPr>
              <w:t>50,841</w:t>
            </w:r>
          </w:p>
        </w:tc>
        <w:tc>
          <w:tcPr>
            <w:tcW w:type="dxa" w:w="1224"/>
          </w:tcPr>
          <w:p>
            <w:pPr>
              <w:spacing w:after="20"/>
              <w:jc w:val="right"/>
            </w:pPr>
            <w:r>
              <w:rPr>
                <w:color w:val="1C3A36"/>
                <w:sz w:val="15"/>
              </w:rPr>
              <w:t>54,057</w:t>
            </w:r>
          </w:p>
        </w:tc>
        <w:tc>
          <w:tcPr>
            <w:tcW w:type="dxa" w:w="1224"/>
          </w:tcPr>
          <w:p>
            <w:pPr>
              <w:spacing w:after="20"/>
              <w:jc w:val="right"/>
            </w:pPr>
            <w:r>
              <w:rPr>
                <w:color w:val="1C3A36"/>
                <w:sz w:val="15"/>
              </w:rPr>
              <w:t>56,688</w:t>
            </w:r>
          </w:p>
        </w:tc>
        <w:tc>
          <w:tcPr>
            <w:tcW w:type="dxa" w:w="1224"/>
          </w:tcPr>
          <w:p>
            <w:pPr>
              <w:spacing w:after="20"/>
              <w:jc w:val="right"/>
            </w:pPr>
            <w:r>
              <w:rPr>
                <w:color w:val="1C3A36"/>
                <w:sz w:val="15"/>
              </w:rPr>
              <w:t>59,171</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6,605</w:t>
            </w:r>
          </w:p>
        </w:tc>
        <w:tc>
          <w:tcPr>
            <w:tcW w:type="dxa" w:w="1224"/>
          </w:tcPr>
          <w:p>
            <w:pPr>
              <w:spacing w:after="20"/>
              <w:jc w:val="right"/>
            </w:pPr>
            <w:r>
              <w:rPr>
                <w:color w:val="1C3A36"/>
                <w:sz w:val="15"/>
              </w:rPr>
              <w:t>7,228</w:t>
            </w:r>
          </w:p>
        </w:tc>
        <w:tc>
          <w:tcPr>
            <w:tcW w:type="dxa" w:w="1224"/>
          </w:tcPr>
          <w:p>
            <w:pPr>
              <w:spacing w:after="20"/>
              <w:jc w:val="right"/>
            </w:pPr>
            <w:r>
              <w:rPr>
                <w:color w:val="1C3A36"/>
                <w:sz w:val="15"/>
              </w:rPr>
              <w:t>7,694</w:t>
            </w:r>
          </w:p>
        </w:tc>
        <w:tc>
          <w:tcPr>
            <w:tcW w:type="dxa" w:w="1224"/>
          </w:tcPr>
          <w:p>
            <w:pPr>
              <w:spacing w:after="20"/>
              <w:jc w:val="right"/>
            </w:pPr>
            <w:r>
              <w:rPr>
                <w:color w:val="1C3A36"/>
                <w:sz w:val="15"/>
              </w:rPr>
              <w:t>8,076</w:t>
            </w:r>
          </w:p>
        </w:tc>
        <w:tc>
          <w:tcPr>
            <w:tcW w:type="dxa" w:w="1224"/>
          </w:tcPr>
          <w:p>
            <w:pPr>
              <w:spacing w:after="20"/>
              <w:jc w:val="right"/>
            </w:pPr>
            <w:r>
              <w:rPr>
                <w:color w:val="1C3A36"/>
                <w:sz w:val="15"/>
              </w:rPr>
              <w:t>8,436</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12.43%</w:t>
            </w:r>
          </w:p>
        </w:tc>
        <w:tc>
          <w:tcPr>
            <w:tcW w:type="dxa" w:w="1224"/>
          </w:tcPr>
          <w:p>
            <w:pPr>
              <w:spacing w:after="20"/>
              <w:jc w:val="right"/>
            </w:pPr>
            <w:r>
              <w:rPr>
                <w:color w:val="1C3A36"/>
                <w:sz w:val="15"/>
              </w:rPr>
              <w:t>12.45%</w:t>
            </w:r>
          </w:p>
        </w:tc>
        <w:tc>
          <w:tcPr>
            <w:tcW w:type="dxa" w:w="1224"/>
          </w:tcPr>
          <w:p>
            <w:pPr>
              <w:spacing w:after="20"/>
              <w:jc w:val="right"/>
            </w:pPr>
            <w:r>
              <w:rPr>
                <w:color w:val="1C3A36"/>
                <w:sz w:val="15"/>
              </w:rPr>
              <w:t>12.46%</w:t>
            </w:r>
          </w:p>
        </w:tc>
        <w:tc>
          <w:tcPr>
            <w:tcW w:type="dxa" w:w="1224"/>
          </w:tcPr>
          <w:p>
            <w:pPr>
              <w:spacing w:after="20"/>
              <w:jc w:val="right"/>
            </w:pPr>
            <w:r>
              <w:rPr>
                <w:color w:val="1C3A36"/>
                <w:sz w:val="15"/>
              </w:rPr>
              <w:t>12.47%</w:t>
            </w:r>
          </w:p>
        </w:tc>
        <w:tc>
          <w:tcPr>
            <w:tcW w:type="dxa" w:w="1224"/>
          </w:tcPr>
          <w:p>
            <w:pPr>
              <w:spacing w:after="20"/>
              <w:jc w:val="right"/>
            </w:pPr>
            <w:r>
              <w:rPr>
                <w:color w:val="1C3A36"/>
                <w:sz w:val="15"/>
              </w:rPr>
              <w:t>12.48%</w:t>
            </w:r>
          </w:p>
        </w:tc>
      </w:tr>
      <w:tr>
        <w:tc>
          <w:tcPr>
            <w:tcW w:type="dxa" w:w="2232"/>
          </w:tcPr>
          <w:p>
            <w:pPr>
              <w:spacing w:after="20"/>
            </w:pPr>
            <w:r>
              <w:rPr>
                <w:color w:val="1C3A36"/>
                <w:sz w:val="15"/>
              </w:rPr>
              <w:t>Operating profit</w:t>
            </w:r>
          </w:p>
        </w:tc>
        <w:tc>
          <w:tcPr>
            <w:tcW w:type="dxa" w:w="1224"/>
          </w:tcPr>
          <w:p>
            <w:pPr>
              <w:spacing w:after="20"/>
              <w:jc w:val="right"/>
            </w:pPr>
            <w:r>
              <w:rPr>
                <w:color w:val="1C3A36"/>
                <w:sz w:val="15"/>
              </w:rPr>
              <w:t>4,407</w:t>
            </w:r>
          </w:p>
        </w:tc>
        <w:tc>
          <w:tcPr>
            <w:tcW w:type="dxa" w:w="1224"/>
          </w:tcPr>
          <w:p>
            <w:pPr>
              <w:spacing w:after="20"/>
              <w:jc w:val="right"/>
            </w:pPr>
            <w:r>
              <w:rPr>
                <w:color w:val="1C3A36"/>
                <w:sz w:val="15"/>
              </w:rPr>
              <w:t>4,779</w:t>
            </w:r>
          </w:p>
        </w:tc>
        <w:tc>
          <w:tcPr>
            <w:tcW w:type="dxa" w:w="1224"/>
          </w:tcPr>
          <w:p>
            <w:pPr>
              <w:spacing w:after="20"/>
              <w:jc w:val="right"/>
            </w:pPr>
            <w:r>
              <w:rPr>
                <w:color w:val="1C3A36"/>
                <w:sz w:val="15"/>
              </w:rPr>
              <w:t>5,030</w:t>
            </w:r>
          </w:p>
        </w:tc>
        <w:tc>
          <w:tcPr>
            <w:tcW w:type="dxa" w:w="1224"/>
          </w:tcPr>
          <w:p>
            <w:pPr>
              <w:spacing w:after="20"/>
              <w:jc w:val="right"/>
            </w:pPr>
            <w:r>
              <w:rPr>
                <w:color w:val="1C3A36"/>
                <w:sz w:val="15"/>
              </w:rPr>
              <w:t>5,214</w:t>
            </w:r>
          </w:p>
        </w:tc>
        <w:tc>
          <w:tcPr>
            <w:tcW w:type="dxa" w:w="1224"/>
          </w:tcPr>
          <w:p>
            <w:pPr>
              <w:spacing w:after="20"/>
              <w:jc w:val="right"/>
            </w:pPr>
            <w:r>
              <w:rPr>
                <w:color w:val="1C3A36"/>
                <w:sz w:val="15"/>
              </w:rPr>
              <w:t>5,375</w:t>
            </w:r>
          </w:p>
        </w:tc>
      </w:tr>
      <w:tr>
        <w:tc>
          <w:tcPr>
            <w:tcW w:type="dxa" w:w="2232"/>
          </w:tcPr>
          <w:p>
            <w:pPr>
              <w:spacing w:after="20"/>
            </w:pPr>
            <w:r>
              <w:rPr>
                <w:color w:val="1C3A36"/>
                <w:sz w:val="15"/>
              </w:rPr>
              <w:t>Net finance income</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359</w:t>
            </w:r>
          </w:p>
        </w:tc>
        <w:tc>
          <w:tcPr>
            <w:tcW w:type="dxa" w:w="1224"/>
          </w:tcPr>
          <w:p>
            <w:pPr>
              <w:spacing w:after="20"/>
              <w:jc w:val="right"/>
            </w:pPr>
            <w:r>
              <w:rPr>
                <w:color w:val="1C3A36"/>
                <w:sz w:val="15"/>
              </w:rPr>
              <w:t>251</w:t>
            </w:r>
          </w:p>
        </w:tc>
        <w:tc>
          <w:tcPr>
            <w:tcW w:type="dxa" w:w="1224"/>
          </w:tcPr>
          <w:p>
            <w:pPr>
              <w:spacing w:after="20"/>
              <w:jc w:val="right"/>
            </w:pPr>
            <w:r>
              <w:rPr>
                <w:color w:val="1C3A36"/>
                <w:sz w:val="15"/>
              </w:rPr>
              <w:t>175</w:t>
            </w:r>
          </w:p>
        </w:tc>
        <w:tc>
          <w:tcPr>
            <w:tcW w:type="dxa" w:w="1224"/>
          </w:tcPr>
          <w:p>
            <w:pPr>
              <w:spacing w:after="20"/>
              <w:jc w:val="right"/>
            </w:pPr>
            <w:r>
              <w:rPr>
                <w:color w:val="1C3A36"/>
                <w:sz w:val="15"/>
              </w:rPr>
              <w:t>115</w:t>
            </w:r>
          </w:p>
        </w:tc>
      </w:tr>
      <w:tr>
        <w:tc>
          <w:tcPr>
            <w:tcW w:type="dxa" w:w="2232"/>
          </w:tcPr>
          <w:p>
            <w:pPr>
              <w:spacing w:after="20"/>
            </w:pPr>
            <w:r>
              <w:rPr>
                <w:color w:val="1C3A36"/>
                <w:sz w:val="15"/>
              </w:rPr>
              <w:t>Attributable profit</w:t>
            </w:r>
          </w:p>
        </w:tc>
        <w:tc>
          <w:tcPr>
            <w:tcW w:type="dxa" w:w="1224"/>
          </w:tcPr>
          <w:p>
            <w:pPr>
              <w:spacing w:after="20"/>
              <w:jc w:val="right"/>
            </w:pPr>
            <w:r>
              <w:rPr>
                <w:color w:val="1C3A36"/>
                <w:sz w:val="15"/>
              </w:rPr>
              <w:t>3,651</w:t>
            </w:r>
          </w:p>
        </w:tc>
        <w:tc>
          <w:tcPr>
            <w:tcW w:type="dxa" w:w="1224"/>
          </w:tcPr>
          <w:p>
            <w:pPr>
              <w:spacing w:after="20"/>
              <w:jc w:val="right"/>
            </w:pPr>
            <w:r>
              <w:rPr>
                <w:color w:val="1C3A36"/>
                <w:sz w:val="15"/>
              </w:rPr>
              <w:t>3,816</w:t>
            </w:r>
          </w:p>
        </w:tc>
        <w:tc>
          <w:tcPr>
            <w:tcW w:type="dxa" w:w="1224"/>
          </w:tcPr>
          <w:p>
            <w:pPr>
              <w:spacing w:after="20"/>
              <w:jc w:val="right"/>
            </w:pPr>
            <w:r>
              <w:rPr>
                <w:color w:val="1C3A36"/>
                <w:sz w:val="15"/>
              </w:rPr>
              <w:t>3,922</w:t>
            </w:r>
          </w:p>
        </w:tc>
        <w:tc>
          <w:tcPr>
            <w:tcW w:type="dxa" w:w="1224"/>
          </w:tcPr>
          <w:p>
            <w:pPr>
              <w:spacing w:after="20"/>
              <w:jc w:val="right"/>
            </w:pPr>
            <w:r>
              <w:rPr>
                <w:color w:val="1C3A36"/>
                <w:sz w:val="15"/>
              </w:rPr>
              <w:t>4,002</w:t>
            </w:r>
          </w:p>
        </w:tc>
        <w:tc>
          <w:tcPr>
            <w:tcW w:type="dxa" w:w="1224"/>
          </w:tcPr>
          <w:p>
            <w:pPr>
              <w:spacing w:after="20"/>
              <w:jc w:val="right"/>
            </w:pPr>
            <w:r>
              <w:rPr>
                <w:color w:val="1C3A36"/>
                <w:sz w:val="15"/>
              </w:rPr>
              <w:t>4,077</w:t>
            </w:r>
          </w:p>
        </w:tc>
      </w:tr>
    </w:tbl>
    <w:p>
      <w:pPr>
        <w:spacing w:after="40"/>
      </w:pPr>
    </w:p>
    <w:p>
      <w:pPr>
        <w:spacing w:after="200" w:before="0"/>
      </w:pPr>
      <w:r>
        <w:rPr>
          <w:b w:val="0"/>
          <w:i/>
          <w:color w:val="6E7B77"/>
          <w:sz w:val="17"/>
        </w:rPr>
        <w:t>Table A.1 — the 5 filed periods are AS FILED and are of unequal length (six-month periods and quarters), so they are shown as reported rather than annualised. The forecast columns are the model.</w:t>
      </w:r>
    </w:p>
    <w:p>
      <w:pPr>
        <w:spacing w:after="120" w:before="0"/>
      </w:pPr>
      <w:r>
        <w:rPr>
          <w:b w:val="0"/>
          <w:i w:val="0"/>
          <w:color w:val="1C3A36"/>
          <w:sz w:val="21"/>
        </w:rPr>
        <w:t>READ THE LAST FILED COLUMN AGAINST THE FIRST FORECAST COLUMN. The most recent filed period, 6M Jun-2026, carries a gross margin of 12.43%; the first forecast year opens at 12.43% and the path is held roughly flat from there. THE FORECAST IS THEREFORE BELOW THE LATEST FILED PERIOD, and a reader is entitled to know that without deriving it. The reason is the base year: the model is anchored on the twelve months to 30 June 2026, which averages that half with the weaker one before it (6.14%), rather than on the latest half alone. Whether that weakness is seasonal or a superseded level is this study’s largest contested judgement: the same quarter a year apart runs 5.05% against 10.19%, which no seasonal pattern produces. Anchoring on the latest half and holding it flat gives EGP 20.05 a share against the published EGP 20.05. It is priced here and NOT taken, because corrections are made one at a time and this study has already made one this edition; taking a second would carry it from below the traded price to well above it in a single step.</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1,289</w:t>
            </w:r>
          </w:p>
        </w:tc>
        <w:tc>
          <w:tcPr>
            <w:tcW w:type="dxa" w:w="1037"/>
          </w:tcPr>
          <w:p>
            <w:pPr>
              <w:spacing w:after="20"/>
              <w:jc w:val="right"/>
            </w:pPr>
            <w:r>
              <w:rPr>
                <w:color w:val="1C3A36"/>
                <w:sz w:val="16"/>
              </w:rPr>
              <w:t>1,302</w:t>
            </w:r>
          </w:p>
        </w:tc>
        <w:tc>
          <w:tcPr>
            <w:tcW w:type="dxa" w:w="1037"/>
          </w:tcPr>
          <w:p>
            <w:pPr>
              <w:spacing w:after="20"/>
              <w:jc w:val="right"/>
            </w:pPr>
            <w:r>
              <w:rPr>
                <w:color w:val="1C3A36"/>
                <w:sz w:val="16"/>
              </w:rPr>
              <w:t>1,321</w:t>
            </w:r>
          </w:p>
        </w:tc>
        <w:tc>
          <w:tcPr>
            <w:tcW w:type="dxa" w:w="1037"/>
          </w:tcPr>
          <w:p>
            <w:pPr>
              <w:spacing w:after="20"/>
              <w:jc w:val="right"/>
            </w:pPr>
            <w:r>
              <w:rPr>
                <w:color w:val="1C3A36"/>
                <w:sz w:val="16"/>
              </w:rPr>
              <w:t>1,345</w:t>
            </w:r>
          </w:p>
        </w:tc>
        <w:tc>
          <w:tcPr>
            <w:tcW w:type="dxa" w:w="1037"/>
          </w:tcPr>
          <w:p>
            <w:pPr>
              <w:spacing w:after="20"/>
              <w:jc w:val="right"/>
            </w:pPr>
            <w:r>
              <w:rPr>
                <w:color w:val="1C3A36"/>
                <w:sz w:val="16"/>
              </w:rPr>
              <w:t>1,371</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3,836</w:t>
            </w:r>
          </w:p>
        </w:tc>
        <w:tc>
          <w:tcPr>
            <w:tcW w:type="dxa" w:w="1037"/>
          </w:tcPr>
          <w:p>
            <w:pPr>
              <w:spacing w:after="20"/>
              <w:jc w:val="right"/>
            </w:pPr>
            <w:r>
              <w:rPr>
                <w:color w:val="1C3A36"/>
                <w:sz w:val="16"/>
              </w:rPr>
              <w:t>4,191</w:t>
            </w:r>
          </w:p>
        </w:tc>
        <w:tc>
          <w:tcPr>
            <w:tcW w:type="dxa" w:w="1037"/>
          </w:tcPr>
          <w:p>
            <w:pPr>
              <w:spacing w:after="20"/>
              <w:jc w:val="right"/>
            </w:pPr>
            <w:r>
              <w:rPr>
                <w:color w:val="1C3A36"/>
                <w:sz w:val="16"/>
              </w:rPr>
              <w:t>4,456</w:t>
            </w:r>
          </w:p>
        </w:tc>
        <w:tc>
          <w:tcPr>
            <w:tcW w:type="dxa" w:w="1037"/>
          </w:tcPr>
          <w:p>
            <w:pPr>
              <w:spacing w:after="20"/>
              <w:jc w:val="right"/>
            </w:pPr>
            <w:r>
              <w:rPr>
                <w:color w:val="1C3A36"/>
                <w:sz w:val="16"/>
              </w:rPr>
              <w:t>4,674</w:t>
            </w:r>
          </w:p>
        </w:tc>
        <w:tc>
          <w:tcPr>
            <w:tcW w:type="dxa" w:w="1037"/>
          </w:tcPr>
          <w:p>
            <w:pPr>
              <w:spacing w:after="20"/>
              <w:jc w:val="right"/>
            </w:pPr>
            <w:r>
              <w:rPr>
                <w:color w:val="1C3A36"/>
                <w:sz w:val="16"/>
              </w:rPr>
              <w:t>4,879</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5,125</w:t>
            </w:r>
          </w:p>
        </w:tc>
        <w:tc>
          <w:tcPr>
            <w:tcW w:type="dxa" w:w="1037"/>
            <w:shd w:val="clear" w:color="auto" w:fill="F6F1E6"/>
          </w:tcPr>
          <w:p>
            <w:pPr>
              <w:spacing w:after="20"/>
              <w:jc w:val="right"/>
            </w:pPr>
            <w:r>
              <w:rPr>
                <w:b/>
                <w:color w:val="1C3A36"/>
                <w:sz w:val="16"/>
              </w:rPr>
              <w:t>5,493</w:t>
            </w:r>
          </w:p>
        </w:tc>
        <w:tc>
          <w:tcPr>
            <w:tcW w:type="dxa" w:w="1037"/>
            <w:shd w:val="clear" w:color="auto" w:fill="F6F1E6"/>
          </w:tcPr>
          <w:p>
            <w:pPr>
              <w:spacing w:after="20"/>
              <w:jc w:val="right"/>
            </w:pPr>
            <w:r>
              <w:rPr>
                <w:b/>
                <w:color w:val="1C3A36"/>
                <w:sz w:val="16"/>
              </w:rPr>
              <w:t>5,778</w:t>
            </w:r>
          </w:p>
        </w:tc>
        <w:tc>
          <w:tcPr>
            <w:tcW w:type="dxa" w:w="1037"/>
            <w:shd w:val="clear" w:color="auto" w:fill="F6F1E6"/>
          </w:tcPr>
          <w:p>
            <w:pPr>
              <w:spacing w:after="20"/>
              <w:jc w:val="right"/>
            </w:pPr>
            <w:r>
              <w:rPr>
                <w:b/>
                <w:color w:val="1C3A36"/>
                <w:sz w:val="16"/>
              </w:rPr>
              <w:t>6,018</w:t>
            </w:r>
          </w:p>
        </w:tc>
        <w:tc>
          <w:tcPr>
            <w:tcW w:type="dxa" w:w="1037"/>
            <w:shd w:val="clear" w:color="auto" w:fill="F6F1E6"/>
          </w:tcPr>
          <w:p>
            <w:pPr>
              <w:spacing w:after="20"/>
              <w:jc w:val="right"/>
            </w:pPr>
            <w:r>
              <w:rPr>
                <w:b/>
                <w:color w:val="1C3A36"/>
                <w:sz w:val="16"/>
              </w:rPr>
              <w:t>6,250</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2,417</w:t>
            </w:r>
          </w:p>
        </w:tc>
        <w:tc>
          <w:tcPr>
            <w:tcW w:type="dxa" w:w="1037"/>
          </w:tcPr>
          <w:p>
            <w:pPr>
              <w:spacing w:after="20"/>
              <w:jc w:val="right"/>
            </w:pPr>
            <w:r>
              <w:rPr>
                <w:color w:val="1C3A36"/>
                <w:sz w:val="16"/>
              </w:rPr>
              <w:t>1,881</w:t>
            </w:r>
          </w:p>
        </w:tc>
        <w:tc>
          <w:tcPr>
            <w:tcW w:type="dxa" w:w="1037"/>
          </w:tcPr>
          <w:p>
            <w:pPr>
              <w:spacing w:after="20"/>
              <w:jc w:val="right"/>
            </w:pPr>
            <w:r>
              <w:rPr>
                <w:color w:val="1C3A36"/>
                <w:sz w:val="16"/>
              </w:rPr>
              <w:t>1,418</w:t>
            </w:r>
          </w:p>
        </w:tc>
        <w:tc>
          <w:tcPr>
            <w:tcW w:type="dxa" w:w="1037"/>
          </w:tcPr>
          <w:p>
            <w:pPr>
              <w:spacing w:after="20"/>
              <w:jc w:val="right"/>
            </w:pPr>
            <w:r>
              <w:rPr>
                <w:color w:val="1C3A36"/>
                <w:sz w:val="16"/>
              </w:rPr>
              <w:t>992</w:t>
            </w:r>
          </w:p>
        </w:tc>
        <w:tc>
          <w:tcPr>
            <w:tcW w:type="dxa" w:w="1037"/>
          </w:tcPr>
          <w:p>
            <w:pPr>
              <w:spacing w:after="20"/>
              <w:jc w:val="right"/>
            </w:pPr>
            <w:r>
              <w:rPr>
                <w:color w:val="1C3A36"/>
                <w:sz w:val="16"/>
              </w:rPr>
              <w:t>569</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-2,401</w:t>
            </w:r>
          </w:p>
        </w:tc>
        <w:tc>
          <w:tcPr>
            <w:tcW w:type="dxa" w:w="1037"/>
          </w:tcPr>
          <w:p>
            <w:pPr>
              <w:spacing w:after="20"/>
              <w:jc w:val="right"/>
            </w:pPr>
            <w:r>
              <w:rPr>
                <w:color w:val="1C3A36"/>
                <w:sz w:val="16"/>
              </w:rPr>
              <w:t>-1,864</w:t>
            </w:r>
          </w:p>
        </w:tc>
        <w:tc>
          <w:tcPr>
            <w:tcW w:type="dxa" w:w="1037"/>
          </w:tcPr>
          <w:p>
            <w:pPr>
              <w:spacing w:after="20"/>
              <w:jc w:val="right"/>
            </w:pPr>
            <w:r>
              <w:rPr>
                <w:color w:val="1C3A36"/>
                <w:sz w:val="16"/>
              </w:rPr>
              <w:t>-1,401</w:t>
            </w:r>
          </w:p>
        </w:tc>
        <w:tc>
          <w:tcPr>
            <w:tcW w:type="dxa" w:w="1037"/>
          </w:tcPr>
          <w:p>
            <w:pPr>
              <w:spacing w:after="20"/>
              <w:jc w:val="right"/>
            </w:pPr>
            <w:r>
              <w:rPr>
                <w:color w:val="1C3A36"/>
                <w:sz w:val="16"/>
              </w:rPr>
              <w:t>-975</w:t>
            </w:r>
          </w:p>
        </w:tc>
        <w:tc>
          <w:tcPr>
            <w:tcW w:type="dxa" w:w="1037"/>
          </w:tcPr>
          <w:p>
            <w:pPr>
              <w:spacing w:after="20"/>
              <w:jc w:val="right"/>
            </w:pPr>
            <w:r>
              <w:rPr>
                <w:color w:val="1C3A36"/>
                <w:sz w:val="16"/>
              </w:rPr>
              <w:t>-552</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5,935</w:t>
            </w:r>
          </w:p>
        </w:tc>
        <w:tc>
          <w:tcPr>
            <w:tcW w:type="dxa" w:w="1037"/>
          </w:tcPr>
          <w:p>
            <w:pPr>
              <w:spacing w:after="20"/>
              <w:jc w:val="right"/>
            </w:pPr>
            <w:r>
              <w:rPr>
                <w:color w:val="1C3A36"/>
                <w:sz w:val="16"/>
              </w:rPr>
              <w:t>5,793</w:t>
            </w:r>
          </w:p>
        </w:tc>
        <w:tc>
          <w:tcPr>
            <w:tcW w:type="dxa" w:w="1037"/>
          </w:tcPr>
          <w:p>
            <w:pPr>
              <w:spacing w:after="20"/>
              <w:jc w:val="right"/>
            </w:pPr>
            <w:r>
              <w:rPr>
                <w:color w:val="1C3A36"/>
                <w:sz w:val="16"/>
              </w:rPr>
              <w:t>5,647</w:t>
            </w:r>
          </w:p>
        </w:tc>
        <w:tc>
          <w:tcPr>
            <w:tcW w:type="dxa" w:w="1037"/>
          </w:tcPr>
          <w:p>
            <w:pPr>
              <w:spacing w:after="20"/>
              <w:jc w:val="right"/>
            </w:pPr>
            <w:r>
              <w:rPr>
                <w:color w:val="1C3A36"/>
                <w:sz w:val="16"/>
              </w:rPr>
              <w:t>5,499</w:t>
            </w:r>
          </w:p>
        </w:tc>
        <w:tc>
          <w:tcPr>
            <w:tcW w:type="dxa" w:w="1037"/>
          </w:tcPr>
          <w:p>
            <w:pPr>
              <w:spacing w:after="20"/>
              <w:jc w:val="right"/>
            </w:pPr>
            <w:r>
              <w:rPr>
                <w:color w:val="1C3A36"/>
                <w:sz w:val="16"/>
              </w:rPr>
              <w:t>5,347</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3,237</w:t>
            </w:r>
          </w:p>
        </w:tc>
        <w:tc>
          <w:tcPr>
            <w:tcW w:type="dxa" w:w="1195"/>
          </w:tcPr>
          <w:p>
            <w:pPr>
              <w:spacing w:after="20"/>
              <w:jc w:val="right"/>
            </w:pPr>
            <w:r>
              <w:rPr>
                <w:color w:val="1C3A36"/>
                <w:sz w:val="16"/>
              </w:rPr>
              <w:t>3,509</w:t>
            </w:r>
          </w:p>
        </w:tc>
        <w:tc>
          <w:tcPr>
            <w:tcW w:type="dxa" w:w="1195"/>
          </w:tcPr>
          <w:p>
            <w:pPr>
              <w:spacing w:after="20"/>
              <w:jc w:val="right"/>
            </w:pPr>
            <w:r>
              <w:rPr>
                <w:color w:val="1C3A36"/>
                <w:sz w:val="16"/>
              </w:rPr>
              <w:t>3,694</w:t>
            </w:r>
          </w:p>
        </w:tc>
        <w:tc>
          <w:tcPr>
            <w:tcW w:type="dxa" w:w="1195"/>
          </w:tcPr>
          <w:p>
            <w:pPr>
              <w:spacing w:after="20"/>
              <w:jc w:val="right"/>
            </w:pPr>
            <w:r>
              <w:rPr>
                <w:color w:val="1C3A36"/>
                <w:sz w:val="16"/>
              </w:rPr>
              <w:t>3,829</w:t>
            </w:r>
          </w:p>
        </w:tc>
        <w:tc>
          <w:tcPr>
            <w:tcW w:type="dxa" w:w="1195"/>
          </w:tcPr>
          <w:p>
            <w:pPr>
              <w:spacing w:after="20"/>
              <w:jc w:val="right"/>
            </w:pPr>
            <w:r>
              <w:rPr>
                <w:color w:val="1C3A36"/>
                <w:sz w:val="16"/>
              </w:rPr>
              <w:t>3,947</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(182)</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(222)</w:t>
            </w:r>
          </w:p>
        </w:tc>
        <w:tc>
          <w:tcPr>
            <w:tcW w:type="dxa" w:w="1195"/>
          </w:tcPr>
          <w:p>
            <w:pPr>
              <w:spacing w:after="20"/>
              <w:jc w:val="right"/>
            </w:pPr>
            <w:r>
              <w:rPr>
                <w:color w:val="1C3A36"/>
                <w:sz w:val="16"/>
              </w:rPr>
              <w:t>(238)</w:t>
            </w:r>
          </w:p>
        </w:tc>
        <w:tc>
          <w:tcPr>
            <w:tcW w:type="dxa" w:w="1195"/>
          </w:tcPr>
          <w:p>
            <w:pPr>
              <w:spacing w:after="20"/>
              <w:jc w:val="right"/>
            </w:pPr>
            <w:r>
              <w:rPr>
                <w:color w:val="1C3A36"/>
                <w:sz w:val="16"/>
              </w:rPr>
              <w:t>(255)</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(446)</w:t>
            </w:r>
          </w:p>
        </w:tc>
        <w:tc>
          <w:tcPr>
            <w:tcW w:type="dxa" w:w="1195"/>
          </w:tcPr>
          <w:p>
            <w:pPr>
              <w:spacing w:after="20"/>
              <w:jc w:val="right"/>
            </w:pPr>
            <w:r>
              <w:rPr>
                <w:color w:val="1C3A36"/>
                <w:sz w:val="16"/>
              </w:rPr>
              <w:t>(355)</w:t>
            </w:r>
          </w:p>
        </w:tc>
        <w:tc>
          <w:tcPr>
            <w:tcW w:type="dxa" w:w="1195"/>
          </w:tcPr>
          <w:p>
            <w:pPr>
              <w:spacing w:after="20"/>
              <w:jc w:val="right"/>
            </w:pPr>
            <w:r>
              <w:rPr>
                <w:color w:val="1C3A36"/>
                <w:sz w:val="16"/>
              </w:rPr>
              <w:t>(266)</w:t>
            </w:r>
          </w:p>
        </w:tc>
        <w:tc>
          <w:tcPr>
            <w:tcW w:type="dxa" w:w="1195"/>
          </w:tcPr>
          <w:p>
            <w:pPr>
              <w:spacing w:after="20"/>
              <w:jc w:val="right"/>
            </w:pPr>
            <w:r>
              <w:rPr>
                <w:color w:val="1C3A36"/>
                <w:sz w:val="16"/>
              </w:rPr>
              <w:t>(217)</w:t>
            </w:r>
          </w:p>
        </w:tc>
        <w:tc>
          <w:tcPr>
            <w:tcW w:type="dxa" w:w="1195"/>
          </w:tcPr>
          <w:p>
            <w:pPr>
              <w:spacing w:after="20"/>
              <w:jc w:val="right"/>
            </w:pPr>
            <w:r>
              <w:rPr>
                <w:color w:val="1C3A36"/>
                <w:sz w:val="16"/>
              </w:rPr>
              <w:t>(205)</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2,789</w:t>
            </w:r>
          </w:p>
        </w:tc>
        <w:tc>
          <w:tcPr>
            <w:tcW w:type="dxa" w:w="1195"/>
            <w:shd w:val="clear" w:color="auto" w:fill="F6F1E6"/>
          </w:tcPr>
          <w:p>
            <w:pPr>
              <w:spacing w:after="20"/>
              <w:jc w:val="right"/>
            </w:pPr>
            <w:r>
              <w:rPr>
                <w:b/>
                <w:color w:val="1C3A36"/>
                <w:sz w:val="16"/>
              </w:rPr>
              <w:t>3,141</w:t>
            </w:r>
          </w:p>
        </w:tc>
        <w:tc>
          <w:tcPr>
            <w:tcW w:type="dxa" w:w="1195"/>
            <w:shd w:val="clear" w:color="auto" w:fill="F6F1E6"/>
          </w:tcPr>
          <w:p>
            <w:pPr>
              <w:spacing w:after="20"/>
              <w:jc w:val="right"/>
            </w:pPr>
            <w:r>
              <w:rPr>
                <w:b/>
                <w:color w:val="1C3A36"/>
                <w:sz w:val="16"/>
              </w:rPr>
              <w:t>3,409</w:t>
            </w:r>
          </w:p>
        </w:tc>
        <w:tc>
          <w:tcPr>
            <w:tcW w:type="dxa" w:w="1195"/>
            <w:shd w:val="clear" w:color="auto" w:fill="F6F1E6"/>
          </w:tcPr>
          <w:p>
            <w:pPr>
              <w:spacing w:after="20"/>
              <w:jc w:val="right"/>
            </w:pPr>
            <w:r>
              <w:rPr>
                <w:b/>
                <w:color w:val="1C3A36"/>
                <w:sz w:val="16"/>
              </w:rPr>
              <w:t>3,588</w:t>
            </w:r>
          </w:p>
        </w:tc>
        <w:tc>
          <w:tcPr>
            <w:tcW w:type="dxa" w:w="1195"/>
            <w:shd w:val="clear" w:color="auto" w:fill="F6F1E6"/>
          </w:tcPr>
          <w:p>
            <w:pPr>
              <w:spacing w:after="20"/>
              <w:jc w:val="right"/>
            </w:pPr>
            <w:r>
              <w:rPr>
                <w:b/>
                <w:color w:val="1C3A36"/>
                <w:sz w:val="16"/>
              </w:rPr>
              <w:t>3,716</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63.2%</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63.6%</w:t>
            </w:r>
          </w:p>
        </w:tc>
        <w:tc>
          <w:tcPr>
            <w:tcW w:type="dxa" w:w="1195"/>
          </w:tcPr>
          <w:p>
            <w:pPr>
              <w:spacing w:after="20"/>
              <w:jc w:val="right"/>
            </w:pPr>
            <w:r>
              <w:rPr>
                <w:color w:val="1C3A36"/>
                <w:sz w:val="16"/>
              </w:rPr>
              <w:t>63.2%</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1.01x</w:t>
            </w:r>
          </w:p>
        </w:tc>
        <w:tc>
          <w:tcPr>
            <w:tcW w:type="dxa" w:w="1195"/>
          </w:tcPr>
          <w:p>
            <w:pPr>
              <w:spacing w:after="20"/>
              <w:jc w:val="right"/>
            </w:pPr>
            <w:r>
              <w:rPr>
                <w:color w:val="1C3A36"/>
                <w:sz w:val="16"/>
              </w:rPr>
              <w:t>1.07x</w:t>
            </w:r>
          </w:p>
        </w:tc>
        <w:tc>
          <w:tcPr>
            <w:tcW w:type="dxa" w:w="1195"/>
          </w:tcPr>
          <w:p>
            <w:pPr>
              <w:spacing w:after="20"/>
              <w:jc w:val="right"/>
            </w:pPr>
            <w:r>
              <w:rPr>
                <w:color w:val="1C3A36"/>
                <w:sz w:val="16"/>
              </w:rPr>
              <w:t>1.10x</w:t>
            </w:r>
          </w:p>
        </w:tc>
        <w:tc>
          <w:tcPr>
            <w:tcW w:type="dxa" w:w="1195"/>
          </w:tcPr>
          <w:p>
            <w:pPr>
              <w:spacing w:after="20"/>
              <w:jc w:val="right"/>
            </w:pPr>
            <w:r>
              <w:rPr>
                <w:color w:val="1C3A36"/>
                <w:sz w:val="16"/>
              </w:rPr>
              <w:t>1.11x</w:t>
            </w:r>
          </w:p>
        </w:tc>
        <w:tc>
          <w:tcPr>
            <w:tcW w:type="dxa" w:w="1195"/>
          </w:tcPr>
          <w:p>
            <w:pPr>
              <w:spacing w:after="20"/>
              <w:jc w:val="right"/>
            </w:pPr>
            <w:r>
              <w:rPr>
                <w:color w:val="1C3A36"/>
                <w:sz w:val="16"/>
              </w:rPr>
              <w:t>1.12x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0.906</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256</w:t>
            </w:r>
          </w:p>
        </w:tc>
        <w:tc>
          <w:tcPr>
            <w:tcW w:type="dxa" w:w="4824"/>
          </w:tcPr>
          <w:p>
            <w:pPr>
              <w:spacing w:after="20"/>
            </w:pPr>
            <w:r>
              <w:rPr>
                <w:color w:val="1C3A36"/>
                <w:sz w:val="17"/>
              </w:rPr>
              <w:t>4.94-year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23.6%</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0.175</w:t>
            </w:r>
          </w:p>
        </w:tc>
        <w:tc>
          <w:tcPr>
            <w:tcW w:type="dxa" w:w="4824"/>
          </w:tcPr>
          <w:p>
            <w:pPr>
              <w:spacing w:after="20"/>
            </w:pPr>
            <w:r>
              <w:rPr>
                <w:color w:val="1C3A36"/>
                <w:sz w:val="17"/>
              </w:rPr>
              <w:t>0.19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[0.619, 1.193]</w:t>
            </w:r>
          </w:p>
        </w:tc>
        <w:tc>
          <w:tcPr>
            <w:tcW w:type="dxa" w:w="4824"/>
          </w:tcPr>
          <w:p>
            <w:pPr>
              <w:spacing w:after="20"/>
            </w:pPr>
            <w:r>
              <w:rPr>
                <w:color w:val="1C3A36"/>
                <w:sz w:val="17"/>
              </w:rPr>
              <w:t>spans 0.63x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2026-09-08</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0.906,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24.87 to 16.16,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27.44%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16.33%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30.58% and the cash-flow lens is EGP 15.24. On GROSS rather than net debt weights — the construction this study rejects, because it counts the cash pile twice — the lens is EGP 20.05.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C.1  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5,030</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251</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3.037</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21.26</w:t>
            </w:r>
          </w:p>
        </w:tc>
      </w:tr>
    </w:tbl>
    <w:p>
      <w:pPr>
        <w:spacing w:after="40"/>
      </w:pPr>
    </w:p>
    <w:p>
      <w:pPr>
        <w:spacing w:after="200" w:before="0"/>
      </w:pPr>
      <w:r>
        <w:rPr>
          <w:b w:val="0"/>
          <w:i/>
          <w:color w:val="6E7B77"/>
          <w:sz w:val="17"/>
        </w:rPr>
        <w:t>Table C.1 — Expert 1. Range EGP 15.18 to 28.85 on a 5.0x to 9.5x multiple band. This is the HIGHEST of the three and it is still 57.5% against the market price. Note that it is an undiscounted 2028E number, which is why it sits above the primary lens.</w:t>
      </w:r>
    </w:p>
    <w:p>
      <w:pPr>
        <w:spacing w:after="80" w:before="200"/>
      </w:pPr>
      <w:r>
        <w:rPr>
          <w:b/>
          <w:i w:val="0"/>
          <w:color w:val="1C3A36"/>
          <w:sz w:val="24"/>
        </w:rPr>
        <w:t>C.2  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3,038</w:t>
            </w:r>
          </w:p>
        </w:tc>
        <w:tc>
          <w:tcPr>
            <w:tcW w:type="dxa" w:w="1296"/>
          </w:tcPr>
          <w:p>
            <w:pPr>
              <w:spacing w:after="20"/>
              <w:jc w:val="right"/>
            </w:pPr>
            <w:r>
              <w:rPr>
                <w:color w:val="1C3A36"/>
                <w:sz w:val="16"/>
              </w:rPr>
              <w:t>3,262</w:t>
            </w:r>
          </w:p>
        </w:tc>
        <w:tc>
          <w:tcPr>
            <w:tcW w:type="dxa" w:w="1296"/>
          </w:tcPr>
          <w:p>
            <w:pPr>
              <w:spacing w:after="20"/>
              <w:jc w:val="right"/>
            </w:pPr>
            <w:r>
              <w:rPr>
                <w:color w:val="1C3A36"/>
                <w:sz w:val="16"/>
              </w:rPr>
              <w:t>3,437</w:t>
            </w:r>
          </w:p>
        </w:tc>
        <w:tc>
          <w:tcPr>
            <w:tcW w:type="dxa" w:w="1296"/>
          </w:tcPr>
          <w:p>
            <w:pPr>
              <w:spacing w:after="20"/>
              <w:jc w:val="right"/>
            </w:pPr>
            <w:r>
              <w:rPr>
                <w:color w:val="1C3A36"/>
                <w:sz w:val="16"/>
              </w:rPr>
              <w:t>3,551</w:t>
            </w:r>
          </w:p>
        </w:tc>
        <w:tc>
          <w:tcPr>
            <w:tcW w:type="dxa" w:w="1296"/>
          </w:tcPr>
          <w:p>
            <w:pPr>
              <w:spacing w:after="20"/>
              <w:jc w:val="right"/>
            </w:pPr>
            <w:r>
              <w:rPr>
                <w:color w:val="1C3A36"/>
                <w:sz w:val="16"/>
              </w:rPr>
              <w:t>3,628</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27.44%</w:t>
            </w:r>
          </w:p>
        </w:tc>
        <w:tc>
          <w:tcPr>
            <w:tcW w:type="dxa" w:w="1296"/>
          </w:tcPr>
          <w:p>
            <w:pPr>
              <w:spacing w:after="20"/>
              <w:jc w:val="right"/>
            </w:pPr>
            <w:r>
              <w:rPr>
                <w:color w:val="1C3A36"/>
                <w:sz w:val="16"/>
              </w:rPr>
              <w:t>21.97%</w:t>
            </w:r>
          </w:p>
        </w:tc>
        <w:tc>
          <w:tcPr>
            <w:tcW w:type="dxa" w:w="1296"/>
          </w:tcPr>
          <w:p>
            <w:pPr>
              <w:spacing w:after="20"/>
              <w:jc w:val="right"/>
            </w:pPr>
            <w:r>
              <w:rPr>
                <w:color w:val="1C3A36"/>
                <w:sz w:val="16"/>
              </w:rPr>
              <w:t>19.69%</w:t>
            </w:r>
          </w:p>
        </w:tc>
        <w:tc>
          <w:tcPr>
            <w:tcW w:type="dxa" w:w="1296"/>
          </w:tcPr>
          <w:p>
            <w:pPr>
              <w:spacing w:after="20"/>
              <w:jc w:val="right"/>
            </w:pPr>
            <w:r>
              <w:rPr>
                <w:color w:val="1C3A36"/>
                <w:sz w:val="16"/>
              </w:rPr>
              <w:t>17.98%</w:t>
            </w:r>
          </w:p>
        </w:tc>
        <w:tc>
          <w:tcPr>
            <w:tcW w:type="dxa" w:w="1296"/>
          </w:tcPr>
          <w:p>
            <w:pPr>
              <w:spacing w:after="20"/>
              <w:jc w:val="right"/>
            </w:pPr>
            <w:r>
              <w:rPr>
                <w:color w:val="1C3A36"/>
                <w:sz w:val="16"/>
              </w:rPr>
              <w:t>16.84%</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0.7847</w:t>
            </w:r>
          </w:p>
        </w:tc>
        <w:tc>
          <w:tcPr>
            <w:tcW w:type="dxa" w:w="1296"/>
          </w:tcPr>
          <w:p>
            <w:pPr>
              <w:spacing w:after="20"/>
              <w:jc w:val="right"/>
            </w:pPr>
            <w:r>
              <w:rPr>
                <w:color w:val="1C3A36"/>
                <w:sz w:val="16"/>
              </w:rPr>
              <w:t>0.6434</w:t>
            </w:r>
          </w:p>
        </w:tc>
        <w:tc>
          <w:tcPr>
            <w:tcW w:type="dxa" w:w="1296"/>
          </w:tcPr>
          <w:p>
            <w:pPr>
              <w:spacing w:after="20"/>
              <w:jc w:val="right"/>
            </w:pPr>
            <w:r>
              <w:rPr>
                <w:color w:val="1C3A36"/>
                <w:sz w:val="16"/>
              </w:rPr>
              <w:t>0.5375</w:t>
            </w:r>
          </w:p>
        </w:tc>
        <w:tc>
          <w:tcPr>
            <w:tcW w:type="dxa" w:w="1296"/>
          </w:tcPr>
          <w:p>
            <w:pPr>
              <w:spacing w:after="20"/>
              <w:jc w:val="right"/>
            </w:pPr>
            <w:r>
              <w:rPr>
                <w:color w:val="1C3A36"/>
                <w:sz w:val="16"/>
              </w:rPr>
              <w:t>0.4556</w:t>
            </w:r>
          </w:p>
        </w:tc>
        <w:tc>
          <w:tcPr>
            <w:tcW w:type="dxa" w:w="1296"/>
          </w:tcPr>
          <w:p>
            <w:pPr>
              <w:spacing w:after="20"/>
              <w:jc w:val="right"/>
            </w:pPr>
            <w:r>
              <w:rPr>
                <w:color w:val="1C3A36"/>
                <w:sz w:val="16"/>
              </w:rPr>
              <w:t>0.3899</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2,384</w:t>
            </w:r>
          </w:p>
        </w:tc>
        <w:tc>
          <w:tcPr>
            <w:tcW w:type="dxa" w:w="1296"/>
          </w:tcPr>
          <w:p>
            <w:pPr>
              <w:spacing w:after="20"/>
              <w:jc w:val="right"/>
            </w:pPr>
            <w:r>
              <w:rPr>
                <w:color w:val="1C3A36"/>
                <w:sz w:val="16"/>
              </w:rPr>
              <w:t>2,099</w:t>
            </w:r>
          </w:p>
        </w:tc>
        <w:tc>
          <w:tcPr>
            <w:tcW w:type="dxa" w:w="1296"/>
          </w:tcPr>
          <w:p>
            <w:pPr>
              <w:spacing w:after="20"/>
              <w:jc w:val="right"/>
            </w:pPr>
            <w:r>
              <w:rPr>
                <w:color w:val="1C3A36"/>
                <w:sz w:val="16"/>
              </w:rPr>
              <w:t>1,848</w:t>
            </w:r>
          </w:p>
        </w:tc>
        <w:tc>
          <w:tcPr>
            <w:tcW w:type="dxa" w:w="1296"/>
          </w:tcPr>
          <w:p>
            <w:pPr>
              <w:spacing w:after="20"/>
              <w:jc w:val="right"/>
            </w:pPr>
            <w:r>
              <w:rPr>
                <w:color w:val="1C3A36"/>
                <w:sz w:val="16"/>
              </w:rPr>
              <w:t>1,618</w:t>
            </w:r>
          </w:p>
        </w:tc>
        <w:tc>
          <w:tcPr>
            <w:tcW w:type="dxa" w:w="1296"/>
          </w:tcPr>
          <w:p>
            <w:pPr>
              <w:spacing w:after="20"/>
              <w:jc w:val="right"/>
            </w:pPr>
            <w:r>
              <w:rPr>
                <w:color w:val="1C3A36"/>
                <w:sz w:val="16"/>
              </w:rPr>
              <w:t>1,415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9,363</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13,049</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22,412</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17.35</w:t>
            </w:r>
          </w:p>
        </w:tc>
      </w:tr>
    </w:tbl>
    <w:p>
      <w:pPr>
        <w:spacing w:after="40"/>
      </w:pPr>
    </w:p>
    <w:p>
      <w:pPr>
        <w:spacing w:after="200" w:before="0"/>
      </w:pPr>
      <w:r>
        <w:rPr>
          <w:b w:val="0"/>
          <w:i/>
          <w:color w:val="6E7B77"/>
          <w:sz w:val="17"/>
        </w:rPr>
        <w:t>Table C.2 — Expert 2. Range EGP 0.59 to 23.04. This is the LOWEST of the three at 28.5% against the price, and the reason is the discount rate: an equity claim discounted on the equity glide from 27.4% to 16.8% is punished harder in the near years than an unlevered claim on the weighted rate.</w:t>
      </w:r>
    </w:p>
    <w:p>
      <w:pPr>
        <w:spacing w:after="80" w:before="200"/>
      </w:pPr>
      <w:r>
        <w:rPr>
          <w:b/>
          <w:i w:val="0"/>
          <w:color w:val="1C3A36"/>
          <w:sz w:val="24"/>
        </w:rPr>
        <w:t>C.3  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6,969</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13,574</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25,220</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20.95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1,954</w:t>
            </w:r>
          </w:p>
        </w:tc>
        <w:tc>
          <w:tcPr>
            <w:tcW w:type="dxa" w:w="1224"/>
          </w:tcPr>
          <w:p>
            <w:pPr>
              <w:spacing w:after="20"/>
              <w:jc w:val="right"/>
            </w:pPr>
            <w:r>
              <w:rPr>
                <w:color w:val="1C3A36"/>
                <w:sz w:val="17"/>
              </w:rPr>
              <w:t>2,398</w:t>
            </w:r>
          </w:p>
        </w:tc>
        <w:tc>
          <w:tcPr>
            <w:tcW w:type="dxa" w:w="1224"/>
          </w:tcPr>
          <w:p>
            <w:pPr>
              <w:spacing w:after="20"/>
              <w:jc w:val="right"/>
            </w:pPr>
            <w:r>
              <w:rPr>
                <w:color w:val="1C3A36"/>
                <w:sz w:val="17"/>
              </w:rPr>
              <w:t>2,633</w:t>
            </w:r>
          </w:p>
        </w:tc>
        <w:tc>
          <w:tcPr>
            <w:tcW w:type="dxa" w:w="1224"/>
          </w:tcPr>
          <w:p>
            <w:pPr>
              <w:spacing w:after="20"/>
              <w:jc w:val="right"/>
            </w:pPr>
            <w:r>
              <w:rPr>
                <w:color w:val="1C3A36"/>
                <w:sz w:val="17"/>
              </w:rPr>
              <w:t>2,817</w:t>
            </w:r>
          </w:p>
        </w:tc>
        <w:tc>
          <w:tcPr>
            <w:tcW w:type="dxa" w:w="1224"/>
          </w:tcPr>
          <w:p>
            <w:pPr>
              <w:spacing w:after="20"/>
              <w:jc w:val="right"/>
            </w:pPr>
            <w:r>
              <w:rPr>
                <w:color w:val="1C3A36"/>
                <w:sz w:val="17"/>
              </w:rPr>
              <w:t>2,965</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35.73%</w:t>
            </w:r>
          </w:p>
        </w:tc>
        <w:tc>
          <w:tcPr>
            <w:tcW w:type="dxa" w:w="1224"/>
          </w:tcPr>
          <w:p>
            <w:pPr>
              <w:spacing w:after="20"/>
              <w:jc w:val="right"/>
            </w:pPr>
            <w:r>
              <w:rPr>
                <w:color w:val="1C3A36"/>
                <w:sz w:val="17"/>
              </w:rPr>
              <w:t>42.20%</w:t>
            </w:r>
          </w:p>
        </w:tc>
        <w:tc>
          <w:tcPr>
            <w:tcW w:type="dxa" w:w="1224"/>
          </w:tcPr>
          <w:p>
            <w:pPr>
              <w:spacing w:after="20"/>
              <w:jc w:val="right"/>
            </w:pPr>
            <w:r>
              <w:rPr>
                <w:color w:val="1C3A36"/>
                <w:sz w:val="17"/>
              </w:rPr>
              <w:t>44.62%</w:t>
            </w:r>
          </w:p>
        </w:tc>
        <w:tc>
          <w:tcPr>
            <w:tcW w:type="dxa" w:w="1224"/>
          </w:tcPr>
          <w:p>
            <w:pPr>
              <w:spacing w:after="20"/>
              <w:jc w:val="right"/>
            </w:pPr>
            <w:r>
              <w:rPr>
                <w:color w:val="1C3A36"/>
                <w:sz w:val="17"/>
              </w:rPr>
              <w:t>46.10%</w:t>
            </w:r>
          </w:p>
        </w:tc>
        <w:tc>
          <w:tcPr>
            <w:tcW w:type="dxa" w:w="1224"/>
          </w:tcPr>
          <w:p>
            <w:pPr>
              <w:spacing w:after="20"/>
              <w:jc w:val="right"/>
            </w:pPr>
            <w:r>
              <w:rPr>
                <w:color w:val="1C3A36"/>
                <w:sz w:val="17"/>
              </w:rPr>
              <w:t>46.83%</w:t>
            </w:r>
          </w:p>
        </w:tc>
      </w:tr>
    </w:tbl>
    <w:p>
      <w:pPr>
        <w:spacing w:after="40"/>
      </w:pPr>
    </w:p>
    <w:p>
      <w:pPr>
        <w:spacing w:after="200" w:before="0"/>
      </w:pPr>
      <w:r>
        <w:rPr>
          <w:b w:val="0"/>
          <w:i/>
          <w:color w:val="6E7B77"/>
          <w:sz w:val="17"/>
        </w:rPr>
        <w:t>Table C.3 — Expert 3. Range EGP 0.53 to 28.30.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to their number, and each objection is either CONCEDED or REJECTED with the arithmetic that settles it. Nothing here is rhetorical: every figure in the table is computed from the three constructions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656"/>
        <w:gridCol w:w="3672"/>
      </w:tblGrid>
      <w:tr>
        <w:tc>
          <w:tcPr>
            <w:tcW w:type="dxa" w:w="3096"/>
            <w:shd w:val="clear" w:color="auto" w:fill="EAF0EE"/>
          </w:tcPr>
          <w:p>
            <w:pPr>
              <w:spacing w:after="20"/>
            </w:pPr>
            <w:r>
              <w:rPr>
                <w:b/>
                <w:color w:val="1C3A36"/>
                <w:sz w:val="16"/>
              </w:rPr>
              <w:t>Objection</w:t>
            </w:r>
          </w:p>
        </w:tc>
        <w:tc>
          <w:tcPr>
            <w:tcW w:type="dxa" w:w="1368"/>
            <w:shd w:val="clear" w:color="auto" w:fill="EAF0EE"/>
          </w:tcPr>
          <w:p>
            <w:pPr>
              <w:spacing w:after="20"/>
            </w:pPr>
            <w:r>
              <w:rPr>
                <w:b/>
                <w:color w:val="1C3A36"/>
                <w:sz w:val="16"/>
              </w:rPr>
              <w:t>Raised by</w:t>
            </w:r>
          </w:p>
        </w:tc>
        <w:tc>
          <w:tcPr>
            <w:tcW w:type="dxa" w:w="1656"/>
            <w:shd w:val="clear" w:color="auto" w:fill="EAF0EE"/>
          </w:tcPr>
          <w:p>
            <w:pPr>
              <w:spacing w:after="20"/>
            </w:pPr>
            <w:r>
              <w:rPr>
                <w:b/>
                <w:color w:val="1C3A36"/>
                <w:sz w:val="16"/>
              </w:rPr>
              <w:t>Answered</w:t>
            </w:r>
          </w:p>
        </w:tc>
        <w:tc>
          <w:tcPr>
            <w:tcW w:type="dxa" w:w="3672"/>
            <w:shd w:val="clear" w:color="auto" w:fill="EAF0EE"/>
          </w:tcPr>
          <w:p>
            <w:pPr>
              <w:spacing w:after="20"/>
            </w:pPr>
            <w:r>
              <w:rPr>
                <w:b/>
                <w:color w:val="1C3A36"/>
                <w:sz w:val="16"/>
              </w:rPr>
              <w:t>The arithmetic</w:t>
            </w:r>
          </w:p>
        </w:tc>
      </w:tr>
      <w:tr>
        <w:tc>
          <w:tcPr>
            <w:tcW w:type="dxa" w:w="3096"/>
          </w:tcPr>
          <w:p>
            <w:pPr>
              <w:spacing w:after="20"/>
            </w:pPr>
            <w:r>
              <w:rPr>
                <w:color w:val="1C3A36"/>
                <w:sz w:val="16"/>
              </w:rPr>
              <w:t>Expert 1 values 2028E earnings and never brings them back to the valuation date.</w:t>
            </w:r>
          </w:p>
        </w:tc>
        <w:tc>
          <w:tcPr>
            <w:tcW w:type="dxa" w:w="1368"/>
          </w:tcPr>
          <w:p>
            <w:pPr>
              <w:spacing w:after="20"/>
            </w:pPr>
            <w:r>
              <w:rPr>
                <w:color w:val="1C3A36"/>
                <w:sz w:val="16"/>
              </w:rPr>
              <w:t>Experts 2 and 3</w:t>
            </w:r>
          </w:p>
        </w:tc>
        <w:tc>
          <w:tcPr>
            <w:tcW w:type="dxa" w:w="1656"/>
          </w:tcPr>
          <w:p>
            <w:pPr>
              <w:spacing w:after="20"/>
            </w:pPr>
            <w:r>
              <w:rPr>
                <w:color w:val="1C3A36"/>
                <w:sz w:val="16"/>
              </w:rPr>
              <w:t>CONCEDED</w:t>
            </w:r>
          </w:p>
        </w:tc>
        <w:tc>
          <w:tcPr>
            <w:tcW w:type="dxa" w:w="3672"/>
          </w:tcPr>
          <w:p>
            <w:pPr>
              <w:spacing w:after="20"/>
            </w:pPr>
            <w:r>
              <w:rPr>
                <w:color w:val="1C3A36"/>
                <w:sz w:val="16"/>
              </w:rPr>
              <w:t>Discounted 2.4 years at the cost of equity, Expert 1 is worth EGP 11.88, not 21.26 — below Expert 3 and above Expert 2.</w:t>
            </w:r>
          </w:p>
        </w:tc>
      </w:tr>
      <w:tr>
        <w:tc>
          <w:tcPr>
            <w:tcW w:type="dxa" w:w="3096"/>
          </w:tcPr>
          <w:p>
            <w:pPr>
              <w:spacing w:after="20"/>
            </w:pPr>
            <w:r>
              <w:rPr>
                <w:color w:val="1C3A36"/>
                <w:sz w:val="16"/>
              </w:rPr>
              <w:t>Expert 1 applies 7.0x when this company trades at 10.6x its own trailing earnings.</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7.0x is struck BELOW the trailing multiple deliberately. Using the traded multiple would value the company at what it already costs, which the relative lens is separately forbidden from doing.</w:t>
            </w:r>
          </w:p>
        </w:tc>
      </w:tr>
      <w:tr>
        <w:tc>
          <w:tcPr>
            <w:tcW w:type="dxa" w:w="3096"/>
          </w:tcPr>
          <w:p>
            <w:pPr>
              <w:spacing w:after="20"/>
            </w:pPr>
            <w:r>
              <w:rPr>
                <w:color w:val="1C3A36"/>
                <w:sz w:val="16"/>
              </w:rPr>
              <w:t>Expert 2 carries no bridge at all, so the tax-disputes provision and the declared dividend never reach the shareholder.</w:t>
            </w:r>
          </w:p>
        </w:tc>
        <w:tc>
          <w:tcPr>
            <w:tcW w:type="dxa" w:w="1368"/>
          </w:tcPr>
          <w:p>
            <w:pPr>
              <w:spacing w:after="20"/>
            </w:pPr>
            <w:r>
              <w:rPr>
                <w:color w:val="1C3A36"/>
                <w:sz w:val="16"/>
              </w:rPr>
              <w:t>Expert 1</w:t>
            </w:r>
          </w:p>
        </w:tc>
        <w:tc>
          <w:tcPr>
            <w:tcW w:type="dxa" w:w="1656"/>
          </w:tcPr>
          <w:p>
            <w:pPr>
              <w:spacing w:after="20"/>
            </w:pPr>
            <w:r>
              <w:rPr>
                <w:color w:val="1C3A36"/>
                <w:sz w:val="16"/>
              </w:rPr>
              <w:t>CONCEDED IN PART</w:t>
            </w:r>
          </w:p>
        </w:tc>
        <w:tc>
          <w:tcPr>
            <w:tcW w:type="dxa" w:w="3672"/>
          </w:tcPr>
          <w:p>
            <w:pPr>
              <w:spacing w:after="20"/>
            </w:pPr>
            <w:r>
              <w:rPr>
                <w:color w:val="1C3A36"/>
                <w:sz w:val="16"/>
              </w:rPr>
              <w:t>Both are deducted: EGP 1,255mn, or EGP 0.97 a share. What is NOT added back is the cash itself — it reaches the holder through finance income instead, which is what keeps this read independent of the primary lens.</w:t>
            </w:r>
          </w:p>
        </w:tc>
      </w:tr>
      <w:tr>
        <w:tc>
          <w:tcPr>
            <w:tcW w:type="dxa" w:w="3096"/>
          </w:tcPr>
          <w:p>
            <w:pPr>
              <w:spacing w:after="20"/>
            </w:pPr>
            <w:r>
              <w:rPr>
                <w:color w:val="1C3A36"/>
                <w:sz w:val="16"/>
              </w:rPr>
              <w:t>Expert 2 puts 58.2% of its value beyond year five.</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The primary lens puts 62.3% there on the same horizon. A terminal block this size is a property of a five-year window on a company still recovering, not of this expert's choices.</w:t>
            </w:r>
          </w:p>
        </w:tc>
      </w:tr>
      <w:tr>
        <w:tc>
          <w:tcPr>
            <w:tcW w:type="dxa" w:w="3096"/>
          </w:tcPr>
          <w:p>
            <w:pPr>
              <w:spacing w:after="20"/>
            </w:pPr>
            <w:r>
              <w:rPr>
                <w:color w:val="1C3A36"/>
                <w:sz w:val="16"/>
              </w:rPr>
              <w:t>Expert 3 must reconcile to the primary lens by construction, so it is not an independent read.</w:t>
            </w:r>
          </w:p>
        </w:tc>
        <w:tc>
          <w:tcPr>
            <w:tcW w:type="dxa" w:w="1368"/>
          </w:tcPr>
          <w:p>
            <w:pPr>
              <w:spacing w:after="20"/>
            </w:pPr>
            <w:r>
              <w:rPr>
                <w:color w:val="1C3A36"/>
                <w:sz w:val="16"/>
              </w:rPr>
              <w:t>Experts 1 and 2</w:t>
            </w:r>
          </w:p>
        </w:tc>
        <w:tc>
          <w:tcPr>
            <w:tcW w:type="dxa" w:w="1656"/>
          </w:tcPr>
          <w:p>
            <w:pPr>
              <w:spacing w:after="20"/>
            </w:pPr>
            <w:r>
              <w:rPr>
                <w:color w:val="1C3A36"/>
                <w:sz w:val="16"/>
              </w:rPr>
              <w:t>CONCEDED — AND THAT IS WHY IT IS HERE</w:t>
            </w:r>
          </w:p>
        </w:tc>
        <w:tc>
          <w:tcPr>
            <w:tcW w:type="dxa" w:w="3672"/>
          </w:tcPr>
          <w:p>
            <w:pPr>
              <w:spacing w:after="20"/>
            </w:pPr>
            <w:r>
              <w:rPr>
                <w:color w:val="1C3A36"/>
                <w:sz w:val="16"/>
              </w:rPr>
              <w:t>It is included to make the SPLIT visible: 18.5% of its enterprise value is capital already in the ground and 53.8% is economic profit beyond year five. Neither of the other two shows that.</w:t>
            </w:r>
          </w:p>
        </w:tc>
      </w:tr>
      <w:tr>
        <w:tc>
          <w:tcPr>
            <w:tcW w:type="dxa" w:w="3096"/>
          </w:tcPr>
          <w:p>
            <w:pPr>
              <w:spacing w:after="20"/>
            </w:pPr>
            <w:r>
              <w:rPr>
                <w:color w:val="1C3A36"/>
                <w:sz w:val="16"/>
              </w:rPr>
              <w:t>Expert 3 charges the cost of capital on opening invested capital, which flatters economic profit in a growing year.</w:t>
            </w:r>
          </w:p>
        </w:tc>
        <w:tc>
          <w:tcPr>
            <w:tcW w:type="dxa" w:w="1368"/>
          </w:tcPr>
          <w:p>
            <w:pPr>
              <w:spacing w:after="20"/>
            </w:pPr>
            <w:r>
              <w:rPr>
                <w:color w:val="1C3A36"/>
                <w:sz w:val="16"/>
              </w:rPr>
              <w:t>Expert 2</w:t>
            </w:r>
          </w:p>
        </w:tc>
        <w:tc>
          <w:tcPr>
            <w:tcW w:type="dxa" w:w="1656"/>
          </w:tcPr>
          <w:p>
            <w:pPr>
              <w:spacing w:after="20"/>
            </w:pPr>
            <w:r>
              <w:rPr>
                <w:color w:val="1C3A36"/>
                <w:sz w:val="16"/>
              </w:rPr>
              <w:t>REJECTED</w:t>
            </w:r>
          </w:p>
        </w:tc>
        <w:tc>
          <w:tcPr>
            <w:tcW w:type="dxa" w:w="3672"/>
          </w:tcPr>
          <w:p>
            <w:pPr>
              <w:spacing w:after="20"/>
            </w:pPr>
            <w:r>
              <w:rPr>
                <w:color w:val="1C3A36"/>
                <w:sz w:val="16"/>
              </w:rPr>
              <w:t>Opening capital is the capital the year had available to earn on. Charging closing capital would charge for assets bought with the year's own cash flow.</w:t>
            </w:r>
          </w:p>
        </w:tc>
      </w:tr>
    </w:tbl>
    <w:p>
      <w:pPr>
        <w:spacing w:after="40"/>
      </w:pPr>
    </w:p>
    <w:p>
      <w:pPr>
        <w:spacing w:after="200" w:before="0"/>
      </w:pPr>
      <w:r>
        <w:rPr>
          <w:b w:val="0"/>
          <w:i/>
          <w:color w:val="6E7B77"/>
          <w:sz w:val="17"/>
        </w:rPr>
        <w:t>Table C.4 — cross-examination. Two of the six objections are conceded outright and one in part; the three rejections each rest on a number rather than a preference. The largest single correction in the room is the first one, and it is the reason the panel median is not simply the highest of the three.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17.35 and EGP 21.26, a spread of 22.5% of the lower number, with a median of EGP 20.95 against a market price of EGP 13.50 — 55.1%. One of the three sit below the price.</w:t>
      </w:r>
    </w:p>
    <w:p>
      <w:pPr>
        <w:spacing w:after="120" w:before="0"/>
      </w:pPr>
      <w:r>
        <w:rPr>
          <w:b w:val="0"/>
          <w:i w:val="0"/>
          <w:color w:val="1C3A36"/>
          <w:sz w:val="21"/>
        </w:rPr>
        <w:t>Where they agree is more informative than where they differ, because the agreement is not built in. All three are struck on the same audited base year and the same house macro path, and none of them is allowed to set an inflation rate of its own — so the disagreement between them is entirely about how a peso of operating profit should be capitalised, never about what the economy is doing. All three also agree on the one thing that matters most for this name: the company earns a positive return over its cost of capital in every forecast year — Expert 3 measures the spread at 35.7% rising to 46.8% — and is still not worth the market price on any of the three constructions.</w:t>
      </w:r>
    </w:p>
    <w:p>
      <w:pPr>
        <w:spacing w:after="120" w:before="0"/>
      </w:pPr>
      <w:r>
        <w:rPr>
          <w:b w:val="0"/>
          <w:i w:val="0"/>
          <w:color w:val="1C3A36"/>
          <w:sz w:val="21"/>
        </w:rPr>
        <w:t>Where they part company is the treatment of TIME. Expert 1 states a value at 2028E and does not discount it; Expert 2 discounts an equity claim on the cost of equity's own glide, which is the harshest treatment of the near years available; Expert 3 discounts at the weighted rate and separates capital already in place from the return earned on it. Bring Expert 1 back to the valuation date and the three collapse into a band of EGP 11.88 to EGP 20.95 — narrower than the spread as published, which says that most of the visible disagreement in this panel is a disagreement about the valuation date rather than about the company.</w:t>
      </w:r>
    </w:p>
    <w:p>
      <w:pPr>
        <w:spacing w:after="80" w:before="200"/>
      </w:pPr>
      <w:r>
        <w:rPr>
          <w:b/>
          <w:i w:val="0"/>
          <w:color w:val="1C3A36"/>
          <w:sz w:val="24"/>
        </w:rPr>
        <w:t>C.6  Reading the divergence</w:t>
      </w:r>
    </w:p>
    <w:p>
      <w:pPr>
        <w:spacing w:after="120" w:before="0"/>
      </w:pPr>
      <w:r>
        <w:rPr>
          <w:b w:val="0"/>
          <w:i w:val="0"/>
          <w:color w:val="1C3A36"/>
          <w:sz w:val="21"/>
        </w:rPr>
        <w:t>One row per pair, isolating the single assumption that accounts for most of the gap between them. The last column is what is LEFT of the gap once that assumption is removed — the honest measure of how much the two methods really disagree. Where removing it takes the pair past each other rather than together, the cell says so: an assumption can over-explain a gap, and that is worth more to a reader than a tidy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864"/>
        <w:gridCol w:w="792"/>
        <w:gridCol w:w="3528"/>
        <w:gridCol w:w="2664"/>
      </w:tblGrid>
      <w:tr>
        <w:tc>
          <w:tcPr>
            <w:tcW w:type="dxa" w:w="2088"/>
            <w:shd w:val="clear" w:color="auto" w:fill="EAF0EE"/>
          </w:tcPr>
          <w:p>
            <w:pPr>
              <w:spacing w:after="20"/>
            </w:pPr>
            <w:r>
              <w:rPr>
                <w:b/>
                <w:color w:val="1C3A36"/>
                <w:sz w:val="16"/>
              </w:rPr>
              <w:t>Pair</w:t>
            </w:r>
          </w:p>
        </w:tc>
        <w:tc>
          <w:tcPr>
            <w:tcW w:type="dxa" w:w="864"/>
            <w:shd w:val="clear" w:color="auto" w:fill="EAF0EE"/>
          </w:tcPr>
          <w:p>
            <w:pPr>
              <w:spacing w:after="20"/>
            </w:pPr>
            <w:r>
              <w:rPr>
                <w:b/>
                <w:color w:val="1C3A36"/>
                <w:sz w:val="16"/>
              </w:rPr>
              <w:t>Gap, EGP</w:t>
            </w:r>
          </w:p>
        </w:tc>
        <w:tc>
          <w:tcPr>
            <w:tcW w:type="dxa" w:w="792"/>
            <w:shd w:val="clear" w:color="auto" w:fill="EAF0EE"/>
          </w:tcPr>
          <w:p>
            <w:pPr>
              <w:spacing w:after="20"/>
            </w:pPr>
            <w:r>
              <w:rPr>
                <w:b/>
                <w:color w:val="1C3A36"/>
                <w:sz w:val="16"/>
              </w:rPr>
              <w:t>Gap, %</w:t>
            </w:r>
          </w:p>
        </w:tc>
        <w:tc>
          <w:tcPr>
            <w:tcW w:type="dxa" w:w="3528"/>
            <w:shd w:val="clear" w:color="auto" w:fill="EAF0EE"/>
          </w:tcPr>
          <w:p>
            <w:pPr>
              <w:spacing w:after="20"/>
            </w:pPr>
            <w:r>
              <w:rPr>
                <w:b/>
                <w:color w:val="1C3A36"/>
                <w:sz w:val="16"/>
              </w:rPr>
              <w:t>What drives it</w:t>
            </w:r>
          </w:p>
        </w:tc>
        <w:tc>
          <w:tcPr>
            <w:tcW w:type="dxa" w:w="2664"/>
            <w:shd w:val="clear" w:color="auto" w:fill="EAF0EE"/>
          </w:tcPr>
          <w:p>
            <w:pPr>
              <w:spacing w:after="20"/>
            </w:pPr>
            <w:r>
              <w:rPr>
                <w:b/>
                <w:color w:val="1C3A36"/>
                <w:sz w:val="16"/>
              </w:rPr>
              <w:t>Left after removing it</w:t>
            </w:r>
          </w:p>
        </w:tc>
      </w:tr>
      <w:tr>
        <w:tc>
          <w:tcPr>
            <w:tcW w:type="dxa" w:w="2088"/>
          </w:tcPr>
          <w:p>
            <w:pPr>
              <w:spacing w:after="20"/>
            </w:pPr>
            <w:r>
              <w:rPr>
                <w:color w:val="1C3A36"/>
                <w:sz w:val="16"/>
              </w:rPr>
              <w:t>Expert 1 vs Expert 2</w:t>
            </w:r>
          </w:p>
        </w:tc>
        <w:tc>
          <w:tcPr>
            <w:tcW w:type="dxa" w:w="864"/>
          </w:tcPr>
          <w:p>
            <w:pPr>
              <w:spacing w:after="20"/>
              <w:jc w:val="right"/>
            </w:pPr>
            <w:r>
              <w:rPr>
                <w:color w:val="1C3A36"/>
                <w:sz w:val="16"/>
              </w:rPr>
              <w:t>3.90</w:t>
            </w:r>
          </w:p>
        </w:tc>
        <w:tc>
          <w:tcPr>
            <w:tcW w:type="dxa" w:w="792"/>
          </w:tcPr>
          <w:p>
            <w:pPr>
              <w:spacing w:after="20"/>
              <w:jc w:val="right"/>
            </w:pPr>
            <w:r>
              <w:rPr>
                <w:color w:val="1C3A36"/>
                <w:sz w:val="16"/>
              </w:rPr>
              <w:t>22.5%</w:t>
            </w:r>
          </w:p>
        </w:tc>
        <w:tc>
          <w:tcPr>
            <w:tcW w:type="dxa" w:w="3528"/>
          </w:tcPr>
          <w:p>
            <w:pPr>
              <w:spacing w:after="20"/>
            </w:pPr>
            <w:r>
              <w:rPr>
                <w:color w:val="1C3A36"/>
                <w:sz w:val="16"/>
              </w:rPr>
              <w:t>the valuation date — Expert 1 is an undiscounted forward number</w:t>
            </w:r>
          </w:p>
        </w:tc>
        <w:tc>
          <w:tcPr>
            <w:tcW w:type="dxa" w:w="2664"/>
          </w:tcPr>
          <w:p>
            <w:pPr>
              <w:spacing w:after="20"/>
            </w:pPr>
            <w:r>
              <w:rPr>
                <w:color w:val="1C3A36"/>
                <w:sz w:val="16"/>
              </w:rPr>
              <w:t>5.48 — overshoots</w:t>
            </w:r>
          </w:p>
        </w:tc>
      </w:tr>
      <w:tr>
        <w:tc>
          <w:tcPr>
            <w:tcW w:type="dxa" w:w="2088"/>
          </w:tcPr>
          <w:p>
            <w:pPr>
              <w:spacing w:after="20"/>
            </w:pPr>
            <w:r>
              <w:rPr>
                <w:color w:val="1C3A36"/>
                <w:sz w:val="16"/>
              </w:rPr>
              <w:t>Expert 1 vs Expert 3</w:t>
            </w:r>
          </w:p>
        </w:tc>
        <w:tc>
          <w:tcPr>
            <w:tcW w:type="dxa" w:w="864"/>
          </w:tcPr>
          <w:p>
            <w:pPr>
              <w:spacing w:after="20"/>
              <w:jc w:val="right"/>
            </w:pPr>
            <w:r>
              <w:rPr>
                <w:color w:val="1C3A36"/>
                <w:sz w:val="16"/>
              </w:rPr>
              <w:t>0.31</w:t>
            </w:r>
          </w:p>
        </w:tc>
        <w:tc>
          <w:tcPr>
            <w:tcW w:type="dxa" w:w="792"/>
          </w:tcPr>
          <w:p>
            <w:pPr>
              <w:spacing w:after="20"/>
              <w:jc w:val="right"/>
            </w:pPr>
            <w:r>
              <w:rPr>
                <w:color w:val="1C3A36"/>
                <w:sz w:val="16"/>
              </w:rPr>
              <w:t>1.5%</w:t>
            </w:r>
          </w:p>
        </w:tc>
        <w:tc>
          <w:tcPr>
            <w:tcW w:type="dxa" w:w="3528"/>
          </w:tcPr>
          <w:p>
            <w:pPr>
              <w:spacing w:after="20"/>
            </w:pPr>
            <w:r>
              <w:rPr>
                <w:color w:val="1C3A36"/>
                <w:sz w:val="16"/>
              </w:rPr>
              <w:t>the valuation date, again — which here CROSSES rather than closes: discounted, Expert 1 falls below Expert 3</w:t>
            </w:r>
          </w:p>
        </w:tc>
        <w:tc>
          <w:tcPr>
            <w:tcW w:type="dxa" w:w="2664"/>
          </w:tcPr>
          <w:p>
            <w:pPr>
              <w:spacing w:after="20"/>
            </w:pPr>
            <w:r>
              <w:rPr>
                <w:color w:val="1C3A36"/>
                <w:sz w:val="16"/>
              </w:rPr>
              <w:t>9.07 — overshoots</w:t>
            </w:r>
          </w:p>
        </w:tc>
      </w:tr>
      <w:tr>
        <w:tc>
          <w:tcPr>
            <w:tcW w:type="dxa" w:w="2088"/>
          </w:tcPr>
          <w:p>
            <w:pPr>
              <w:spacing w:after="20"/>
            </w:pPr>
            <w:r>
              <w:rPr>
                <w:color w:val="1C3A36"/>
                <w:sz w:val="16"/>
              </w:rPr>
              <w:t>Expert 2 vs Expert 3</w:t>
            </w:r>
          </w:p>
        </w:tc>
        <w:tc>
          <w:tcPr>
            <w:tcW w:type="dxa" w:w="864"/>
          </w:tcPr>
          <w:p>
            <w:pPr>
              <w:spacing w:after="20"/>
              <w:jc w:val="right"/>
            </w:pPr>
            <w:r>
              <w:rPr>
                <w:color w:val="1C3A36"/>
                <w:sz w:val="16"/>
              </w:rPr>
              <w:t>3.59</w:t>
            </w:r>
          </w:p>
        </w:tc>
        <w:tc>
          <w:tcPr>
            <w:tcW w:type="dxa" w:w="792"/>
          </w:tcPr>
          <w:p>
            <w:pPr>
              <w:spacing w:after="20"/>
              <w:jc w:val="right"/>
            </w:pPr>
            <w:r>
              <w:rPr>
                <w:color w:val="1C3A36"/>
                <w:sz w:val="16"/>
              </w:rPr>
              <w:t>20.7%</w:t>
            </w:r>
          </w:p>
        </w:tc>
        <w:tc>
          <w:tcPr>
            <w:tcW w:type="dxa" w:w="3528"/>
          </w:tcPr>
          <w:p>
            <w:pPr>
              <w:spacing w:after="20"/>
            </w:pPr>
            <w:r>
              <w:rPr>
                <w:color w:val="1C3A36"/>
                <w:sz w:val="16"/>
              </w:rPr>
              <w:t>the BRIDGE — Expert 3 adds net cash of +2.32 a share at face, Expert 2 takes it through finance income only. The discount rate, measured by re-running Expert 2 on the weighted rate, is worth only +0.74</w:t>
            </w:r>
          </w:p>
        </w:tc>
        <w:tc>
          <w:tcPr>
            <w:tcW w:type="dxa" w:w="2664"/>
          </w:tcPr>
          <w:p>
            <w:pPr>
              <w:spacing w:after="20"/>
            </w:pPr>
            <w:r>
              <w:rPr>
                <w:color w:val="1C3A36"/>
                <w:sz w:val="16"/>
              </w:rPr>
              <w:t>0.52</w:t>
            </w:r>
          </w:p>
        </w:tc>
      </w:tr>
      <w:tr>
        <w:tc>
          <w:tcPr>
            <w:tcW w:type="dxa" w:w="2088"/>
          </w:tcPr>
          <w:p>
            <w:pPr>
              <w:spacing w:after="20"/>
            </w:pPr>
            <w:r>
              <w:rPr>
                <w:color w:val="1C3A36"/>
                <w:sz w:val="16"/>
              </w:rPr>
              <w:t>Panel median vs the primary lens</w:t>
            </w:r>
          </w:p>
        </w:tc>
        <w:tc>
          <w:tcPr>
            <w:tcW w:type="dxa" w:w="864"/>
          </w:tcPr>
          <w:p>
            <w:pPr>
              <w:spacing w:after="20"/>
              <w:jc w:val="right"/>
            </w:pPr>
            <w:r>
              <w:rPr>
                <w:color w:val="1C3A36"/>
                <w:sz w:val="16"/>
              </w:rPr>
              <w:t>0.89</w:t>
            </w:r>
          </w:p>
        </w:tc>
        <w:tc>
          <w:tcPr>
            <w:tcW w:type="dxa" w:w="792"/>
          </w:tcPr>
          <w:p>
            <w:pPr>
              <w:spacing w:after="20"/>
              <w:jc w:val="right"/>
            </w:pPr>
            <w:r>
              <w:rPr>
                <w:color w:val="1C3A36"/>
                <w:sz w:val="16"/>
              </w:rPr>
              <w:t>4.5%</w:t>
            </w:r>
          </w:p>
        </w:tc>
        <w:tc>
          <w:tcPr>
            <w:tcW w:type="dxa" w:w="3528"/>
          </w:tcPr>
          <w:p>
            <w:pPr>
              <w:spacing w:after="20"/>
            </w:pPr>
            <w:r>
              <w:rPr>
                <w:color w:val="1C3A36"/>
                <w:sz w:val="16"/>
              </w:rPr>
              <w:t>nothing structural — the primary lens is one of the same constructions</w:t>
            </w:r>
          </w:p>
        </w:tc>
        <w:tc>
          <w:tcPr>
            <w:tcW w:type="dxa" w:w="2664"/>
          </w:tcPr>
          <w:p>
            <w:pPr>
              <w:spacing w:after="20"/>
            </w:pPr>
            <w:r>
              <w:rPr>
                <w:color w:val="1C3A36"/>
                <w:sz w:val="16"/>
              </w:rPr>
              <w:t>not decomposed</w:t>
            </w:r>
          </w:p>
        </w:tc>
      </w:tr>
    </w:tbl>
    <w:p>
      <w:pPr>
        <w:spacing w:after="40"/>
      </w:pPr>
    </w:p>
    <w:p>
      <w:pPr>
        <w:spacing w:after="200" w:before="0"/>
      </w:pPr>
      <w:r>
        <w:rPr>
          <w:b w:val="0"/>
          <w:i/>
          <w:color w:val="6E7B77"/>
          <w:sz w:val="17"/>
        </w:rPr>
        <w:t>Table C.6 — the divergence. The two largest gaps in the panel are both explained by ONE thing, and it is not an assumption about the business: Expert 1 states a value at 2028E while the other two state one today. The third row is measured the same way, and the measurement OVERTURNED the label this table first carried. Discounting Expert 2's own cash flows on the WEIGHTED rate rather than the cost of equity's glide gives EGP 18.10 — so the price of time is worth only EGP 0.74 of a 3.59 gap, about 21% of it. What carries the rest is the BRIDGE: Expert 3 adds the net cash at face and Expert 2 does not. The last row carries no residual because there is no single driver to remove: the median IS one of these three constructions and the primary lens is a fourth read of the same statements.</w:t>
      </w:r>
    </w:p>
    <w:p>
      <w:pPr>
        <w:spacing w:after="80" w:before="200"/>
      </w:pPr>
      <w:r>
        <w:rPr>
          <w:b/>
          <w:i w:val="0"/>
          <w:color w:val="1C3A36"/>
          <w:sz w:val="24"/>
        </w:rPr>
        <w:t>C.7  The panel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21.26</w:t>
            </w:r>
          </w:p>
        </w:tc>
        <w:tc>
          <w:tcPr>
            <w:tcW w:type="dxa" w:w="1728"/>
          </w:tcPr>
          <w:p>
            <w:pPr>
              <w:spacing w:after="20"/>
              <w:jc w:val="right"/>
            </w:pPr>
            <w:r>
              <w:rPr>
                <w:color w:val="1C3A36"/>
                <w:sz w:val="17"/>
              </w:rPr>
              <w:t>15.18–28.85</w:t>
            </w:r>
          </w:p>
        </w:tc>
        <w:tc>
          <w:tcPr>
            <w:tcW w:type="dxa" w:w="1296"/>
          </w:tcPr>
          <w:p>
            <w:pPr>
              <w:spacing w:after="20"/>
              <w:jc w:val="right"/>
            </w:pPr>
            <w:r>
              <w:rPr>
                <w:color w:val="1C3A36"/>
                <w:sz w:val="17"/>
              </w:rPr>
              <w:t>57.5%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17.35</w:t>
            </w:r>
          </w:p>
        </w:tc>
        <w:tc>
          <w:tcPr>
            <w:tcW w:type="dxa" w:w="1728"/>
          </w:tcPr>
          <w:p>
            <w:pPr>
              <w:spacing w:after="20"/>
              <w:jc w:val="right"/>
            </w:pPr>
            <w:r>
              <w:rPr>
                <w:color w:val="1C3A36"/>
                <w:sz w:val="17"/>
              </w:rPr>
              <w:t>0.59–23.04</w:t>
            </w:r>
          </w:p>
        </w:tc>
        <w:tc>
          <w:tcPr>
            <w:tcW w:type="dxa" w:w="1296"/>
          </w:tcPr>
          <w:p>
            <w:pPr>
              <w:spacing w:after="20"/>
              <w:jc w:val="right"/>
            </w:pPr>
            <w:r>
              <w:rPr>
                <w:color w:val="1C3A36"/>
                <w:sz w:val="17"/>
              </w:rPr>
              <w:t>28.5%</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20.95</w:t>
            </w:r>
          </w:p>
        </w:tc>
        <w:tc>
          <w:tcPr>
            <w:tcW w:type="dxa" w:w="1728"/>
          </w:tcPr>
          <w:p>
            <w:pPr>
              <w:spacing w:after="20"/>
              <w:jc w:val="right"/>
            </w:pPr>
            <w:r>
              <w:rPr>
                <w:color w:val="1C3A36"/>
                <w:sz w:val="17"/>
              </w:rPr>
              <w:t>0.53–28.30</w:t>
            </w:r>
          </w:p>
        </w:tc>
        <w:tc>
          <w:tcPr>
            <w:tcW w:type="dxa" w:w="1296"/>
          </w:tcPr>
          <w:p>
            <w:pPr>
              <w:spacing w:after="20"/>
              <w:jc w:val="right"/>
            </w:pPr>
            <w:r>
              <w:rPr>
                <w:color w:val="1C3A36"/>
                <w:sz w:val="17"/>
              </w:rPr>
              <w:t>55.1%</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20.95</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55.1%</w:t>
            </w:r>
          </w:p>
        </w:tc>
      </w:tr>
    </w:tbl>
    <w:p>
      <w:pPr>
        <w:spacing w:after="40"/>
      </w:pPr>
    </w:p>
    <w:p>
      <w:pPr>
        <w:spacing w:after="200" w:before="0"/>
      </w:pPr>
      <w:r>
        <w:rPr>
          <w:b w:val="0"/>
          <w:i/>
          <w:color w:val="6E7B77"/>
          <w:sz w:val="17"/>
        </w:rPr>
        <w:t>Table C.7 — the panel. Each range is that expert's OWN method re-run at the two filed-evidence corners the primary lens publishes — the worst gross margin in the audited record and the best full year — so the panel and the envelope are read on one clock. Earlier editions typed these bands beside the methods, and two of them had gone stale enough to publish a central outside its own range.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180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