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2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5"/>
        <w:gridCol w:w="1814"/>
        <w:gridCol w:w="2041"/>
        <w:gridCol w:w="3062"/>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rPr>
          <w:cantSplit/>
        </w:trP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rPr>
          <w:cantSplit/>
        </w:trP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rPr>
          <w:cantSplit/>
        </w:trP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rPr>
          <w:cantSplit/>
        </w:trPr>
        <w:tc>
          <w:tcPr>
            <w:tcW w:type="dxa" w:w="2494"/>
          </w:tcPr>
          <w:p>
            <w:r/>
            <w:r>
              <w:rPr>
                <w:color w:val="1A1D21"/>
                <w:sz w:val="17"/>
              </w:rPr>
              <w:t>Consolidated financial statements (reviewed)</w:t>
            </w:r>
          </w:p>
        </w:tc>
        <w:tc>
          <w:tcPr>
            <w:tcW w:type="dxa" w:w="1814"/>
          </w:tcPr>
          <w:p>
            <w:r/>
            <w:r>
              <w:rPr>
                <w:color w:val="1A1D21"/>
                <w:sz w:val="17"/>
              </w:rPr>
              <w:t>1Q2026 — 31 March 2026</w:t>
            </w:r>
          </w:p>
        </w:tc>
        <w:tc>
          <w:tcPr>
            <w:tcW w:type="dxa" w:w="2041"/>
          </w:tcPr>
          <w:p>
            <w:r/>
            <w:r>
              <w:rPr>
                <w:color w:val="1A1D21"/>
                <w:sz w:val="17"/>
              </w:rPr>
              <w:t>Palm Hills Developments</w:t>
            </w:r>
          </w:p>
        </w:tc>
        <w:tc>
          <w:tcPr>
            <w:tcW w:type="dxa" w:w="3061"/>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rPr>
          <w:cantSplit/>
        </w:trP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rPr>
          <w:cantSplit/>
        </w:trP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rPr>
          <w:cantSplit/>
        </w:trP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rPr>
          <w:cantSplit/>
        </w:trP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rPr>
          <w:cantSplit/>
        </w:trP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accounts receivable</w:t>
            </w:r>
          </w:p>
        </w:tc>
        <w:tc>
          <w:tcPr>
            <w:tcW w:type="dxa" w:w="1332"/>
          </w:tcPr>
          <w:p>
            <w:pPr>
              <w:jc w:val="right"/>
            </w:pPr>
            <w:r/>
            <w:r>
              <w:rPr>
                <w:color w:val="1A1D21"/>
                <w:sz w:val="15"/>
              </w:rPr>
              <w:t>28,118.1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accounts receivable bridge</w:t>
            </w:r>
          </w:p>
        </w:tc>
        <w:tc>
          <w:tcPr>
            <w:tcW w:type="dxa" w:w="1332"/>
          </w:tcPr>
          <w:p>
            <w:pPr>
              <w:jc w:val="right"/>
            </w:pPr>
            <w:r/>
            <w:r>
              <w:rPr>
                <w:color w:val="1A1D21"/>
                <w:sz w:val="15"/>
              </w:rPr>
              <w:t>35,055.0084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advances customers</w:t>
            </w:r>
          </w:p>
        </w:tc>
        <w:tc>
          <w:tcPr>
            <w:tcW w:type="dxa" w:w="1332"/>
          </w:tcPr>
          <w:p>
            <w:pPr>
              <w:jc w:val="right"/>
            </w:pPr>
            <w:r/>
            <w:r>
              <w:rPr>
                <w:color w:val="1A1D21"/>
                <w:sz w:val="15"/>
              </w:rPr>
              <w:t>69,354.1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advances customers bridge</w:t>
            </w:r>
          </w:p>
        </w:tc>
        <w:tc>
          <w:tcPr>
            <w:tcW w:type="dxa" w:w="1332"/>
          </w:tcPr>
          <w:p>
            <w:pPr>
              <w:jc w:val="right"/>
            </w:pPr>
            <w:r/>
            <w:r>
              <w:rPr>
                <w:color w:val="1A1D21"/>
                <w:sz w:val="15"/>
              </w:rPr>
              <w:t>83,483.2912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cash</w:t>
            </w:r>
          </w:p>
        </w:tc>
        <w:tc>
          <w:tcPr>
            <w:tcW w:type="dxa" w:w="1332"/>
          </w:tcPr>
          <w:p>
            <w:pPr>
              <w:jc w:val="right"/>
            </w:pPr>
            <w:r/>
            <w:r>
              <w:rPr>
                <w:color w:val="1A1D21"/>
                <w:sz w:val="15"/>
              </w:rPr>
              <w:t>9,419.5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cash bridge</w:t>
            </w:r>
          </w:p>
        </w:tc>
        <w:tc>
          <w:tcPr>
            <w:tcW w:type="dxa" w:w="1332"/>
          </w:tcPr>
          <w:p>
            <w:pPr>
              <w:jc w:val="right"/>
            </w:pPr>
            <w:r/>
            <w:r>
              <w:rPr>
                <w:color w:val="1A1D21"/>
                <w:sz w:val="15"/>
              </w:rPr>
              <w:t>7,804.2469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checks undelivered</w:t>
            </w:r>
          </w:p>
        </w:tc>
        <w:tc>
          <w:tcPr>
            <w:tcW w:type="dxa" w:w="1332"/>
          </w:tcPr>
          <w:p>
            <w:pPr>
              <w:jc w:val="right"/>
            </w:pPr>
            <w:r/>
            <w:r>
              <w:rPr>
                <w:color w:val="1A1D21"/>
                <w:sz w:val="15"/>
              </w:rPr>
              <w:t>2,453.7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checks undelivered bridge</w:t>
            </w:r>
          </w:p>
        </w:tc>
        <w:tc>
          <w:tcPr>
            <w:tcW w:type="dxa" w:w="1332"/>
          </w:tcPr>
          <w:p>
            <w:pPr>
              <w:jc w:val="right"/>
            </w:pPr>
            <w:r/>
            <w:r>
              <w:rPr>
                <w:color w:val="1A1D21"/>
                <w:sz w:val="15"/>
              </w:rPr>
              <w:t>1,728.9808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creditors other</w:t>
            </w:r>
          </w:p>
        </w:tc>
        <w:tc>
          <w:tcPr>
            <w:tcW w:type="dxa" w:w="1332"/>
          </w:tcPr>
          <w:p>
            <w:pPr>
              <w:jc w:val="right"/>
            </w:pPr>
            <w:r/>
            <w:r>
              <w:rPr>
                <w:color w:val="1A1D21"/>
                <w:sz w:val="15"/>
              </w:rPr>
              <w:t>5,121.7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creditors other bridge</w:t>
            </w:r>
          </w:p>
        </w:tc>
        <w:tc>
          <w:tcPr>
            <w:tcW w:type="dxa" w:w="1332"/>
          </w:tcPr>
          <w:p>
            <w:pPr>
              <w:jc w:val="right"/>
            </w:pPr>
            <w:r/>
            <w:r>
              <w:rPr>
                <w:color w:val="1A1D21"/>
                <w:sz w:val="15"/>
              </w:rPr>
              <w:t>6,608.4273</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debtors other</w:t>
            </w:r>
          </w:p>
        </w:tc>
        <w:tc>
          <w:tcPr>
            <w:tcW w:type="dxa" w:w="1332"/>
          </w:tcPr>
          <w:p>
            <w:pPr>
              <w:jc w:val="right"/>
            </w:pPr>
            <w:r/>
            <w:r>
              <w:rPr>
                <w:color w:val="1A1D21"/>
                <w:sz w:val="15"/>
              </w:rPr>
              <w:t>12,922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debtors other bridge</w:t>
            </w:r>
          </w:p>
        </w:tc>
        <w:tc>
          <w:tcPr>
            <w:tcW w:type="dxa" w:w="1332"/>
          </w:tcPr>
          <w:p>
            <w:pPr>
              <w:jc w:val="right"/>
            </w:pPr>
            <w:r/>
            <w:r>
              <w:rPr>
                <w:color w:val="1A1D21"/>
                <w:sz w:val="15"/>
              </w:rPr>
              <w:t>14,932.3358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deferred revenue</w:t>
            </w:r>
          </w:p>
        </w:tc>
        <w:tc>
          <w:tcPr>
            <w:tcW w:type="dxa" w:w="1332"/>
          </w:tcPr>
          <w:p>
            <w:pPr>
              <w:jc w:val="right"/>
            </w:pPr>
            <w:r/>
            <w:r>
              <w:rPr>
                <w:color w:val="1A1D21"/>
                <w:sz w:val="15"/>
              </w:rPr>
              <w:t>731.2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deferred revenue bridge</w:t>
            </w:r>
          </w:p>
        </w:tc>
        <w:tc>
          <w:tcPr>
            <w:tcW w:type="dxa" w:w="1332"/>
          </w:tcPr>
          <w:p>
            <w:pPr>
              <w:jc w:val="right"/>
            </w:pPr>
            <w:r/>
            <w:r>
              <w:rPr>
                <w:color w:val="1A1D21"/>
                <w:sz w:val="15"/>
              </w:rPr>
              <w:t>250.5654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due from related</w:t>
            </w:r>
          </w:p>
        </w:tc>
        <w:tc>
          <w:tcPr>
            <w:tcW w:type="dxa" w:w="1332"/>
          </w:tcPr>
          <w:p>
            <w:pPr>
              <w:jc w:val="right"/>
            </w:pPr>
            <w:r/>
            <w:r>
              <w:rPr>
                <w:color w:val="1A1D21"/>
                <w:sz w:val="15"/>
              </w:rPr>
              <w:t>335.7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due from related bridge</w:t>
            </w:r>
          </w:p>
        </w:tc>
        <w:tc>
          <w:tcPr>
            <w:tcW w:type="dxa" w:w="1332"/>
          </w:tcPr>
          <w:p>
            <w:pPr>
              <w:jc w:val="right"/>
            </w:pPr>
            <w:r/>
            <w:r>
              <w:rPr>
                <w:color w:val="1A1D21"/>
                <w:sz w:val="15"/>
              </w:rPr>
              <w:t>346.2678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equity parent</w:t>
            </w:r>
          </w:p>
        </w:tc>
        <w:tc>
          <w:tcPr>
            <w:tcW w:type="dxa" w:w="1332"/>
          </w:tcPr>
          <w:p>
            <w:pPr>
              <w:jc w:val="right"/>
            </w:pPr>
            <w:r/>
            <w:r>
              <w:rPr>
                <w:color w:val="1A1D21"/>
                <w:sz w:val="15"/>
              </w:rPr>
              <w:t>17,431.4</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equity parent bridge</w:t>
            </w:r>
          </w:p>
        </w:tc>
        <w:tc>
          <w:tcPr>
            <w:tcW w:type="dxa" w:w="1332"/>
          </w:tcPr>
          <w:p>
            <w:pPr>
              <w:jc w:val="right"/>
            </w:pPr>
            <w:r/>
            <w:r>
              <w:rPr>
                <w:color w:val="1A1D21"/>
                <w:sz w:val="15"/>
              </w:rPr>
              <w:t>18,910.8594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fin inv amortised</w:t>
            </w:r>
          </w:p>
        </w:tc>
        <w:tc>
          <w:tcPr>
            <w:tcW w:type="dxa" w:w="1332"/>
          </w:tcPr>
          <w:p>
            <w:pPr>
              <w:jc w:val="right"/>
            </w:pPr>
            <w:r/>
            <w:r>
              <w:rPr>
                <w:color w:val="1A1D21"/>
                <w:sz w:val="15"/>
              </w:rPr>
              <w:t>9,581.5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 inv amortised bridge</w:t>
            </w:r>
          </w:p>
        </w:tc>
        <w:tc>
          <w:tcPr>
            <w:tcW w:type="dxa" w:w="1332"/>
          </w:tcPr>
          <w:p>
            <w:pPr>
              <w:jc w:val="right"/>
            </w:pPr>
            <w:r/>
            <w:r>
              <w:rPr>
                <w:color w:val="1A1D21"/>
                <w:sz w:val="15"/>
              </w:rPr>
              <w:t>13,016.4074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fixed assets</w:t>
            </w:r>
          </w:p>
        </w:tc>
        <w:tc>
          <w:tcPr>
            <w:tcW w:type="dxa" w:w="1332"/>
          </w:tcPr>
          <w:p>
            <w:pPr>
              <w:jc w:val="right"/>
            </w:pPr>
            <w:r/>
            <w:r>
              <w:rPr>
                <w:color w:val="1A1D21"/>
                <w:sz w:val="15"/>
              </w:rPr>
              <w:t>4,522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fixed assets bridge</w:t>
            </w:r>
          </w:p>
        </w:tc>
        <w:tc>
          <w:tcPr>
            <w:tcW w:type="dxa" w:w="1332"/>
          </w:tcPr>
          <w:p>
            <w:pPr>
              <w:jc w:val="right"/>
            </w:pPr>
            <w:r/>
            <w:r>
              <w:rPr>
                <w:color w:val="1A1D21"/>
                <w:sz w:val="15"/>
              </w:rPr>
              <w:t>5,637.3739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inv fair value</w:t>
            </w:r>
          </w:p>
        </w:tc>
        <w:tc>
          <w:tcPr>
            <w:tcW w:type="dxa" w:w="1332"/>
          </w:tcPr>
          <w:p>
            <w:pPr>
              <w:jc w:val="right"/>
            </w:pPr>
            <w:r/>
            <w:r>
              <w:rPr>
                <w:color w:val="1A1D21"/>
                <w:sz w:val="15"/>
              </w:rPr>
              <w:t>152.7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 fair value bridge</w:t>
            </w:r>
          </w:p>
        </w:tc>
        <w:tc>
          <w:tcPr>
            <w:tcW w:type="dxa" w:w="1332"/>
          </w:tcPr>
          <w:p>
            <w:pPr>
              <w:jc w:val="right"/>
            </w:pPr>
            <w:r/>
            <w:r>
              <w:rPr>
                <w:color w:val="1A1D21"/>
                <w:sz w:val="15"/>
              </w:rPr>
              <w:t>179.5037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investment property</w:t>
            </w:r>
          </w:p>
        </w:tc>
        <w:tc>
          <w:tcPr>
            <w:tcW w:type="dxa" w:w="1332"/>
          </w:tcPr>
          <w:p>
            <w:pPr>
              <w:jc w:val="right"/>
            </w:pPr>
            <w:r/>
            <w:r>
              <w:rPr>
                <w:color w:val="1A1D21"/>
                <w:sz w:val="15"/>
              </w:rPr>
              <w:t>1,032.5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 property bridge</w:t>
            </w:r>
          </w:p>
        </w:tc>
        <w:tc>
          <w:tcPr>
            <w:tcW w:type="dxa" w:w="1332"/>
          </w:tcPr>
          <w:p>
            <w:pPr>
              <w:jc w:val="right"/>
            </w:pPr>
            <w:r/>
            <w:r>
              <w:rPr>
                <w:color w:val="1A1D21"/>
                <w:sz w:val="15"/>
              </w:rPr>
              <w:t>1,008.4196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investments assoc</w:t>
            </w:r>
          </w:p>
        </w:tc>
        <w:tc>
          <w:tcPr>
            <w:tcW w:type="dxa" w:w="1332"/>
          </w:tcPr>
          <w:p>
            <w:pPr>
              <w:jc w:val="right"/>
            </w:pPr>
            <w:r/>
            <w:r>
              <w:rPr>
                <w:color w:val="1A1D21"/>
                <w:sz w:val="15"/>
              </w:rPr>
              <w:t>3,611.6</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investments assoc bridge</w:t>
            </w:r>
          </w:p>
        </w:tc>
        <w:tc>
          <w:tcPr>
            <w:tcW w:type="dxa" w:w="1332"/>
          </w:tcPr>
          <w:p>
            <w:pPr>
              <w:jc w:val="right"/>
            </w:pPr>
            <w:r/>
            <w:r>
              <w:rPr>
                <w:color w:val="1A1D21"/>
                <w:sz w:val="15"/>
              </w:rPr>
              <w:t>3,898.4778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investments purchase liab bridge</w:t>
            </w:r>
          </w:p>
        </w:tc>
        <w:tc>
          <w:tcPr>
            <w:tcW w:type="dxa" w:w="1332"/>
          </w:tcPr>
          <w:p>
            <w:pPr>
              <w:jc w:val="right"/>
            </w:pPr>
            <w:r/>
            <w:r>
              <w:rPr>
                <w:color w:val="1A1D21"/>
                <w:sz w:val="15"/>
              </w:rPr>
              <w:t>20.7176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nci equity</w:t>
            </w:r>
          </w:p>
        </w:tc>
        <w:tc>
          <w:tcPr>
            <w:tcW w:type="dxa" w:w="1332"/>
          </w:tcPr>
          <w:p>
            <w:pPr>
              <w:jc w:val="right"/>
            </w:pPr>
            <w:r/>
            <w:r>
              <w:rPr>
                <w:color w:val="1A1D21"/>
                <w:sz w:val="15"/>
              </w:rPr>
              <w:t>1,334.3</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nci equity bridge</w:t>
            </w:r>
          </w:p>
        </w:tc>
        <w:tc>
          <w:tcPr>
            <w:tcW w:type="dxa" w:w="1332"/>
          </w:tcPr>
          <w:p>
            <w:pPr>
              <w:jc w:val="right"/>
            </w:pPr>
            <w:r/>
            <w:r>
              <w:rPr>
                <w:color w:val="1A1D21"/>
                <w:sz w:val="15"/>
              </w:rPr>
              <w:t>1,723.0488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recv lt</w:t>
            </w:r>
          </w:p>
        </w:tc>
        <w:tc>
          <w:tcPr>
            <w:tcW w:type="dxa" w:w="1332"/>
          </w:tcPr>
          <w:p>
            <w:pPr>
              <w:jc w:val="right"/>
            </w:pPr>
            <w:r/>
            <w:r>
              <w:rPr>
                <w:color w:val="1A1D21"/>
                <w:sz w:val="15"/>
              </w:rPr>
              <w:t>54,801.3</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bridge</w:t>
            </w:r>
          </w:p>
        </w:tc>
        <w:tc>
          <w:tcPr>
            <w:tcW w:type="dxa" w:w="1332"/>
          </w:tcPr>
          <w:p>
            <w:pPr>
              <w:jc w:val="right"/>
            </w:pPr>
            <w:r/>
            <w:r>
              <w:rPr>
                <w:color w:val="1A1D21"/>
                <w:sz w:val="15"/>
              </w:rPr>
              <w:t>55,707.5021</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recv lt undel</w:t>
            </w:r>
          </w:p>
        </w:tc>
        <w:tc>
          <w:tcPr>
            <w:tcW w:type="dxa" w:w="1332"/>
          </w:tcPr>
          <w:p>
            <w:pPr>
              <w:jc w:val="right"/>
            </w:pPr>
            <w:r/>
            <w:r>
              <w:rPr>
                <w:color w:val="1A1D21"/>
                <w:sz w:val="15"/>
              </w:rPr>
              <w:t>1,518.5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undel bridge</w:t>
            </w:r>
          </w:p>
        </w:tc>
        <w:tc>
          <w:tcPr>
            <w:tcW w:type="dxa" w:w="1332"/>
          </w:tcPr>
          <w:p>
            <w:pPr>
              <w:jc w:val="right"/>
            </w:pPr>
            <w:r/>
            <w:r>
              <w:rPr>
                <w:color w:val="1A1D21"/>
                <w:sz w:val="15"/>
              </w:rPr>
              <w:t>1,033.5602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recv st</w:t>
            </w:r>
          </w:p>
        </w:tc>
        <w:tc>
          <w:tcPr>
            <w:tcW w:type="dxa" w:w="1332"/>
          </w:tcPr>
          <w:p>
            <w:pPr>
              <w:jc w:val="right"/>
            </w:pPr>
            <w:r/>
            <w:r>
              <w:rPr>
                <w:color w:val="1A1D21"/>
                <w:sz w:val="15"/>
              </w:rPr>
              <w:t>18,137.7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bridge</w:t>
            </w:r>
          </w:p>
        </w:tc>
        <w:tc>
          <w:tcPr>
            <w:tcW w:type="dxa" w:w="1332"/>
          </w:tcPr>
          <w:p>
            <w:pPr>
              <w:jc w:val="right"/>
            </w:pPr>
            <w:r/>
            <w:r>
              <w:rPr>
                <w:color w:val="1A1D21"/>
                <w:sz w:val="15"/>
              </w:rPr>
              <w:t>20,530.5182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recv st undel</w:t>
            </w:r>
          </w:p>
        </w:tc>
        <w:tc>
          <w:tcPr>
            <w:tcW w:type="dxa" w:w="1332"/>
          </w:tcPr>
          <w:p>
            <w:pPr>
              <w:jc w:val="right"/>
            </w:pPr>
            <w:r/>
            <w:r>
              <w:rPr>
                <w:color w:val="1A1D21"/>
                <w:sz w:val="15"/>
              </w:rPr>
              <w:t>935.3</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undel bridge</w:t>
            </w:r>
          </w:p>
        </w:tc>
        <w:tc>
          <w:tcPr>
            <w:tcW w:type="dxa" w:w="1332"/>
          </w:tcPr>
          <w:p>
            <w:pPr>
              <w:jc w:val="right"/>
            </w:pPr>
            <w:r/>
            <w:r>
              <w:rPr>
                <w:color w:val="1A1D21"/>
                <w:sz w:val="15"/>
              </w:rPr>
              <w:t>695.4206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suppliers</w:t>
            </w:r>
          </w:p>
        </w:tc>
        <w:tc>
          <w:tcPr>
            <w:tcW w:type="dxa" w:w="1332"/>
          </w:tcPr>
          <w:p>
            <w:pPr>
              <w:jc w:val="right"/>
            </w:pPr>
            <w:r/>
            <w:r>
              <w:rPr>
                <w:color w:val="1A1D21"/>
                <w:sz w:val="15"/>
              </w:rPr>
              <w:t>3,807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w:t>
            </w:r>
          </w:p>
        </w:tc>
        <w:tc>
          <w:tcPr>
            <w:tcW w:type="dxa" w:w="1332"/>
          </w:tcPr>
          <w:p>
            <w:pPr>
              <w:jc w:val="right"/>
            </w:pPr>
            <w:r/>
            <w:r>
              <w:rPr>
                <w:color w:val="1A1D21"/>
                <w:sz w:val="15"/>
              </w:rPr>
              <w:t>9,056.2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 bridge</w:t>
            </w:r>
          </w:p>
        </w:tc>
        <w:tc>
          <w:tcPr>
            <w:tcW w:type="dxa" w:w="1332"/>
          </w:tcPr>
          <w:p>
            <w:pPr>
              <w:jc w:val="right"/>
            </w:pPr>
            <w:r/>
            <w:r>
              <w:rPr>
                <w:color w:val="1A1D21"/>
                <w:sz w:val="15"/>
              </w:rPr>
              <w:t>10,490.853</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suppliers bridge</w:t>
            </w:r>
          </w:p>
        </w:tc>
        <w:tc>
          <w:tcPr>
            <w:tcW w:type="dxa" w:w="1332"/>
          </w:tcPr>
          <w:p>
            <w:pPr>
              <w:jc w:val="right"/>
            </w:pPr>
            <w:r/>
            <w:r>
              <w:rPr>
                <w:color w:val="1A1D21"/>
                <w:sz w:val="15"/>
              </w:rPr>
              <w:t>5,740.1304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assets</w:t>
            </w:r>
          </w:p>
        </w:tc>
        <w:tc>
          <w:tcPr>
            <w:tcW w:type="dxa" w:w="1332"/>
          </w:tcPr>
          <w:p>
            <w:pPr>
              <w:jc w:val="right"/>
            </w:pPr>
            <w:r/>
            <w:r>
              <w:rPr>
                <w:color w:val="1A1D21"/>
                <w:sz w:val="15"/>
              </w:rPr>
              <w:t>172,129.8</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assets bridge</w:t>
            </w:r>
          </w:p>
        </w:tc>
        <w:tc>
          <w:tcPr>
            <w:tcW w:type="dxa" w:w="1332"/>
          </w:tcPr>
          <w:p>
            <w:pPr>
              <w:jc w:val="right"/>
            </w:pPr>
            <w:r/>
            <w:r>
              <w:rPr>
                <w:color w:val="1A1D21"/>
                <w:sz w:val="15"/>
              </w:rPr>
              <w:t>194,767.2867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current assets</w:t>
            </w:r>
          </w:p>
        </w:tc>
        <w:tc>
          <w:tcPr>
            <w:tcW w:type="dxa" w:w="1332"/>
          </w:tcPr>
          <w:p>
            <w:pPr>
              <w:jc w:val="right"/>
            </w:pPr>
            <w:r/>
            <w:r>
              <w:rPr>
                <w:color w:val="1A1D21"/>
                <w:sz w:val="15"/>
              </w:rPr>
              <w:t>106,229.6</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current assets bridge</w:t>
            </w:r>
          </w:p>
        </w:tc>
        <w:tc>
          <w:tcPr>
            <w:tcW w:type="dxa" w:w="1332"/>
          </w:tcPr>
          <w:p>
            <w:pPr>
              <w:jc w:val="right"/>
            </w:pPr>
            <w:r/>
            <w:r>
              <w:rPr>
                <w:color w:val="1A1D21"/>
                <w:sz w:val="15"/>
              </w:rPr>
              <w:t>126,966.4924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current liabs bridge</w:t>
            </w:r>
          </w:p>
        </w:tc>
        <w:tc>
          <w:tcPr>
            <w:tcW w:type="dxa" w:w="1332"/>
          </w:tcPr>
          <w:p>
            <w:pPr>
              <w:jc w:val="right"/>
            </w:pPr>
            <w:r/>
            <w:r>
              <w:rPr>
                <w:color w:val="1A1D21"/>
                <w:sz w:val="15"/>
              </w:rPr>
              <w:t>121,843.9686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equity</w:t>
            </w:r>
          </w:p>
        </w:tc>
        <w:tc>
          <w:tcPr>
            <w:tcW w:type="dxa" w:w="1332"/>
          </w:tcPr>
          <w:p>
            <w:pPr>
              <w:jc w:val="right"/>
            </w:pPr>
            <w:r/>
            <w:r>
              <w:rPr>
                <w:color w:val="1A1D21"/>
                <w:sz w:val="15"/>
              </w:rPr>
              <w:t>18,765.8</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equity bridge</w:t>
            </w:r>
          </w:p>
        </w:tc>
        <w:tc>
          <w:tcPr>
            <w:tcW w:type="dxa" w:w="1332"/>
          </w:tcPr>
          <w:p>
            <w:pPr>
              <w:jc w:val="right"/>
            </w:pPr>
            <w:r/>
            <w:r>
              <w:rPr>
                <w:color w:val="1A1D21"/>
                <w:sz w:val="15"/>
              </w:rPr>
              <w:t>20,633.9082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liabilities</w:t>
            </w:r>
          </w:p>
        </w:tc>
        <w:tc>
          <w:tcPr>
            <w:tcW w:type="dxa" w:w="1332"/>
          </w:tcPr>
          <w:p>
            <w:pPr>
              <w:jc w:val="right"/>
            </w:pPr>
            <w:r/>
            <w:r>
              <w:rPr>
                <w:color w:val="1A1D21"/>
                <w:sz w:val="15"/>
              </w:rPr>
              <w:t>153,364.1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liabilities bridge</w:t>
            </w:r>
          </w:p>
        </w:tc>
        <w:tc>
          <w:tcPr>
            <w:tcW w:type="dxa" w:w="1332"/>
          </w:tcPr>
          <w:p>
            <w:pPr>
              <w:jc w:val="right"/>
            </w:pPr>
            <w:r/>
            <w:r>
              <w:rPr>
                <w:color w:val="1A1D21"/>
                <w:sz w:val="15"/>
              </w:rPr>
              <w:t>174,133.3785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noncurrent assets</w:t>
            </w:r>
          </w:p>
        </w:tc>
        <w:tc>
          <w:tcPr>
            <w:tcW w:type="dxa" w:w="1332"/>
          </w:tcPr>
          <w:p>
            <w:pPr>
              <w:jc w:val="right"/>
            </w:pPr>
            <w:r/>
            <w:r>
              <w:rPr>
                <w:color w:val="1A1D21"/>
                <w:sz w:val="15"/>
              </w:rPr>
              <w:t>65,900.2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noncurrent assets bridge</w:t>
            </w:r>
          </w:p>
        </w:tc>
        <w:tc>
          <w:tcPr>
            <w:tcW w:type="dxa" w:w="1332"/>
          </w:tcPr>
          <w:p>
            <w:pPr>
              <w:jc w:val="right"/>
            </w:pPr>
            <w:r/>
            <w:r>
              <w:rPr>
                <w:color w:val="1A1D21"/>
                <w:sz w:val="15"/>
              </w:rPr>
              <w:t>67,800.7943</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noncurrent liabs bridge</w:t>
            </w:r>
          </w:p>
        </w:tc>
        <w:tc>
          <w:tcPr>
            <w:tcW w:type="dxa" w:w="1332"/>
          </w:tcPr>
          <w:p>
            <w:pPr>
              <w:jc w:val="right"/>
            </w:pPr>
            <w:r/>
            <w:r>
              <w:rPr>
                <w:color w:val="1A1D21"/>
                <w:sz w:val="15"/>
              </w:rPr>
              <w:t>52,289.4099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work in progress</w:t>
            </w:r>
          </w:p>
        </w:tc>
        <w:tc>
          <w:tcPr>
            <w:tcW w:type="dxa" w:w="1332"/>
          </w:tcPr>
          <w:p>
            <w:pPr>
              <w:jc w:val="right"/>
            </w:pPr>
            <w:r/>
            <w:r>
              <w:rPr>
                <w:color w:val="1A1D21"/>
                <w:sz w:val="15"/>
              </w:rPr>
              <w:t>17,570.9</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work in progress bridge</w:t>
            </w:r>
          </w:p>
        </w:tc>
        <w:tc>
          <w:tcPr>
            <w:tcW w:type="dxa" w:w="1332"/>
          </w:tcPr>
          <w:p>
            <w:pPr>
              <w:jc w:val="right"/>
            </w:pPr>
            <w:r/>
            <w:r>
              <w:rPr>
                <w:color w:val="1A1D21"/>
                <w:sz w:val="15"/>
              </w:rPr>
              <w:t>23,915.9306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banks credit balances</w:t>
            </w:r>
          </w:p>
        </w:tc>
        <w:tc>
          <w:tcPr>
            <w:tcW w:type="dxa" w:w="1332"/>
          </w:tcPr>
          <w:p>
            <w:pPr>
              <w:jc w:val="right"/>
            </w:pPr>
            <w:r/>
            <w:r>
              <w:rPr>
                <w:color w:val="1A1D21"/>
                <w:sz w:val="15"/>
              </w:rPr>
              <w:t>938.8</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banks credit balances bridge</w:t>
            </w:r>
          </w:p>
        </w:tc>
        <w:tc>
          <w:tcPr>
            <w:tcW w:type="dxa" w:w="1332"/>
          </w:tcPr>
          <w:p>
            <w:pPr>
              <w:jc w:val="right"/>
            </w:pPr>
            <w:r/>
            <w:r>
              <w:rPr>
                <w:color w:val="1A1D21"/>
                <w:sz w:val="15"/>
              </w:rPr>
              <w:t>1,529.8425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credit facilities</w:t>
            </w:r>
          </w:p>
        </w:tc>
        <w:tc>
          <w:tcPr>
            <w:tcW w:type="dxa" w:w="1332"/>
          </w:tcPr>
          <w:p>
            <w:pPr>
              <w:jc w:val="right"/>
            </w:pPr>
            <w:r/>
            <w:r>
              <w:rPr>
                <w:color w:val="1A1D21"/>
                <w:sz w:val="15"/>
              </w:rPr>
              <w:t>11,337.5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 facilities bridge</w:t>
            </w:r>
          </w:p>
        </w:tc>
        <w:tc>
          <w:tcPr>
            <w:tcW w:type="dxa" w:w="1332"/>
          </w:tcPr>
          <w:p>
            <w:pPr>
              <w:jc w:val="right"/>
            </w:pPr>
            <w:r/>
            <w:r>
              <w:rPr>
                <w:color w:val="1A1D21"/>
                <w:sz w:val="15"/>
              </w:rPr>
              <w:t>13,922.4229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current portion st loans</w:t>
            </w:r>
          </w:p>
        </w:tc>
        <w:tc>
          <w:tcPr>
            <w:tcW w:type="dxa" w:w="1332"/>
          </w:tcPr>
          <w:p>
            <w:pPr>
              <w:jc w:val="right"/>
            </w:pPr>
            <w:r/>
            <w:r>
              <w:rPr>
                <w:color w:val="1A1D21"/>
                <w:sz w:val="15"/>
              </w:rPr>
              <w:t>1,250</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current portion st loans bridge</w:t>
            </w:r>
          </w:p>
        </w:tc>
        <w:tc>
          <w:tcPr>
            <w:tcW w:type="dxa" w:w="1332"/>
          </w:tcPr>
          <w:p>
            <w:pPr>
              <w:jc w:val="right"/>
            </w:pPr>
            <w:r/>
            <w:r>
              <w:rPr>
                <w:color w:val="1A1D21"/>
                <w:sz w:val="15"/>
              </w:rPr>
              <w:t>650.1517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lease liabilities lt</w:t>
            </w:r>
          </w:p>
        </w:tc>
        <w:tc>
          <w:tcPr>
            <w:tcW w:type="dxa" w:w="1332"/>
          </w:tcPr>
          <w:p>
            <w:pPr>
              <w:jc w:val="right"/>
            </w:pPr>
            <w:r/>
            <w:r>
              <w:rPr>
                <w:color w:val="1A1D21"/>
                <w:sz w:val="15"/>
              </w:rPr>
              <w:t>60.7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lt bridge</w:t>
            </w:r>
          </w:p>
        </w:tc>
        <w:tc>
          <w:tcPr>
            <w:tcW w:type="dxa" w:w="1332"/>
          </w:tcPr>
          <w:p>
            <w:pPr>
              <w:jc w:val="right"/>
            </w:pPr>
            <w:r/>
            <w:r>
              <w:rPr>
                <w:color w:val="1A1D21"/>
                <w:sz w:val="15"/>
              </w:rPr>
              <w:t>78.3296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lease liabilities st</w:t>
            </w:r>
          </w:p>
        </w:tc>
        <w:tc>
          <w:tcPr>
            <w:tcW w:type="dxa" w:w="1332"/>
          </w:tcPr>
          <w:p>
            <w:pPr>
              <w:jc w:val="right"/>
            </w:pPr>
            <w:r/>
            <w:r>
              <w:rPr>
                <w:color w:val="1A1D21"/>
                <w:sz w:val="15"/>
              </w:rPr>
              <w:t>41.9</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st bridge</w:t>
            </w:r>
          </w:p>
        </w:tc>
        <w:tc>
          <w:tcPr>
            <w:tcW w:type="dxa" w:w="1332"/>
          </w:tcPr>
          <w:p>
            <w:pPr>
              <w:jc w:val="right"/>
            </w:pPr>
            <w:r/>
            <w:r>
              <w:rPr>
                <w:color w:val="1A1D21"/>
                <w:sz w:val="15"/>
              </w:rPr>
              <w:t>63.2638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loans long term</w:t>
            </w:r>
          </w:p>
        </w:tc>
        <w:tc>
          <w:tcPr>
            <w:tcW w:type="dxa" w:w="1332"/>
          </w:tcPr>
          <w:p>
            <w:pPr>
              <w:jc w:val="right"/>
            </w:pPr>
            <w:r/>
            <w:r>
              <w:rPr>
                <w:color w:val="1A1D21"/>
                <w:sz w:val="15"/>
              </w:rPr>
              <w:t>10,543.1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loans long term bridge</w:t>
            </w:r>
          </w:p>
        </w:tc>
        <w:tc>
          <w:tcPr>
            <w:tcW w:type="dxa" w:w="1332"/>
          </w:tcPr>
          <w:p>
            <w:pPr>
              <w:jc w:val="right"/>
            </w:pPr>
            <w:r/>
            <w:r>
              <w:rPr>
                <w:color w:val="1A1D21"/>
                <w:sz w:val="15"/>
              </w:rPr>
              <w:t>10,236.2802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payable long term</w:t>
            </w:r>
          </w:p>
        </w:tc>
        <w:tc>
          <w:tcPr>
            <w:tcW w:type="dxa" w:w="1332"/>
          </w:tcPr>
          <w:p>
            <w:pPr>
              <w:jc w:val="right"/>
            </w:pPr>
            <w:r/>
            <w:r>
              <w:rPr>
                <w:color w:val="1A1D21"/>
                <w:sz w:val="15"/>
              </w:rPr>
              <w:t>4,505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long term bridge</w:t>
            </w:r>
          </w:p>
        </w:tc>
        <w:tc>
          <w:tcPr>
            <w:tcW w:type="dxa" w:w="1332"/>
          </w:tcPr>
          <w:p>
            <w:pPr>
              <w:jc w:val="right"/>
            </w:pPr>
            <w:r/>
            <w:r>
              <w:rPr>
                <w:color w:val="1A1D21"/>
                <w:sz w:val="15"/>
              </w:rPr>
              <w:t>4,016.7146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payable short term</w:t>
            </w:r>
          </w:p>
        </w:tc>
        <w:tc>
          <w:tcPr>
            <w:tcW w:type="dxa" w:w="1332"/>
          </w:tcPr>
          <w:p>
            <w:pPr>
              <w:jc w:val="right"/>
            </w:pPr>
            <w:r/>
            <w:r>
              <w:rPr>
                <w:color w:val="1A1D21"/>
                <w:sz w:val="15"/>
              </w:rPr>
              <w:t>4,875.7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short term bridge</w:t>
            </w:r>
          </w:p>
        </w:tc>
        <w:tc>
          <w:tcPr>
            <w:tcW w:type="dxa" w:w="1332"/>
          </w:tcPr>
          <w:p>
            <w:pPr>
              <w:jc w:val="right"/>
            </w:pPr>
            <w:r/>
            <w:r>
              <w:rPr>
                <w:color w:val="1A1D21"/>
                <w:sz w:val="15"/>
              </w:rPr>
              <w:t>4,778.4615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cff fy25</w:t>
            </w:r>
          </w:p>
        </w:tc>
        <w:tc>
          <w:tcPr>
            <w:tcW w:type="dxa" w:w="1332"/>
          </w:tcPr>
          <w:p>
            <w:pPr>
              <w:jc w:val="right"/>
            </w:pPr>
            <w:r/>
            <w:r>
              <w:rPr>
                <w:color w:val="1A1D21"/>
                <w:sz w:val="15"/>
              </w:rPr>
              <w:t>5,628.8</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cfi fy25</w:t>
            </w:r>
          </w:p>
        </w:tc>
        <w:tc>
          <w:tcPr>
            <w:tcW w:type="dxa" w:w="1332"/>
          </w:tcPr>
          <w:p>
            <w:pPr>
              <w:jc w:val="right"/>
            </w:pPr>
            <w:r/>
            <w:r>
              <w:rPr>
                <w:color w:val="1A1D21"/>
                <w:sz w:val="15"/>
              </w:rPr>
              <w:t>-4,031.7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cfo 1h26</w:t>
            </w:r>
          </w:p>
        </w:tc>
        <w:tc>
          <w:tcPr>
            <w:tcW w:type="dxa" w:w="1332"/>
          </w:tcPr>
          <w:p>
            <w:pPr>
              <w:jc w:val="right"/>
            </w:pPr>
            <w:r/>
            <w:r>
              <w:rPr>
                <w:color w:val="1A1D21"/>
                <w:sz w:val="15"/>
              </w:rPr>
              <w:t>1,499.0682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30 June 2026 reviewed statements, CONSOLIDATED STATEMENT OF CASH FLOWS; net cash provided by operating activities. The statement's investing line is misprinted on the scan and was RECOVERED from i</w:t>
            </w:r>
          </w:p>
        </w:tc>
      </w:tr>
      <w:tr>
        <w:trPr>
          <w:cantSplit/>
        </w:trPr>
        <w:tc>
          <w:tcPr>
            <w:tcW w:type="dxa" w:w="1814"/>
          </w:tcPr>
          <w:p>
            <w:r/>
            <w:r>
              <w:rPr>
                <w:color w:val="1A1D21"/>
                <w:sz w:val="15"/>
              </w:rPr>
              <w:t>cfo fy23</w:t>
            </w:r>
          </w:p>
        </w:tc>
        <w:tc>
          <w:tcPr>
            <w:tcW w:type="dxa" w:w="1332"/>
          </w:tcPr>
          <w:p>
            <w:pPr>
              <w:jc w:val="right"/>
            </w:pPr>
            <w:r/>
            <w:r>
              <w:rPr>
                <w:color w:val="1A1D21"/>
                <w:sz w:val="15"/>
              </w:rPr>
              <w:t>756.7</w:t>
            </w:r>
          </w:p>
        </w:tc>
        <w:tc>
          <w:tcPr>
            <w:tcW w:type="dxa" w:w="907"/>
          </w:tcPr>
          <w:p>
            <w:r/>
            <w:r>
              <w:rPr>
                <w:color w:val="1A1D21"/>
                <w:sz w:val="15"/>
              </w:rPr>
              <w:t>EGP mn</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FY2024 earnings release (comparative)</w:t>
            </w:r>
          </w:p>
        </w:tc>
      </w:tr>
      <w:tr>
        <w:trPr>
          <w:cantSplit/>
        </w:trPr>
        <w:tc>
          <w:tcPr>
            <w:tcW w:type="dxa" w:w="1814"/>
          </w:tcPr>
          <w:p>
            <w:r/>
            <w:r>
              <w:rPr>
                <w:color w:val="1A1D21"/>
                <w:sz w:val="15"/>
              </w:rPr>
              <w:t>cfo fy24</w:t>
            </w:r>
          </w:p>
        </w:tc>
        <w:tc>
          <w:tcPr>
            <w:tcW w:type="dxa" w:w="1332"/>
          </w:tcPr>
          <w:p>
            <w:pPr>
              <w:jc w:val="right"/>
            </w:pPr>
            <w:r/>
            <w:r>
              <w:rPr>
                <w:color w:val="1A1D21"/>
                <w:sz w:val="15"/>
              </w:rPr>
              <w:t>4,854.8</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1814"/>
          </w:tcPr>
          <w:p>
            <w:r/>
            <w:r>
              <w:rPr>
                <w:color w:val="1A1D21"/>
                <w:sz w:val="15"/>
              </w:rPr>
              <w:t>cfo fy25</w:t>
            </w:r>
          </w:p>
        </w:tc>
        <w:tc>
          <w:tcPr>
            <w:tcW w:type="dxa" w:w="1332"/>
          </w:tcPr>
          <w:p>
            <w:pPr>
              <w:jc w:val="right"/>
            </w:pPr>
            <w:r/>
            <w:r>
              <w:rPr>
                <w:color w:val="1A1D21"/>
                <w:sz w:val="15"/>
              </w:rPr>
              <w:t>1,424.2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cogs fy24</w:t>
            </w:r>
          </w:p>
        </w:tc>
        <w:tc>
          <w:tcPr>
            <w:tcW w:type="dxa" w:w="1332"/>
          </w:tcPr>
          <w:p>
            <w:pPr>
              <w:jc w:val="right"/>
            </w:pPr>
            <w:r/>
            <w:r>
              <w:rPr>
                <w:color w:val="1A1D21"/>
                <w:sz w:val="15"/>
              </w:rPr>
              <w:t>17,837.2</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w:t>
            </w:r>
          </w:p>
        </w:tc>
      </w:tr>
      <w:tr>
        <w:trPr>
          <w:cantSplit/>
        </w:trPr>
        <w:tc>
          <w:tcPr>
            <w:tcW w:type="dxa" w:w="1814"/>
          </w:tcPr>
          <w:p>
            <w:r/>
            <w:r>
              <w:rPr>
                <w:color w:val="1A1D21"/>
                <w:sz w:val="15"/>
              </w:rPr>
              <w:t>cogs fy25</w:t>
            </w:r>
          </w:p>
        </w:tc>
        <w:tc>
          <w:tcPr>
            <w:tcW w:type="dxa" w:w="1332"/>
          </w:tcPr>
          <w:p>
            <w:pPr>
              <w:jc w:val="right"/>
            </w:pPr>
            <w:r/>
            <w:r>
              <w:rPr>
                <w:color w:val="1A1D21"/>
                <w:sz w:val="15"/>
              </w:rPr>
              <w:t>21,118.9</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da fy25</w:t>
            </w:r>
          </w:p>
        </w:tc>
        <w:tc>
          <w:tcPr>
            <w:tcW w:type="dxa" w:w="1332"/>
          </w:tcPr>
          <w:p>
            <w:pPr>
              <w:jc w:val="right"/>
            </w:pPr>
            <w:r/>
            <w:r>
              <w:rPr>
                <w:color w:val="1A1D21"/>
                <w:sz w:val="15"/>
              </w:rPr>
              <w:t>353.7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finance cost fy25</w:t>
            </w:r>
          </w:p>
        </w:tc>
        <w:tc>
          <w:tcPr>
            <w:tcW w:type="dxa" w:w="1332"/>
          </w:tcPr>
          <w:p>
            <w:pPr>
              <w:jc w:val="right"/>
            </w:pPr>
            <w:r/>
            <w:r>
              <w:rPr>
                <w:color w:val="1A1D21"/>
                <w:sz w:val="15"/>
              </w:rPr>
              <w:t>3,347.5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gross profit 1h26</w:t>
            </w:r>
          </w:p>
        </w:tc>
        <w:tc>
          <w:tcPr>
            <w:tcW w:type="dxa" w:w="1332"/>
          </w:tcPr>
          <w:p>
            <w:pPr>
              <w:jc w:val="right"/>
            </w:pPr>
            <w:r/>
            <w:r>
              <w:rPr>
                <w:color w:val="1A1D21"/>
                <w:sz w:val="15"/>
              </w:rPr>
              <w:t>6,926.0221</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CONSOLIDATED STATEMENT OF INCOME, read by OCR off the rendered pixels and fo</w:t>
            </w:r>
          </w:p>
        </w:tc>
      </w:tr>
      <w:tr>
        <w:trPr>
          <w:cantSplit/>
        </w:trPr>
        <w:tc>
          <w:tcPr>
            <w:tcW w:type="dxa" w:w="1814"/>
          </w:tcPr>
          <w:p>
            <w:r/>
            <w:r>
              <w:rPr>
                <w:color w:val="1A1D21"/>
                <w:sz w:val="15"/>
              </w:rPr>
              <w:t>gross profit 1q26</w:t>
            </w:r>
          </w:p>
        </w:tc>
        <w:tc>
          <w:tcPr>
            <w:tcW w:type="dxa" w:w="1332"/>
          </w:tcPr>
          <w:p>
            <w:pPr>
              <w:jc w:val="right"/>
            </w:pPr>
            <w:r/>
            <w:r>
              <w:rPr>
                <w:color w:val="1A1D21"/>
                <w:sz w:val="15"/>
              </w:rPr>
              <w:t>3,300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margin 35% versus 44% in 1Q2025</w:t>
            </w:r>
          </w:p>
        </w:tc>
      </w:tr>
      <w:tr>
        <w:trPr>
          <w:cantSplit/>
        </w:trPr>
        <w:tc>
          <w:tcPr>
            <w:tcW w:type="dxa" w:w="1814"/>
          </w:tcPr>
          <w:p>
            <w:r/>
            <w:r>
              <w:rPr>
                <w:color w:val="1A1D21"/>
                <w:sz w:val="15"/>
              </w:rPr>
              <w:t>gross profit fy25</w:t>
            </w:r>
          </w:p>
        </w:tc>
        <w:tc>
          <w:tcPr>
            <w:tcW w:type="dxa" w:w="1332"/>
          </w:tcPr>
          <w:p>
            <w:pPr>
              <w:jc w:val="right"/>
            </w:pPr>
            <w:r/>
            <w:r>
              <w:rPr>
                <w:color w:val="1A1D21"/>
                <w:sz w:val="15"/>
              </w:rPr>
              <w:t>14,887.6</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npat 1q26</w:t>
            </w:r>
          </w:p>
        </w:tc>
        <w:tc>
          <w:tcPr>
            <w:tcW w:type="dxa" w:w="1332"/>
          </w:tcPr>
          <w:p>
            <w:pPr>
              <w:jc w:val="right"/>
            </w:pPr>
            <w:r/>
            <w:r>
              <w:rPr>
                <w:color w:val="1A1D21"/>
                <w:sz w:val="15"/>
              </w:rPr>
              <w:t>1,200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npat mi fy25</w:t>
            </w:r>
          </w:p>
        </w:tc>
        <w:tc>
          <w:tcPr>
            <w:tcW w:type="dxa" w:w="1332"/>
          </w:tcPr>
          <w:p>
            <w:pPr>
              <w:jc w:val="right"/>
            </w:pPr>
            <w:r/>
            <w:r>
              <w:rPr>
                <w:color w:val="1A1D21"/>
                <w:sz w:val="15"/>
              </w:rPr>
              <w:t>4,216.7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npbt fy25</w:t>
            </w:r>
          </w:p>
        </w:tc>
        <w:tc>
          <w:tcPr>
            <w:tcW w:type="dxa" w:w="1332"/>
          </w:tcPr>
          <w:p>
            <w:pPr>
              <w:jc w:val="right"/>
            </w:pPr>
            <w:r/>
            <w:r>
              <w:rPr>
                <w:color w:val="1A1D21"/>
                <w:sz w:val="15"/>
              </w:rPr>
              <w:t>6,251.1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revenue 1h26</w:t>
            </w:r>
          </w:p>
        </w:tc>
        <w:tc>
          <w:tcPr>
            <w:tcW w:type="dxa" w:w="1332"/>
          </w:tcPr>
          <w:p>
            <w:pPr>
              <w:jc w:val="right"/>
            </w:pPr>
            <w:r/>
            <w:r>
              <w:rPr>
                <w:color w:val="1A1D21"/>
                <w:sz w:val="15"/>
              </w:rPr>
              <w:t>19,528.1177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CONSOLIDATED STATEMENT OF INCOME, read by OCR off the rendered pixels and fo</w:t>
            </w:r>
          </w:p>
        </w:tc>
      </w:tr>
      <w:tr>
        <w:trPr>
          <w:cantSplit/>
        </w:trPr>
        <w:tc>
          <w:tcPr>
            <w:tcW w:type="dxa" w:w="1814"/>
          </w:tcPr>
          <w:p>
            <w:r/>
            <w:r>
              <w:rPr>
                <w:color w:val="1A1D21"/>
                <w:sz w:val="15"/>
              </w:rPr>
              <w:t>revenue fy23</w:t>
            </w:r>
          </w:p>
        </w:tc>
        <w:tc>
          <w:tcPr>
            <w:tcW w:type="dxa" w:w="1332"/>
          </w:tcPr>
          <w:p>
            <w:pPr>
              <w:jc w:val="right"/>
            </w:pPr>
            <w:r/>
            <w:r>
              <w:rPr>
                <w:color w:val="1A1D21"/>
                <w:sz w:val="15"/>
              </w:rPr>
              <w:t>17,462.1</w:t>
            </w:r>
          </w:p>
        </w:tc>
        <w:tc>
          <w:tcPr>
            <w:tcW w:type="dxa" w:w="907"/>
          </w:tcPr>
          <w:p>
            <w:r/>
            <w:r>
              <w:rPr>
                <w:color w:val="1A1D21"/>
                <w:sz w:val="15"/>
              </w:rPr>
              <w:t>EGP mn</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FY2023 consolidated financial statements</w:t>
            </w:r>
          </w:p>
        </w:tc>
      </w:tr>
      <w:tr>
        <w:trPr>
          <w:cantSplit/>
        </w:trPr>
        <w:tc>
          <w:tcPr>
            <w:tcW w:type="dxa" w:w="1814"/>
          </w:tcPr>
          <w:p>
            <w:r/>
            <w:r>
              <w:rPr>
                <w:color w:val="1A1D21"/>
                <w:sz w:val="15"/>
              </w:rPr>
              <w:t>revenue fy24</w:t>
            </w:r>
          </w:p>
        </w:tc>
        <w:tc>
          <w:tcPr>
            <w:tcW w:type="dxa" w:w="1332"/>
          </w:tcPr>
          <w:p>
            <w:pPr>
              <w:jc w:val="right"/>
            </w:pPr>
            <w:r/>
            <w:r>
              <w:rPr>
                <w:color w:val="1A1D21"/>
                <w:sz w:val="15"/>
              </w:rPr>
              <w:t>27,167.3</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(comparative column)</w:t>
            </w:r>
          </w:p>
        </w:tc>
      </w:tr>
      <w:tr>
        <w:trPr>
          <w:cantSplit/>
        </w:trPr>
        <w:tc>
          <w:tcPr>
            <w:tcW w:type="dxa" w:w="1814"/>
          </w:tcPr>
          <w:p>
            <w:r/>
            <w:r>
              <w:rPr>
                <w:color w:val="1A1D21"/>
                <w:sz w:val="15"/>
              </w:rPr>
              <w:t>revenue fy25</w:t>
            </w:r>
          </w:p>
        </w:tc>
        <w:tc>
          <w:tcPr>
            <w:tcW w:type="dxa" w:w="1332"/>
          </w:tcPr>
          <w:p>
            <w:pPr>
              <w:jc w:val="right"/>
            </w:pPr>
            <w:r/>
            <w:r>
              <w:rPr>
                <w:color w:val="1A1D21"/>
                <w:sz w:val="15"/>
              </w:rPr>
              <w:t>36,169.3</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sga fy25</w:t>
            </w:r>
          </w:p>
        </w:tc>
        <w:tc>
          <w:tcPr>
            <w:tcW w:type="dxa" w:w="1332"/>
          </w:tcPr>
          <w:p>
            <w:pPr>
              <w:jc w:val="right"/>
            </w:pPr>
            <w:r/>
            <w:r>
              <w:rPr>
                <w:color w:val="1A1D21"/>
                <w:sz w:val="15"/>
              </w:rPr>
              <w:t>6,365.6</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tax fy25</w:t>
            </w:r>
          </w:p>
        </w:tc>
        <w:tc>
          <w:tcPr>
            <w:tcW w:type="dxa" w:w="1332"/>
          </w:tcPr>
          <w:p>
            <w:pPr>
              <w:jc w:val="right"/>
            </w:pPr>
            <w:r/>
            <w:r>
              <w:rPr>
                <w:color w:val="1A1D21"/>
                <w:sz w:val="15"/>
              </w:rPr>
              <w:t>1,827.2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backlog 1q26</w:t>
            </w:r>
          </w:p>
        </w:tc>
        <w:tc>
          <w:tcPr>
            <w:tcW w:type="dxa" w:w="1332"/>
          </w:tcPr>
          <w:p>
            <w:pPr>
              <w:jc w:val="right"/>
            </w:pPr>
            <w:r/>
            <w:r>
              <w:rPr>
                <w:color w:val="1A1D21"/>
                <w:sz w:val="15"/>
              </w:rPr>
              <w:t>263,000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814"/>
          </w:tcPr>
          <w:p>
            <w:r/>
            <w:r>
              <w:rPr>
                <w:color w:val="1A1D21"/>
                <w:sz w:val="15"/>
              </w:rPr>
              <w:t>backlog fy23</w:t>
            </w:r>
          </w:p>
        </w:tc>
        <w:tc>
          <w:tcPr>
            <w:tcW w:type="dxa" w:w="1332"/>
          </w:tcPr>
          <w:p>
            <w:pPr>
              <w:jc w:val="right"/>
            </w:pPr>
            <w:r/>
            <w:r>
              <w:rPr>
                <w:color w:val="1A1D21"/>
                <w:sz w:val="15"/>
              </w:rPr>
              <w:t>60,000</w:t>
            </w:r>
          </w:p>
        </w:tc>
        <w:tc>
          <w:tcPr>
            <w:tcW w:type="dxa" w:w="907"/>
          </w:tcPr>
          <w:p>
            <w:r/>
            <w:r>
              <w:rPr>
                <w:color w:val="1A1D21"/>
                <w:sz w:val="15"/>
              </w:rPr>
              <w:t>EGP mn</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FY2024 earnings release (comparative)</w:t>
            </w:r>
          </w:p>
        </w:tc>
      </w:tr>
      <w:tr>
        <w:trPr>
          <w:cantSplit/>
        </w:trPr>
        <w:tc>
          <w:tcPr>
            <w:tcW w:type="dxa" w:w="1814"/>
          </w:tcPr>
          <w:p>
            <w:r/>
            <w:r>
              <w:rPr>
                <w:color w:val="1A1D21"/>
                <w:sz w:val="15"/>
              </w:rPr>
              <w:t>backlog fy24</w:t>
            </w:r>
          </w:p>
        </w:tc>
        <w:tc>
          <w:tcPr>
            <w:tcW w:type="dxa" w:w="1332"/>
          </w:tcPr>
          <w:p>
            <w:pPr>
              <w:jc w:val="right"/>
            </w:pPr>
            <w:r/>
            <w:r>
              <w:rPr>
                <w:color w:val="1A1D21"/>
                <w:sz w:val="15"/>
              </w:rPr>
              <w:t>147,000</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w:t>
            </w:r>
          </w:p>
        </w:tc>
      </w:tr>
      <w:tr>
        <w:trPr>
          <w:cantSplit/>
        </w:trPr>
        <w:tc>
          <w:tcPr>
            <w:tcW w:type="dxa" w:w="1814"/>
          </w:tcPr>
          <w:p>
            <w:r/>
            <w:r>
              <w:rPr>
                <w:color w:val="1A1D21"/>
                <w:sz w:val="15"/>
              </w:rPr>
              <w:t>collections fy24</w:t>
            </w:r>
          </w:p>
        </w:tc>
        <w:tc>
          <w:tcPr>
            <w:tcW w:type="dxa" w:w="1332"/>
          </w:tcPr>
          <w:p>
            <w:pPr>
              <w:jc w:val="right"/>
            </w:pPr>
            <w:r/>
            <w:r>
              <w:rPr>
                <w:color w:val="1A1D21"/>
                <w:sz w:val="15"/>
              </w:rPr>
              <w:t>25,400</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w:t>
            </w:r>
          </w:p>
        </w:tc>
      </w:tr>
      <w:tr>
        <w:trPr>
          <w:cantSplit/>
        </w:trPr>
        <w:tc>
          <w:tcPr>
            <w:tcW w:type="dxa" w:w="1814"/>
          </w:tcPr>
          <w:p>
            <w:r/>
            <w:r>
              <w:rPr>
                <w:color w:val="1A1D21"/>
                <w:sz w:val="15"/>
              </w:rPr>
              <w:t>construction fy23</w:t>
            </w:r>
          </w:p>
        </w:tc>
        <w:tc>
          <w:tcPr>
            <w:tcW w:type="dxa" w:w="1332"/>
          </w:tcPr>
          <w:p>
            <w:pPr>
              <w:jc w:val="right"/>
            </w:pPr>
            <w:r/>
            <w:r>
              <w:rPr>
                <w:color w:val="1A1D21"/>
                <w:sz w:val="15"/>
              </w:rPr>
              <w:t>7,500</w:t>
            </w:r>
          </w:p>
        </w:tc>
        <w:tc>
          <w:tcPr>
            <w:tcW w:type="dxa" w:w="907"/>
          </w:tcPr>
          <w:p>
            <w:r/>
            <w:r>
              <w:rPr>
                <w:color w:val="1A1D21"/>
                <w:sz w:val="15"/>
              </w:rPr>
              <w:t>EGP mn</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FY2023 earnings release</w:t>
            </w:r>
          </w:p>
        </w:tc>
      </w:tr>
      <w:tr>
        <w:trPr>
          <w:cantSplit/>
        </w:trPr>
        <w:tc>
          <w:tcPr>
            <w:tcW w:type="dxa" w:w="1814"/>
          </w:tcPr>
          <w:p>
            <w:r/>
            <w:r>
              <w:rPr>
                <w:color w:val="1A1D21"/>
                <w:sz w:val="15"/>
              </w:rPr>
              <w:t>construction fy24</w:t>
            </w:r>
          </w:p>
        </w:tc>
        <w:tc>
          <w:tcPr>
            <w:tcW w:type="dxa" w:w="1332"/>
          </w:tcPr>
          <w:p>
            <w:pPr>
              <w:jc w:val="right"/>
            </w:pPr>
            <w:r/>
            <w:r>
              <w:rPr>
                <w:color w:val="1A1D21"/>
                <w:sz w:val="15"/>
              </w:rPr>
              <w:t>8,500</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 — "The Company spent EGP8.5 billion on construction activities during FY2024"</w:t>
            </w:r>
          </w:p>
        </w:tc>
      </w:tr>
      <w:tr>
        <w:trPr>
          <w:cantSplit/>
        </w:trPr>
        <w:tc>
          <w:tcPr>
            <w:tcW w:type="dxa" w:w="1814"/>
          </w:tcPr>
          <w:p>
            <w:r/>
            <w:r>
              <w:rPr>
                <w:color w:val="1A1D21"/>
                <w:sz w:val="15"/>
              </w:rPr>
              <w:t>land bank sqm mn</w:t>
            </w:r>
          </w:p>
        </w:tc>
        <w:tc>
          <w:tcPr>
            <w:tcW w:type="dxa" w:w="1332"/>
          </w:tcPr>
          <w:p>
            <w:pPr>
              <w:jc w:val="right"/>
            </w:pPr>
            <w:r/>
            <w:r>
              <w:rPr>
                <w:color w:val="1A1D21"/>
                <w:sz w:val="15"/>
              </w:rPr>
              <w:t>46</w:t>
            </w:r>
          </w:p>
        </w:tc>
        <w:tc>
          <w:tcPr>
            <w:tcW w:type="dxa" w:w="907"/>
          </w:tcPr>
          <w:p>
            <w:r/>
            <w:r>
              <w:rPr>
                <w:color w:val="1A1D21"/>
                <w:sz w:val="15"/>
              </w:rPr>
              <w:t>mn sqm</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(Cairo, 20 May 2026, for the period ended 31 March 2026) — land bank "spreading over 46 million square meters"</w:t>
            </w:r>
          </w:p>
        </w:tc>
      </w:tr>
      <w:tr>
        <w:trPr>
          <w:cantSplit/>
        </w:trPr>
        <w:tc>
          <w:tcPr>
            <w:tcW w:type="dxa" w:w="1814"/>
          </w:tcPr>
          <w:p>
            <w:r/>
            <w:r>
              <w:rPr>
                <w:color w:val="1A1D21"/>
                <w:sz w:val="15"/>
              </w:rPr>
              <w:t>new sales 1q26</w:t>
            </w:r>
          </w:p>
        </w:tc>
        <w:tc>
          <w:tcPr>
            <w:tcW w:type="dxa" w:w="1332"/>
          </w:tcPr>
          <w:p>
            <w:pPr>
              <w:jc w:val="right"/>
            </w:pPr>
            <w:r/>
            <w:r>
              <w:rPr>
                <w:color w:val="1A1D21"/>
                <w:sz w:val="15"/>
              </w:rPr>
              <w:t>52,000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"New sales recorded EGP 52 billion in 1Q2026"</w:t>
            </w:r>
          </w:p>
        </w:tc>
      </w:tr>
      <w:tr>
        <w:trPr>
          <w:cantSplit/>
        </w:trPr>
        <w:tc>
          <w:tcPr>
            <w:tcW w:type="dxa" w:w="1814"/>
          </w:tcPr>
          <w:p>
            <w:r/>
            <w:r>
              <w:rPr>
                <w:color w:val="1A1D21"/>
                <w:sz w:val="15"/>
              </w:rPr>
              <w:t>new sales fy24</w:t>
            </w:r>
          </w:p>
        </w:tc>
        <w:tc>
          <w:tcPr>
            <w:tcW w:type="dxa" w:w="1332"/>
          </w:tcPr>
          <w:p>
            <w:pPr>
              <w:jc w:val="right"/>
            </w:pPr>
            <w:r/>
            <w:r>
              <w:rPr>
                <w:color w:val="1A1D21"/>
                <w:sz w:val="15"/>
              </w:rPr>
              <w:t>151,016</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 chart series</w:t>
            </w:r>
          </w:p>
        </w:tc>
      </w:tr>
      <w:tr>
        <w:trPr>
          <w:cantSplit/>
        </w:trPr>
        <w:tc>
          <w:tcPr>
            <w:tcW w:type="dxa" w:w="1814"/>
          </w:tcPr>
          <w:p>
            <w:r/>
            <w:r>
              <w:rPr>
                <w:color w:val="1A1D21"/>
                <w:sz w:val="15"/>
              </w:rPr>
              <w:t>revenue 1q26</w:t>
            </w:r>
          </w:p>
        </w:tc>
        <w:tc>
          <w:tcPr>
            <w:tcW w:type="dxa" w:w="1332"/>
          </w:tcPr>
          <w:p>
            <w:pPr>
              <w:jc w:val="right"/>
            </w:pPr>
            <w:r/>
            <w:r>
              <w:rPr>
                <w:color w:val="1A1D21"/>
                <w:sz w:val="15"/>
              </w:rPr>
              <w:t>9,300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revenue 1q26 yoy</w:t>
            </w:r>
          </w:p>
        </w:tc>
        <w:tc>
          <w:tcPr>
            <w:tcW w:type="dxa" w:w="1332"/>
          </w:tcPr>
          <w:p>
            <w:pPr>
              <w:jc w:val="right"/>
            </w:pPr>
            <w:r/>
            <w:r>
              <w:rPr>
                <w:color w:val="1A1D21"/>
                <w:sz w:val="15"/>
              </w:rPr>
              <w:t>0.11</w:t>
            </w:r>
          </w:p>
        </w:tc>
        <w:tc>
          <w:tcPr>
            <w:tcW w:type="dxa" w:w="907"/>
          </w:tcPr>
          <w:p>
            <w:r/>
            <w:r>
              <w:rPr>
                <w:color w:val="1A1D21"/>
                <w:sz w:val="15"/>
              </w:rPr>
              <w:t>YoY</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814"/>
          </w:tcPr>
          <w:p>
            <w:r/>
            <w:r>
              <w:rPr>
                <w:color w:val="1A1D21"/>
                <w:sz w:val="15"/>
              </w:rPr>
              <w:t>units delivered fy23</w:t>
            </w:r>
          </w:p>
        </w:tc>
        <w:tc>
          <w:tcPr>
            <w:tcW w:type="dxa" w:w="1332"/>
          </w:tcPr>
          <w:p>
            <w:pPr>
              <w:jc w:val="right"/>
            </w:pPr>
            <w:r/>
            <w:r>
              <w:rPr>
                <w:color w:val="1A1D21"/>
                <w:sz w:val="15"/>
              </w:rPr>
              <w:t>1,500</w:t>
            </w:r>
          </w:p>
        </w:tc>
        <w:tc>
          <w:tcPr>
            <w:tcW w:type="dxa" w:w="907"/>
          </w:tcPr>
          <w:p>
            <w:r/>
            <w:r>
              <w:rPr>
                <w:color w:val="1A1D21"/>
                <w:sz w:val="15"/>
              </w:rPr>
              <w:t>units</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FY2023 earnings release</w:t>
            </w:r>
          </w:p>
        </w:tc>
      </w:tr>
      <w:tr>
        <w:trPr>
          <w:cantSplit/>
        </w:trPr>
        <w:tc>
          <w:tcPr>
            <w:tcW w:type="dxa" w:w="1814"/>
          </w:tcPr>
          <w:p>
            <w:r/>
            <w:r>
              <w:rPr>
                <w:color w:val="1A1D21"/>
                <w:sz w:val="15"/>
              </w:rPr>
              <w:t>units sold fy23</w:t>
            </w:r>
          </w:p>
        </w:tc>
        <w:tc>
          <w:tcPr>
            <w:tcW w:type="dxa" w:w="1332"/>
          </w:tcPr>
          <w:p>
            <w:pPr>
              <w:jc w:val="right"/>
            </w:pPr>
            <w:r/>
            <w:r>
              <w:rPr>
                <w:color w:val="1A1D21"/>
                <w:sz w:val="15"/>
              </w:rPr>
              <w:t>5,300</w:t>
            </w:r>
          </w:p>
        </w:tc>
        <w:tc>
          <w:tcPr>
            <w:tcW w:type="dxa" w:w="907"/>
          </w:tcPr>
          <w:p>
            <w:r/>
            <w:r>
              <w:rPr>
                <w:color w:val="1A1D21"/>
                <w:sz w:val="15"/>
              </w:rPr>
              <w:t>units</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FY2023 earnings release, chart series</w:t>
            </w:r>
          </w:p>
        </w:tc>
      </w:tr>
      <w:tr>
        <w:trPr>
          <w:cantSplit/>
        </w:trPr>
        <w:tc>
          <w:tcPr>
            <w:tcW w:type="dxa" w:w="1814"/>
          </w:tcPr>
          <w:p>
            <w:r/>
            <w:r>
              <w:rPr>
                <w:color w:val="1A1D21"/>
                <w:sz w:val="15"/>
              </w:rPr>
              <w:t>vdlc launch 1q26</w:t>
            </w:r>
          </w:p>
        </w:tc>
        <w:tc>
          <w:tcPr>
            <w:tcW w:type="dxa" w:w="1332"/>
          </w:tcPr>
          <w:p>
            <w:pPr>
              <w:jc w:val="right"/>
            </w:pPr>
            <w:r/>
            <w:r>
              <w:rPr>
                <w:color w:val="1A1D21"/>
                <w:sz w:val="15"/>
              </w:rPr>
              <w:t>24,000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shares outstanding bn</w:t>
            </w:r>
          </w:p>
        </w:tc>
        <w:tc>
          <w:tcPr>
            <w:tcW w:type="dxa" w:w="1332"/>
          </w:tcPr>
          <w:p>
            <w:pPr>
              <w:jc w:val="right"/>
            </w:pPr>
            <w:r/>
            <w:r>
              <w:rPr>
                <w:color w:val="1A1D21"/>
                <w:sz w:val="15"/>
              </w:rPr>
              <w:t>2.8599</w:t>
            </w:r>
          </w:p>
        </w:tc>
        <w:tc>
          <w:tcPr>
            <w:tcW w:type="dxa" w:w="907"/>
          </w:tcPr>
          <w:p>
            <w:r/>
            <w:r>
              <w:rPr>
                <w:color w:val="1A1D21"/>
                <w:sz w:val="15"/>
              </w:rPr>
              <w:t>bn shares</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Share capital per FY2025 balance sheet and the share count carried on the covered-name record</w:t>
            </w:r>
          </w:p>
        </w:tc>
      </w:tr>
      <w:tr>
        <w:trPr>
          <w:cantSplit/>
        </w:trPr>
        <w:tc>
          <w:tcPr>
            <w:tcW w:type="dxa" w:w="1814"/>
          </w:tcPr>
          <w:p>
            <w:r/>
            <w:r>
              <w:rPr>
                <w:color w:val="1A1D21"/>
                <w:sz w:val="15"/>
              </w:rPr>
              <w:t>spot</w:t>
            </w:r>
          </w:p>
        </w:tc>
        <w:tc>
          <w:tcPr>
            <w:tcW w:type="dxa" w:w="1332"/>
          </w:tcPr>
          <w:p>
            <w:pPr>
              <w:jc w:val="right"/>
            </w:pPr>
            <w:r/>
            <w:r>
              <w:rPr>
                <w:color w:val="1A1D21"/>
                <w:sz w:val="15"/>
              </w:rPr>
              <w:t>14.4</w:t>
            </w:r>
          </w:p>
        </w:tc>
        <w:tc>
          <w:tcPr>
            <w:tcW w:type="dxa" w:w="907"/>
          </w:tcPr>
          <w:p>
            <w:r/>
            <w:r>
              <w:rPr>
                <w:color w:val="1A1D21"/>
                <w:sz w:val="15"/>
              </w:rPr>
              <w:t>EGP/share</w:t>
            </w:r>
          </w:p>
        </w:tc>
        <w:tc>
          <w:tcPr>
            <w:tcW w:type="dxa" w:w="1134"/>
          </w:tcPr>
          <w:p>
            <w:pPr>
              <w:jc w:val="right"/>
            </w:pPr>
            <w:r/>
            <w:r>
              <w:rPr>
                <w:color w:val="1A1D21"/>
                <w:sz w:val="15"/>
              </w:rPr>
              <w:t>2026-08-23</w:t>
            </w:r>
          </w:p>
        </w:tc>
        <w:tc>
          <w:tcPr>
            <w:tcW w:type="dxa" w:w="794"/>
          </w:tcPr>
          <w:p>
            <w:r/>
            <w:r>
              <w:rPr>
                <w:color w:val="1A1D21"/>
                <w:sz w:val="15"/>
              </w:rPr>
              <w:t>B</w:t>
            </w:r>
          </w:p>
        </w:tc>
        <w:tc>
          <w:tcPr>
            <w:tcW w:type="dxa" w:w="3430"/>
          </w:tcPr>
          <w:p>
            <w:r/>
            <w:r>
              <w:rPr>
                <w:color w:val="1A1D21"/>
                <w:sz w:val="15"/>
              </w:rPr>
              <w:t xml:space="preserve">Egyptian Exchange closing price for PHDC, 3 September 2026. The previous edition was struck on the 23 August close of 15.20; no study in this series is delivered against a stale price, because a fair </w:t>
            </w:r>
          </w:p>
        </w:tc>
      </w:tr>
    </w:tbl>
    <w:p>
      <w:pPr>
        <w:spacing w:after="80"/>
      </w:pPr>
      <w:r>
        <w:rPr>
          <w:b w:val="0"/>
          <w:i w:val="0"/>
          <w:color w:val="1A1D21"/>
          <w:sz w:val="8"/>
        </w:rPr>
      </w:r>
    </w:p>
    <w:p>
      <w:pPr>
        <w:pStyle w:val="Heading3"/>
      </w:pPr>
      <w:r>
        <w:t>Other</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deferred tax liab bridge</w:t>
            </w:r>
          </w:p>
        </w:tc>
        <w:tc>
          <w:tcPr>
            <w:tcW w:type="dxa" w:w="1332"/>
          </w:tcPr>
          <w:p>
            <w:pPr>
              <w:jc w:val="right"/>
            </w:pPr>
            <w:r/>
            <w:r>
              <w:rPr>
                <w:color w:val="1A1D21"/>
                <w:sz w:val="15"/>
              </w:rPr>
              <w:t>42.5751</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due to related bridge</w:t>
            </w:r>
          </w:p>
        </w:tc>
        <w:tc>
          <w:tcPr>
            <w:tcW w:type="dxa" w:w="1332"/>
          </w:tcPr>
          <w:p>
            <w:pPr>
              <w:jc w:val="right"/>
            </w:pPr>
            <w:r/>
            <w:r>
              <w:rPr>
                <w:color w:val="1A1D21"/>
                <w:sz w:val="15"/>
              </w:rPr>
              <w:t>40.3617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income tax payable bridge</w:t>
            </w:r>
          </w:p>
        </w:tc>
        <w:tc>
          <w:tcPr>
            <w:tcW w:type="dxa" w:w="1332"/>
          </w:tcPr>
          <w:p>
            <w:pPr>
              <w:jc w:val="right"/>
            </w:pPr>
            <w:r/>
            <w:r>
              <w:rPr>
                <w:color w:val="1A1D21"/>
                <w:sz w:val="15"/>
              </w:rPr>
              <w:t>986.4698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joint shares lt bridge</w:t>
            </w:r>
          </w:p>
        </w:tc>
        <w:tc>
          <w:tcPr>
            <w:tcW w:type="dxa" w:w="1332"/>
          </w:tcPr>
          <w:p>
            <w:pPr>
              <w:jc w:val="right"/>
            </w:pPr>
            <w:r/>
            <w:r>
              <w:rPr>
                <w:color w:val="1A1D21"/>
                <w:sz w:val="15"/>
              </w:rPr>
              <w:t>3,530.9907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joint shares st bridge</w:t>
            </w:r>
          </w:p>
        </w:tc>
        <w:tc>
          <w:tcPr>
            <w:tcW w:type="dxa" w:w="1332"/>
          </w:tcPr>
          <w:p>
            <w:pPr>
              <w:jc w:val="right"/>
            </w:pPr>
            <w:r/>
            <w:r>
              <w:rPr>
                <w:color w:val="1A1D21"/>
                <w:sz w:val="15"/>
              </w:rPr>
              <w:t>1,831.7057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land purchase liab lt bridge</w:t>
            </w:r>
          </w:p>
        </w:tc>
        <w:tc>
          <w:tcPr>
            <w:tcW w:type="dxa" w:w="1332"/>
          </w:tcPr>
          <w:p>
            <w:pPr>
              <w:jc w:val="right"/>
            </w:pPr>
            <w:r/>
            <w:r>
              <w:rPr>
                <w:color w:val="1A1D21"/>
                <w:sz w:val="15"/>
              </w:rPr>
              <w:t>47.1347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land purchase liab st bridge</w:t>
            </w:r>
          </w:p>
        </w:tc>
        <w:tc>
          <w:tcPr>
            <w:tcW w:type="dxa" w:w="1332"/>
          </w:tcPr>
          <w:p>
            <w:pPr>
              <w:jc w:val="right"/>
            </w:pPr>
            <w:r/>
            <w:r>
              <w:rPr>
                <w:color w:val="1A1D21"/>
                <w:sz w:val="15"/>
              </w:rPr>
              <w:t>29.6125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net profit 6m bridge</w:t>
            </w:r>
          </w:p>
        </w:tc>
        <w:tc>
          <w:tcPr>
            <w:tcW w:type="dxa" w:w="1332"/>
          </w:tcPr>
          <w:p>
            <w:pPr>
              <w:jc w:val="right"/>
            </w:pPr>
            <w:r/>
            <w:r>
              <w:rPr>
                <w:color w:val="1A1D21"/>
                <w:sz w:val="15"/>
              </w:rPr>
              <w:t>2,264.8227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other lt assets bridge</w:t>
            </w:r>
          </w:p>
        </w:tc>
        <w:tc>
          <w:tcPr>
            <w:tcW w:type="dxa" w:w="1332"/>
          </w:tcPr>
          <w:p>
            <w:pPr>
              <w:jc w:val="right"/>
            </w:pPr>
            <w:r/>
            <w:r>
              <w:rPr>
                <w:color w:val="1A1D21"/>
                <w:sz w:val="15"/>
              </w:rPr>
              <w:t>1.75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projects under construction bridge</w:t>
            </w:r>
          </w:p>
        </w:tc>
        <w:tc>
          <w:tcPr>
            <w:tcW w:type="dxa" w:w="1332"/>
          </w:tcPr>
          <w:p>
            <w:pPr>
              <w:jc w:val="right"/>
            </w:pPr>
            <w:r/>
            <w:r>
              <w:rPr>
                <w:color w:val="1A1D21"/>
                <w:sz w:val="15"/>
              </w:rPr>
              <w:t>203.2154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provisions bridge</w:t>
            </w:r>
          </w:p>
        </w:tc>
        <w:tc>
          <w:tcPr>
            <w:tcW w:type="dxa" w:w="1332"/>
          </w:tcPr>
          <w:p>
            <w:pPr>
              <w:jc w:val="right"/>
            </w:pPr>
            <w:r/>
            <w:r>
              <w:rPr>
                <w:color w:val="1A1D21"/>
                <w:sz w:val="15"/>
              </w:rPr>
              <w:t>179.5639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residents association lt bridge</w:t>
            </w:r>
          </w:p>
        </w:tc>
        <w:tc>
          <w:tcPr>
            <w:tcW w:type="dxa" w:w="1332"/>
          </w:tcPr>
          <w:p>
            <w:pPr>
              <w:jc w:val="right"/>
            </w:pPr>
            <w:r/>
            <w:r>
              <w:rPr>
                <w:color w:val="1A1D21"/>
                <w:sz w:val="15"/>
              </w:rPr>
              <w:t>34,337.3848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right of use assets bridge</w:t>
            </w:r>
          </w:p>
        </w:tc>
        <w:tc>
          <w:tcPr>
            <w:tcW w:type="dxa" w:w="1332"/>
          </w:tcPr>
          <w:p>
            <w:pPr>
              <w:jc w:val="right"/>
            </w:pPr>
            <w:r/>
            <w:r>
              <w:rPr>
                <w:color w:val="1A1D21"/>
                <w:sz w:val="15"/>
              </w:rPr>
              <w:t>148.8607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subordinated loan assoc bridge</w:t>
            </w:r>
          </w:p>
        </w:tc>
        <w:tc>
          <w:tcPr>
            <w:tcW w:type="dxa" w:w="1332"/>
          </w:tcPr>
          <w:p>
            <w:pPr>
              <w:jc w:val="right"/>
            </w:pPr>
            <w:r/>
            <w:r>
              <w:rPr>
                <w:color w:val="1A1D21"/>
                <w:sz w:val="15"/>
              </w:rPr>
              <w:t>34.3335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928"/>
        <w:gridCol w:w="3742"/>
        <w:gridCol w:w="3629"/>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rPr>
          <w:cantSplit/>
        </w:trPr>
        <w:tc>
          <w:tcPr>
            <w:tcW w:type="dxa" w:w="1928"/>
          </w:tcPr>
          <w:p>
            <w:r/>
            <w:r>
              <w:rPr>
                <w:color w:val="1A1D21"/>
                <w:sz w:val="17"/>
              </w:rPr>
              <w:t>Discount rate</w:t>
            </w:r>
          </w:p>
        </w:tc>
        <w:tc>
          <w:tcPr>
            <w:tcW w:type="dxa" w:w="3742"/>
          </w:tcPr>
          <w:p>
            <w:r/>
            <w:r>
              <w:rPr>
                <w:color w:val="1A1D21"/>
                <w:sz w:val="17"/>
              </w:rPr>
              <w:t>Cost of capital rebuilt bottom-up at 26.10% on the rating basis and 25.11% on the swap basis, replacing the 11 June 2026 edition's 18%; unchanged in this edition.</w:t>
            </w:r>
          </w:p>
        </w:tc>
        <w:tc>
          <w:tcPr>
            <w:tcW w:type="dxa" w:w="3628"/>
          </w:tcPr>
          <w:p>
            <w:r/>
            <w:r>
              <w:rPr>
                <w:color w:val="1A1D21"/>
                <w:sz w:val="17"/>
              </w:rPr>
              <w:t>A sustained fall in the Egyptian sovereign yield, or evidence that the company borrows materially below sovereign plus 250 basis points.</w:t>
            </w:r>
          </w:p>
        </w:tc>
      </w:tr>
      <w:tr>
        <w:trPr>
          <w:cantSplit/>
        </w:trP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rPr>
          <w:cantSplit/>
        </w:trP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rPr>
          <w:cantSplit/>
        </w:trP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rPr>
          <w:cantSplit/>
        </w:trPr>
        <w:tc>
          <w:tcPr>
            <w:tcW w:type="dxa" w:w="1928"/>
          </w:tcPr>
          <w:p>
            <w:r/>
            <w:r>
              <w:rPr>
                <w:color w:val="1A1D21"/>
                <w:sz w:val="17"/>
              </w:rPr>
              <w:t>Per-project economics are not used</w:t>
            </w:r>
          </w:p>
        </w:tc>
        <w:tc>
          <w:tcPr>
            <w:tcW w:type="dxa" w:w="3742"/>
          </w:tcPr>
          <w:p>
            <w:r/>
            <w:r>
              <w:rPr>
                <w:color w:val="1A1D21"/>
                <w:sz w:val="17"/>
              </w:rPr>
              <w:t>The 11 June 2026 edition's project price and cost table is not disclosed by the company and is not reused.</w:t>
            </w:r>
          </w:p>
        </w:tc>
        <w:tc>
          <w:tcPr>
            <w:tcW w:type="dxa" w:w="3628"/>
          </w:tcPr>
          <w:p>
            <w:r/>
            <w:r>
              <w:rPr>
                <w:color w:val="1A1D21"/>
                <w:sz w:val="17"/>
              </w:rPr>
              <w:t>Project-level disclosure of unit mix, area, price and cost.</w:t>
            </w:r>
          </w:p>
        </w:tc>
      </w:tr>
      <w:tr>
        <w:trPr>
          <w:cantSplit/>
        </w:trPr>
        <w:tc>
          <w:tcPr>
            <w:tcW w:type="dxa" w:w="1928"/>
          </w:tcPr>
          <w:p>
            <w:r/>
            <w:r>
              <w:rPr>
                <w:color w:val="1A1D21"/>
                <w:sz w:val="17"/>
              </w:rPr>
              <w:t>The bridge stands on the latest disclosed balance sheet</w:t>
            </w:r>
          </w:p>
        </w:tc>
        <w:tc>
          <w:tcPr>
            <w:tcW w:type="dxa" w:w="3742"/>
          </w:tcPr>
          <w:p>
            <w:r/>
            <w:r>
              <w:rPr>
                <w:color w:val="1A1D21"/>
                <w:sz w:val="17"/>
              </w:rPr>
              <w:t>Net debt, associates, investment property and book equity are taken from the reviewed statement of 31 March 2026 (net debt EGP 27,471.2 million against 24,133.2 million at 31 December 2025); the projected statements keep the audited full year 2025 as their base.</w:t>
            </w:r>
          </w:p>
        </w:tc>
        <w:tc>
          <w:tcPr>
            <w:tcW w:type="dxa" w:w="3628"/>
          </w:tcPr>
          <w:p>
            <w:r/>
            <w:r>
              <w:rPr>
                <w:color w:val="1A1D21"/>
                <w:sz w:val="17"/>
              </w:rPr>
              <w:t>A later balance sheet — the half-year 2026 statements, once published.</w:t>
            </w:r>
          </w:p>
        </w:tc>
      </w:tr>
      <w:tr>
        <w:trPr>
          <w:cantSplit/>
        </w:trPr>
        <w:tc>
          <w:tcPr>
            <w:tcW w:type="dxa" w:w="1928"/>
          </w:tcPr>
          <w:p>
            <w:r/>
            <w:r>
              <w:rPr>
                <w:color w:val="1A1D21"/>
                <w:sz w:val="17"/>
              </w:rPr>
              <w:t>Minority interests deducted at their share of value</w:t>
            </w:r>
          </w:p>
        </w:tc>
        <w:tc>
          <w:tcPr>
            <w:tcW w:type="dxa" w:w="3742"/>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1,723.0 million (8.4% of equity); on the three-year mean profit share, 5.94%. Both are shown as reference.</w:t>
            </w:r>
          </w:p>
        </w:tc>
        <w:tc>
          <w:tcPr>
            <w:tcW w:type="dxa" w:w="3628"/>
          </w:tcPr>
          <w:p>
            <w:r/>
            <w:r>
              <w:rPr>
                <w:color w:val="1A1D21"/>
                <w:sz w:val="17"/>
              </w:rPr>
              <w:t>Disclosure of the subsidiaries that carry the minority with their own economics, which would let the minority be valued directly.</w:t>
            </w:r>
          </w:p>
        </w:tc>
      </w:tr>
      <w:tr>
        <w:trPr>
          <w:cantSplit/>
        </w:trPr>
        <w:tc>
          <w:tcPr>
            <w:tcW w:type="dxa" w:w="1928"/>
          </w:tcPr>
          <w:p>
            <w:r/>
            <w:r>
              <w:rPr>
                <w:color w:val="1A1D21"/>
                <w:sz w:val="17"/>
              </w:rPr>
              <w:t>Normalised earnings capitalised at cost of equity less growth</w:t>
            </w:r>
          </w:p>
        </w:tc>
        <w:tc>
          <w:tcPr>
            <w:tcW w:type="dxa" w:w="3742"/>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3628"/>
          </w:tcPr>
          <w:p>
            <w:r/>
            <w:r>
              <w:rPr>
                <w:color w:val="1A1D21"/>
                <w:sz w:val="17"/>
              </w:rPr>
              <w:t>Evidence that the company's real earnings are in secular decline, which would make the zero-growth form the right one.</w:t>
            </w:r>
          </w:p>
        </w:tc>
      </w:tr>
      <w:tr>
        <w:trPr>
          <w:cantSplit/>
        </w:trP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3175"/>
        <w:gridCol w:w="6124"/>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rPr>
          <w:cantSplit/>
        </w:trP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rPr>
          <w:cantSplit/>
        </w:trP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041"/>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rPr>
          <w:cantSplit/>
        </w:trP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rPr>
          <w:cantSplit/>
        </w:trP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rPr>
          <w:cantSplit/>
        </w:trP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rPr>
          <w:cantSplit/>
        </w:trP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2268"/>
        <w:gridCol w:w="7031"/>
      </w:tblGrid>
      <w:tr>
        <w:trPr>
          <w:tblHeader w:val="true"/>
        </w:trPr>
        <w:tc>
          <w:tcPr>
            <w:tcW w:type="dxa" w:w="2268"/>
          </w:tcPr>
          <w:p>
            <w:r/>
            <w:r>
              <w:rPr>
                <w:b/>
                <w:color w:val="5B6570"/>
                <w:sz w:val="17"/>
              </w:rPr>
              <w:t>Gap</w:t>
            </w:r>
          </w:p>
        </w:tc>
        <w:tc>
          <w:tcPr>
            <w:tcW w:type="dxa" w:w="7030"/>
          </w:tcPr>
          <w:p>
            <w:r/>
            <w:r>
              <w:rPr>
                <w:b/>
                <w:color w:val="5B6570"/>
                <w:sz w:val="17"/>
              </w:rPr>
              <w:t>Statement</w:t>
            </w:r>
          </w:p>
        </w:tc>
      </w:tr>
      <w:tr>
        <w:trPr>
          <w:cantSplit/>
        </w:trPr>
        <w:tc>
          <w:tcPr>
            <w:tcW w:type="dxa" w:w="2268"/>
          </w:tcPr>
          <w:p>
            <w:r/>
            <w:r>
              <w:rPr>
                <w:color w:val="1A1D21"/>
                <w:sz w:val="17"/>
              </w:rPr>
              <w:t>Cash Flow Statement Detail</w:t>
            </w:r>
          </w:p>
        </w:tc>
        <w:tc>
          <w:tcPr>
            <w:tcW w:type="dxa" w:w="7030"/>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rPr>
          <w:cantSplit/>
        </w:trP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