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217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249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174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Where assets are depreciated to a RESIDUAL VALUE the charge is (cost less residual) over life, so the same accumulated balance buys more years and the ratio OVERSTATES the age; where a useful life has been REASSESSED mid-life the charge is not level across the base's history and the identity is broken outright rather than merely biased. Both are disclosed in the accounting-policies note, so both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A SECOND NAME TO LEARN: SAVOLA's cross-check passes at 0.0% — it derived its life by the same identity — while its policy note says outright that the depreciable amount is cost LESS ITS RESIDUAL VALUE. The arithmetic would have waved it through and only the note catches it. Read the note first; the arithmetic corroborates and only sometimes.</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