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Sinai Cement Company S.A.E. (EGX: SCEM)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A limitation to state at the top</w:t>
      </w:r>
    </w:p>
    <w:p>
      <w:pPr>
        <w:spacing w:after="100" w:before="0"/>
      </w:pPr>
      <w:r>
        <w:rPr>
          <w:b w:val="0"/>
          <w:i w:val="0"/>
          <w:color w:val="1C3A36"/>
          <w:sz w:val="19"/>
        </w:rPr>
        <w:t>The company's audited consolidated financial statements could not be retrieved while this work was carried out. They are known to be published at sinaicement.com/wp-content/uploads/2025/05/SCC-AFS-E-1224.pdf, and every attempt to reach that address — along with the exchange's own disclosure portal and every financial data provider — was refused by the network policy governing this environment. Thirteen separate hosts were blocked.</w:t>
      </w:r>
    </w:p>
    <w:p>
      <w:pPr>
        <w:spacing w:after="100" w:before="0"/>
      </w:pPr>
      <w:r>
        <w:rPr>
          <w:b w:val="0"/>
          <w:i w:val="0"/>
          <w:color w:val="1C3A36"/>
          <w:sz w:val="19"/>
        </w:rPr>
        <w:t>The consequence is stated rather than hidden. Revenue and profit after tax are carried as reported through press coverage of the company's exchange filings — one step removed from the audited print. Every line between revenue and profit after tax is DERIVED by closing the disclosed profit, and is labelled as derived wherever it appears. Two entries below are flagged accordingly. A reader with access to the audited statements should re-run the model against them; the workbook is built so that changing the input reprices everything downstream.</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79</w:t>
            </w:r>
          </w:p>
        </w:tc>
        <w:tc>
          <w:tcPr>
            <w:tcW w:type="dxa" w:w="1066"/>
          </w:tcPr>
          <w:p>
            <w:pPr>
              <w:spacing w:after="20"/>
            </w:pPr>
            <w:r>
              <w:rPr>
                <w:color w:val="1C3A36"/>
                <w:sz w:val="14"/>
              </w:rPr>
              <w:t>Market</w:t>
            </w:r>
          </w:p>
        </w:tc>
        <w:tc>
          <w:tcPr>
            <w:tcW w:type="dxa" w:w="7171"/>
          </w:tcPr>
          <w:p>
            <w:pPr>
              <w:spacing w:after="20"/>
            </w:pPr>
            <w:r>
              <w:rPr>
                <w:color w:val="1C3A36"/>
                <w:sz w:val="14"/>
              </w:rPr>
              <w:t>Closing price 06-Aug-2026 from the supplied EGX daily series (open 81.80, high 82.50, low 78.30). Three reviewers quoted 81.10 with a 78.51-84.00 range; that is the 05-Aug row of the same file</w:t>
            </w:r>
          </w:p>
        </w:tc>
        <w:tc>
          <w:tcPr>
            <w:tcW w:type="dxa" w:w="1210"/>
          </w:tcPr>
          <w:p>
            <w:pPr>
              <w:spacing w:after="20"/>
            </w:pPr>
            <w:r>
              <w:rPr>
                <w:color w:val="1C3A36"/>
                <w:sz w:val="14"/>
              </w:rPr>
              <w:t>2026-08-06</w:t>
            </w:r>
          </w:p>
        </w:tc>
      </w:tr>
      <w:tr>
        <w:tc>
          <w:tcPr>
            <w:tcW w:type="dxa" w:w="432"/>
          </w:tcPr>
          <w:p>
            <w:pPr>
              <w:spacing w:after="20"/>
            </w:pPr>
            <w:r>
              <w:rPr>
                <w:color w:val="1C3A36"/>
                <w:sz w:val="14"/>
              </w:rPr>
              <w:t>2</w:t>
            </w:r>
          </w:p>
        </w:tc>
        <w:tc>
          <w:tcPr>
            <w:tcW w:type="dxa" w:w="2448"/>
          </w:tcPr>
          <w:p>
            <w:pPr>
              <w:spacing w:after="20"/>
            </w:pPr>
            <w:r>
              <w:rPr>
                <w:color w:val="1C3A36"/>
                <w:sz w:val="14"/>
              </w:rPr>
              <w:t>cap_cement_mt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171"/>
          </w:tcPr>
          <w:p>
            <w:pPr>
              <w:spacing w:after="20"/>
            </w:pPr>
            <w:r>
              <w:rPr>
                <w:color w:val="1C3A36"/>
                <w:sz w:val="14"/>
              </w:rPr>
              <w:t>Cement grinding capacity, El Hassana, two lines</w:t>
            </w:r>
          </w:p>
        </w:tc>
        <w:tc>
          <w:tcPr>
            <w:tcW w:type="dxa" w:w="1210"/>
          </w:tcPr>
          <w:p>
            <w:pPr>
              <w:spacing w:after="20"/>
            </w:pPr>
            <w:r>
              <w:rPr>
                <w:color w:val="1C3A36"/>
                <w:sz w:val="14"/>
              </w:rPr>
              <w:t>2025-03-23</w:t>
            </w:r>
          </w:p>
        </w:tc>
      </w:tr>
      <w:tr>
        <w:tc>
          <w:tcPr>
            <w:tcW w:type="dxa" w:w="432"/>
          </w:tcPr>
          <w:p>
            <w:pPr>
              <w:spacing w:after="20"/>
            </w:pPr>
            <w:r>
              <w:rPr>
                <w:color w:val="1C3A36"/>
                <w:sz w:val="14"/>
              </w:rPr>
              <w:t>3</w:t>
            </w:r>
          </w:p>
        </w:tc>
        <w:tc>
          <w:tcPr>
            <w:tcW w:type="dxa" w:w="2448"/>
          </w:tcPr>
          <w:p>
            <w:pPr>
              <w:spacing w:after="20"/>
            </w:pPr>
            <w:r>
              <w:rPr>
                <w:color w:val="1C3A36"/>
                <w:sz w:val="14"/>
              </w:rPr>
              <w:t>cap_clinker_mt</w:t>
            </w:r>
          </w:p>
        </w:tc>
        <w:tc>
          <w:tcPr>
            <w:tcW w:type="dxa" w:w="1325"/>
          </w:tcPr>
          <w:p>
            <w:pPr>
              <w:spacing w:after="20"/>
            </w:pPr>
            <w:r>
              <w:rPr>
                <w:color w:val="1C3A36"/>
                <w:sz w:val="14"/>
              </w:rPr>
              <w:t>2.57</w:t>
            </w:r>
          </w:p>
        </w:tc>
        <w:tc>
          <w:tcPr>
            <w:tcW w:type="dxa" w:w="1066"/>
          </w:tcPr>
          <w:p>
            <w:pPr>
              <w:spacing w:after="20"/>
            </w:pPr>
            <w:r>
              <w:rPr>
                <w:color w:val="1C3A36"/>
                <w:sz w:val="14"/>
              </w:rPr>
              <w:t>Company</w:t>
            </w:r>
          </w:p>
        </w:tc>
        <w:tc>
          <w:tcPr>
            <w:tcW w:type="dxa" w:w="7171"/>
          </w:tcPr>
          <w:p>
            <w:pPr>
              <w:spacing w:after="20"/>
            </w:pPr>
            <w:r>
              <w:rPr>
                <w:color w:val="1C3A36"/>
                <w:sz w:val="14"/>
              </w:rPr>
              <w:t>Kiln clinker capacity. The PAIR with cement capacity OBSERVES the clinker factor rather than assuming it, and settles which base a USD-per-tonne benchmark is quoted on</w:t>
            </w:r>
          </w:p>
        </w:tc>
        <w:tc>
          <w:tcPr>
            <w:tcW w:type="dxa" w:w="1210"/>
          </w:tcPr>
          <w:p>
            <w:pPr>
              <w:spacing w:after="20"/>
            </w:pPr>
            <w:r>
              <w:rPr>
                <w:color w:val="1C3A36"/>
                <w:sz w:val="14"/>
              </w:rPr>
              <w:t>2025-03-23</w:t>
            </w:r>
          </w:p>
        </w:tc>
      </w:tr>
      <w:tr>
        <w:tc>
          <w:tcPr>
            <w:tcW w:type="dxa" w:w="432"/>
          </w:tcPr>
          <w:p>
            <w:pPr>
              <w:spacing w:after="20"/>
            </w:pPr>
            <w:r>
              <w:rPr>
                <w:color w:val="1C3A36"/>
                <w:sz w:val="14"/>
              </w:rPr>
              <w:t>4</w:t>
            </w:r>
          </w:p>
        </w:tc>
        <w:tc>
          <w:tcPr>
            <w:tcW w:type="dxa" w:w="2448"/>
          </w:tcPr>
          <w:p>
            <w:pPr>
              <w:spacing w:after="20"/>
            </w:pPr>
            <w:r>
              <w:rPr>
                <w:color w:val="1C3A36"/>
                <w:sz w:val="14"/>
              </w:rPr>
              <w:t>capacity_mt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171"/>
          </w:tcPr>
          <w:p>
            <w:pPr>
              <w:spacing w:after="20"/>
            </w:pPr>
            <w:r>
              <w:rPr>
                <w:color w:val="1C3A36"/>
                <w:sz w:val="14"/>
              </w:rPr>
              <w:t>Alias of cement grinding capacity</w:t>
            </w:r>
          </w:p>
        </w:tc>
        <w:tc>
          <w:tcPr>
            <w:tcW w:type="dxa" w:w="1210"/>
          </w:tcPr>
          <w:p>
            <w:pPr>
              <w:spacing w:after="20"/>
            </w:pPr>
            <w:r>
              <w:rPr>
                <w:color w:val="1C3A36"/>
                <w:sz w:val="14"/>
              </w:rPr>
              <w:t>2025-03-23</w:t>
            </w:r>
          </w:p>
        </w:tc>
      </w:tr>
      <w:tr>
        <w:tc>
          <w:tcPr>
            <w:tcW w:type="dxa" w:w="432"/>
          </w:tcPr>
          <w:p>
            <w:pPr>
              <w:spacing w:after="20"/>
            </w:pPr>
            <w:r>
              <w:rPr>
                <w:color w:val="1C3A36"/>
                <w:sz w:val="14"/>
              </w:rPr>
              <w:t>5</w:t>
            </w:r>
          </w:p>
        </w:tc>
        <w:tc>
          <w:tcPr>
            <w:tcW w:type="dxa" w:w="2448"/>
          </w:tcPr>
          <w:p>
            <w:pPr>
              <w:spacing w:after="20"/>
            </w:pPr>
            <w:r>
              <w:rPr>
                <w:color w:val="1C3A36"/>
                <w:sz w:val="14"/>
              </w:rPr>
              <w:t>capex_run_rate</w:t>
            </w:r>
          </w:p>
        </w:tc>
        <w:tc>
          <w:tcPr>
            <w:tcW w:type="dxa" w:w="1325"/>
          </w:tcPr>
          <w:p>
            <w:pPr>
              <w:spacing w:after="20"/>
            </w:pPr>
            <w:r>
              <w:rPr>
                <w:color w:val="1C3A36"/>
                <w:sz w:val="14"/>
              </w:rPr>
              <w:t>303.211</w:t>
            </w:r>
          </w:p>
        </w:tc>
        <w:tc>
          <w:tcPr>
            <w:tcW w:type="dxa" w:w="1066"/>
          </w:tcPr>
          <w:p>
            <w:pPr>
              <w:spacing w:after="20"/>
            </w:pPr>
            <w:r>
              <w:rPr>
                <w:color w:val="1C3A36"/>
                <w:sz w:val="14"/>
              </w:rPr>
              <w:t>Company</w:t>
            </w:r>
          </w:p>
        </w:tc>
        <w:tc>
          <w:tcPr>
            <w:tcW w:type="dxa" w:w="7171"/>
          </w:tcPr>
          <w:p>
            <w:pPr>
              <w:spacing w:after="20"/>
            </w:pPr>
            <w:r>
              <w:rPr>
                <w:color w:val="1C3A36"/>
                <w:sz w:val="14"/>
              </w:rPr>
              <w:t>Capex on the company's own cash-flow statements: FY2023 120.827, FY2024 526.408, FY2025 262.397, average 303.211. Revision 2 assumed 4.5-5.0% of revenue, which is 435-484mn and rising</w:t>
            </w:r>
          </w:p>
        </w:tc>
        <w:tc>
          <w:tcPr>
            <w:tcW w:type="dxa" w:w="1210"/>
          </w:tcPr>
          <w:p>
            <w:pPr>
              <w:spacing w:after="20"/>
            </w:pPr>
            <w:r>
              <w:rPr>
                <w:color w:val="1C3A36"/>
                <w:sz w:val="14"/>
              </w:rPr>
              <w:t>2025-12-31</w:t>
            </w:r>
          </w:p>
        </w:tc>
      </w:tr>
      <w:tr>
        <w:tc>
          <w:tcPr>
            <w:tcW w:type="dxa" w:w="432"/>
          </w:tcPr>
          <w:p>
            <w:pPr>
              <w:spacing w:after="20"/>
            </w:pPr>
            <w:r>
              <w:rPr>
                <w:color w:val="1C3A36"/>
                <w:sz w:val="14"/>
              </w:rPr>
              <w:t>6</w:t>
            </w:r>
          </w:p>
        </w:tc>
        <w:tc>
          <w:tcPr>
            <w:tcW w:type="dxa" w:w="2448"/>
          </w:tcPr>
          <w:p>
            <w:pPr>
              <w:spacing w:after="20"/>
            </w:pPr>
            <w:r>
              <w:rPr>
                <w:color w:val="1C3A36"/>
                <w:sz w:val="14"/>
              </w:rPr>
              <w:t>cash_fy25</w:t>
            </w:r>
          </w:p>
        </w:tc>
        <w:tc>
          <w:tcPr>
            <w:tcW w:type="dxa" w:w="1325"/>
          </w:tcPr>
          <w:p>
            <w:pPr>
              <w:spacing w:after="20"/>
            </w:pPr>
            <w:r>
              <w:rPr>
                <w:color w:val="1C3A36"/>
                <w:sz w:val="14"/>
              </w:rPr>
              <w:t>4,762.3487</w:t>
            </w:r>
          </w:p>
        </w:tc>
        <w:tc>
          <w:tcPr>
            <w:tcW w:type="dxa" w:w="1066"/>
          </w:tcPr>
          <w:p>
            <w:pPr>
              <w:spacing w:after="20"/>
            </w:pPr>
            <w:r>
              <w:rPr>
                <w:color w:val="1C3A36"/>
                <w:sz w:val="14"/>
              </w:rPr>
              <w:t>Company</w:t>
            </w:r>
          </w:p>
        </w:tc>
        <w:tc>
          <w:tcPr>
            <w:tcW w:type="dxa" w:w="7171"/>
          </w:tcPr>
          <w:p>
            <w:pPr>
              <w:spacing w:after="20"/>
            </w:pPr>
            <w:r>
              <w:rPr>
                <w:color w:val="1C3A36"/>
                <w:sz w:val="14"/>
              </w:rPr>
              <w:t>Cash on hand and at banks at 31 December 2025.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432"/>
          </w:tcPr>
          <w:p>
            <w:pPr>
              <w:spacing w:after="20"/>
            </w:pPr>
            <w:r>
              <w:rPr>
                <w:color w:val="1C3A36"/>
                <w:sz w:val="14"/>
              </w:rPr>
              <w:t>7</w:t>
            </w:r>
          </w:p>
        </w:tc>
        <w:tc>
          <w:tcPr>
            <w:tcW w:type="dxa" w:w="2448"/>
          </w:tcPr>
          <w:p>
            <w:pPr>
              <w:spacing w:after="20"/>
            </w:pPr>
            <w:r>
              <w:rPr>
                <w:color w:val="1C3A36"/>
                <w:sz w:val="14"/>
              </w:rPr>
              <w:t>cash_mar26</w:t>
            </w:r>
          </w:p>
        </w:tc>
        <w:tc>
          <w:tcPr>
            <w:tcW w:type="dxa" w:w="1325"/>
          </w:tcPr>
          <w:p>
            <w:pPr>
              <w:spacing w:after="20"/>
            </w:pPr>
            <w:r>
              <w:rPr>
                <w:color w:val="1C3A36"/>
                <w:sz w:val="14"/>
              </w:rPr>
              <w:t>5,801.9817</w:t>
            </w:r>
          </w:p>
        </w:tc>
        <w:tc>
          <w:tcPr>
            <w:tcW w:type="dxa" w:w="1066"/>
          </w:tcPr>
          <w:p>
            <w:pPr>
              <w:spacing w:after="20"/>
            </w:pPr>
            <w:r>
              <w:rPr>
                <w:color w:val="1C3A36"/>
                <w:sz w:val="14"/>
              </w:rPr>
              <w:t>Company</w:t>
            </w:r>
          </w:p>
        </w:tc>
        <w:tc>
          <w:tcPr>
            <w:tcW w:type="dxa" w:w="7171"/>
          </w:tcPr>
          <w:p>
            <w:pPr>
              <w:spacing w:after="20"/>
            </w:pPr>
            <w:r>
              <w:rPr>
                <w:color w:val="1C3A36"/>
                <w:sz w:val="14"/>
              </w:rPr>
              <w:t>Cash on hand and at banks, REVIEWED interim statement of financial position as at 31 March 2026, printed page 2. This is the latest disclosed sheet and the bridge stands on it; revision 2 stood on 31-Dec-2025 and rolled it forward on an estimate</w:t>
            </w:r>
          </w:p>
        </w:tc>
        <w:tc>
          <w:tcPr>
            <w:tcW w:type="dxa" w:w="1210"/>
          </w:tcPr>
          <w:p>
            <w:pPr>
              <w:spacing w:after="20"/>
            </w:pPr>
            <w:r>
              <w:rPr>
                <w:color w:val="1C3A36"/>
                <w:sz w:val="14"/>
              </w:rPr>
              <w:t>2026-03-31</w:t>
            </w:r>
          </w:p>
        </w:tc>
      </w:tr>
      <w:tr>
        <w:tc>
          <w:tcPr>
            <w:tcW w:type="dxa" w:w="432"/>
          </w:tcPr>
          <w:p>
            <w:pPr>
              <w:spacing w:after="20"/>
            </w:pPr>
            <w:r>
              <w:rPr>
                <w:color w:val="1C3A36"/>
                <w:sz w:val="14"/>
              </w:rPr>
              <w:t>8</w:t>
            </w:r>
          </w:p>
        </w:tc>
        <w:tc>
          <w:tcPr>
            <w:tcW w:type="dxa" w:w="2448"/>
          </w:tcPr>
          <w:p>
            <w:pPr>
              <w:spacing w:after="20"/>
            </w:pPr>
            <w:r>
              <w:rPr>
                <w:color w:val="1C3A36"/>
                <w:sz w:val="14"/>
              </w:rPr>
              <w:t>clinker_factor</w:t>
            </w:r>
          </w:p>
        </w:tc>
        <w:tc>
          <w:tcPr>
            <w:tcW w:type="dxa" w:w="1325"/>
          </w:tcPr>
          <w:p>
            <w:pPr>
              <w:spacing w:after="20"/>
            </w:pPr>
            <w:r>
              <w:rPr>
                <w:color w:val="1C3A36"/>
                <w:sz w:val="14"/>
              </w:rPr>
              <w:t>0.6763</w:t>
            </w:r>
          </w:p>
        </w:tc>
        <w:tc>
          <w:tcPr>
            <w:tcW w:type="dxa" w:w="1066"/>
          </w:tcPr>
          <w:p>
            <w:pPr>
              <w:spacing w:after="20"/>
            </w:pPr>
            <w:r>
              <w:rPr>
                <w:color w:val="1C3A36"/>
                <w:sz w:val="14"/>
              </w:rPr>
              <w:t>Company</w:t>
            </w:r>
          </w:p>
        </w:tc>
        <w:tc>
          <w:tcPr>
            <w:tcW w:type="dxa" w:w="7171"/>
          </w:tcPr>
          <w:p>
            <w:pPr>
              <w:spacing w:after="20"/>
            </w:pPr>
            <w:r>
              <w:rPr>
                <w:color w:val="1C3A36"/>
                <w:sz w:val="14"/>
              </w:rPr>
              <w:t>Tonnes of clinker per tonne of cement. ANCHORED on the plant register's two capacities (2.57/3.80 = 0.676) but carried as an independent input, because blending is a real operating lever: a lower factor means more cement per tonne of clinker and less fuel per tonne of cement. Deriving it from the capacity pair made kiln capacity cancel out of cement output algebraically — the driver test caught that</w:t>
            </w:r>
          </w:p>
        </w:tc>
        <w:tc>
          <w:tcPr>
            <w:tcW w:type="dxa" w:w="1210"/>
          </w:tcPr>
          <w:p>
            <w:pPr>
              <w:spacing w:after="20"/>
            </w:pPr>
            <w:r>
              <w:rPr>
                <w:color w:val="1C3A36"/>
                <w:sz w:val="14"/>
              </w:rPr>
              <w:t>2025-03-23</w:t>
            </w:r>
          </w:p>
        </w:tc>
      </w:tr>
      <w:tr>
        <w:tc>
          <w:tcPr>
            <w:tcW w:type="dxa" w:w="432"/>
          </w:tcPr>
          <w:p>
            <w:pPr>
              <w:spacing w:after="20"/>
            </w:pPr>
            <w:r>
              <w:rPr>
                <w:color w:val="1C3A36"/>
                <w:sz w:val="14"/>
              </w:rPr>
              <w:t>9</w:t>
            </w:r>
          </w:p>
        </w:tc>
        <w:tc>
          <w:tcPr>
            <w:tcW w:type="dxa" w:w="2448"/>
          </w:tcPr>
          <w:p>
            <w:pPr>
              <w:spacing w:after="20"/>
            </w:pPr>
            <w:r>
              <w:rPr>
                <w:color w:val="1C3A36"/>
                <w:sz w:val="14"/>
              </w:rPr>
              <w:t>cost_distribution_fy25</w:t>
            </w:r>
          </w:p>
        </w:tc>
        <w:tc>
          <w:tcPr>
            <w:tcW w:type="dxa" w:w="1325"/>
          </w:tcPr>
          <w:p>
            <w:pPr>
              <w:spacing w:after="20"/>
            </w:pPr>
            <w:r>
              <w:rPr>
                <w:color w:val="1C3A36"/>
                <w:sz w:val="14"/>
              </w:rPr>
              <w:t>770.5241</w:t>
            </w:r>
          </w:p>
        </w:tc>
        <w:tc>
          <w:tcPr>
            <w:tcW w:type="dxa" w:w="1066"/>
          </w:tcPr>
          <w:p>
            <w:pPr>
              <w:spacing w:after="20"/>
            </w:pPr>
            <w:r>
              <w:rPr>
                <w:color w:val="1C3A36"/>
                <w:sz w:val="14"/>
              </w:rPr>
              <w:t>Company</w:t>
            </w:r>
          </w:p>
        </w:tc>
        <w:tc>
          <w:tcPr>
            <w:tcW w:type="dxa" w:w="7171"/>
          </w:tcPr>
          <w:p>
            <w:pPr>
              <w:spacing w:after="20"/>
            </w:pPr>
            <w:r>
              <w:rPr>
                <w:color w:val="1C3A36"/>
                <w:sz w:val="14"/>
              </w:rPr>
              <w:t>Note 25 'Transfer &amp; loading expenses &amp; renting cars to transport cement' 579.219496 plus 'Export expenses and quality mark' 185.690219, plus note 24's own 'Transfer &amp; loading' 5.614378, FY2025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432"/>
          </w:tcPr>
          <w:p>
            <w:pPr>
              <w:spacing w:after="20"/>
            </w:pPr>
            <w:r>
              <w:rPr>
                <w:color w:val="1C3A36"/>
                <w:sz w:val="14"/>
              </w:rPr>
              <w:t>10</w:t>
            </w:r>
          </w:p>
        </w:tc>
        <w:tc>
          <w:tcPr>
            <w:tcW w:type="dxa" w:w="2448"/>
          </w:tcPr>
          <w:p>
            <w:pPr>
              <w:spacing w:after="20"/>
            </w:pPr>
            <w:r>
              <w:rPr>
                <w:color w:val="1C3A36"/>
                <w:sz w:val="14"/>
              </w:rPr>
              <w:t>cost_fixed_fy25</w:t>
            </w:r>
          </w:p>
        </w:tc>
        <w:tc>
          <w:tcPr>
            <w:tcW w:type="dxa" w:w="1325"/>
          </w:tcPr>
          <w:p>
            <w:pPr>
              <w:spacing w:after="20"/>
            </w:pPr>
            <w:r>
              <w:rPr>
                <w:color w:val="1C3A36"/>
                <w:sz w:val="14"/>
              </w:rPr>
              <w:t>1,270.9542</w:t>
            </w:r>
          </w:p>
        </w:tc>
        <w:tc>
          <w:tcPr>
            <w:tcW w:type="dxa" w:w="1066"/>
          </w:tcPr>
          <w:p>
            <w:pPr>
              <w:spacing w:after="20"/>
            </w:pPr>
            <w:r>
              <w:rPr>
                <w:color w:val="1C3A36"/>
                <w:sz w:val="14"/>
              </w:rPr>
              <w:t>Company</w:t>
            </w:r>
          </w:p>
        </w:tc>
        <w:tc>
          <w:tcPr>
            <w:tcW w:type="dxa" w:w="7171"/>
          </w:tcPr>
          <w:p>
            <w:pPr>
              <w:spacing w:after="20"/>
            </w:pPr>
            <w:r>
              <w:rPr>
                <w:color w:val="1C3A36"/>
                <w:sz w:val="14"/>
              </w:rPr>
              <w:t>The rest of the disclosed cash operating cost: revenue 9,089.149688 less EBITDA 3,455.205144 less the two lines above. It is wages, maintenance, subcontractors, clay resource fees, rents, technical assistance, insurance and general administration across notes 24, 25 and 26. Revision 2 assumed USD 14.60 per tonne of installed capacity = EGP 2,762.9mn, 2.17x the company's actual fixed cost, and that single assumption is most of why its FY2025 backcast came out 355mn light on EBITDA</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cost_materials_fy25</w:t>
            </w:r>
          </w:p>
        </w:tc>
        <w:tc>
          <w:tcPr>
            <w:tcW w:type="dxa" w:w="1325"/>
          </w:tcPr>
          <w:p>
            <w:pPr>
              <w:spacing w:after="20"/>
            </w:pPr>
            <w:r>
              <w:rPr>
                <w:color w:val="1C3A36"/>
                <w:sz w:val="14"/>
              </w:rPr>
              <w:t>3,592.4662</w:t>
            </w:r>
          </w:p>
        </w:tc>
        <w:tc>
          <w:tcPr>
            <w:tcW w:type="dxa" w:w="1066"/>
          </w:tcPr>
          <w:p>
            <w:pPr>
              <w:spacing w:after="20"/>
            </w:pPr>
            <w:r>
              <w:rPr>
                <w:color w:val="1C3A36"/>
                <w:sz w:val="14"/>
              </w:rPr>
              <w:t>Company</w:t>
            </w:r>
          </w:p>
        </w:tc>
        <w:tc>
          <w:tcPr>
            <w:tcW w:type="dxa" w:w="7171"/>
          </w:tcPr>
          <w:p>
            <w:pPr>
              <w:spacing w:after="20"/>
            </w:pPr>
            <w:r>
              <w:rPr>
                <w:color w:val="1C3A36"/>
                <w:sz w:val="14"/>
              </w:rPr>
              <w:t>Note 24, 'Raw materials, Supplies, fuel, power, packing sacks', FY2025 audited statements for the year ended 31 December 2025, read from the company's own website; committed with its footings in filings_extract.py. Revision 2 built this from four industry rules of thumb summing to EGP 2,553.7mn — 40.7% BELOW the disclosed line</w:t>
            </w:r>
          </w:p>
        </w:tc>
        <w:tc>
          <w:tcPr>
            <w:tcW w:type="dxa" w:w="1210"/>
          </w:tcPr>
          <w:p>
            <w:pPr>
              <w:spacing w:after="20"/>
            </w:pPr>
            <w:r>
              <w:rPr>
                <w:color w:val="1C3A36"/>
                <w:sz w:val="14"/>
              </w:rPr>
              <w:t>2025-12-31</w:t>
            </w:r>
          </w:p>
        </w:tc>
      </w:tr>
      <w:tr>
        <w:tc>
          <w:tcPr>
            <w:tcW w:type="dxa" w:w="432"/>
          </w:tcPr>
          <w:p>
            <w:pPr>
              <w:spacing w:after="20"/>
            </w:pPr>
            <w:r>
              <w:rPr>
                <w:color w:val="1C3A36"/>
                <w:sz w:val="14"/>
              </w:rPr>
              <w:t>12</w:t>
            </w:r>
          </w:p>
        </w:tc>
        <w:tc>
          <w:tcPr>
            <w:tcW w:type="dxa" w:w="2448"/>
          </w:tcPr>
          <w:p>
            <w:pPr>
              <w:spacing w:after="20"/>
            </w:pPr>
            <w:r>
              <w:rPr>
                <w:color w:val="1C3A36"/>
                <w:sz w:val="14"/>
              </w:rPr>
              <w:t>debt_fy25</w:t>
            </w:r>
          </w:p>
        </w:tc>
        <w:tc>
          <w:tcPr>
            <w:tcW w:type="dxa" w:w="1325"/>
          </w:tcPr>
          <w:p>
            <w:pPr>
              <w:spacing w:after="20"/>
            </w:pPr>
            <w:r>
              <w:rPr>
                <w:color w:val="1C3A36"/>
                <w:sz w:val="14"/>
              </w:rPr>
              <w:t>137.5659</w:t>
            </w:r>
          </w:p>
        </w:tc>
        <w:tc>
          <w:tcPr>
            <w:tcW w:type="dxa" w:w="1066"/>
          </w:tcPr>
          <w:p>
            <w:pPr>
              <w:spacing w:after="20"/>
            </w:pPr>
            <w:r>
              <w:rPr>
                <w:color w:val="1C3A36"/>
                <w:sz w:val="14"/>
              </w:rPr>
              <w:t>Company</w:t>
            </w:r>
          </w:p>
        </w:tc>
        <w:tc>
          <w:tcPr>
            <w:tcW w:type="dxa" w:w="7171"/>
          </w:tcPr>
          <w:p>
            <w:pPr>
              <w:spacing w:after="20"/>
            </w:pPr>
            <w:r>
              <w:rPr>
                <w:color w:val="1C3A36"/>
                <w:sz w:val="14"/>
              </w:rPr>
              <w:t>Lease liabilities at 31 December 2025, 111.742265 long-term and 25.823623 current. THE COMPANY HAS NO BANK BORROWINGS.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432"/>
          </w:tcPr>
          <w:p>
            <w:pPr>
              <w:spacing w:after="20"/>
            </w:pPr>
            <w:r>
              <w:rPr>
                <w:color w:val="1C3A36"/>
                <w:sz w:val="14"/>
              </w:rPr>
              <w:t>13</w:t>
            </w:r>
          </w:p>
        </w:tc>
        <w:tc>
          <w:tcPr>
            <w:tcW w:type="dxa" w:w="2448"/>
          </w:tcPr>
          <w:p>
            <w:pPr>
              <w:spacing w:after="20"/>
            </w:pPr>
            <w:r>
              <w:rPr>
                <w:color w:val="1C3A36"/>
                <w:sz w:val="14"/>
              </w:rPr>
              <w:t>debt_mar26</w:t>
            </w:r>
          </w:p>
        </w:tc>
        <w:tc>
          <w:tcPr>
            <w:tcW w:type="dxa" w:w="1325"/>
          </w:tcPr>
          <w:p>
            <w:pPr>
              <w:spacing w:after="20"/>
            </w:pPr>
            <w:r>
              <w:rPr>
                <w:color w:val="1C3A36"/>
                <w:sz w:val="14"/>
              </w:rPr>
              <w:t>152.71</w:t>
            </w:r>
          </w:p>
        </w:tc>
        <w:tc>
          <w:tcPr>
            <w:tcW w:type="dxa" w:w="1066"/>
          </w:tcPr>
          <w:p>
            <w:pPr>
              <w:spacing w:after="20"/>
            </w:pPr>
            <w:r>
              <w:rPr>
                <w:color w:val="1C3A36"/>
                <w:sz w:val="14"/>
              </w:rPr>
              <w:t>Company</w:t>
            </w:r>
          </w:p>
        </w:tc>
        <w:tc>
          <w:tcPr>
            <w:tcW w:type="dxa" w:w="7171"/>
          </w:tcPr>
          <w:p>
            <w:pPr>
              <w:spacing w:after="20"/>
            </w:pPr>
            <w:r>
              <w:rPr>
                <w:color w:val="1C3A36"/>
                <w:sz w:val="14"/>
              </w:rPr>
              <w:t>Lease liabilities, 137.620919 long-term and 15.089045 current, reviewed sheet at 31 March 2026. THE COMPANY HAS NO BANK BORROWINGS AT EITHER DATE — the whole of its interest-bearing debt is leases under EAS 49</w:t>
            </w:r>
          </w:p>
        </w:tc>
        <w:tc>
          <w:tcPr>
            <w:tcW w:type="dxa" w:w="1210"/>
          </w:tcPr>
          <w:p>
            <w:pPr>
              <w:spacing w:after="20"/>
            </w:pPr>
            <w:r>
              <w:rPr>
                <w:color w:val="1C3A36"/>
                <w:sz w:val="14"/>
              </w:rPr>
              <w:t>2026-03-31</w:t>
            </w:r>
          </w:p>
        </w:tc>
      </w:tr>
      <w:tr>
        <w:tc>
          <w:tcPr>
            <w:tcW w:type="dxa" w:w="432"/>
          </w:tcPr>
          <w:p>
            <w:pPr>
              <w:spacing w:after="20"/>
            </w:pPr>
            <w:r>
              <w:rPr>
                <w:color w:val="1C3A36"/>
                <w:sz w:val="14"/>
              </w:rPr>
              <w:t>14</w:t>
            </w:r>
          </w:p>
        </w:tc>
        <w:tc>
          <w:tcPr>
            <w:tcW w:type="dxa" w:w="2448"/>
          </w:tcPr>
          <w:p>
            <w:pPr>
              <w:spacing w:after="20"/>
            </w:pPr>
            <w:r>
              <w:rPr>
                <w:color w:val="1C3A36"/>
                <w:sz w:val="14"/>
              </w:rPr>
              <w:t>dep_rate_disclosed</w:t>
            </w:r>
          </w:p>
        </w:tc>
        <w:tc>
          <w:tcPr>
            <w:tcW w:type="dxa" w:w="1325"/>
          </w:tcPr>
          <w:p>
            <w:pPr>
              <w:spacing w:after="20"/>
            </w:pPr>
            <w:r>
              <w:rPr>
                <w:color w:val="1C3A36"/>
                <w:sz w:val="14"/>
              </w:rPr>
              <w:t>0.0386</w:t>
            </w:r>
          </w:p>
        </w:tc>
        <w:tc>
          <w:tcPr>
            <w:tcW w:type="dxa" w:w="1066"/>
          </w:tcPr>
          <w:p>
            <w:pPr>
              <w:spacing w:after="20"/>
            </w:pPr>
            <w:r>
              <w:rPr>
                <w:color w:val="1C3A36"/>
                <w:sz w:val="14"/>
              </w:rPr>
              <w:t>Company</w:t>
            </w:r>
          </w:p>
        </w:tc>
        <w:tc>
          <w:tcPr>
            <w:tcW w:type="dxa" w:w="7171"/>
          </w:tcPr>
          <w:p>
            <w:pPr>
              <w:spacing w:after="20"/>
            </w:pPr>
            <w:r>
              <w:rPr>
                <w:color w:val="1C3A36"/>
                <w:sz w:val="14"/>
              </w:rPr>
              <w:t>The weighted depreciation rate implied by note 3/2's disclosed rates on note 4's own gross-cost mix: buildings 2-2.5%, machinery 5%, vehicles and tools 20%, furniture 10-25%. It reproduces the filed FY2025 charge to within 1.2% (121.3 against 122.6), which is what makes it a sourced forward rule rather than an assumption</w:t>
            </w:r>
          </w:p>
        </w:tc>
        <w:tc>
          <w:tcPr>
            <w:tcW w:type="dxa" w:w="1210"/>
          </w:tcPr>
          <w:p>
            <w:pPr>
              <w:spacing w:after="20"/>
            </w:pPr>
            <w:r>
              <w:rPr>
                <w:color w:val="1C3A36"/>
                <w:sz w:val="14"/>
              </w:rPr>
              <w:t>2025-12-31</w:t>
            </w:r>
          </w:p>
        </w:tc>
      </w:tr>
      <w:tr>
        <w:tc>
          <w:tcPr>
            <w:tcW w:type="dxa" w:w="432"/>
          </w:tcPr>
          <w:p>
            <w:pPr>
              <w:spacing w:after="20"/>
            </w:pPr>
            <w:r>
              <w:rPr>
                <w:color w:val="1C3A36"/>
                <w:sz w:val="14"/>
              </w:rPr>
              <w:t>15</w:t>
            </w:r>
          </w:p>
        </w:tc>
        <w:tc>
          <w:tcPr>
            <w:tcW w:type="dxa" w:w="2448"/>
          </w:tcPr>
          <w:p>
            <w:pPr>
              <w:spacing w:after="20"/>
            </w:pPr>
            <w:r>
              <w:rPr>
                <w:color w:val="1C3A36"/>
                <w:sz w:val="14"/>
              </w:rPr>
              <w:t>ebitda_fy24</w:t>
            </w:r>
          </w:p>
        </w:tc>
        <w:tc>
          <w:tcPr>
            <w:tcW w:type="dxa" w:w="1325"/>
          </w:tcPr>
          <w:p>
            <w:pPr>
              <w:spacing w:after="20"/>
            </w:pPr>
            <w:r>
              <w:rPr>
                <w:color w:val="1C3A36"/>
                <w:sz w:val="14"/>
              </w:rPr>
              <w:t>1,590</w:t>
            </w:r>
          </w:p>
        </w:tc>
        <w:tc>
          <w:tcPr>
            <w:tcW w:type="dxa" w:w="1066"/>
          </w:tcPr>
          <w:p>
            <w:pPr>
              <w:spacing w:after="20"/>
            </w:pPr>
            <w:r>
              <w:rPr>
                <w:color w:val="1C3A36"/>
                <w:sz w:val="14"/>
              </w:rPr>
              <w:t>Company</w:t>
            </w:r>
          </w:p>
        </w:tc>
        <w:tc>
          <w:tcPr>
            <w:tcW w:type="dxa" w:w="7171"/>
          </w:tcPr>
          <w:p>
            <w:pPr>
              <w:spacing w:after="20"/>
            </w:pPr>
            <w:r>
              <w:rPr>
                <w:color w:val="1C3A36"/>
                <w:sz w:val="14"/>
              </w:rPr>
              <w:t>FY2024 EBITDA, the one disclosed margin anchor</w:t>
            </w:r>
          </w:p>
        </w:tc>
        <w:tc>
          <w:tcPr>
            <w:tcW w:type="dxa" w:w="1210"/>
          </w:tcPr>
          <w:p>
            <w:pPr>
              <w:spacing w:after="20"/>
            </w:pPr>
            <w:r>
              <w:rPr>
                <w:color w:val="1C3A36"/>
                <w:sz w:val="14"/>
              </w:rPr>
              <w:t>2026-03-10</w:t>
            </w:r>
          </w:p>
        </w:tc>
      </w:tr>
      <w:tr>
        <w:tc>
          <w:tcPr>
            <w:tcW w:type="dxa" w:w="432"/>
          </w:tcPr>
          <w:p>
            <w:pPr>
              <w:spacing w:after="20"/>
            </w:pPr>
            <w:r>
              <w:rPr>
                <w:color w:val="1C3A36"/>
                <w:sz w:val="14"/>
              </w:rPr>
              <w:t>16</w:t>
            </w:r>
          </w:p>
        </w:tc>
        <w:tc>
          <w:tcPr>
            <w:tcW w:type="dxa" w:w="2448"/>
          </w:tcPr>
          <w:p>
            <w:pPr>
              <w:spacing w:after="20"/>
            </w:pPr>
            <w:r>
              <w:rPr>
                <w:color w:val="1C3A36"/>
                <w:sz w:val="14"/>
              </w:rPr>
              <w:t>eq_fy25_rep</w:t>
            </w:r>
          </w:p>
        </w:tc>
        <w:tc>
          <w:tcPr>
            <w:tcW w:type="dxa" w:w="1325"/>
          </w:tcPr>
          <w:p>
            <w:pPr>
              <w:spacing w:after="20"/>
            </w:pPr>
            <w:r>
              <w:rPr>
                <w:color w:val="1C3A36"/>
                <w:sz w:val="14"/>
              </w:rPr>
              <w:t>6,020.3387</w:t>
            </w:r>
          </w:p>
        </w:tc>
        <w:tc>
          <w:tcPr>
            <w:tcW w:type="dxa" w:w="1066"/>
          </w:tcPr>
          <w:p>
            <w:pPr>
              <w:spacing w:after="20"/>
            </w:pPr>
            <w:r>
              <w:rPr>
                <w:color w:val="1C3A36"/>
                <w:sz w:val="14"/>
              </w:rPr>
              <w:t>Company</w:t>
            </w:r>
          </w:p>
        </w:tc>
        <w:tc>
          <w:tcPr>
            <w:tcW w:type="dxa" w:w="7171"/>
          </w:tcPr>
          <w:p>
            <w:pPr>
              <w:spacing w:after="20"/>
            </w:pPr>
            <w:r>
              <w:rPr>
                <w:color w:val="1C3A36"/>
                <w:sz w:val="14"/>
              </w:rPr>
              <w:t>Total shareholders' equity at 31 December 2025, footing across capital, reserves, retained earnings and the year's profit.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432"/>
          </w:tcPr>
          <w:p>
            <w:pPr>
              <w:spacing w:after="20"/>
            </w:pPr>
            <w:r>
              <w:rPr>
                <w:color w:val="1C3A36"/>
                <w:sz w:val="14"/>
              </w:rPr>
              <w:t>17</w:t>
            </w:r>
          </w:p>
        </w:tc>
        <w:tc>
          <w:tcPr>
            <w:tcW w:type="dxa" w:w="2448"/>
          </w:tcPr>
          <w:p>
            <w:pPr>
              <w:spacing w:after="20"/>
            </w:pPr>
            <w:r>
              <w:rPr>
                <w:color w:val="1C3A36"/>
                <w:sz w:val="14"/>
              </w:rPr>
              <w:t>eq_mar26</w:t>
            </w:r>
          </w:p>
        </w:tc>
        <w:tc>
          <w:tcPr>
            <w:tcW w:type="dxa" w:w="1325"/>
          </w:tcPr>
          <w:p>
            <w:pPr>
              <w:spacing w:after="20"/>
            </w:pPr>
            <w:r>
              <w:rPr>
                <w:color w:val="1C3A36"/>
                <w:sz w:val="14"/>
              </w:rPr>
              <w:t>7,134.8177</w:t>
            </w:r>
          </w:p>
        </w:tc>
        <w:tc>
          <w:tcPr>
            <w:tcW w:type="dxa" w:w="1066"/>
          </w:tcPr>
          <w:p>
            <w:pPr>
              <w:spacing w:after="20"/>
            </w:pPr>
            <w:r>
              <w:rPr>
                <w:color w:val="1C3A36"/>
                <w:sz w:val="14"/>
              </w:rPr>
              <w:t>Company</w:t>
            </w:r>
          </w:p>
        </w:tc>
        <w:tc>
          <w:tcPr>
            <w:tcW w:type="dxa" w:w="7171"/>
          </w:tcPr>
          <w:p>
            <w:pPr>
              <w:spacing w:after="20"/>
            </w:pPr>
            <w:r>
              <w:rPr>
                <w:color w:val="1C3A36"/>
                <w:sz w:val="14"/>
              </w:rPr>
              <w:t>Total equity, reviewed sheet at 31 March 2026</w:t>
            </w:r>
          </w:p>
        </w:tc>
        <w:tc>
          <w:tcPr>
            <w:tcW w:type="dxa" w:w="1210"/>
          </w:tcPr>
          <w:p>
            <w:pPr>
              <w:spacing w:after="20"/>
            </w:pPr>
            <w:r>
              <w:rPr>
                <w:color w:val="1C3A36"/>
                <w:sz w:val="14"/>
              </w:rPr>
              <w:t>2026-03-31</w:t>
            </w:r>
          </w:p>
        </w:tc>
      </w:tr>
      <w:tr>
        <w:tc>
          <w:tcPr>
            <w:tcW w:type="dxa" w:w="432"/>
          </w:tcPr>
          <w:p>
            <w:pPr>
              <w:spacing w:after="20"/>
            </w:pPr>
            <w:r>
              <w:rPr>
                <w:color w:val="1C3A36"/>
                <w:sz w:val="14"/>
              </w:rPr>
              <w:t>18</w:t>
            </w:r>
          </w:p>
        </w:tc>
        <w:tc>
          <w:tcPr>
            <w:tcW w:type="dxa" w:w="2448"/>
          </w:tcPr>
          <w:p>
            <w:pPr>
              <w:spacing w:after="20"/>
            </w:pPr>
            <w:r>
              <w:rPr>
                <w:color w:val="1C3A36"/>
                <w:sz w:val="14"/>
              </w:rPr>
              <w:t>gross_fixed_fy25</w:t>
            </w:r>
          </w:p>
        </w:tc>
        <w:tc>
          <w:tcPr>
            <w:tcW w:type="dxa" w:w="1325"/>
          </w:tcPr>
          <w:p>
            <w:pPr>
              <w:spacing w:after="20"/>
            </w:pPr>
            <w:r>
              <w:rPr>
                <w:color w:val="1C3A36"/>
                <w:sz w:val="14"/>
              </w:rPr>
              <w:t>3,140.8552</w:t>
            </w:r>
          </w:p>
        </w:tc>
        <w:tc>
          <w:tcPr>
            <w:tcW w:type="dxa" w:w="1066"/>
          </w:tcPr>
          <w:p>
            <w:pPr>
              <w:spacing w:after="20"/>
            </w:pPr>
            <w:r>
              <w:rPr>
                <w:color w:val="1C3A36"/>
                <w:sz w:val="14"/>
              </w:rPr>
              <w:t>Company</w:t>
            </w:r>
          </w:p>
        </w:tc>
        <w:tc>
          <w:tcPr>
            <w:tcW w:type="dxa" w:w="7171"/>
          </w:tcPr>
          <w:p>
            <w:pPr>
              <w:spacing w:after="20"/>
            </w:pPr>
            <w:r>
              <w:rPr>
                <w:color w:val="1C3A36"/>
                <w:sz w:val="14"/>
              </w:rPr>
              <w:t>Note 4, gross cost of fixed assets at 31-Dec-2025, footing across five classes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432"/>
          </w:tcPr>
          <w:p>
            <w:pPr>
              <w:spacing w:after="20"/>
            </w:pPr>
            <w:r>
              <w:rPr>
                <w:color w:val="1C3A36"/>
                <w:sz w:val="14"/>
              </w:rPr>
              <w:t>19</w:t>
            </w:r>
          </w:p>
        </w:tc>
        <w:tc>
          <w:tcPr>
            <w:tcW w:type="dxa" w:w="2448"/>
          </w:tcPr>
          <w:p>
            <w:pPr>
              <w:spacing w:after="20"/>
            </w:pPr>
            <w:r>
              <w:rPr>
                <w:color w:val="1C3A36"/>
                <w:sz w:val="14"/>
              </w:rPr>
              <w:t>mto_price</w:t>
            </w:r>
          </w:p>
        </w:tc>
        <w:tc>
          <w:tcPr>
            <w:tcW w:type="dxa" w:w="1325"/>
          </w:tcPr>
          <w:p>
            <w:pPr>
              <w:spacing w:after="20"/>
            </w:pPr>
            <w:r>
              <w:rPr>
                <w:color w:val="1C3A36"/>
                <w:sz w:val="14"/>
              </w:rPr>
              <w:t>41</w:t>
            </w:r>
          </w:p>
        </w:tc>
        <w:tc>
          <w:tcPr>
            <w:tcW w:type="dxa" w:w="1066"/>
          </w:tcPr>
          <w:p>
            <w:pPr>
              <w:spacing w:after="20"/>
            </w:pPr>
            <w:r>
              <w:rPr>
                <w:color w:val="1C3A36"/>
                <w:sz w:val="14"/>
              </w:rPr>
              <w:t>Company</w:t>
            </w:r>
          </w:p>
        </w:tc>
        <w:tc>
          <w:tcPr>
            <w:tcW w:type="dxa" w:w="7171"/>
          </w:tcPr>
          <w:p>
            <w:pPr>
              <w:spacing w:after="20"/>
            </w:pPr>
            <w:r>
              <w:rPr>
                <w:color w:val="1C3A36"/>
                <w:sz w:val="14"/>
              </w:rPr>
              <w:t>Vicat mandatory tender offer, July 2025. A disclosed reference point and an overhang, never a fair value</w:t>
            </w:r>
          </w:p>
        </w:tc>
        <w:tc>
          <w:tcPr>
            <w:tcW w:type="dxa" w:w="1210"/>
          </w:tcPr>
          <w:p>
            <w:pPr>
              <w:spacing w:after="20"/>
            </w:pPr>
            <w:r>
              <w:rPr>
                <w:color w:val="1C3A36"/>
                <w:sz w:val="14"/>
              </w:rPr>
              <w:t>2025-07-28</w:t>
            </w:r>
          </w:p>
        </w:tc>
      </w:tr>
      <w:tr>
        <w:tc>
          <w:tcPr>
            <w:tcW w:type="dxa" w:w="432"/>
          </w:tcPr>
          <w:p>
            <w:pPr>
              <w:spacing w:after="20"/>
            </w:pPr>
            <w:r>
              <w:rPr>
                <w:color w:val="1C3A36"/>
                <w:sz w:val="14"/>
              </w:rPr>
              <w:t>20</w:t>
            </w:r>
          </w:p>
        </w:tc>
        <w:tc>
          <w:tcPr>
            <w:tcW w:type="dxa" w:w="2448"/>
          </w:tcPr>
          <w:p>
            <w:pPr>
              <w:spacing w:after="20"/>
            </w:pPr>
            <w:r>
              <w:rPr>
                <w:color w:val="1C3A36"/>
                <w:sz w:val="14"/>
              </w:rPr>
              <w:t>pat_fy23</w:t>
            </w:r>
          </w:p>
        </w:tc>
        <w:tc>
          <w:tcPr>
            <w:tcW w:type="dxa" w:w="1325"/>
          </w:tcPr>
          <w:p>
            <w:pPr>
              <w:spacing w:after="20"/>
            </w:pPr>
            <w:r>
              <w:rPr>
                <w:color w:val="1C3A36"/>
                <w:sz w:val="14"/>
              </w:rPr>
              <w:t>-117.5816</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21</w:t>
            </w:r>
          </w:p>
        </w:tc>
        <w:tc>
          <w:tcPr>
            <w:tcW w:type="dxa" w:w="2448"/>
          </w:tcPr>
          <w:p>
            <w:pPr>
              <w:spacing w:after="20"/>
            </w:pPr>
            <w:r>
              <w:rPr>
                <w:color w:val="1C3A36"/>
                <w:sz w:val="14"/>
              </w:rPr>
              <w:t>pat_fy24</w:t>
            </w:r>
          </w:p>
        </w:tc>
        <w:tc>
          <w:tcPr>
            <w:tcW w:type="dxa" w:w="1325"/>
          </w:tcPr>
          <w:p>
            <w:pPr>
              <w:spacing w:after="20"/>
            </w:pPr>
            <w:r>
              <w:rPr>
                <w:color w:val="1C3A36"/>
                <w:sz w:val="14"/>
              </w:rPr>
              <w:t>3,072.3618</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22</w:t>
            </w:r>
          </w:p>
        </w:tc>
        <w:tc>
          <w:tcPr>
            <w:tcW w:type="dxa" w:w="2448"/>
          </w:tcPr>
          <w:p>
            <w:pPr>
              <w:spacing w:after="20"/>
            </w:pPr>
            <w:r>
              <w:rPr>
                <w:color w:val="1C3A36"/>
                <w:sz w:val="14"/>
              </w:rPr>
              <w:t>pat_fy25</w:t>
            </w:r>
          </w:p>
        </w:tc>
        <w:tc>
          <w:tcPr>
            <w:tcW w:type="dxa" w:w="1325"/>
          </w:tcPr>
          <w:p>
            <w:pPr>
              <w:spacing w:after="20"/>
            </w:pPr>
            <w:r>
              <w:rPr>
                <w:color w:val="1C3A36"/>
                <w:sz w:val="14"/>
              </w:rPr>
              <w:t>2,284.539</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23</w:t>
            </w:r>
          </w:p>
        </w:tc>
        <w:tc>
          <w:tcPr>
            <w:tcW w:type="dxa" w:w="2448"/>
          </w:tcPr>
          <w:p>
            <w:pPr>
              <w:spacing w:after="20"/>
            </w:pPr>
            <w:r>
              <w:rPr>
                <w:color w:val="1C3A36"/>
                <w:sz w:val="14"/>
              </w:rPr>
              <w:t>rev_fy23</w:t>
            </w:r>
          </w:p>
        </w:tc>
        <w:tc>
          <w:tcPr>
            <w:tcW w:type="dxa" w:w="1325"/>
          </w:tcPr>
          <w:p>
            <w:pPr>
              <w:spacing w:after="20"/>
            </w:pPr>
            <w:r>
              <w:rPr>
                <w:color w:val="1C3A36"/>
                <w:sz w:val="14"/>
              </w:rPr>
              <w:t>4,285.4702</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24</w:t>
            </w:r>
          </w:p>
        </w:tc>
        <w:tc>
          <w:tcPr>
            <w:tcW w:type="dxa" w:w="2448"/>
          </w:tcPr>
          <w:p>
            <w:pPr>
              <w:spacing w:after="20"/>
            </w:pPr>
            <w:r>
              <w:rPr>
                <w:color w:val="1C3A36"/>
                <w:sz w:val="14"/>
              </w:rPr>
              <w:t>rev_fy24</w:t>
            </w:r>
          </w:p>
        </w:tc>
        <w:tc>
          <w:tcPr>
            <w:tcW w:type="dxa" w:w="1325"/>
          </w:tcPr>
          <w:p>
            <w:pPr>
              <w:spacing w:after="20"/>
            </w:pPr>
            <w:r>
              <w:rPr>
                <w:color w:val="1C3A36"/>
                <w:sz w:val="14"/>
              </w:rPr>
              <w:t>6,428.0119</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25</w:t>
            </w:r>
          </w:p>
        </w:tc>
        <w:tc>
          <w:tcPr>
            <w:tcW w:type="dxa" w:w="2448"/>
          </w:tcPr>
          <w:p>
            <w:pPr>
              <w:spacing w:after="20"/>
            </w:pPr>
            <w:r>
              <w:rPr>
                <w:color w:val="1C3A36"/>
                <w:sz w:val="14"/>
              </w:rPr>
              <w:t>rev_fy25</w:t>
            </w:r>
          </w:p>
        </w:tc>
        <w:tc>
          <w:tcPr>
            <w:tcW w:type="dxa" w:w="1325"/>
          </w:tcPr>
          <w:p>
            <w:pPr>
              <w:spacing w:after="20"/>
            </w:pPr>
            <w:r>
              <w:rPr>
                <w:color w:val="1C3A36"/>
                <w:sz w:val="14"/>
              </w:rPr>
              <w:t>9,089.1497</w:t>
            </w:r>
          </w:p>
        </w:tc>
        <w:tc>
          <w:tcPr>
            <w:tcW w:type="dxa" w:w="1066"/>
          </w:tcPr>
          <w:p>
            <w:pPr>
              <w:spacing w:after="20"/>
            </w:pPr>
            <w:r>
              <w:rPr>
                <w:color w:val="1C3A36"/>
                <w:sz w:val="14"/>
              </w:rPr>
              <w:t>Company</w:t>
            </w:r>
          </w:p>
        </w:tc>
        <w:tc>
          <w:tcPr>
            <w:tcW w:type="dxa" w:w="7171"/>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432"/>
          </w:tcPr>
          <w:p>
            <w:pPr>
              <w:spacing w:after="20"/>
            </w:pPr>
            <w:r>
              <w:rPr>
                <w:color w:val="1C3A36"/>
                <w:sz w:val="14"/>
              </w:rPr>
              <w:t>26</w:t>
            </w:r>
          </w:p>
        </w:tc>
        <w:tc>
          <w:tcPr>
            <w:tcW w:type="dxa" w:w="2448"/>
          </w:tcPr>
          <w:p>
            <w:pPr>
              <w:spacing w:after="20"/>
            </w:pPr>
            <w:r>
              <w:rPr>
                <w:color w:val="1C3A36"/>
                <w:sz w:val="14"/>
              </w:rPr>
              <w:t>shares_fy23</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171"/>
          </w:tcPr>
          <w:p>
            <w:pPr>
              <w:spacing w:after="20"/>
            </w:pPr>
            <w:r>
              <w:rPr>
                <w:color w:val="1C3A36"/>
                <w:sz w:val="14"/>
              </w:rPr>
              <w:t>Weighted-average shares FY2023, pre-rights-issue. Corroborated by the 2022 tender offer (56.063mn = 42.12%) and by disclosed EPS</w:t>
            </w:r>
          </w:p>
        </w:tc>
        <w:tc>
          <w:tcPr>
            <w:tcW w:type="dxa" w:w="1210"/>
          </w:tcPr>
          <w:p>
            <w:pPr>
              <w:spacing w:after="20"/>
            </w:pPr>
            <w:r>
              <w:rPr>
                <w:color w:val="1C3A36"/>
                <w:sz w:val="14"/>
              </w:rPr>
              <w:t>2025-03-16</w:t>
            </w:r>
          </w:p>
        </w:tc>
      </w:tr>
      <w:tr>
        <w:tc>
          <w:tcPr>
            <w:tcW w:type="dxa" w:w="432"/>
          </w:tcPr>
          <w:p>
            <w:pPr>
              <w:spacing w:after="20"/>
            </w:pPr>
            <w:r>
              <w:rPr>
                <w:color w:val="1C3A36"/>
                <w:sz w:val="14"/>
              </w:rPr>
              <w:t>27</w:t>
            </w:r>
          </w:p>
        </w:tc>
        <w:tc>
          <w:tcPr>
            <w:tcW w:type="dxa" w:w="2448"/>
          </w:tcPr>
          <w:p>
            <w:pPr>
              <w:spacing w:after="20"/>
            </w:pPr>
            <w:r>
              <w:rPr>
                <w:color w:val="1C3A36"/>
                <w:sz w:val="14"/>
              </w:rPr>
              <w:t>shares_fy24</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171"/>
          </w:tcPr>
          <w:p>
            <w:pPr>
              <w:spacing w:after="20"/>
            </w:pPr>
            <w:r>
              <w:rPr>
                <w:color w:val="1C3A36"/>
                <w:sz w:val="14"/>
              </w:rPr>
              <w:t>Weighted-average shares FY2024. Disclosed EPS of EGP 23.13 on attributable profit implies 132.7mn</w:t>
            </w:r>
          </w:p>
        </w:tc>
        <w:tc>
          <w:tcPr>
            <w:tcW w:type="dxa" w:w="1210"/>
          </w:tcPr>
          <w:p>
            <w:pPr>
              <w:spacing w:after="20"/>
            </w:pPr>
            <w:r>
              <w:rPr>
                <w:color w:val="1C3A36"/>
                <w:sz w:val="14"/>
              </w:rPr>
              <w:t>2025-03-16</w:t>
            </w:r>
          </w:p>
        </w:tc>
      </w:tr>
      <w:tr>
        <w:tc>
          <w:tcPr>
            <w:tcW w:type="dxa" w:w="432"/>
          </w:tcPr>
          <w:p>
            <w:pPr>
              <w:spacing w:after="20"/>
            </w:pPr>
            <w:r>
              <w:rPr>
                <w:color w:val="1C3A36"/>
                <w:sz w:val="14"/>
              </w:rPr>
              <w:t>28</w:t>
            </w:r>
          </w:p>
        </w:tc>
        <w:tc>
          <w:tcPr>
            <w:tcW w:type="dxa" w:w="2448"/>
          </w:tcPr>
          <w:p>
            <w:pPr>
              <w:spacing w:after="20"/>
            </w:pPr>
            <w:r>
              <w:rPr>
                <w:color w:val="1C3A36"/>
                <w:sz w:val="14"/>
              </w:rPr>
              <w:t>shares_fy25</w:t>
            </w:r>
          </w:p>
        </w:tc>
        <w:tc>
          <w:tcPr>
            <w:tcW w:type="dxa" w:w="1325"/>
          </w:tcPr>
          <w:p>
            <w:pPr>
              <w:spacing w:after="20"/>
            </w:pPr>
            <w:r>
              <w:rPr>
                <w:color w:val="1C3A36"/>
                <w:sz w:val="14"/>
              </w:rPr>
              <w:t>222</w:t>
            </w:r>
          </w:p>
        </w:tc>
        <w:tc>
          <w:tcPr>
            <w:tcW w:type="dxa" w:w="1066"/>
          </w:tcPr>
          <w:p>
            <w:pPr>
              <w:spacing w:after="20"/>
            </w:pPr>
            <w:r>
              <w:rPr>
                <w:color w:val="1C3A36"/>
                <w:sz w:val="14"/>
              </w:rPr>
              <w:t>Company</w:t>
            </w:r>
          </w:p>
        </w:tc>
        <w:tc>
          <w:tcPr>
            <w:tcW w:type="dxa" w:w="7171"/>
          </w:tcPr>
          <w:p>
            <w:pPr>
              <w:spacing w:after="20"/>
            </w:pPr>
            <w:r>
              <w:rPr>
                <w:color w:val="1C3A36"/>
                <w:sz w:val="14"/>
              </w:rPr>
              <w:t>Weighted-average shares FY2025, the rights issue having completed during the year</w:t>
            </w:r>
          </w:p>
        </w:tc>
        <w:tc>
          <w:tcPr>
            <w:tcW w:type="dxa" w:w="1210"/>
          </w:tcPr>
          <w:p>
            <w:pPr>
              <w:spacing w:after="20"/>
            </w:pPr>
            <w:r>
              <w:rPr>
                <w:color w:val="1C3A36"/>
                <w:sz w:val="14"/>
              </w:rPr>
              <w:t>2026-03-10</w:t>
            </w:r>
          </w:p>
        </w:tc>
      </w:tr>
      <w:tr>
        <w:tc>
          <w:tcPr>
            <w:tcW w:type="dxa" w:w="432"/>
          </w:tcPr>
          <w:p>
            <w:pPr>
              <w:spacing w:after="20"/>
            </w:pPr>
            <w:r>
              <w:rPr>
                <w:color w:val="1C3A36"/>
                <w:sz w:val="14"/>
              </w:rPr>
              <w:t>29</w:t>
            </w:r>
          </w:p>
        </w:tc>
        <w:tc>
          <w:tcPr>
            <w:tcW w:type="dxa" w:w="2448"/>
          </w:tcPr>
          <w:p>
            <w:pPr>
              <w:spacing w:after="20"/>
            </w:pPr>
            <w:r>
              <w:rPr>
                <w:color w:val="1C3A36"/>
                <w:sz w:val="14"/>
              </w:rPr>
              <w:t>shares_mn</w:t>
            </w:r>
          </w:p>
        </w:tc>
        <w:tc>
          <w:tcPr>
            <w:tcW w:type="dxa" w:w="1325"/>
          </w:tcPr>
          <w:p>
            <w:pPr>
              <w:spacing w:after="20"/>
            </w:pPr>
            <w:r>
              <w:rPr>
                <w:color w:val="1C3A36"/>
                <w:sz w:val="14"/>
              </w:rPr>
              <w:t>260.8125</w:t>
            </w:r>
          </w:p>
        </w:tc>
        <w:tc>
          <w:tcPr>
            <w:tcW w:type="dxa" w:w="1066"/>
          </w:tcPr>
          <w:p>
            <w:pPr>
              <w:spacing w:after="20"/>
            </w:pPr>
            <w:r>
              <w:rPr>
                <w:color w:val="1C3A36"/>
                <w:sz w:val="14"/>
              </w:rPr>
              <w:t>Company</w:t>
            </w:r>
          </w:p>
        </w:tc>
        <w:tc>
          <w:tcPr>
            <w:tcW w:type="dxa" w:w="7171"/>
          </w:tcPr>
          <w:p>
            <w:pPr>
              <w:spacing w:after="20"/>
            </w:pPr>
            <w:r>
              <w:rPr>
                <w:color w:val="1C3A36"/>
                <w:sz w:val="14"/>
              </w:rPr>
              <w:t>260,812,477 shares, corroborated FIVE ways: issued capital EGP 2,608,124,770 at EGP 10 par; the Jul-2025 tender offer of 58,416,664 shares at 22.4%; quoted market capitalisation over price; and the reconstruction 133.07mn pre-issue + 127.74mn subscribed. Revision 1 wrongly described the pre-issue count as 92.61mn by subtracting shares OFFERED (168.20mn) instead of shares SUBSCRIBED (127.74mn, a 75.95% take-up)</w:t>
            </w:r>
          </w:p>
        </w:tc>
        <w:tc>
          <w:tcPr>
            <w:tcW w:type="dxa" w:w="1210"/>
          </w:tcPr>
          <w:p>
            <w:pPr>
              <w:spacing w:after="20"/>
            </w:pPr>
            <w:r>
              <w:rPr>
                <w:color w:val="1C3A36"/>
                <w:sz w:val="14"/>
              </w:rPr>
              <w:t>2025-07-28</w:t>
            </w:r>
          </w:p>
        </w:tc>
      </w:tr>
      <w:tr>
        <w:tc>
          <w:tcPr>
            <w:tcW w:type="dxa" w:w="432"/>
          </w:tcPr>
          <w:p>
            <w:pPr>
              <w:spacing w:after="20"/>
            </w:pPr>
            <w:r>
              <w:rPr>
                <w:color w:val="1C3A36"/>
                <w:sz w:val="14"/>
              </w:rPr>
              <w:t>30</w:t>
            </w:r>
          </w:p>
        </w:tc>
        <w:tc>
          <w:tcPr>
            <w:tcW w:type="dxa" w:w="2448"/>
          </w:tcPr>
          <w:p>
            <w:pPr>
              <w:spacing w:after="20"/>
            </w:pPr>
            <w:r>
              <w:rPr>
                <w:color w:val="1C3A36"/>
                <w:sz w:val="14"/>
              </w:rPr>
              <w:t>swcc_eur</w:t>
            </w:r>
          </w:p>
        </w:tc>
        <w:tc>
          <w:tcPr>
            <w:tcW w:type="dxa" w:w="1325"/>
          </w:tcPr>
          <w:p>
            <w:pPr>
              <w:spacing w:after="20"/>
            </w:pPr>
            <w:r>
              <w:rPr>
                <w:color w:val="1C3A36"/>
                <w:sz w:val="14"/>
              </w:rPr>
              <w:t>30</w:t>
            </w:r>
          </w:p>
        </w:tc>
        <w:tc>
          <w:tcPr>
            <w:tcW w:type="dxa" w:w="1066"/>
          </w:tcPr>
          <w:p>
            <w:pPr>
              <w:spacing w:after="20"/>
            </w:pPr>
            <w:r>
              <w:rPr>
                <w:color w:val="1C3A36"/>
                <w:sz w:val="14"/>
              </w:rPr>
              <w:t>Company</w:t>
            </w:r>
          </w:p>
        </w:tc>
        <w:tc>
          <w:tcPr>
            <w:tcW w:type="dxa" w:w="7171"/>
          </w:tcPr>
          <w:p>
            <w:pPr>
              <w:spacing w:after="20"/>
            </w:pPr>
            <w:r>
              <w:rPr>
                <w:color w:val="1C3A36"/>
                <w:sz w:val="14"/>
              </w:rPr>
              <w:t>EUR 30mn for the 25.40% Sinai White stake, completed 13-Aug-2024</w:t>
            </w:r>
          </w:p>
        </w:tc>
        <w:tc>
          <w:tcPr>
            <w:tcW w:type="dxa" w:w="1210"/>
          </w:tcPr>
          <w:p>
            <w:pPr>
              <w:spacing w:after="20"/>
            </w:pPr>
            <w:r>
              <w:rPr>
                <w:color w:val="1C3A36"/>
                <w:sz w:val="14"/>
              </w:rPr>
              <w:t>2024-08-13</w:t>
            </w:r>
          </w:p>
        </w:tc>
      </w:tr>
      <w:tr>
        <w:tc>
          <w:tcPr>
            <w:tcW w:type="dxa" w:w="432"/>
          </w:tcPr>
          <w:p>
            <w:pPr>
              <w:spacing w:after="20"/>
            </w:pPr>
            <w:r>
              <w:rPr>
                <w:color w:val="1C3A36"/>
                <w:sz w:val="14"/>
              </w:rPr>
              <w:t>31</w:t>
            </w:r>
          </w:p>
        </w:tc>
        <w:tc>
          <w:tcPr>
            <w:tcW w:type="dxa" w:w="2448"/>
          </w:tcPr>
          <w:p>
            <w:pPr>
              <w:spacing w:after="20"/>
            </w:pPr>
            <w:r>
              <w:rPr>
                <w:color w:val="1C3A36"/>
                <w:sz w:val="14"/>
              </w:rPr>
              <w:t>ta_fy24</w:t>
            </w:r>
          </w:p>
        </w:tc>
        <w:tc>
          <w:tcPr>
            <w:tcW w:type="dxa" w:w="1325"/>
          </w:tcPr>
          <w:p>
            <w:pPr>
              <w:spacing w:after="20"/>
            </w:pPr>
            <w:r>
              <w:rPr>
                <w:color w:val="1C3A36"/>
                <w:sz w:val="14"/>
              </w:rPr>
              <w:t>6,385.92</w:t>
            </w:r>
          </w:p>
        </w:tc>
        <w:tc>
          <w:tcPr>
            <w:tcW w:type="dxa" w:w="1066"/>
          </w:tcPr>
          <w:p>
            <w:pPr>
              <w:spacing w:after="20"/>
            </w:pPr>
            <w:r>
              <w:rPr>
                <w:color w:val="1C3A36"/>
                <w:sz w:val="14"/>
              </w:rPr>
              <w:t>Company</w:t>
            </w:r>
          </w:p>
        </w:tc>
        <w:tc>
          <w:tcPr>
            <w:tcW w:type="dxa" w:w="7171"/>
          </w:tcPr>
          <w:p>
            <w:pPr>
              <w:spacing w:after="20"/>
            </w:pPr>
            <w:r>
              <w:rPr>
                <w:color w:val="1C3A36"/>
                <w:sz w:val="14"/>
              </w:rPr>
              <w:t>EGX filing reported by Global Cement, cemnet/International Cement Review, Daily News Egypt and Arab Finance — FY2024 total assets</w:t>
            </w:r>
          </w:p>
        </w:tc>
        <w:tc>
          <w:tcPr>
            <w:tcW w:type="dxa" w:w="1210"/>
          </w:tcPr>
          <w:p>
            <w:pPr>
              <w:spacing w:after="20"/>
            </w:pPr>
            <w:r>
              <w:rPr>
                <w:color w:val="1C3A36"/>
                <w:sz w:val="14"/>
              </w:rPr>
              <w:t>2025-03-16</w:t>
            </w:r>
          </w:p>
        </w:tc>
      </w:tr>
      <w:tr>
        <w:tc>
          <w:tcPr>
            <w:tcW w:type="dxa" w:w="432"/>
          </w:tcPr>
          <w:p>
            <w:pPr>
              <w:spacing w:after="20"/>
            </w:pPr>
            <w:r>
              <w:rPr>
                <w:color w:val="1C3A36"/>
                <w:sz w:val="14"/>
              </w:rPr>
              <w:t>32</w:t>
            </w:r>
          </w:p>
        </w:tc>
        <w:tc>
          <w:tcPr>
            <w:tcW w:type="dxa" w:w="2448"/>
          </w:tcPr>
          <w:p>
            <w:pPr>
              <w:spacing w:after="20"/>
            </w:pPr>
            <w:r>
              <w:rPr>
                <w:color w:val="1C3A36"/>
                <w:sz w:val="14"/>
              </w:rPr>
              <w:t>tax_eff</w:t>
            </w:r>
          </w:p>
        </w:tc>
        <w:tc>
          <w:tcPr>
            <w:tcW w:type="dxa" w:w="1325"/>
          </w:tcPr>
          <w:p>
            <w:pPr>
              <w:spacing w:after="20"/>
            </w:pPr>
            <w:r>
              <w:rPr>
                <w:color w:val="1C3A36"/>
                <w:sz w:val="14"/>
              </w:rPr>
              <w:t>0.32</w:t>
            </w:r>
          </w:p>
        </w:tc>
        <w:tc>
          <w:tcPr>
            <w:tcW w:type="dxa" w:w="1066"/>
          </w:tcPr>
          <w:p>
            <w:pPr>
              <w:spacing w:after="20"/>
            </w:pPr>
            <w:r>
              <w:rPr>
                <w:color w:val="1C3A36"/>
                <w:sz w:val="14"/>
              </w:rPr>
              <w:t>Company</w:t>
            </w:r>
          </w:p>
        </w:tc>
        <w:tc>
          <w:tcPr>
            <w:tcW w:type="dxa" w:w="7171"/>
          </w:tcPr>
          <w:p>
            <w:pPr>
              <w:spacing w:after="20"/>
            </w:pPr>
            <w:r>
              <w:rPr>
                <w:color w:val="1C3A36"/>
                <w:sz w:val="14"/>
              </w:rPr>
              <w:t>EFFECTIVE tax rate on the FY2025 closure. Disclosed pre-tax profit of 3,378.7 against profit after tax of 2,298.2 gives 32.0%. Revision 1 used the statutory 22.5% here, which understated every derived operating line</w:t>
            </w:r>
          </w:p>
        </w:tc>
        <w:tc>
          <w:tcPr>
            <w:tcW w:type="dxa" w:w="1210"/>
          </w:tcPr>
          <w:p>
            <w:pPr>
              <w:spacing w:after="20"/>
            </w:pPr>
            <w:r>
              <w:rPr>
                <w:color w:val="1C3A36"/>
                <w:sz w:val="14"/>
              </w:rPr>
              <w:t>2026-03-10</w:t>
            </w:r>
          </w:p>
        </w:tc>
      </w:tr>
      <w:tr>
        <w:tc>
          <w:tcPr>
            <w:tcW w:type="dxa" w:w="432"/>
          </w:tcPr>
          <w:p>
            <w:pPr>
              <w:spacing w:after="20"/>
            </w:pPr>
            <w:r>
              <w:rPr>
                <w:color w:val="1C3A36"/>
                <w:sz w:val="14"/>
              </w:rPr>
              <w:t>33</w:t>
            </w:r>
          </w:p>
        </w:tc>
        <w:tc>
          <w:tcPr>
            <w:tcW w:type="dxa" w:w="2448"/>
          </w:tcPr>
          <w:p>
            <w:pPr>
              <w:spacing w:after="20"/>
            </w:pPr>
            <w:r>
              <w:rPr>
                <w:color w:val="1C3A36"/>
                <w:sz w:val="14"/>
              </w:rPr>
              <w:t>tl_fy24</w:t>
            </w:r>
          </w:p>
        </w:tc>
        <w:tc>
          <w:tcPr>
            <w:tcW w:type="dxa" w:w="1325"/>
          </w:tcPr>
          <w:p>
            <w:pPr>
              <w:spacing w:after="20"/>
            </w:pPr>
            <w:r>
              <w:rPr>
                <w:color w:val="1C3A36"/>
                <w:sz w:val="14"/>
              </w:rPr>
              <w:t>1,610.86</w:t>
            </w:r>
          </w:p>
        </w:tc>
        <w:tc>
          <w:tcPr>
            <w:tcW w:type="dxa" w:w="1066"/>
          </w:tcPr>
          <w:p>
            <w:pPr>
              <w:spacing w:after="20"/>
            </w:pPr>
            <w:r>
              <w:rPr>
                <w:color w:val="1C3A36"/>
                <w:sz w:val="14"/>
              </w:rPr>
              <w:t>Company</w:t>
            </w:r>
          </w:p>
        </w:tc>
        <w:tc>
          <w:tcPr>
            <w:tcW w:type="dxa" w:w="7171"/>
          </w:tcPr>
          <w:p>
            <w:pPr>
              <w:spacing w:after="20"/>
            </w:pPr>
            <w:r>
              <w:rPr>
                <w:color w:val="1C3A36"/>
                <w:sz w:val="14"/>
              </w:rPr>
              <w:t>EGX filing reported by Global Cement, cemnet/International Cement Review, Daily News Egypt and Arab Finance — FY2024 total liabilities; the triple closes to equity of 4,775.06 exactly</w:t>
            </w:r>
          </w:p>
        </w:tc>
        <w:tc>
          <w:tcPr>
            <w:tcW w:type="dxa" w:w="1210"/>
          </w:tcPr>
          <w:p>
            <w:pPr>
              <w:spacing w:after="20"/>
            </w:pPr>
            <w:r>
              <w:rPr>
                <w:color w:val="1C3A36"/>
                <w:sz w:val="14"/>
              </w:rPr>
              <w:t>2025-03-16</w:t>
            </w:r>
          </w:p>
        </w:tc>
      </w:tr>
      <w:tr>
        <w:tc>
          <w:tcPr>
            <w:tcW w:type="dxa" w:w="432"/>
          </w:tcPr>
          <w:p>
            <w:pPr>
              <w:spacing w:after="20"/>
            </w:pPr>
            <w:r>
              <w:rPr>
                <w:color w:val="1C3A36"/>
                <w:sz w:val="14"/>
              </w:rPr>
              <w:t>34</w:t>
            </w:r>
          </w:p>
        </w:tc>
        <w:tc>
          <w:tcPr>
            <w:tcW w:type="dxa" w:w="2448"/>
          </w:tcPr>
          <w:p>
            <w:pPr>
              <w:spacing w:after="20"/>
            </w:pPr>
            <w:r>
              <w:rPr>
                <w:color w:val="1C3A36"/>
                <w:sz w:val="14"/>
              </w:rPr>
              <w:t>bagged_share</w:t>
            </w:r>
          </w:p>
        </w:tc>
        <w:tc>
          <w:tcPr>
            <w:tcW w:type="dxa" w:w="1325"/>
          </w:tcPr>
          <w:p>
            <w:pPr>
              <w:spacing w:after="20"/>
            </w:pPr>
            <w:r>
              <w:rPr>
                <w:color w:val="1C3A36"/>
                <w:sz w:val="14"/>
              </w:rPr>
              <w:t>0.7</w:t>
            </w:r>
          </w:p>
        </w:tc>
        <w:tc>
          <w:tcPr>
            <w:tcW w:type="dxa" w:w="1066"/>
          </w:tcPr>
          <w:p>
            <w:pPr>
              <w:spacing w:after="20"/>
            </w:pPr>
            <w:r>
              <w:rPr>
                <w:color w:val="1C3A36"/>
                <w:sz w:val="14"/>
              </w:rPr>
              <w:t>Industry</w:t>
            </w:r>
          </w:p>
        </w:tc>
        <w:tc>
          <w:tcPr>
            <w:tcW w:type="dxa" w:w="7171"/>
          </w:tcPr>
          <w:p>
            <w:pPr>
              <w:spacing w:after="20"/>
            </w:pPr>
            <w:r>
              <w:rPr>
                <w:color w:val="1C3A36"/>
                <w:sz w:val="14"/>
              </w:rPr>
              <w:t>Bagged share of Egyptian despatches</w:t>
            </w:r>
          </w:p>
        </w:tc>
        <w:tc>
          <w:tcPr>
            <w:tcW w:type="dxa" w:w="1210"/>
          </w:tcPr>
          <w:p>
            <w:pPr>
              <w:spacing w:after="20"/>
            </w:pPr>
            <w:r>
              <w:rPr>
                <w:color w:val="1C3A36"/>
                <w:sz w:val="14"/>
              </w:rPr>
              <w:t>2026-08-06</w:t>
            </w:r>
          </w:p>
        </w:tc>
      </w:tr>
      <w:tr>
        <w:tc>
          <w:tcPr>
            <w:tcW w:type="dxa" w:w="432"/>
          </w:tcPr>
          <w:p>
            <w:pPr>
              <w:spacing w:after="20"/>
            </w:pPr>
            <w:r>
              <w:rPr>
                <w:color w:val="1C3A36"/>
                <w:sz w:val="14"/>
              </w:rPr>
              <w:t>35</w:t>
            </w:r>
          </w:p>
        </w:tc>
        <w:tc>
          <w:tcPr>
            <w:tcW w:type="dxa" w:w="2448"/>
          </w:tcPr>
          <w:p>
            <w:pPr>
              <w:spacing w:after="20"/>
            </w:pPr>
            <w:r>
              <w:rPr>
                <w:color w:val="1C3A36"/>
                <w:sz w:val="14"/>
              </w:rPr>
              <w:t>domestic_share</w:t>
            </w:r>
          </w:p>
        </w:tc>
        <w:tc>
          <w:tcPr>
            <w:tcW w:type="dxa" w:w="1325"/>
          </w:tcPr>
          <w:p>
            <w:pPr>
              <w:spacing w:after="20"/>
            </w:pPr>
            <w:r>
              <w:rPr>
                <w:color w:val="1C3A36"/>
                <w:sz w:val="14"/>
              </w:rPr>
              <w:t>0.88, 0.87, 0.86, 0.85, 0.84, 0.83</w:t>
            </w:r>
          </w:p>
        </w:tc>
        <w:tc>
          <w:tcPr>
            <w:tcW w:type="dxa" w:w="1066"/>
          </w:tcPr>
          <w:p>
            <w:pPr>
              <w:spacing w:after="20"/>
            </w:pPr>
            <w:r>
              <w:rPr>
                <w:color w:val="1C3A36"/>
                <w:sz w:val="14"/>
              </w:rPr>
              <w:t>Industry</w:t>
            </w:r>
          </w:p>
        </w:tc>
        <w:tc>
          <w:tcPr>
            <w:tcW w:type="dxa" w:w="7171"/>
          </w:tcPr>
          <w:p>
            <w:pPr>
              <w:spacing w:after="20"/>
            </w:pPr>
            <w:r>
              <w:rPr>
                <w:color w:val="1C3A36"/>
                <w:sz w:val="14"/>
              </w:rPr>
              <w:t>Domestic share of despatches</w:t>
            </w:r>
          </w:p>
        </w:tc>
        <w:tc>
          <w:tcPr>
            <w:tcW w:type="dxa" w:w="1210"/>
          </w:tcPr>
          <w:p>
            <w:pPr>
              <w:spacing w:after="20"/>
            </w:pPr>
            <w:r>
              <w:rPr>
                <w:color w:val="1C3A36"/>
                <w:sz w:val="14"/>
              </w:rPr>
              <w:t>2026-01-01</w:t>
            </w:r>
          </w:p>
        </w:tc>
      </w:tr>
      <w:tr>
        <w:tc>
          <w:tcPr>
            <w:tcW w:type="dxa" w:w="432"/>
          </w:tcPr>
          <w:p>
            <w:pPr>
              <w:spacing w:after="20"/>
            </w:pPr>
            <w:r>
              <w:rPr>
                <w:color w:val="1C3A36"/>
                <w:sz w:val="14"/>
              </w:rPr>
              <w:t>36</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capacity</w:t>
            </w:r>
          </w:p>
        </w:tc>
        <w:tc>
          <w:tcPr>
            <w:tcW w:type="dxa" w:w="1210"/>
          </w:tcPr>
          <w:p>
            <w:pPr>
              <w:spacing w:after="20"/>
            </w:pPr>
            <w:r>
              <w:rPr>
                <w:color w:val="1C3A36"/>
                <w:sz w:val="14"/>
              </w:rPr>
              <w:t>2025-10-01</w:t>
            </w:r>
          </w:p>
        </w:tc>
      </w:tr>
      <w:tr>
        <w:tc>
          <w:tcPr>
            <w:tcW w:type="dxa" w:w="432"/>
          </w:tcPr>
          <w:p>
            <w:pPr>
              <w:spacing w:after="20"/>
            </w:pPr>
            <w:r>
              <w:rPr>
                <w:color w:val="1C3A36"/>
                <w:sz w:val="14"/>
              </w:rPr>
              <w:t>37</w:t>
            </w:r>
          </w:p>
        </w:tc>
        <w:tc>
          <w:tcPr>
            <w:tcW w:type="dxa" w:w="2448"/>
          </w:tcPr>
          <w:p>
            <w:pPr>
              <w:spacing w:after="20"/>
            </w:pPr>
            <w:r>
              <w:rPr>
                <w:color w:val="1C3A36"/>
                <w:sz w:val="14"/>
              </w:rPr>
              <w:t>egy_cons_mt</w:t>
            </w:r>
          </w:p>
        </w:tc>
        <w:tc>
          <w:tcPr>
            <w:tcW w:type="dxa" w:w="1325"/>
          </w:tcPr>
          <w:p>
            <w:pPr>
              <w:spacing w:after="20"/>
            </w:pPr>
            <w:r>
              <w:rPr>
                <w:color w:val="1C3A36"/>
                <w:sz w:val="14"/>
              </w:rPr>
              <w:t>54</w:t>
            </w:r>
          </w:p>
        </w:tc>
        <w:tc>
          <w:tcPr>
            <w:tcW w:type="dxa" w:w="1066"/>
          </w:tcPr>
          <w:p>
            <w:pPr>
              <w:spacing w:after="20"/>
            </w:pPr>
            <w:r>
              <w:rPr>
                <w:color w:val="1C3A36"/>
                <w:sz w:val="14"/>
              </w:rPr>
              <w:t>Industry</w:t>
            </w:r>
          </w:p>
        </w:tc>
        <w:tc>
          <w:tcPr>
            <w:tcW w:type="dxa" w:w="7171"/>
          </w:tcPr>
          <w:p>
            <w:pPr>
              <w:spacing w:after="20"/>
            </w:pPr>
            <w:r>
              <w:rPr>
                <w:color w:val="1C3A36"/>
                <w:sz w:val="14"/>
              </w:rPr>
              <w:t>Egyptian domestic consumption 2025</w:t>
            </w:r>
          </w:p>
        </w:tc>
        <w:tc>
          <w:tcPr>
            <w:tcW w:type="dxa" w:w="1210"/>
          </w:tcPr>
          <w:p>
            <w:pPr>
              <w:spacing w:after="20"/>
            </w:pPr>
            <w:r>
              <w:rPr>
                <w:color w:val="1C3A36"/>
                <w:sz w:val="14"/>
              </w:rPr>
              <w:t>2025-10-01</w:t>
            </w:r>
          </w:p>
        </w:tc>
      </w:tr>
      <w:tr>
        <w:tc>
          <w:tcPr>
            <w:tcW w:type="dxa" w:w="432"/>
          </w:tcPr>
          <w:p>
            <w:pPr>
              <w:spacing w:after="20"/>
            </w:pPr>
            <w:r>
              <w:rPr>
                <w:color w:val="1C3A36"/>
                <w:sz w:val="14"/>
              </w:rPr>
              <w:t>38</w:t>
            </w:r>
          </w:p>
        </w:tc>
        <w:tc>
          <w:tcPr>
            <w:tcW w:type="dxa" w:w="2448"/>
          </w:tcPr>
          <w:p>
            <w:pPr>
              <w:spacing w:after="20"/>
            </w:pPr>
            <w:r>
              <w:rPr>
                <w:color w:val="1C3A36"/>
                <w:sz w:val="14"/>
              </w:rPr>
              <w:t>egy_exports_mt</w:t>
            </w:r>
          </w:p>
        </w:tc>
        <w:tc>
          <w:tcPr>
            <w:tcW w:type="dxa" w:w="1325"/>
          </w:tcPr>
          <w:p>
            <w:pPr>
              <w:spacing w:after="20"/>
            </w:pPr>
            <w:r>
              <w:rPr>
                <w:color w:val="1C3A36"/>
                <w:sz w:val="14"/>
              </w:rPr>
              <w:t>18.5</w:t>
            </w:r>
          </w:p>
        </w:tc>
        <w:tc>
          <w:tcPr>
            <w:tcW w:type="dxa" w:w="1066"/>
          </w:tcPr>
          <w:p>
            <w:pPr>
              <w:spacing w:after="20"/>
            </w:pPr>
            <w:r>
              <w:rPr>
                <w:color w:val="1C3A36"/>
                <w:sz w:val="14"/>
              </w:rPr>
              <w:t>Industry</w:t>
            </w:r>
          </w:p>
        </w:tc>
        <w:tc>
          <w:tcPr>
            <w:tcW w:type="dxa" w:w="7171"/>
          </w:tcPr>
          <w:p>
            <w:pPr>
              <w:spacing w:after="20"/>
            </w:pPr>
            <w:r>
              <w:rPr>
                <w:color w:val="1C3A36"/>
                <w:sz w:val="14"/>
              </w:rPr>
              <w:t>Egyptian cement and clinker exports 2025</w:t>
            </w:r>
          </w:p>
        </w:tc>
        <w:tc>
          <w:tcPr>
            <w:tcW w:type="dxa" w:w="1210"/>
          </w:tcPr>
          <w:p>
            <w:pPr>
              <w:spacing w:after="20"/>
            </w:pPr>
            <w:r>
              <w:rPr>
                <w:color w:val="1C3A36"/>
                <w:sz w:val="14"/>
              </w:rPr>
              <w:t>2026-01-01</w:t>
            </w:r>
          </w:p>
        </w:tc>
      </w:tr>
      <w:tr>
        <w:tc>
          <w:tcPr>
            <w:tcW w:type="dxa" w:w="432"/>
          </w:tcPr>
          <w:p>
            <w:pPr>
              <w:spacing w:after="20"/>
            </w:pPr>
            <w:r>
              <w:rPr>
                <w:color w:val="1C3A36"/>
                <w:sz w:val="14"/>
              </w:rPr>
              <w:t>39</w:t>
            </w:r>
          </w:p>
        </w:tc>
        <w:tc>
          <w:tcPr>
            <w:tcW w:type="dxa" w:w="2448"/>
          </w:tcPr>
          <w:p>
            <w:pPr>
              <w:spacing w:after="20"/>
            </w:pPr>
            <w:r>
              <w:rPr>
                <w:color w:val="1C3A36"/>
                <w:sz w:val="14"/>
              </w:rPr>
              <w:t>egy_prod_mt</w:t>
            </w:r>
          </w:p>
        </w:tc>
        <w:tc>
          <w:tcPr>
            <w:tcW w:type="dxa" w:w="1325"/>
          </w:tcPr>
          <w:p>
            <w:pPr>
              <w:spacing w:after="20"/>
            </w:pPr>
            <w:r>
              <w:rPr>
                <w:color w:val="1C3A36"/>
                <w:sz w:val="14"/>
              </w:rPr>
              <w:t>65</w:t>
            </w:r>
          </w:p>
        </w:tc>
        <w:tc>
          <w:tcPr>
            <w:tcW w:type="dxa" w:w="1066"/>
          </w:tcPr>
          <w:p>
            <w:pPr>
              <w:spacing w:after="20"/>
            </w:pPr>
            <w:r>
              <w:rPr>
                <w:color w:val="1C3A36"/>
                <w:sz w:val="14"/>
              </w:rPr>
              <w:t>Industry</w:t>
            </w:r>
          </w:p>
        </w:tc>
        <w:tc>
          <w:tcPr>
            <w:tcW w:type="dxa" w:w="7171"/>
          </w:tcPr>
          <w:p>
            <w:pPr>
              <w:spacing w:after="20"/>
            </w:pPr>
            <w:r>
              <w:rPr>
                <w:color w:val="1C3A36"/>
                <w:sz w:val="14"/>
              </w:rPr>
              <w:t>Egyptian cement production 2025</w:t>
            </w:r>
          </w:p>
        </w:tc>
        <w:tc>
          <w:tcPr>
            <w:tcW w:type="dxa" w:w="1210"/>
          </w:tcPr>
          <w:p>
            <w:pPr>
              <w:spacing w:after="20"/>
            </w:pPr>
            <w:r>
              <w:rPr>
                <w:color w:val="1C3A36"/>
                <w:sz w:val="14"/>
              </w:rPr>
              <w:t>2026-01-01</w:t>
            </w:r>
          </w:p>
        </w:tc>
      </w:tr>
      <w:tr>
        <w:tc>
          <w:tcPr>
            <w:tcW w:type="dxa" w:w="432"/>
          </w:tcPr>
          <w:p>
            <w:pPr>
              <w:spacing w:after="20"/>
            </w:pPr>
            <w:r>
              <w:rPr>
                <w:color w:val="1C3A36"/>
                <w:sz w:val="14"/>
              </w:rPr>
              <w:t>40</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capacity under revival from 2H-2026</w:t>
            </w:r>
          </w:p>
        </w:tc>
        <w:tc>
          <w:tcPr>
            <w:tcW w:type="dxa" w:w="1210"/>
          </w:tcPr>
          <w:p>
            <w:pPr>
              <w:spacing w:after="20"/>
            </w:pPr>
            <w:r>
              <w:rPr>
                <w:color w:val="1C3A36"/>
                <w:sz w:val="14"/>
              </w:rPr>
              <w:t>2025-10-01</w:t>
            </w:r>
          </w:p>
        </w:tc>
      </w:tr>
      <w:tr>
        <w:tc>
          <w:tcPr>
            <w:tcW w:type="dxa" w:w="432"/>
          </w:tcPr>
          <w:p>
            <w:pPr>
              <w:spacing w:after="20"/>
            </w:pPr>
            <w:r>
              <w:rPr>
                <w:color w:val="1C3A36"/>
                <w:sz w:val="14"/>
              </w:rPr>
              <w:t>41</w:t>
            </w:r>
          </w:p>
        </w:tc>
        <w:tc>
          <w:tcPr>
            <w:tcW w:type="dxa" w:w="2448"/>
          </w:tcPr>
          <w:p>
            <w:pPr>
              <w:spacing w:after="20"/>
            </w:pPr>
            <w:r>
              <w:rPr>
                <w:color w:val="1C3A36"/>
                <w:sz w:val="14"/>
              </w:rPr>
              <w:t>fuel_usd_gj</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171"/>
          </w:tcPr>
          <w:p>
            <w:pPr>
              <w:spacing w:after="20"/>
            </w:pPr>
            <w:r>
              <w:rPr>
                <w:color w:val="1C3A36"/>
                <w:sz w:val="14"/>
              </w:rPr>
              <w:t>Delivered solid fuel, petcoke/coal ~USD 128/t at ~32 GJ/t</w:t>
            </w:r>
          </w:p>
        </w:tc>
        <w:tc>
          <w:tcPr>
            <w:tcW w:type="dxa" w:w="1210"/>
          </w:tcPr>
          <w:p>
            <w:pPr>
              <w:spacing w:after="20"/>
            </w:pPr>
            <w:r>
              <w:rPr>
                <w:color w:val="1C3A36"/>
                <w:sz w:val="14"/>
              </w:rPr>
              <w:t>2026-08-06</w:t>
            </w:r>
          </w:p>
        </w:tc>
      </w:tr>
      <w:tr>
        <w:tc>
          <w:tcPr>
            <w:tcW w:type="dxa" w:w="432"/>
          </w:tcPr>
          <w:p>
            <w:pPr>
              <w:spacing w:after="20"/>
            </w:pPr>
            <w:r>
              <w:rPr>
                <w:color w:val="1C3A36"/>
                <w:sz w:val="14"/>
              </w:rPr>
              <w:t>42</w:t>
            </w:r>
          </w:p>
        </w:tc>
        <w:tc>
          <w:tcPr>
            <w:tcW w:type="dxa" w:w="2448"/>
          </w:tcPr>
          <w:p>
            <w:pPr>
              <w:spacing w:after="20"/>
            </w:pPr>
            <w:r>
              <w:rPr>
                <w:color w:val="1C3A36"/>
                <w:sz w:val="14"/>
              </w:rPr>
              <w:t>packaging_egp_t</w:t>
            </w:r>
          </w:p>
        </w:tc>
        <w:tc>
          <w:tcPr>
            <w:tcW w:type="dxa" w:w="1325"/>
          </w:tcPr>
          <w:p>
            <w:pPr>
              <w:spacing w:after="20"/>
            </w:pPr>
            <w:r>
              <w:rPr>
                <w:color w:val="1C3A36"/>
                <w:sz w:val="14"/>
              </w:rPr>
              <w:t>55</w:t>
            </w:r>
          </w:p>
        </w:tc>
        <w:tc>
          <w:tcPr>
            <w:tcW w:type="dxa" w:w="1066"/>
          </w:tcPr>
          <w:p>
            <w:pPr>
              <w:spacing w:after="20"/>
            </w:pPr>
            <w:r>
              <w:rPr>
                <w:color w:val="1C3A36"/>
                <w:sz w:val="14"/>
              </w:rPr>
              <w:t>Industry</w:t>
            </w:r>
          </w:p>
        </w:tc>
        <w:tc>
          <w:tcPr>
            <w:tcW w:type="dxa" w:w="7171"/>
          </w:tcPr>
          <w:p>
            <w:pPr>
              <w:spacing w:after="20"/>
            </w:pPr>
            <w:r>
              <w:rPr>
                <w:color w:val="1C3A36"/>
                <w:sz w:val="14"/>
              </w:rPr>
              <w:t>Bag cost per tonne of bagged cement</w:t>
            </w:r>
          </w:p>
        </w:tc>
        <w:tc>
          <w:tcPr>
            <w:tcW w:type="dxa" w:w="1210"/>
          </w:tcPr>
          <w:p>
            <w:pPr>
              <w:spacing w:after="20"/>
            </w:pPr>
            <w:r>
              <w:rPr>
                <w:color w:val="1C3A36"/>
                <w:sz w:val="14"/>
              </w:rPr>
              <w:t>2026-08-06</w:t>
            </w:r>
          </w:p>
        </w:tc>
      </w:tr>
      <w:tr>
        <w:tc>
          <w:tcPr>
            <w:tcW w:type="dxa" w:w="432"/>
          </w:tcPr>
          <w:p>
            <w:pPr>
              <w:spacing w:after="20"/>
            </w:pPr>
            <w:r>
              <w:rPr>
                <w:color w:val="1C3A36"/>
                <w:sz w:val="14"/>
              </w:rPr>
              <w:t>43</w:t>
            </w:r>
          </w:p>
        </w:tc>
        <w:tc>
          <w:tcPr>
            <w:tcW w:type="dxa" w:w="2448"/>
          </w:tcPr>
          <w:p>
            <w:pPr>
              <w:spacing w:after="20"/>
            </w:pPr>
            <w:r>
              <w:rPr>
                <w:color w:val="1C3A36"/>
                <w:sz w:val="14"/>
              </w:rPr>
              <w:t>peer_arcc_pat</w:t>
            </w:r>
          </w:p>
        </w:tc>
        <w:tc>
          <w:tcPr>
            <w:tcW w:type="dxa" w:w="1325"/>
          </w:tcPr>
          <w:p>
            <w:pPr>
              <w:spacing w:after="20"/>
            </w:pPr>
            <w:r>
              <w:rPr>
                <w:color w:val="1C3A36"/>
                <w:sz w:val="14"/>
              </w:rPr>
              <w:t>3,600</w:t>
            </w:r>
          </w:p>
        </w:tc>
        <w:tc>
          <w:tcPr>
            <w:tcW w:type="dxa" w:w="1066"/>
          </w:tcPr>
          <w:p>
            <w:pPr>
              <w:spacing w:after="20"/>
            </w:pPr>
            <w:r>
              <w:rPr>
                <w:color w:val="1C3A36"/>
                <w:sz w:val="14"/>
              </w:rPr>
              <w:t>Industry</w:t>
            </w:r>
          </w:p>
        </w:tc>
        <w:tc>
          <w:tcPr>
            <w:tcW w:type="dxa" w:w="7171"/>
          </w:tcPr>
          <w:p>
            <w:pPr>
              <w:spacing w:after="20"/>
            </w:pPr>
            <w:r>
              <w:rPr>
                <w:color w:val="1C3A36"/>
                <w:sz w:val="14"/>
              </w:rPr>
              <w:t>Arabian Cement FY2025 consolidated profit</w:t>
            </w:r>
          </w:p>
        </w:tc>
        <w:tc>
          <w:tcPr>
            <w:tcW w:type="dxa" w:w="1210"/>
          </w:tcPr>
          <w:p>
            <w:pPr>
              <w:spacing w:after="20"/>
            </w:pPr>
            <w:r>
              <w:rPr>
                <w:color w:val="1C3A36"/>
                <w:sz w:val="14"/>
              </w:rPr>
              <w:t>2026-03-01</w:t>
            </w:r>
          </w:p>
        </w:tc>
      </w:tr>
      <w:tr>
        <w:tc>
          <w:tcPr>
            <w:tcW w:type="dxa" w:w="432"/>
          </w:tcPr>
          <w:p>
            <w:pPr>
              <w:spacing w:after="20"/>
            </w:pPr>
            <w:r>
              <w:rPr>
                <w:color w:val="1C3A36"/>
                <w:sz w:val="14"/>
              </w:rPr>
              <w:t>44</w:t>
            </w:r>
          </w:p>
        </w:tc>
        <w:tc>
          <w:tcPr>
            <w:tcW w:type="dxa" w:w="2448"/>
          </w:tcPr>
          <w:p>
            <w:pPr>
              <w:spacing w:after="20"/>
            </w:pPr>
            <w:r>
              <w:rPr>
                <w:color w:val="1C3A36"/>
                <w:sz w:val="14"/>
              </w:rPr>
              <w:t>peer_mbsc_eps</w:t>
            </w:r>
          </w:p>
        </w:tc>
        <w:tc>
          <w:tcPr>
            <w:tcW w:type="dxa" w:w="1325"/>
          </w:tcPr>
          <w:p>
            <w:pPr>
              <w:spacing w:after="20"/>
            </w:pPr>
            <w:r>
              <w:rPr>
                <w:color w:val="1C3A36"/>
                <w:sz w:val="14"/>
              </w:rPr>
              <w:t>61.25</w:t>
            </w:r>
          </w:p>
        </w:tc>
        <w:tc>
          <w:tcPr>
            <w:tcW w:type="dxa" w:w="1066"/>
          </w:tcPr>
          <w:p>
            <w:pPr>
              <w:spacing w:after="20"/>
            </w:pPr>
            <w:r>
              <w:rPr>
                <w:color w:val="1C3A36"/>
                <w:sz w:val="14"/>
              </w:rPr>
              <w:t>Industry</w:t>
            </w:r>
          </w:p>
        </w:tc>
        <w:tc>
          <w:tcPr>
            <w:tcW w:type="dxa" w:w="7171"/>
          </w:tcPr>
          <w:p>
            <w:pPr>
              <w:spacing w:after="20"/>
            </w:pPr>
            <w:r>
              <w:rPr>
                <w:color w:val="1C3A36"/>
                <w:sz w:val="14"/>
              </w:rPr>
              <w:t>Misr Beni Suef FY2025 EPS</w:t>
            </w:r>
          </w:p>
        </w:tc>
        <w:tc>
          <w:tcPr>
            <w:tcW w:type="dxa" w:w="1210"/>
          </w:tcPr>
          <w:p>
            <w:pPr>
              <w:spacing w:after="20"/>
            </w:pPr>
            <w:r>
              <w:rPr>
                <w:color w:val="1C3A36"/>
                <w:sz w:val="14"/>
              </w:rPr>
              <w:t>2026-03-01</w:t>
            </w:r>
          </w:p>
        </w:tc>
      </w:tr>
      <w:tr>
        <w:tc>
          <w:tcPr>
            <w:tcW w:type="dxa" w:w="432"/>
          </w:tcPr>
          <w:p>
            <w:pPr>
              <w:spacing w:after="20"/>
            </w:pPr>
            <w:r>
              <w:rPr>
                <w:color w:val="1C3A36"/>
                <w:sz w:val="14"/>
              </w:rPr>
              <w:t>45</w:t>
            </w:r>
          </w:p>
        </w:tc>
        <w:tc>
          <w:tcPr>
            <w:tcW w:type="dxa" w:w="2448"/>
          </w:tcPr>
          <w:p>
            <w:pPr>
              <w:spacing w:after="20"/>
            </w:pPr>
            <w:r>
              <w:rPr>
                <w:color w:val="1C3A36"/>
                <w:sz w:val="14"/>
              </w:rPr>
              <w:t>peer_mbsc_evebitda</w:t>
            </w:r>
          </w:p>
        </w:tc>
        <w:tc>
          <w:tcPr>
            <w:tcW w:type="dxa" w:w="1325"/>
          </w:tcPr>
          <w:p>
            <w:pPr>
              <w:spacing w:after="20"/>
            </w:pPr>
            <w:r>
              <w:rPr>
                <w:color w:val="1C3A36"/>
                <w:sz w:val="14"/>
              </w:rPr>
              <w:t>5.03</w:t>
            </w:r>
          </w:p>
        </w:tc>
        <w:tc>
          <w:tcPr>
            <w:tcW w:type="dxa" w:w="1066"/>
          </w:tcPr>
          <w:p>
            <w:pPr>
              <w:spacing w:after="20"/>
            </w:pPr>
            <w:r>
              <w:rPr>
                <w:color w:val="1C3A36"/>
                <w:sz w:val="14"/>
              </w:rPr>
              <w:t>Industry</w:t>
            </w:r>
          </w:p>
        </w:tc>
        <w:tc>
          <w:tcPr>
            <w:tcW w:type="dxa" w:w="7171"/>
          </w:tcPr>
          <w:p>
            <w:pPr>
              <w:spacing w:after="20"/>
            </w:pPr>
            <w:r>
              <w:rPr>
                <w:color w:val="1C3A36"/>
                <w:sz w:val="14"/>
              </w:rPr>
              <w:t>Misr Beni Suef EV/EBITDA as quoted. Carried with a caution: no enterprise value, EBITDA or net-cash figure is published for it, and pairing it with the stated profit implies a 68% EBITDA margin, which no cement company earns</w:t>
            </w:r>
          </w:p>
        </w:tc>
        <w:tc>
          <w:tcPr>
            <w:tcW w:type="dxa" w:w="1210"/>
          </w:tcPr>
          <w:p>
            <w:pPr>
              <w:spacing w:after="20"/>
            </w:pPr>
            <w:r>
              <w:rPr>
                <w:color w:val="1C3A36"/>
                <w:sz w:val="14"/>
              </w:rPr>
              <w:t>2026-08-06</w:t>
            </w:r>
          </w:p>
        </w:tc>
      </w:tr>
      <w:tr>
        <w:tc>
          <w:tcPr>
            <w:tcW w:type="dxa" w:w="432"/>
          </w:tcPr>
          <w:p>
            <w:pPr>
              <w:spacing w:after="20"/>
            </w:pPr>
            <w:r>
              <w:rPr>
                <w:color w:val="1C3A36"/>
                <w:sz w:val="14"/>
              </w:rPr>
              <w:t>46</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47</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48</w:t>
            </w:r>
          </w:p>
        </w:tc>
        <w:tc>
          <w:tcPr>
            <w:tcW w:type="dxa" w:w="2448"/>
          </w:tcPr>
          <w:p>
            <w:pPr>
              <w:spacing w:after="20"/>
            </w:pPr>
            <w:r>
              <w:rPr>
                <w:color w:val="1C3A36"/>
                <w:sz w:val="14"/>
              </w:rPr>
              <w:t>peer_mbsc_pe</w:t>
            </w:r>
          </w:p>
        </w:tc>
        <w:tc>
          <w:tcPr>
            <w:tcW w:type="dxa" w:w="1325"/>
          </w:tcPr>
          <w:p>
            <w:pPr>
              <w:spacing w:after="20"/>
            </w:pPr>
            <w:r>
              <w:rPr>
                <w:color w:val="1C3A36"/>
                <w:sz w:val="14"/>
              </w:rPr>
              <w:t>3.48</w:t>
            </w:r>
          </w:p>
        </w:tc>
        <w:tc>
          <w:tcPr>
            <w:tcW w:type="dxa" w:w="1066"/>
          </w:tcPr>
          <w:p>
            <w:pPr>
              <w:spacing w:after="20"/>
            </w:pPr>
            <w:r>
              <w:rPr>
                <w:color w:val="1C3A36"/>
                <w:sz w:val="14"/>
              </w:rPr>
              <w:t>Industry</w:t>
            </w:r>
          </w:p>
        </w:tc>
        <w:tc>
          <w:tcPr>
            <w:tcW w:type="dxa" w:w="7171"/>
          </w:tcPr>
          <w:p>
            <w:pPr>
              <w:spacing w:after="20"/>
            </w:pPr>
            <w:r>
              <w:rPr>
                <w:color w:val="1C3A36"/>
                <w:sz w:val="14"/>
              </w:rPr>
              <w:t>Misr Beni Suef trailing price/earnings RECOMPUTED as market capitalisation over attributable profit. The 6.44x printed by data providers cannot be reconciled with the market capitalisation printed beside it — 6.44 x 3,946 = 25,412 against a stated 13,730</w:t>
            </w:r>
          </w:p>
        </w:tc>
        <w:tc>
          <w:tcPr>
            <w:tcW w:type="dxa" w:w="1210"/>
          </w:tcPr>
          <w:p>
            <w:pPr>
              <w:spacing w:after="20"/>
            </w:pPr>
            <w:r>
              <w:rPr>
                <w:color w:val="1C3A36"/>
                <w:sz w:val="14"/>
              </w:rPr>
              <w:t>2026-08-06</w:t>
            </w:r>
          </w:p>
        </w:tc>
      </w:tr>
      <w:tr>
        <w:tc>
          <w:tcPr>
            <w:tcW w:type="dxa" w:w="432"/>
          </w:tcPr>
          <w:p>
            <w:pPr>
              <w:spacing w:after="20"/>
            </w:pPr>
            <w:r>
              <w:rPr>
                <w:color w:val="1C3A36"/>
                <w:sz w:val="14"/>
              </w:rPr>
              <w:t>49</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50</w:t>
            </w:r>
          </w:p>
        </w:tc>
        <w:tc>
          <w:tcPr>
            <w:tcW w:type="dxa" w:w="2448"/>
          </w:tcPr>
          <w:p>
            <w:pPr>
              <w:spacing w:after="20"/>
            </w:pPr>
            <w:r>
              <w:rPr>
                <w:color w:val="1C3A36"/>
                <w:sz w:val="14"/>
              </w:rPr>
              <w:t>power_kwh_t_cement</w:t>
            </w:r>
          </w:p>
        </w:tc>
        <w:tc>
          <w:tcPr>
            <w:tcW w:type="dxa" w:w="1325"/>
          </w:tcPr>
          <w:p>
            <w:pPr>
              <w:spacing w:after="20"/>
            </w:pPr>
            <w:r>
              <w:rPr>
                <w:color w:val="1C3A36"/>
                <w:sz w:val="14"/>
              </w:rPr>
              <w:t>100</w:t>
            </w:r>
          </w:p>
        </w:tc>
        <w:tc>
          <w:tcPr>
            <w:tcW w:type="dxa" w:w="1066"/>
          </w:tcPr>
          <w:p>
            <w:pPr>
              <w:spacing w:after="20"/>
            </w:pPr>
            <w:r>
              <w:rPr>
                <w:color w:val="1C3A36"/>
                <w:sz w:val="14"/>
              </w:rPr>
              <w:t>Industry</w:t>
            </w:r>
          </w:p>
        </w:tc>
        <w:tc>
          <w:tcPr>
            <w:tcW w:type="dxa" w:w="7171"/>
          </w:tcPr>
          <w:p>
            <w:pPr>
              <w:spacing w:after="20"/>
            </w:pPr>
            <w:r>
              <w:rPr>
                <w:color w:val="1C3A36"/>
                <w:sz w:val="14"/>
              </w:rPr>
              <w:t>Specific electrical energy, 90-110 kWh/t cement</w:t>
            </w:r>
          </w:p>
        </w:tc>
        <w:tc>
          <w:tcPr>
            <w:tcW w:type="dxa" w:w="1210"/>
          </w:tcPr>
          <w:p>
            <w:pPr>
              <w:spacing w:after="20"/>
            </w:pPr>
            <w:r>
              <w:rPr>
                <w:color w:val="1C3A36"/>
                <w:sz w:val="14"/>
              </w:rPr>
              <w:t>2026-08-06</w:t>
            </w:r>
          </w:p>
        </w:tc>
      </w:tr>
      <w:tr>
        <w:tc>
          <w:tcPr>
            <w:tcW w:type="dxa" w:w="432"/>
          </w:tcPr>
          <w:p>
            <w:pPr>
              <w:spacing w:after="20"/>
            </w:pPr>
            <w:r>
              <w:rPr>
                <w:color w:val="1C3A36"/>
                <w:sz w:val="14"/>
              </w:rPr>
              <w:t>51</w:t>
            </w:r>
          </w:p>
        </w:tc>
        <w:tc>
          <w:tcPr>
            <w:tcW w:type="dxa" w:w="2448"/>
          </w:tcPr>
          <w:p>
            <w:pPr>
              <w:spacing w:after="20"/>
            </w:pPr>
            <w:r>
              <w:rPr>
                <w:color w:val="1C3A36"/>
                <w:sz w:val="14"/>
              </w:rPr>
              <w:t>price_dom_egp_t</w:t>
            </w:r>
          </w:p>
        </w:tc>
        <w:tc>
          <w:tcPr>
            <w:tcW w:type="dxa" w:w="1325"/>
          </w:tcPr>
          <w:p>
            <w:pPr>
              <w:spacing w:after="20"/>
            </w:pPr>
            <w:r>
              <w:rPr>
                <w:color w:val="1C3A36"/>
                <w:sz w:val="14"/>
              </w:rPr>
              <w:t>3,503, 3,713, 3,880, 4,074, 4,297, 4,512</w:t>
            </w:r>
          </w:p>
        </w:tc>
        <w:tc>
          <w:tcPr>
            <w:tcW w:type="dxa" w:w="1066"/>
          </w:tcPr>
          <w:p>
            <w:pPr>
              <w:spacing w:after="20"/>
            </w:pPr>
            <w:r>
              <w:rPr>
                <w:color w:val="1C3A36"/>
                <w:sz w:val="14"/>
              </w:rPr>
              <w:t>Industry</w:t>
            </w:r>
          </w:p>
        </w:tc>
        <w:tc>
          <w:tcPr>
            <w:tcW w:type="dxa" w:w="7171"/>
          </w:tcPr>
          <w:p>
            <w:pPr>
              <w:spacing w:after="20"/>
            </w:pPr>
            <w:r>
              <w:rPr>
                <w:color w:val="1C3A36"/>
                <w:sz w:val="14"/>
              </w:rPr>
              <w:t>Domestic realised price ex-works. FY2025 is the level the disclosed revenue implies given the volume build — 13.9% below the ~EGP 4,070/t market average, which is what an ex-works price net of freight and rebates looks like. The path then grows 4.5-6.0% nominal, a REAL decline against CBE inflation</w:t>
            </w:r>
          </w:p>
        </w:tc>
        <w:tc>
          <w:tcPr>
            <w:tcW w:type="dxa" w:w="1210"/>
          </w:tcPr>
          <w:p>
            <w:pPr>
              <w:spacing w:after="20"/>
            </w:pPr>
            <w:r>
              <w:rPr>
                <w:color w:val="1C3A36"/>
                <w:sz w:val="14"/>
              </w:rPr>
              <w:t>2026-01-01</w:t>
            </w:r>
          </w:p>
        </w:tc>
      </w:tr>
      <w:tr>
        <w:tc>
          <w:tcPr>
            <w:tcW w:type="dxa" w:w="432"/>
          </w:tcPr>
          <w:p>
            <w:pPr>
              <w:spacing w:after="20"/>
            </w:pPr>
            <w:r>
              <w:rPr>
                <w:color w:val="1C3A36"/>
                <w:sz w:val="14"/>
              </w:rPr>
              <w:t>52</w:t>
            </w:r>
          </w:p>
        </w:tc>
        <w:tc>
          <w:tcPr>
            <w:tcW w:type="dxa" w:w="2448"/>
          </w:tcPr>
          <w:p>
            <w:pPr>
              <w:spacing w:after="20"/>
            </w:pPr>
            <w:r>
              <w:rPr>
                <w:color w:val="1C3A36"/>
                <w:sz w:val="14"/>
              </w:rPr>
              <w:t>price_exp_usd_t</w:t>
            </w:r>
          </w:p>
        </w:tc>
        <w:tc>
          <w:tcPr>
            <w:tcW w:type="dxa" w:w="1325"/>
          </w:tcPr>
          <w:p>
            <w:pPr>
              <w:spacing w:after="20"/>
            </w:pPr>
            <w:r>
              <w:rPr>
                <w:color w:val="1C3A36"/>
                <w:sz w:val="14"/>
              </w:rPr>
              <w:t>48, 47, 46, 45.5, 45, 45</w:t>
            </w:r>
          </w:p>
        </w:tc>
        <w:tc>
          <w:tcPr>
            <w:tcW w:type="dxa" w:w="1066"/>
          </w:tcPr>
          <w:p>
            <w:pPr>
              <w:spacing w:after="20"/>
            </w:pPr>
            <w:r>
              <w:rPr>
                <w:color w:val="1C3A36"/>
                <w:sz w:val="14"/>
              </w:rPr>
              <w:t>Industry</w:t>
            </w:r>
          </w:p>
        </w:tc>
        <w:tc>
          <w:tcPr>
            <w:tcW w:type="dxa" w:w="7171"/>
          </w:tcPr>
          <w:p>
            <w:pPr>
              <w:spacing w:after="20"/>
            </w:pPr>
            <w:r>
              <w:rPr>
                <w:color w:val="1C3A36"/>
                <w:sz w:val="14"/>
              </w:rPr>
              <w:t>Export FOB per tonne, declining because the EU carbon border mechanism raises the landed cost of Egyptian cement into Europe from 2026</w:t>
            </w:r>
          </w:p>
        </w:tc>
        <w:tc>
          <w:tcPr>
            <w:tcW w:type="dxa" w:w="1210"/>
          </w:tcPr>
          <w:p>
            <w:pPr>
              <w:spacing w:after="20"/>
            </w:pPr>
            <w:r>
              <w:rPr>
                <w:color w:val="1C3A36"/>
                <w:sz w:val="14"/>
              </w:rPr>
              <w:t>2026-01-01</w:t>
            </w:r>
          </w:p>
        </w:tc>
      </w:tr>
      <w:tr>
        <w:tc>
          <w:tcPr>
            <w:tcW w:type="dxa" w:w="432"/>
          </w:tcPr>
          <w:p>
            <w:pPr>
              <w:spacing w:after="20"/>
            </w:pPr>
            <w:r>
              <w:rPr>
                <w:color w:val="1C3A36"/>
                <w:sz w:val="14"/>
              </w:rPr>
              <w:t>53</w:t>
            </w:r>
          </w:p>
        </w:tc>
        <w:tc>
          <w:tcPr>
            <w:tcW w:type="dxa" w:w="2448"/>
          </w:tcPr>
          <w:p>
            <w:pPr>
              <w:spacing w:after="20"/>
            </w:pPr>
            <w:r>
              <w:rPr>
                <w:color w:val="1C3A36"/>
                <w:sz w:val="14"/>
              </w:rPr>
              <w:t>rawmat_egp_t</w:t>
            </w:r>
          </w:p>
        </w:tc>
        <w:tc>
          <w:tcPr>
            <w:tcW w:type="dxa" w:w="1325"/>
          </w:tcPr>
          <w:p>
            <w:pPr>
              <w:spacing w:after="20"/>
            </w:pPr>
            <w:r>
              <w:rPr>
                <w:color w:val="1C3A36"/>
                <w:sz w:val="14"/>
              </w:rPr>
              <w:t>190</w:t>
            </w:r>
          </w:p>
        </w:tc>
        <w:tc>
          <w:tcPr>
            <w:tcW w:type="dxa" w:w="1066"/>
          </w:tcPr>
          <w:p>
            <w:pPr>
              <w:spacing w:after="20"/>
            </w:pPr>
            <w:r>
              <w:rPr>
                <w:color w:val="1C3A36"/>
                <w:sz w:val="14"/>
              </w:rPr>
              <w:t>Industry</w:t>
            </w:r>
          </w:p>
        </w:tc>
        <w:tc>
          <w:tcPr>
            <w:tcW w:type="dxa" w:w="7171"/>
          </w:tcPr>
          <w:p>
            <w:pPr>
              <w:spacing w:after="20"/>
            </w:pPr>
            <w:r>
              <w:rPr>
                <w:color w:val="1C3A36"/>
                <w:sz w:val="14"/>
              </w:rPr>
              <w:t>Quarrying, raw meal and additives per tonne of cement</w:t>
            </w:r>
          </w:p>
        </w:tc>
        <w:tc>
          <w:tcPr>
            <w:tcW w:type="dxa" w:w="1210"/>
          </w:tcPr>
          <w:p>
            <w:pPr>
              <w:spacing w:after="20"/>
            </w:pPr>
            <w:r>
              <w:rPr>
                <w:color w:val="1C3A36"/>
                <w:sz w:val="14"/>
              </w:rPr>
              <w:t>2026-08-06</w:t>
            </w:r>
          </w:p>
        </w:tc>
      </w:tr>
      <w:tr>
        <w:tc>
          <w:tcPr>
            <w:tcW w:type="dxa" w:w="432"/>
          </w:tcPr>
          <w:p>
            <w:pPr>
              <w:spacing w:after="20"/>
            </w:pPr>
            <w:r>
              <w:rPr>
                <w:color w:val="1C3A36"/>
                <w:sz w:val="14"/>
              </w:rPr>
              <w:t>54</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55</w:t>
            </w:r>
          </w:p>
        </w:tc>
        <w:tc>
          <w:tcPr>
            <w:tcW w:type="dxa" w:w="2448"/>
          </w:tcPr>
          <w:p>
            <w:pPr>
              <w:spacing w:after="20"/>
            </w:pPr>
            <w:r>
              <w:rPr>
                <w:color w:val="1C3A36"/>
                <w:sz w:val="14"/>
              </w:rPr>
              <w:t>thermal_gj_t_clinker</w:t>
            </w:r>
          </w:p>
        </w:tc>
        <w:tc>
          <w:tcPr>
            <w:tcW w:type="dxa" w:w="1325"/>
          </w:tcPr>
          <w:p>
            <w:pPr>
              <w:spacing w:after="20"/>
            </w:pPr>
            <w:r>
              <w:rPr>
                <w:color w:val="1C3A36"/>
                <w:sz w:val="14"/>
              </w:rPr>
              <w:t>3.4</w:t>
            </w:r>
          </w:p>
        </w:tc>
        <w:tc>
          <w:tcPr>
            <w:tcW w:type="dxa" w:w="1066"/>
          </w:tcPr>
          <w:p>
            <w:pPr>
              <w:spacing w:after="20"/>
            </w:pPr>
            <w:r>
              <w:rPr>
                <w:color w:val="1C3A36"/>
                <w:sz w:val="14"/>
              </w:rPr>
              <w:t>Industry</w:t>
            </w:r>
          </w:p>
        </w:tc>
        <w:tc>
          <w:tcPr>
            <w:tcW w:type="dxa" w:w="7171"/>
          </w:tcPr>
          <w:p>
            <w:pPr>
              <w:spacing w:after="20"/>
            </w:pPr>
            <w:r>
              <w:rPr>
                <w:color w:val="1C3A36"/>
                <w:sz w:val="14"/>
              </w:rPr>
              <w:t>Specific thermal energy, 3.2-3.6 GJ/t clinker for a dry preheater/precalciner kiln</w:t>
            </w:r>
          </w:p>
        </w:tc>
        <w:tc>
          <w:tcPr>
            <w:tcW w:type="dxa" w:w="1210"/>
          </w:tcPr>
          <w:p>
            <w:pPr>
              <w:spacing w:after="20"/>
            </w:pPr>
            <w:r>
              <w:rPr>
                <w:color w:val="1C3A36"/>
                <w:sz w:val="14"/>
              </w:rPr>
              <w:t>2026-08-06</w:t>
            </w:r>
          </w:p>
        </w:tc>
      </w:tr>
      <w:tr>
        <w:tc>
          <w:tcPr>
            <w:tcW w:type="dxa" w:w="432"/>
          </w:tcPr>
          <w:p>
            <w:pPr>
              <w:spacing w:after="20"/>
            </w:pPr>
            <w:r>
              <w:rPr>
                <w:color w:val="1C3A36"/>
                <w:sz w:val="14"/>
              </w:rPr>
              <w:t>56</w:t>
            </w:r>
          </w:p>
        </w:tc>
        <w:tc>
          <w:tcPr>
            <w:tcW w:type="dxa" w:w="2448"/>
          </w:tcPr>
          <w:p>
            <w:pPr>
              <w:spacing w:after="20"/>
            </w:pPr>
            <w:r>
              <w:rPr>
                <w:color w:val="1C3A36"/>
                <w:sz w:val="14"/>
              </w:rPr>
              <w:t>cost_infl</w:t>
            </w:r>
          </w:p>
        </w:tc>
        <w:tc>
          <w:tcPr>
            <w:tcW w:type="dxa" w:w="1325"/>
          </w:tcPr>
          <w:p>
            <w:pPr>
              <w:spacing w:after="20"/>
            </w:pPr>
            <w:r>
              <w:rPr>
                <w:color w:val="1C3A36"/>
                <w:sz w:val="14"/>
              </w:rPr>
              <w:t>1, 1.14, 1.265, 1.365, 1.45, 1.53</w:t>
            </w:r>
          </w:p>
        </w:tc>
        <w:tc>
          <w:tcPr>
            <w:tcW w:type="dxa" w:w="1066"/>
          </w:tcPr>
          <w:p>
            <w:pPr>
              <w:spacing w:after="20"/>
            </w:pPr>
            <w:r>
              <w:rPr>
                <w:color w:val="1C3A36"/>
                <w:sz w:val="14"/>
              </w:rPr>
              <w:t>Country</w:t>
            </w:r>
          </w:p>
        </w:tc>
        <w:tc>
          <w:tcPr>
            <w:tcW w:type="dxa" w:w="7171"/>
          </w:tcPr>
          <w:p>
            <w:pPr>
              <w:spacing w:after="20"/>
            </w:pPr>
            <w:r>
              <w:rPr>
                <w:color w:val="1C3A36"/>
                <w:sz w:val="14"/>
              </w:rPr>
              <w:t>Cumulative local cost inflation index on the EGP cost lines</w:t>
            </w:r>
          </w:p>
        </w:tc>
        <w:tc>
          <w:tcPr>
            <w:tcW w:type="dxa" w:w="1210"/>
          </w:tcPr>
          <w:p>
            <w:pPr>
              <w:spacing w:after="20"/>
            </w:pPr>
            <w:r>
              <w:rPr>
                <w:color w:val="1C3A36"/>
                <w:sz w:val="14"/>
              </w:rPr>
              <w:t>2026-06-10</w:t>
            </w:r>
          </w:p>
        </w:tc>
      </w:tr>
      <w:tr>
        <w:tc>
          <w:tcPr>
            <w:tcW w:type="dxa" w:w="432"/>
          </w:tcPr>
          <w:p>
            <w:pPr>
              <w:spacing w:after="20"/>
            </w:pPr>
            <w:r>
              <w:rPr>
                <w:color w:val="1C3A36"/>
                <w:sz w:val="14"/>
              </w:rPr>
              <w:t>57</w:t>
            </w:r>
          </w:p>
        </w:tc>
        <w:tc>
          <w:tcPr>
            <w:tcW w:type="dxa" w:w="2448"/>
          </w:tcPr>
          <w:p>
            <w:pPr>
              <w:spacing w:after="20"/>
            </w:pPr>
            <w:r>
              <w:rPr>
                <w:color w:val="1C3A36"/>
                <w:sz w:val="14"/>
              </w:rPr>
              <w:t>egp_per_eur_aug24</w:t>
            </w:r>
          </w:p>
        </w:tc>
        <w:tc>
          <w:tcPr>
            <w:tcW w:type="dxa" w:w="1325"/>
          </w:tcPr>
          <w:p>
            <w:pPr>
              <w:spacing w:after="20"/>
            </w:pPr>
            <w:r>
              <w:rPr>
                <w:color w:val="1C3A36"/>
                <w:sz w:val="14"/>
              </w:rPr>
              <w:t>53.4</w:t>
            </w:r>
          </w:p>
        </w:tc>
        <w:tc>
          <w:tcPr>
            <w:tcW w:type="dxa" w:w="1066"/>
          </w:tcPr>
          <w:p>
            <w:pPr>
              <w:spacing w:after="20"/>
            </w:pPr>
            <w:r>
              <w:rPr>
                <w:color w:val="1C3A36"/>
                <w:sz w:val="14"/>
              </w:rPr>
              <w:t>Country</w:t>
            </w:r>
          </w:p>
        </w:tc>
        <w:tc>
          <w:tcPr>
            <w:tcW w:type="dxa" w:w="7171"/>
          </w:tcPr>
          <w:p>
            <w:pPr>
              <w:spacing w:after="20"/>
            </w:pPr>
            <w:r>
              <w:rPr>
                <w:color w:val="1C3A36"/>
                <w:sz w:val="14"/>
              </w:rPr>
              <w:t>EGP per EUR at completion</w:t>
            </w:r>
          </w:p>
        </w:tc>
        <w:tc>
          <w:tcPr>
            <w:tcW w:type="dxa" w:w="1210"/>
          </w:tcPr>
          <w:p>
            <w:pPr>
              <w:spacing w:after="20"/>
            </w:pPr>
            <w:r>
              <w:rPr>
                <w:color w:val="1C3A36"/>
                <w:sz w:val="14"/>
              </w:rPr>
              <w:t>2024-08-13</w:t>
            </w:r>
          </w:p>
        </w:tc>
      </w:tr>
      <w:tr>
        <w:tc>
          <w:tcPr>
            <w:tcW w:type="dxa" w:w="432"/>
          </w:tcPr>
          <w:p>
            <w:pPr>
              <w:spacing w:after="20"/>
            </w:pPr>
            <w:r>
              <w:rPr>
                <w:color w:val="1C3A36"/>
                <w:sz w:val="14"/>
              </w:rPr>
              <w:t>58</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Damodaran Egypt, CDS-BASED, January-2026: mature-market 4.23% + 3.40% x (9.71/6.37) = 9.4127%. Revision 1 cited 'Damodaran, Egypt row' without naming the variant; a checker following that citation lands on the rating-based 13.94%</w:t>
            </w:r>
          </w:p>
        </w:tc>
        <w:tc>
          <w:tcPr>
            <w:tcW w:type="dxa" w:w="1210"/>
          </w:tcPr>
          <w:p>
            <w:pPr>
              <w:spacing w:after="20"/>
            </w:pPr>
            <w:r>
              <w:rPr>
                <w:color w:val="1C3A36"/>
                <w:sz w:val="14"/>
              </w:rPr>
              <w:t>2026-01-05</w:t>
            </w:r>
          </w:p>
        </w:tc>
      </w:tr>
      <w:tr>
        <w:tc>
          <w:tcPr>
            <w:tcW w:type="dxa" w:w="432"/>
          </w:tcPr>
          <w:p>
            <w:pPr>
              <w:spacing w:after="20"/>
            </w:pPr>
            <w:r>
              <w:rPr>
                <w:color w:val="1C3A36"/>
                <w:sz w:val="14"/>
              </w:rPr>
              <w:t>59</w:t>
            </w:r>
          </w:p>
        </w:tc>
        <w:tc>
          <w:tcPr>
            <w:tcW w:type="dxa" w:w="2448"/>
          </w:tcPr>
          <w:p>
            <w:pPr>
              <w:spacing w:after="20"/>
            </w:pPr>
            <w:r>
              <w:rPr>
                <w:color w:val="1C3A36"/>
                <w:sz w:val="14"/>
              </w:rPr>
              <w:t>fx</w:t>
            </w:r>
          </w:p>
        </w:tc>
        <w:tc>
          <w:tcPr>
            <w:tcW w:type="dxa" w:w="1325"/>
          </w:tcPr>
          <w:p>
            <w:pPr>
              <w:spacing w:after="20"/>
            </w:pPr>
            <w:r>
              <w:rPr>
                <w:color w:val="1C3A36"/>
                <w:sz w:val="14"/>
              </w:rPr>
              <w:t>49.8</w:t>
            </w:r>
          </w:p>
        </w:tc>
        <w:tc>
          <w:tcPr>
            <w:tcW w:type="dxa" w:w="1066"/>
          </w:tcPr>
          <w:p>
            <w:pPr>
              <w:spacing w:after="20"/>
            </w:pPr>
            <w:r>
              <w:rPr>
                <w:color w:val="1C3A36"/>
                <w:sz w:val="14"/>
              </w:rPr>
              <w:t>Country</w:t>
            </w:r>
          </w:p>
        </w:tc>
        <w:tc>
          <w:tcPr>
            <w:tcW w:type="dxa" w:w="7171"/>
          </w:tcPr>
          <w:p>
            <w:pPr>
              <w:spacing w:after="20"/>
            </w:pPr>
            <w:r>
              <w:rPr>
                <w:color w:val="1C3A36"/>
                <w:sz w:val="14"/>
              </w:rPr>
              <w:t>USD/EGP</w:t>
            </w:r>
          </w:p>
        </w:tc>
        <w:tc>
          <w:tcPr>
            <w:tcW w:type="dxa" w:w="1210"/>
          </w:tcPr>
          <w:p>
            <w:pPr>
              <w:spacing w:after="20"/>
            </w:pPr>
            <w:r>
              <w:rPr>
                <w:color w:val="1C3A36"/>
                <w:sz w:val="14"/>
              </w:rPr>
              <w:t>2026-08-06</w:t>
            </w:r>
          </w:p>
        </w:tc>
      </w:tr>
      <w:tr>
        <w:tc>
          <w:tcPr>
            <w:tcW w:type="dxa" w:w="432"/>
          </w:tcPr>
          <w:p>
            <w:pPr>
              <w:spacing w:after="20"/>
            </w:pPr>
            <w:r>
              <w:rPr>
                <w:color w:val="1C3A36"/>
                <w:sz w:val="14"/>
              </w:rPr>
              <w:t>60</w:t>
            </w:r>
          </w:p>
        </w:tc>
        <w:tc>
          <w:tcPr>
            <w:tcW w:type="dxa" w:w="2448"/>
          </w:tcPr>
          <w:p>
            <w:pPr>
              <w:spacing w:after="20"/>
            </w:pPr>
            <w:r>
              <w:rPr>
                <w:color w:val="1C3A36"/>
                <w:sz w:val="14"/>
              </w:rPr>
              <w:t>power_tariff</w:t>
            </w:r>
          </w:p>
        </w:tc>
        <w:tc>
          <w:tcPr>
            <w:tcW w:type="dxa" w:w="1325"/>
          </w:tcPr>
          <w:p>
            <w:pPr>
              <w:spacing w:after="20"/>
            </w:pPr>
            <w:r>
              <w:rPr>
                <w:color w:val="1C3A36"/>
                <w:sz w:val="14"/>
              </w:rPr>
              <w:t>2.6</w:t>
            </w:r>
          </w:p>
        </w:tc>
        <w:tc>
          <w:tcPr>
            <w:tcW w:type="dxa" w:w="1066"/>
          </w:tcPr>
          <w:p>
            <w:pPr>
              <w:spacing w:after="20"/>
            </w:pPr>
            <w:r>
              <w:rPr>
                <w:color w:val="1C3A36"/>
                <w:sz w:val="14"/>
              </w:rPr>
              <w:t>Country</w:t>
            </w:r>
          </w:p>
        </w:tc>
        <w:tc>
          <w:tcPr>
            <w:tcW w:type="dxa" w:w="7171"/>
          </w:tcPr>
          <w:p>
            <w:pPr>
              <w:spacing w:after="20"/>
            </w:pPr>
            <w:r>
              <w:rPr>
                <w:color w:val="1C3A36"/>
                <w:sz w:val="14"/>
              </w:rPr>
              <w:t>Egyptian industrial electricity tariff after subsidy reform</w:t>
            </w:r>
          </w:p>
        </w:tc>
        <w:tc>
          <w:tcPr>
            <w:tcW w:type="dxa" w:w="1210"/>
          </w:tcPr>
          <w:p>
            <w:pPr>
              <w:spacing w:after="20"/>
            </w:pPr>
            <w:r>
              <w:rPr>
                <w:color w:val="1C3A36"/>
                <w:sz w:val="14"/>
              </w:rPr>
              <w:t>2026-08-06</w:t>
            </w:r>
          </w:p>
        </w:tc>
      </w:tr>
      <w:tr>
        <w:tc>
          <w:tcPr>
            <w:tcW w:type="dxa" w:w="432"/>
          </w:tcPr>
          <w:p>
            <w:pPr>
              <w:spacing w:after="20"/>
            </w:pPr>
            <w:r>
              <w:rPr>
                <w:color w:val="1C3A36"/>
                <w:sz w:val="14"/>
              </w:rPr>
              <w:t>61</w:t>
            </w:r>
          </w:p>
        </w:tc>
        <w:tc>
          <w:tcPr>
            <w:tcW w:type="dxa" w:w="2448"/>
          </w:tcPr>
          <w:p>
            <w:pPr>
              <w:spacing w:after="20"/>
            </w:pPr>
            <w:r>
              <w:rPr>
                <w:color w:val="1C3A36"/>
                <w:sz w:val="14"/>
              </w:rPr>
              <w:t>rf</w:t>
            </w:r>
          </w:p>
        </w:tc>
        <w:tc>
          <w:tcPr>
            <w:tcW w:type="dxa" w:w="1325"/>
          </w:tcPr>
          <w:p>
            <w:pPr>
              <w:spacing w:after="20"/>
            </w:pPr>
            <w:r>
              <w:rPr>
                <w:color w:val="1C3A36"/>
                <w:sz w:val="14"/>
              </w:rPr>
              <w:t>0.2231</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yield</w:t>
            </w:r>
          </w:p>
        </w:tc>
        <w:tc>
          <w:tcPr>
            <w:tcW w:type="dxa" w:w="1210"/>
          </w:tcPr>
          <w:p>
            <w:pPr>
              <w:spacing w:after="20"/>
            </w:pPr>
            <w:r>
              <w:rPr>
                <w:color w:val="1C3A36"/>
                <w:sz w:val="14"/>
              </w:rPr>
              <w:t>2026-07-21</w:t>
            </w:r>
          </w:p>
        </w:tc>
      </w:tr>
      <w:tr>
        <w:tc>
          <w:tcPr>
            <w:tcW w:type="dxa" w:w="432"/>
          </w:tcPr>
          <w:p>
            <w:pPr>
              <w:spacing w:after="20"/>
            </w:pPr>
            <w:r>
              <w:rPr>
                <w:color w:val="1C3A36"/>
                <w:sz w:val="14"/>
              </w:rPr>
              <w:t>62</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CDS column. NETTED OUT of the local risk-free rate so sovereign default risk is not charged twice. One reviewer called this a manipulation; two others cleared it explicitly, and it is Damodaran's own construction — the country premium in the ERP is DERIVED from this same spread</w:t>
            </w:r>
          </w:p>
        </w:tc>
        <w:tc>
          <w:tcPr>
            <w:tcW w:type="dxa" w:w="1210"/>
          </w:tcPr>
          <w:p>
            <w:pPr>
              <w:spacing w:after="20"/>
            </w:pPr>
            <w:r>
              <w:rPr>
                <w:color w:val="1C3A36"/>
                <w:sz w:val="14"/>
              </w:rPr>
              <w:t>2026-01-05</w:t>
            </w:r>
          </w:p>
        </w:tc>
      </w:tr>
      <w:tr>
        <w:tc>
          <w:tcPr>
            <w:tcW w:type="dxa" w:w="432"/>
          </w:tcPr>
          <w:p>
            <w:pPr>
              <w:spacing w:after="20"/>
            </w:pPr>
            <w:r>
              <w:rPr>
                <w:color w:val="1C3A36"/>
                <w:sz w:val="14"/>
              </w:rPr>
              <w:t>63</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w:t>
            </w:r>
          </w:p>
        </w:tc>
        <w:tc>
          <w:tcPr>
            <w:tcW w:type="dxa" w:w="1210"/>
          </w:tcPr>
          <w:p>
            <w:pPr>
              <w:spacing w:after="20"/>
            </w:pPr>
            <w:r>
              <w:rPr>
                <w:color w:val="1C3A36"/>
                <w:sz w:val="14"/>
              </w:rPr>
              <w:t>2026</w:t>
            </w:r>
          </w:p>
        </w:tc>
      </w:tr>
      <w:tr>
        <w:tc>
          <w:tcPr>
            <w:tcW w:type="dxa" w:w="432"/>
          </w:tcPr>
          <w:p>
            <w:pPr>
              <w:spacing w:after="20"/>
            </w:pPr>
            <w:r>
              <w:rPr>
                <w:color w:val="1C3A36"/>
                <w:sz w:val="14"/>
              </w:rPr>
              <w:t>64</w:t>
            </w:r>
          </w:p>
        </w:tc>
        <w:tc>
          <w:tcPr>
            <w:tcW w:type="dxa" w:w="2448"/>
          </w:tcPr>
          <w:p>
            <w:pPr>
              <w:spacing w:after="20"/>
            </w:pPr>
            <w:r>
              <w:rPr>
                <w:color w:val="1C3A36"/>
                <w:sz w:val="14"/>
              </w:rPr>
              <w:t>beta</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171"/>
          </w:tcPr>
          <w:p>
            <w:pPr>
              <w:spacing w:after="20"/>
            </w:pPr>
            <w:r>
              <w:rPr>
                <w:color w:val="1C3A36"/>
                <w:sz w:val="14"/>
              </w:rPr>
              <w:t>Adopted beta. The own-stock regression FAILS the usability gate (R-squared 0.038 against a 0.05 floor) though n=256 and SE 0.153 both pass. The lead-lag corrected estimate is 0.837 and its 90% interval contains 1.00. Rounding up to 1.00 COSTS 1.84% of the central; that price is now stated rather than left implicit</w:t>
            </w:r>
          </w:p>
        </w:tc>
        <w:tc>
          <w:tcPr>
            <w:tcW w:type="dxa" w:w="1210"/>
          </w:tcPr>
          <w:p>
            <w:pPr>
              <w:spacing w:after="20"/>
            </w:pPr>
            <w:r>
              <w:rPr>
                <w:color w:val="1C3A36"/>
                <w:sz w:val="14"/>
              </w:rPr>
              <w:t>2026-08-06</w:t>
            </w:r>
          </w:p>
        </w:tc>
      </w:tr>
      <w:tr>
        <w:tc>
          <w:tcPr>
            <w:tcW w:type="dxa" w:w="432"/>
          </w:tcPr>
          <w:p>
            <w:pPr>
              <w:spacing w:after="20"/>
            </w:pPr>
            <w:r>
              <w:rPr>
                <w:color w:val="1C3A36"/>
                <w:sz w:val="14"/>
              </w:rPr>
              <w:t>65</w:t>
            </w:r>
          </w:p>
        </w:tc>
        <w:tc>
          <w:tcPr>
            <w:tcW w:type="dxa" w:w="2448"/>
          </w:tcPr>
          <w:p>
            <w:pPr>
              <w:spacing w:after="20"/>
            </w:pPr>
            <w:r>
              <w:rPr>
                <w:color w:val="1C3A36"/>
                <w:sz w:val="14"/>
              </w:rPr>
              <w:t>capex_pct</w:t>
            </w:r>
          </w:p>
        </w:tc>
        <w:tc>
          <w:tcPr>
            <w:tcW w:type="dxa" w:w="1325"/>
          </w:tcPr>
          <w:p>
            <w:pPr>
              <w:spacing w:after="20"/>
            </w:pPr>
            <w:r>
              <w:rPr>
                <w:color w:val="1C3A36"/>
                <w:sz w:val="14"/>
              </w:rPr>
              <w:t>0.05, 0.048, 0.047, 0.046, 0.045</w:t>
            </w:r>
          </w:p>
        </w:tc>
        <w:tc>
          <w:tcPr>
            <w:tcW w:type="dxa" w:w="1066"/>
          </w:tcPr>
          <w:p>
            <w:pPr>
              <w:spacing w:after="20"/>
            </w:pPr>
            <w:r>
              <w:rPr>
                <w:color w:val="1C3A36"/>
                <w:sz w:val="14"/>
              </w:rPr>
              <w:t>House</w:t>
            </w:r>
          </w:p>
        </w:tc>
        <w:tc>
          <w:tcPr>
            <w:tcW w:type="dxa" w:w="7171"/>
          </w:tcPr>
          <w:p>
            <w:pPr>
              <w:spacing w:after="20"/>
            </w:pPr>
            <w:r>
              <w:rPr>
                <w:color w:val="1C3A36"/>
                <w:sz w:val="14"/>
              </w:rPr>
              <w:t>Capex as a share of revenue. No capital-expenditure disclosure is obtainable</w:t>
            </w:r>
          </w:p>
        </w:tc>
        <w:tc>
          <w:tcPr>
            <w:tcW w:type="dxa" w:w="1210"/>
          </w:tcPr>
          <w:p>
            <w:pPr>
              <w:spacing w:after="20"/>
            </w:pPr>
            <w:r>
              <w:rPr>
                <w:color w:val="1C3A36"/>
                <w:sz w:val="14"/>
              </w:rPr>
              <w:t>2026-08-06</w:t>
            </w:r>
          </w:p>
        </w:tc>
      </w:tr>
      <w:tr>
        <w:tc>
          <w:tcPr>
            <w:tcW w:type="dxa" w:w="432"/>
          </w:tcPr>
          <w:p>
            <w:pPr>
              <w:spacing w:after="20"/>
            </w:pPr>
            <w:r>
              <w:rPr>
                <w:color w:val="1C3A36"/>
                <w:sz w:val="14"/>
              </w:rPr>
              <w:t>66</w:t>
            </w:r>
          </w:p>
        </w:tc>
        <w:tc>
          <w:tcPr>
            <w:tcW w:type="dxa" w:w="2448"/>
          </w:tcPr>
          <w:p>
            <w:pPr>
              <w:spacing w:after="20"/>
            </w:pPr>
            <w:r>
              <w:rPr>
                <w:color w:val="1C3A36"/>
                <w:sz w:val="14"/>
              </w:rPr>
              <w:t>cash_growth_fy25</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171"/>
          </w:tcPr>
          <w:p>
            <w:pPr>
              <w:spacing w:after="20"/>
            </w:pPr>
            <w:r>
              <w:rPr>
                <w:color w:val="1C3A36"/>
                <w:sz w:val="14"/>
              </w:rPr>
              <w:t>RETIRED in revision 2 — cash is now the reported balance, not a rolled derivation. Kept at 1.0 so nothing scales it</w:t>
            </w:r>
          </w:p>
        </w:tc>
        <w:tc>
          <w:tcPr>
            <w:tcW w:type="dxa" w:w="1210"/>
          </w:tcPr>
          <w:p>
            <w:pPr>
              <w:spacing w:after="20"/>
            </w:pPr>
            <w:r>
              <w:rPr>
                <w:color w:val="1C3A36"/>
                <w:sz w:val="14"/>
              </w:rPr>
              <w:t>2026-08-06</w:t>
            </w:r>
          </w:p>
        </w:tc>
      </w:tr>
      <w:tr>
        <w:tc>
          <w:tcPr>
            <w:tcW w:type="dxa" w:w="432"/>
          </w:tcPr>
          <w:p>
            <w:pPr>
              <w:spacing w:after="20"/>
            </w:pPr>
            <w:r>
              <w:rPr>
                <w:color w:val="1C3A36"/>
                <w:sz w:val="14"/>
              </w:rPr>
              <w:t>67</w:t>
            </w:r>
          </w:p>
        </w:tc>
        <w:tc>
          <w:tcPr>
            <w:tcW w:type="dxa" w:w="2448"/>
          </w:tcPr>
          <w:p>
            <w:pPr>
              <w:spacing w:after="20"/>
            </w:pPr>
            <w:r>
              <w:rPr>
                <w:color w:val="1C3A36"/>
                <w:sz w:val="14"/>
              </w:rPr>
              <w:t>cash_yield</w:t>
            </w:r>
          </w:p>
        </w:tc>
        <w:tc>
          <w:tcPr>
            <w:tcW w:type="dxa" w:w="1325"/>
          </w:tcPr>
          <w:p>
            <w:pPr>
              <w:spacing w:after="20"/>
            </w:pPr>
            <w:r>
              <w:rPr>
                <w:color w:val="1C3A36"/>
                <w:sz w:val="14"/>
              </w:rPr>
              <w:t>0.19, 0.17, 0.15, 0.135, 0.125</w:t>
            </w:r>
          </w:p>
        </w:tc>
        <w:tc>
          <w:tcPr>
            <w:tcW w:type="dxa" w:w="1066"/>
          </w:tcPr>
          <w:p>
            <w:pPr>
              <w:spacing w:after="20"/>
            </w:pPr>
            <w:r>
              <w:rPr>
                <w:color w:val="1C3A36"/>
                <w:sz w:val="14"/>
              </w:rPr>
              <w:t>House</w:t>
            </w:r>
          </w:p>
        </w:tc>
        <w:tc>
          <w:tcPr>
            <w:tcW w:type="dxa" w:w="7171"/>
          </w:tcPr>
          <w:p>
            <w:pPr>
              <w:spacing w:after="20"/>
            </w:pPr>
            <w:r>
              <w:rPr>
                <w:color w:val="1C3A36"/>
                <w:sz w:val="14"/>
              </w:rPr>
              <w:t>Yield earned on cash</w:t>
            </w:r>
          </w:p>
        </w:tc>
        <w:tc>
          <w:tcPr>
            <w:tcW w:type="dxa" w:w="1210"/>
          </w:tcPr>
          <w:p>
            <w:pPr>
              <w:spacing w:after="20"/>
            </w:pPr>
            <w:r>
              <w:rPr>
                <w:color w:val="1C3A36"/>
                <w:sz w:val="14"/>
              </w:rPr>
              <w:t>2026-08-06</w:t>
            </w:r>
          </w:p>
        </w:tc>
      </w:tr>
      <w:tr>
        <w:tc>
          <w:tcPr>
            <w:tcW w:type="dxa" w:w="432"/>
          </w:tcPr>
          <w:p>
            <w:pPr>
              <w:spacing w:after="20"/>
            </w:pPr>
            <w:r>
              <w:rPr>
                <w:color w:val="1C3A36"/>
                <w:sz w:val="14"/>
              </w:rPr>
              <w:t>68</w:t>
            </w:r>
          </w:p>
        </w:tc>
        <w:tc>
          <w:tcPr>
            <w:tcW w:type="dxa" w:w="2448"/>
          </w:tcPr>
          <w:p>
            <w:pPr>
              <w:spacing w:after="20"/>
            </w:pPr>
            <w:r>
              <w:rPr>
                <w:color w:val="1C3A36"/>
                <w:sz w:val="14"/>
              </w:rPr>
              <w:t>cash_yield_fy25</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171"/>
          </w:tcPr>
          <w:p>
            <w:pPr>
              <w:spacing w:after="20"/>
            </w:pPr>
            <w:r>
              <w:rPr>
                <w:color w:val="1C3A36"/>
                <w:sz w:val="14"/>
              </w:rPr>
              <w:t>Yield earned on cash through FY2025</w:t>
            </w:r>
          </w:p>
        </w:tc>
        <w:tc>
          <w:tcPr>
            <w:tcW w:type="dxa" w:w="1210"/>
          </w:tcPr>
          <w:p>
            <w:pPr>
              <w:spacing w:after="20"/>
            </w:pPr>
            <w:r>
              <w:rPr>
                <w:color w:val="1C3A36"/>
                <w:sz w:val="14"/>
              </w:rPr>
              <w:t>2026-08-06</w:t>
            </w:r>
          </w:p>
        </w:tc>
      </w:tr>
      <w:tr>
        <w:tc>
          <w:tcPr>
            <w:tcW w:type="dxa" w:w="432"/>
          </w:tcPr>
          <w:p>
            <w:pPr>
              <w:spacing w:after="20"/>
            </w:pPr>
            <w:r>
              <w:rPr>
                <w:color w:val="1C3A36"/>
                <w:sz w:val="14"/>
              </w:rPr>
              <w:t>69</w:t>
            </w:r>
          </w:p>
        </w:tc>
        <w:tc>
          <w:tcPr>
            <w:tcW w:type="dxa" w:w="2448"/>
          </w:tcPr>
          <w:p>
            <w:pPr>
              <w:spacing w:after="20"/>
            </w:pPr>
            <w:r>
              <w:rPr>
                <w:color w:val="1C3A36"/>
                <w:sz w:val="14"/>
              </w:rPr>
              <w:t>distribution_egp_t</w:t>
            </w:r>
          </w:p>
        </w:tc>
        <w:tc>
          <w:tcPr>
            <w:tcW w:type="dxa" w:w="1325"/>
          </w:tcPr>
          <w:p>
            <w:pPr>
              <w:spacing w:after="20"/>
            </w:pPr>
            <w:r>
              <w:rPr>
                <w:color w:val="1C3A36"/>
                <w:sz w:val="14"/>
              </w:rPr>
              <w:t>250</w:t>
            </w:r>
          </w:p>
        </w:tc>
        <w:tc>
          <w:tcPr>
            <w:tcW w:type="dxa" w:w="1066"/>
          </w:tcPr>
          <w:p>
            <w:pPr>
              <w:spacing w:after="20"/>
            </w:pPr>
            <w:r>
              <w:rPr>
                <w:color w:val="1C3A36"/>
                <w:sz w:val="14"/>
              </w:rPr>
              <w:t>House</w:t>
            </w:r>
          </w:p>
        </w:tc>
        <w:tc>
          <w:tcPr>
            <w:tcW w:type="dxa" w:w="7171"/>
          </w:tcPr>
          <w:p>
            <w:pPr>
              <w:spacing w:after="20"/>
            </w:pPr>
            <w:r>
              <w:rPr>
                <w:color w:val="1C3A36"/>
                <w:sz w:val="14"/>
              </w:rPr>
              <w:t>Outbound freight and selling per tonne, set above a typical Egyptian plant because El Hassana is distant from the Cairo and Delta demand centres</w:t>
            </w:r>
          </w:p>
        </w:tc>
        <w:tc>
          <w:tcPr>
            <w:tcW w:type="dxa" w:w="1210"/>
          </w:tcPr>
          <w:p>
            <w:pPr>
              <w:spacing w:after="20"/>
            </w:pPr>
            <w:r>
              <w:rPr>
                <w:color w:val="1C3A36"/>
                <w:sz w:val="14"/>
              </w:rPr>
              <w:t>2026-08-06</w:t>
            </w:r>
          </w:p>
        </w:tc>
      </w:tr>
      <w:tr>
        <w:tc>
          <w:tcPr>
            <w:tcW w:type="dxa" w:w="432"/>
          </w:tcPr>
          <w:p>
            <w:pPr>
              <w:spacing w:after="20"/>
            </w:pPr>
            <w:r>
              <w:rPr>
                <w:color w:val="1C3A36"/>
                <w:sz w:val="14"/>
              </w:rPr>
              <w:t>70</w:t>
            </w:r>
          </w:p>
        </w:tc>
        <w:tc>
          <w:tcPr>
            <w:tcW w:type="dxa" w:w="2448"/>
          </w:tcPr>
          <w:p>
            <w:pPr>
              <w:spacing w:after="20"/>
            </w:pPr>
            <w:r>
              <w:rPr>
                <w:color w:val="1C3A36"/>
                <w:sz w:val="14"/>
              </w:rPr>
              <w:t>dna_pct</w:t>
            </w:r>
          </w:p>
        </w:tc>
        <w:tc>
          <w:tcPr>
            <w:tcW w:type="dxa" w:w="1325"/>
          </w:tcPr>
          <w:p>
            <w:pPr>
              <w:spacing w:after="20"/>
            </w:pPr>
            <w:r>
              <w:rPr>
                <w:color w:val="1C3A36"/>
                <w:sz w:val="14"/>
              </w:rPr>
              <w:t>0.046, 0.045, 0.044, 0.043, 0.042</w:t>
            </w:r>
          </w:p>
        </w:tc>
        <w:tc>
          <w:tcPr>
            <w:tcW w:type="dxa" w:w="1066"/>
          </w:tcPr>
          <w:p>
            <w:pPr>
              <w:spacing w:after="20"/>
            </w:pPr>
            <w:r>
              <w:rPr>
                <w:color w:val="1C3A36"/>
                <w:sz w:val="14"/>
              </w:rPr>
              <w:t>House</w:t>
            </w:r>
          </w:p>
        </w:tc>
        <w:tc>
          <w:tcPr>
            <w:tcW w:type="dxa" w:w="7171"/>
          </w:tcPr>
          <w:p>
            <w:pPr>
              <w:spacing w:after="20"/>
            </w:pPr>
            <w:r>
              <w:rPr>
                <w:color w:val="1C3A36"/>
                <w:sz w:val="14"/>
              </w:rPr>
              <w:t>D&amp;A as a share of revenue</w:t>
            </w:r>
          </w:p>
        </w:tc>
        <w:tc>
          <w:tcPr>
            <w:tcW w:type="dxa" w:w="1210"/>
          </w:tcPr>
          <w:p>
            <w:pPr>
              <w:spacing w:after="20"/>
            </w:pPr>
            <w:r>
              <w:rPr>
                <w:color w:val="1C3A36"/>
                <w:sz w:val="14"/>
              </w:rPr>
              <w:t>2026-08-06</w:t>
            </w:r>
          </w:p>
        </w:tc>
      </w:tr>
      <w:tr>
        <w:tc>
          <w:tcPr>
            <w:tcW w:type="dxa" w:w="432"/>
          </w:tcPr>
          <w:p>
            <w:pPr>
              <w:spacing w:after="20"/>
            </w:pPr>
            <w:r>
              <w:rPr>
                <w:color w:val="1C3A36"/>
                <w:sz w:val="14"/>
              </w:rPr>
              <w:t>71</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crisis level</w:t>
            </w:r>
          </w:p>
        </w:tc>
        <w:tc>
          <w:tcPr>
            <w:tcW w:type="dxa" w:w="1210"/>
          </w:tcPr>
          <w:p>
            <w:pPr>
              <w:spacing w:after="20"/>
            </w:pPr>
            <w:r>
              <w:rPr>
                <w:color w:val="1C3A36"/>
                <w:sz w:val="14"/>
              </w:rPr>
              <w:t>2026-08-06</w:t>
            </w:r>
          </w:p>
        </w:tc>
      </w:tr>
      <w:tr>
        <w:tc>
          <w:tcPr>
            <w:tcW w:type="dxa" w:w="432"/>
          </w:tcPr>
          <w:p>
            <w:pPr>
              <w:spacing w:after="20"/>
            </w:pPr>
            <w:r>
              <w:rPr>
                <w:color w:val="1C3A36"/>
                <w:sz w:val="14"/>
              </w:rPr>
              <w:t>72</w:t>
            </w:r>
          </w:p>
        </w:tc>
        <w:tc>
          <w:tcPr>
            <w:tcW w:type="dxa" w:w="2448"/>
          </w:tcPr>
          <w:p>
            <w:pPr>
              <w:spacing w:after="20"/>
            </w:pPr>
            <w:r>
              <w:rPr>
                <w:color w:val="1C3A36"/>
                <w:sz w:val="14"/>
              </w:rPr>
              <w:t>ev_ebitda_just</w:t>
            </w:r>
          </w:p>
        </w:tc>
        <w:tc>
          <w:tcPr>
            <w:tcW w:type="dxa" w:w="1325"/>
          </w:tcPr>
          <w:p>
            <w:pPr>
              <w:spacing w:after="20"/>
            </w:pPr>
            <w:r>
              <w:rPr>
                <w:color w:val="1C3A36"/>
                <w:sz w:val="14"/>
              </w:rPr>
              <w:t>4.2</w:t>
            </w:r>
          </w:p>
        </w:tc>
        <w:tc>
          <w:tcPr>
            <w:tcW w:type="dxa" w:w="1066"/>
          </w:tcPr>
          <w:p>
            <w:pPr>
              <w:spacing w:after="20"/>
            </w:pPr>
            <w:r>
              <w:rPr>
                <w:color w:val="1C3A36"/>
                <w:sz w:val="14"/>
              </w:rPr>
              <w:t>House</w:t>
            </w:r>
          </w:p>
        </w:tc>
        <w:tc>
          <w:tcPr>
            <w:tcW w:type="dxa" w:w="7171"/>
          </w:tcPr>
          <w:p>
            <w:pPr>
              <w:spacing w:after="20"/>
            </w:pPr>
            <w:r>
              <w:rPr>
                <w:color w:val="1C3A36"/>
                <w:sz w:val="14"/>
              </w:rPr>
              <w:t>Justified EV/EBITDA. Revision 1 used 5.0x anchored on a peer quoted at 5.03x. That anchor does not reproduce: the peer's own market capitalisation over profit gives 3.48x, not the 6.44x printed beside it, and the implied EBITDA margin would be 68% for a cement company. 4.2x is struck between the reproducible peer earnings multiple and the asserted EBITDA multiple, and is disclosed as weakly anchored</w:t>
            </w:r>
          </w:p>
        </w:tc>
        <w:tc>
          <w:tcPr>
            <w:tcW w:type="dxa" w:w="1210"/>
          </w:tcPr>
          <w:p>
            <w:pPr>
              <w:spacing w:after="20"/>
            </w:pPr>
            <w:r>
              <w:rPr>
                <w:color w:val="1C3A36"/>
                <w:sz w:val="14"/>
              </w:rPr>
              <w:t>2026-08-06</w:t>
            </w:r>
          </w:p>
        </w:tc>
      </w:tr>
      <w:tr>
        <w:tc>
          <w:tcPr>
            <w:tcW w:type="dxa" w:w="432"/>
          </w:tcPr>
          <w:p>
            <w:pPr>
              <w:spacing w:after="20"/>
            </w:pPr>
            <w:r>
              <w:rPr>
                <w:color w:val="1C3A36"/>
                <w:sz w:val="14"/>
              </w:rPr>
              <w:t>73</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cement capacity</w:t>
            </w:r>
          </w:p>
        </w:tc>
        <w:tc>
          <w:tcPr>
            <w:tcW w:type="dxa" w:w="1210"/>
          </w:tcPr>
          <w:p>
            <w:pPr>
              <w:spacing w:after="20"/>
            </w:pPr>
            <w:r>
              <w:rPr>
                <w:color w:val="1C3A36"/>
                <w:sz w:val="14"/>
              </w:rPr>
              <w:t>2026-08-06</w:t>
            </w:r>
          </w:p>
        </w:tc>
      </w:tr>
      <w:tr>
        <w:tc>
          <w:tcPr>
            <w:tcW w:type="dxa" w:w="432"/>
          </w:tcPr>
          <w:p>
            <w:pPr>
              <w:spacing w:after="20"/>
            </w:pPr>
            <w:r>
              <w:rPr>
                <w:color w:val="1C3A36"/>
                <w:sz w:val="14"/>
              </w:rPr>
              <w:t>74</w:t>
            </w:r>
          </w:p>
        </w:tc>
        <w:tc>
          <w:tcPr>
            <w:tcW w:type="dxa" w:w="2448"/>
          </w:tcPr>
          <w:p>
            <w:pPr>
              <w:spacing w:after="20"/>
            </w:pPr>
            <w:r>
              <w:rPr>
                <w:color w:val="1C3A36"/>
                <w:sz w:val="14"/>
              </w:rPr>
              <w:t>fixed_usd_t_capacity</w:t>
            </w:r>
          </w:p>
        </w:tc>
        <w:tc>
          <w:tcPr>
            <w:tcW w:type="dxa" w:w="1325"/>
          </w:tcPr>
          <w:p>
            <w:pPr>
              <w:spacing w:after="20"/>
            </w:pPr>
            <w:r>
              <w:rPr>
                <w:color w:val="1C3A36"/>
                <w:sz w:val="14"/>
              </w:rPr>
              <w:t>14.6</w:t>
            </w:r>
          </w:p>
        </w:tc>
        <w:tc>
          <w:tcPr>
            <w:tcW w:type="dxa" w:w="1066"/>
          </w:tcPr>
          <w:p>
            <w:pPr>
              <w:spacing w:after="20"/>
            </w:pPr>
            <w:r>
              <w:rPr>
                <w:color w:val="1C3A36"/>
                <w:sz w:val="14"/>
              </w:rPr>
              <w:t>House</w:t>
            </w:r>
          </w:p>
        </w:tc>
        <w:tc>
          <w:tcPr>
            <w:tcW w:type="dxa" w:w="7171"/>
          </w:tcPr>
          <w:p>
            <w:pPr>
              <w:spacing w:after="20"/>
            </w:pPr>
            <w:r>
              <w:rPr>
                <w:color w:val="1C3A36"/>
                <w:sz w:val="14"/>
              </w:rPr>
              <w:t>Fixed cash cost per tonne of INSTALLED capacity so it does not vanish when volume falls. Industry band USD 10-20/t. 14.60 is the level the FY2025 reconciliation implies against an independently built variable stack — reported, not solved away</w:t>
            </w:r>
          </w:p>
        </w:tc>
        <w:tc>
          <w:tcPr>
            <w:tcW w:type="dxa" w:w="1210"/>
          </w:tcPr>
          <w:p>
            <w:pPr>
              <w:spacing w:after="20"/>
            </w:pPr>
            <w:r>
              <w:rPr>
                <w:color w:val="1C3A36"/>
                <w:sz w:val="14"/>
              </w:rPr>
              <w:t>2026-08-06</w:t>
            </w:r>
          </w:p>
        </w:tc>
      </w:tr>
      <w:tr>
        <w:tc>
          <w:tcPr>
            <w:tcW w:type="dxa" w:w="432"/>
          </w:tcPr>
          <w:p>
            <w:pPr>
              <w:spacing w:after="20"/>
            </w:pPr>
            <w:r>
              <w:rPr>
                <w:color w:val="1C3A36"/>
                <w:sz w:val="14"/>
              </w:rPr>
              <w:t>75</w:t>
            </w:r>
          </w:p>
        </w:tc>
        <w:tc>
          <w:tcPr>
            <w:tcW w:type="dxa" w:w="2448"/>
          </w:tcPr>
          <w:p>
            <w:pPr>
              <w:spacing w:after="20"/>
            </w:pPr>
            <w:r>
              <w:rPr>
                <w:color w:val="1C3A36"/>
                <w:sz w:val="14"/>
              </w:rPr>
              <w:t>fx_path</w:t>
            </w:r>
          </w:p>
        </w:tc>
        <w:tc>
          <w:tcPr>
            <w:tcW w:type="dxa" w:w="1325"/>
          </w:tcPr>
          <w:p>
            <w:pPr>
              <w:spacing w:after="20"/>
            </w:pPr>
            <w:r>
              <w:rPr>
                <w:color w:val="1C3A36"/>
                <w:sz w:val="14"/>
              </w:rPr>
              <w:t>49.8, 52.5, 55, 57.2, 59.3, 61.4</w:t>
            </w:r>
          </w:p>
        </w:tc>
        <w:tc>
          <w:tcPr>
            <w:tcW w:type="dxa" w:w="1066"/>
          </w:tcPr>
          <w:p>
            <w:pPr>
              <w:spacing w:after="20"/>
            </w:pPr>
            <w:r>
              <w:rPr>
                <w:color w:val="1C3A36"/>
                <w:sz w:val="14"/>
              </w:rPr>
              <w:t>House</w:t>
            </w:r>
          </w:p>
        </w:tc>
        <w:tc>
          <w:tcPr>
            <w:tcW w:type="dxa" w:w="7171"/>
          </w:tcPr>
          <w:p>
            <w:pPr>
              <w:spacing w:after="20"/>
            </w:pPr>
            <w:r>
              <w:rPr>
                <w:color w:val="1C3A36"/>
                <w:sz w:val="14"/>
              </w:rPr>
              <w:t>USD/EGP path. Raises the EGP cost of imported fuel AND the EGP value of export revenue; the legs partly offset</w:t>
            </w:r>
          </w:p>
        </w:tc>
        <w:tc>
          <w:tcPr>
            <w:tcW w:type="dxa" w:w="1210"/>
          </w:tcPr>
          <w:p>
            <w:pPr>
              <w:spacing w:after="20"/>
            </w:pPr>
            <w:r>
              <w:rPr>
                <w:color w:val="1C3A36"/>
                <w:sz w:val="14"/>
              </w:rPr>
              <w:t>2026-08-06</w:t>
            </w:r>
          </w:p>
        </w:tc>
      </w:tr>
      <w:tr>
        <w:tc>
          <w:tcPr>
            <w:tcW w:type="dxa" w:w="432"/>
          </w:tcPr>
          <w:p>
            <w:pPr>
              <w:spacing w:after="20"/>
            </w:pPr>
            <w:r>
              <w:rPr>
                <w:color w:val="1C3A36"/>
                <w:sz w:val="14"/>
              </w:rPr>
              <w:t>76</w:t>
            </w:r>
          </w:p>
        </w:tc>
        <w:tc>
          <w:tcPr>
            <w:tcW w:type="dxa" w:w="2448"/>
          </w:tcPr>
          <w:p>
            <w:pPr>
              <w:spacing w:after="20"/>
            </w:pPr>
            <w:r>
              <w:rPr>
                <w:color w:val="1C3A36"/>
                <w:sz w:val="14"/>
              </w:rPr>
              <w:t>g_term</w:t>
            </w:r>
          </w:p>
        </w:tc>
        <w:tc>
          <w:tcPr>
            <w:tcW w:type="dxa" w:w="1325"/>
          </w:tcPr>
          <w:p>
            <w:pPr>
              <w:spacing w:after="20"/>
            </w:pPr>
            <w:r>
              <w:rPr>
                <w:color w:val="1C3A36"/>
                <w:sz w:val="14"/>
              </w:rPr>
              <w:t>0.05</w:t>
            </w:r>
          </w:p>
        </w:tc>
        <w:tc>
          <w:tcPr>
            <w:tcW w:type="dxa" w:w="1066"/>
          </w:tcPr>
          <w:p>
            <w:pPr>
              <w:spacing w:after="20"/>
            </w:pPr>
            <w:r>
              <w:rPr>
                <w:color w:val="1C3A36"/>
                <w:sz w:val="14"/>
              </w:rPr>
              <w:t>House</w:t>
            </w:r>
          </w:p>
        </w:tc>
        <w:tc>
          <w:tcPr>
            <w:tcW w:type="dxa" w:w="7171"/>
          </w:tcPr>
          <w:p>
            <w:pPr>
              <w:spacing w:after="20"/>
            </w:pPr>
            <w:r>
              <w:rPr>
                <w:color w:val="1C3A36"/>
                <w:sz w:val="14"/>
              </w:rPr>
              <w:t>Terminal growth, 5% nominal against a terminal risk-free rate embedding disinflation — approximately zero real. Held at 5% rather than raised with the inflation target: 7% would put terminal growth above the disinflation path the same model assumes</w:t>
            </w:r>
          </w:p>
        </w:tc>
        <w:tc>
          <w:tcPr>
            <w:tcW w:type="dxa" w:w="1210"/>
          </w:tcPr>
          <w:p>
            <w:pPr>
              <w:spacing w:after="20"/>
            </w:pPr>
            <w:r>
              <w:rPr>
                <w:color w:val="1C3A36"/>
                <w:sz w:val="14"/>
              </w:rPr>
              <w:t>2026-08-06</w:t>
            </w:r>
          </w:p>
        </w:tc>
      </w:tr>
      <w:tr>
        <w:tc>
          <w:tcPr>
            <w:tcW w:type="dxa" w:w="432"/>
          </w:tcPr>
          <w:p>
            <w:pPr>
              <w:spacing w:after="20"/>
            </w:pPr>
            <w:r>
              <w:rPr>
                <w:color w:val="1C3A36"/>
                <w:sz w:val="14"/>
              </w:rPr>
              <w:t>77</w:t>
            </w:r>
          </w:p>
        </w:tc>
        <w:tc>
          <w:tcPr>
            <w:tcW w:type="dxa" w:w="2448"/>
          </w:tcPr>
          <w:p>
            <w:pPr>
              <w:spacing w:after="20"/>
            </w:pPr>
            <w:r>
              <w:rPr>
                <w:color w:val="1C3A36"/>
                <w:sz w:val="14"/>
              </w:rPr>
              <w:t>kd</w:t>
            </w:r>
          </w:p>
        </w:tc>
        <w:tc>
          <w:tcPr>
            <w:tcW w:type="dxa" w:w="1325"/>
          </w:tcPr>
          <w:p>
            <w:pPr>
              <w:spacing w:after="20"/>
            </w:pPr>
            <w:r>
              <w:rPr>
                <w:color w:val="1C3A36"/>
                <w:sz w:val="14"/>
              </w:rPr>
              <w:t>0.215</w:t>
            </w:r>
          </w:p>
        </w:tc>
        <w:tc>
          <w:tcPr>
            <w:tcW w:type="dxa" w:w="1066"/>
          </w:tcPr>
          <w:p>
            <w:pPr>
              <w:spacing w:after="20"/>
            </w:pPr>
            <w:r>
              <w:rPr>
                <w:color w:val="1C3A36"/>
                <w:sz w:val="14"/>
              </w:rPr>
              <w:t>House</w:t>
            </w:r>
          </w:p>
        </w:tc>
        <w:tc>
          <w:tcPr>
            <w:tcW w:type="dxa" w:w="7171"/>
          </w:tcPr>
          <w:p>
            <w:pPr>
              <w:spacing w:after="20"/>
            </w:pPr>
            <w:r>
              <w:rPr>
                <w:color w:val="1C3A36"/>
                <w:sz w:val="14"/>
              </w:rPr>
              <w:t>Marginal pre-tax cost of debt. Debt is 0.18% of capital, so a +/-700bp error moves the WACC by under 2bp</w:t>
            </w:r>
          </w:p>
        </w:tc>
        <w:tc>
          <w:tcPr>
            <w:tcW w:type="dxa" w:w="1210"/>
          </w:tcPr>
          <w:p>
            <w:pPr>
              <w:spacing w:after="20"/>
            </w:pPr>
            <w:r>
              <w:rPr>
                <w:color w:val="1C3A36"/>
                <w:sz w:val="14"/>
              </w:rPr>
              <w:t>2026-08-06</w:t>
            </w:r>
          </w:p>
        </w:tc>
      </w:tr>
      <w:tr>
        <w:tc>
          <w:tcPr>
            <w:tcW w:type="dxa" w:w="432"/>
          </w:tcPr>
          <w:p>
            <w:pPr>
              <w:spacing w:after="20"/>
            </w:pPr>
            <w:r>
              <w:rPr>
                <w:color w:val="1C3A36"/>
                <w:sz w:val="14"/>
              </w:rPr>
              <w:t>78</w:t>
            </w:r>
          </w:p>
        </w:tc>
        <w:tc>
          <w:tcPr>
            <w:tcW w:type="dxa" w:w="2448"/>
          </w:tcPr>
          <w:p>
            <w:pPr>
              <w:spacing w:after="20"/>
            </w:pPr>
            <w:r>
              <w:rPr>
                <w:color w:val="1C3A36"/>
                <w:sz w:val="14"/>
              </w:rPr>
              <w:t>kd_path</w:t>
            </w:r>
          </w:p>
        </w:tc>
        <w:tc>
          <w:tcPr>
            <w:tcW w:type="dxa" w:w="1325"/>
          </w:tcPr>
          <w:p>
            <w:pPr>
              <w:spacing w:after="20"/>
            </w:pPr>
            <w:r>
              <w:rPr>
                <w:color w:val="1C3A36"/>
                <w:sz w:val="14"/>
              </w:rPr>
              <w:t>0.215, 0.195, 0.18, 0.168, 0.16</w:t>
            </w:r>
          </w:p>
        </w:tc>
        <w:tc>
          <w:tcPr>
            <w:tcW w:type="dxa" w:w="1066"/>
          </w:tcPr>
          <w:p>
            <w:pPr>
              <w:spacing w:after="20"/>
            </w:pPr>
            <w:r>
              <w:rPr>
                <w:color w:val="1C3A36"/>
                <w:sz w:val="14"/>
              </w:rPr>
              <w:t>House</w:t>
            </w:r>
          </w:p>
        </w:tc>
        <w:tc>
          <w:tcPr>
            <w:tcW w:type="dxa" w:w="7171"/>
          </w:tcPr>
          <w:p>
            <w:pPr>
              <w:spacing w:after="20"/>
            </w:pPr>
            <w:r>
              <w:rPr>
                <w:color w:val="1C3A36"/>
                <w:sz w:val="14"/>
              </w:rPr>
              <w:t>Cost-of-debt path; the WACC glide inherits its SHAPE from this</w:t>
            </w:r>
          </w:p>
        </w:tc>
        <w:tc>
          <w:tcPr>
            <w:tcW w:type="dxa" w:w="1210"/>
          </w:tcPr>
          <w:p>
            <w:pPr>
              <w:spacing w:after="20"/>
            </w:pPr>
            <w:r>
              <w:rPr>
                <w:color w:val="1C3A36"/>
                <w:sz w:val="14"/>
              </w:rPr>
              <w:t>2026-08-06</w:t>
            </w:r>
          </w:p>
        </w:tc>
      </w:tr>
      <w:tr>
        <w:tc>
          <w:tcPr>
            <w:tcW w:type="dxa" w:w="432"/>
          </w:tcPr>
          <w:p>
            <w:pPr>
              <w:spacing w:after="20"/>
            </w:pPr>
            <w:r>
              <w:rPr>
                <w:color w:val="1C3A36"/>
                <w:sz w:val="14"/>
              </w:rPr>
              <w:t>79</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171"/>
          </w:tcPr>
          <w:p>
            <w:pPr>
              <w:spacing w:after="20"/>
            </w:pPr>
            <w:r>
              <w:rPr>
                <w:color w:val="1C3A36"/>
                <w:sz w:val="14"/>
              </w:rPr>
              <w:t>Terminal cost of debt, the Egyptian long-run corporate norm</w:t>
            </w:r>
          </w:p>
        </w:tc>
        <w:tc>
          <w:tcPr>
            <w:tcW w:type="dxa" w:w="1210"/>
          </w:tcPr>
          <w:p>
            <w:pPr>
              <w:spacing w:after="20"/>
            </w:pPr>
            <w:r>
              <w:rPr>
                <w:color w:val="1C3A36"/>
                <w:sz w:val="14"/>
              </w:rPr>
              <w:t>2026-08-06</w:t>
            </w:r>
          </w:p>
        </w:tc>
      </w:tr>
      <w:tr>
        <w:tc>
          <w:tcPr>
            <w:tcW w:type="dxa" w:w="432"/>
          </w:tcPr>
          <w:p>
            <w:pPr>
              <w:spacing w:after="20"/>
            </w:pPr>
            <w:r>
              <w:rPr>
                <w:color w:val="1C3A36"/>
                <w:sz w:val="14"/>
              </w:rPr>
              <w:t>80</w:t>
            </w:r>
          </w:p>
        </w:tc>
        <w:tc>
          <w:tcPr>
            <w:tcW w:type="dxa" w:w="2448"/>
          </w:tcPr>
          <w:p>
            <w:pPr>
              <w:spacing w:after="20"/>
            </w:pPr>
            <w:r>
              <w:rPr>
                <w:color w:val="1C3A36"/>
                <w:sz w:val="14"/>
              </w:rPr>
              <w:t>kiln_util</w:t>
            </w:r>
          </w:p>
        </w:tc>
        <w:tc>
          <w:tcPr>
            <w:tcW w:type="dxa" w:w="1325"/>
          </w:tcPr>
          <w:p>
            <w:pPr>
              <w:spacing w:after="20"/>
            </w:pPr>
            <w:r>
              <w:rPr>
                <w:color w:val="1C3A36"/>
                <w:sz w:val="14"/>
              </w:rPr>
              <w:t>0.71, 0.717, 0.735, 0.753, 0.772, 0.791</w:t>
            </w:r>
          </w:p>
        </w:tc>
        <w:tc>
          <w:tcPr>
            <w:tcW w:type="dxa" w:w="1066"/>
          </w:tcPr>
          <w:p>
            <w:pPr>
              <w:spacing w:after="20"/>
            </w:pPr>
            <w:r>
              <w:rPr>
                <w:color w:val="1C3A36"/>
                <w:sz w:val="14"/>
              </w:rPr>
              <w:t>House</w:t>
            </w:r>
          </w:p>
        </w:tc>
        <w:tc>
          <w:tcPr>
            <w:tcW w:type="dxa" w:w="7171"/>
          </w:tcPr>
          <w:p>
            <w:pPr>
              <w:spacing w:after="20"/>
            </w:pPr>
            <w:r>
              <w:rPr>
                <w:color w:val="1C3A36"/>
                <w:sz w:val="14"/>
              </w:rPr>
              <w:t>Kiln utilisation FY2025A then FY2026E-FY2030E</w:t>
            </w:r>
          </w:p>
        </w:tc>
        <w:tc>
          <w:tcPr>
            <w:tcW w:type="dxa" w:w="1210"/>
          </w:tcPr>
          <w:p>
            <w:pPr>
              <w:spacing w:after="20"/>
            </w:pPr>
            <w:r>
              <w:rPr>
                <w:color w:val="1C3A36"/>
                <w:sz w:val="14"/>
              </w:rPr>
              <w:t>2026-08-06</w:t>
            </w:r>
          </w:p>
        </w:tc>
      </w:tr>
      <w:tr>
        <w:tc>
          <w:tcPr>
            <w:tcW w:type="dxa" w:w="432"/>
          </w:tcPr>
          <w:p>
            <w:pPr>
              <w:spacing w:after="20"/>
            </w:pPr>
            <w:r>
              <w:rPr>
                <w:color w:val="1C3A36"/>
                <w:sz w:val="14"/>
              </w:rPr>
              <w:t>81</w:t>
            </w:r>
          </w:p>
        </w:tc>
        <w:tc>
          <w:tcPr>
            <w:tcW w:type="dxa" w:w="2448"/>
          </w:tcPr>
          <w:p>
            <w:pPr>
              <w:spacing w:after="20"/>
            </w:pPr>
            <w:r>
              <w:rPr>
                <w:color w:val="1C3A36"/>
                <w:sz w:val="14"/>
              </w:rPr>
              <w:t>materials_usd_share</w:t>
            </w:r>
          </w:p>
        </w:tc>
        <w:tc>
          <w:tcPr>
            <w:tcW w:type="dxa" w:w="1325"/>
          </w:tcPr>
          <w:p>
            <w:pPr>
              <w:spacing w:after="20"/>
            </w:pPr>
            <w:r>
              <w:rPr>
                <w:color w:val="1C3A36"/>
                <w:sz w:val="14"/>
              </w:rPr>
              <w:t>0.484</w:t>
            </w:r>
          </w:p>
        </w:tc>
        <w:tc>
          <w:tcPr>
            <w:tcW w:type="dxa" w:w="1066"/>
          </w:tcPr>
          <w:p>
            <w:pPr>
              <w:spacing w:after="20"/>
            </w:pPr>
            <w:r>
              <w:rPr>
                <w:color w:val="1C3A36"/>
                <w:sz w:val="14"/>
              </w:rPr>
              <w:t>House</w:t>
            </w:r>
          </w:p>
        </w:tc>
        <w:tc>
          <w:tcPr>
            <w:tcW w:type="dxa" w:w="7171"/>
          </w:tcPr>
          <w:p>
            <w:pPr>
              <w:spacing w:after="20"/>
            </w:pPr>
            <w:r>
              <w:rPr>
                <w:color w:val="1C3A36"/>
                <w:sz w:val="14"/>
              </w:rPr>
              <w:t>The dollar-linked share of the materials line. THE FILING DOES NOT SPLIT IT, so this is an ESTIMATE and is flagged as one: it is the fuel share of revision 2's own four-part stack (458.0 of 946.5 per tonne), which is the only evidenced split available. The rest escalates on the domestic cost path. Sensitised in section 6</w:t>
            </w:r>
          </w:p>
        </w:tc>
        <w:tc>
          <w:tcPr>
            <w:tcW w:type="dxa" w:w="1210"/>
          </w:tcPr>
          <w:p>
            <w:pPr>
              <w:spacing w:after="20"/>
            </w:pPr>
            <w:r>
              <w:rPr>
                <w:color w:val="1C3A36"/>
                <w:sz w:val="14"/>
              </w:rPr>
              <w:t>2026-08-06</w:t>
            </w:r>
          </w:p>
        </w:tc>
      </w:tr>
      <w:tr>
        <w:tc>
          <w:tcPr>
            <w:tcW w:type="dxa" w:w="432"/>
          </w:tcPr>
          <w:p>
            <w:pPr>
              <w:spacing w:after="20"/>
            </w:pPr>
            <w:r>
              <w:rPr>
                <w:color w:val="1C3A36"/>
                <w:sz w:val="14"/>
              </w:rPr>
              <w:t>82</w:t>
            </w:r>
          </w:p>
        </w:tc>
        <w:tc>
          <w:tcPr>
            <w:tcW w:type="dxa" w:w="2448"/>
          </w:tcPr>
          <w:p>
            <w:pPr>
              <w:spacing w:after="20"/>
            </w:pPr>
            <w:r>
              <w:rPr>
                <w:color w:val="1C3A36"/>
                <w:sz w:val="14"/>
              </w:rPr>
              <w:t>nci</w:t>
            </w:r>
          </w:p>
        </w:tc>
        <w:tc>
          <w:tcPr>
            <w:tcW w:type="dxa" w:w="1325"/>
          </w:tcPr>
          <w:p>
            <w:pPr>
              <w:spacing w:after="20"/>
            </w:pPr>
            <w:r>
              <w:rPr>
                <w:color w:val="1C3A36"/>
                <w:sz w:val="14"/>
              </w:rPr>
              <w:t>120</w:t>
            </w:r>
          </w:p>
        </w:tc>
        <w:tc>
          <w:tcPr>
            <w:tcW w:type="dxa" w:w="1066"/>
          </w:tcPr>
          <w:p>
            <w:pPr>
              <w:spacing w:after="20"/>
            </w:pPr>
            <w:r>
              <w:rPr>
                <w:color w:val="1C3A36"/>
                <w:sz w:val="14"/>
              </w:rPr>
              <w:t>House</w:t>
            </w:r>
          </w:p>
        </w:tc>
        <w:tc>
          <w:tcPr>
            <w:tcW w:type="dxa" w:w="7171"/>
          </w:tcPr>
          <w:p>
            <w:pPr>
              <w:spacing w:after="20"/>
            </w:pPr>
            <w:r>
              <w:rPr>
                <w:color w:val="1C3A36"/>
                <w:sz w:val="14"/>
              </w:rPr>
              <w:t>Non-controlling interests deducted in the bridge. Revision 1 omitted them. One reviewer proposed 2,008 (15% of enterprise value) but derived it from nothing; the disclosed evidence — FY2023 group loss 121.42 against an attributable loss of ~117, and FY2024 attributable EPS 23.13 against group profit 3,070 — puts the minority share of profit BELOW 1%. Set at 120 and sensitised</w:t>
            </w:r>
          </w:p>
        </w:tc>
        <w:tc>
          <w:tcPr>
            <w:tcW w:type="dxa" w:w="1210"/>
          </w:tcPr>
          <w:p>
            <w:pPr>
              <w:spacing w:after="20"/>
            </w:pPr>
            <w:r>
              <w:rPr>
                <w:color w:val="1C3A36"/>
                <w:sz w:val="14"/>
              </w:rPr>
              <w:t>2026-08-06</w:t>
            </w:r>
          </w:p>
        </w:tc>
      </w:tr>
      <w:tr>
        <w:tc>
          <w:tcPr>
            <w:tcW w:type="dxa" w:w="432"/>
          </w:tcPr>
          <w:p>
            <w:pPr>
              <w:spacing w:after="20"/>
            </w:pPr>
            <w:r>
              <w:rPr>
                <w:color w:val="1C3A36"/>
                <w:sz w:val="14"/>
              </w:rPr>
              <w:t>83</w:t>
            </w:r>
          </w:p>
        </w:tc>
        <w:tc>
          <w:tcPr>
            <w:tcW w:type="dxa" w:w="2448"/>
          </w:tcPr>
          <w:p>
            <w:pPr>
              <w:spacing w:after="20"/>
            </w:pPr>
            <w:r>
              <w:rPr>
                <w:color w:val="1C3A36"/>
                <w:sz w:val="14"/>
              </w:rPr>
              <w:t>norm_mgn</w:t>
            </w:r>
          </w:p>
        </w:tc>
        <w:tc>
          <w:tcPr>
            <w:tcW w:type="dxa" w:w="1325"/>
          </w:tcPr>
          <w:p>
            <w:pPr>
              <w:spacing w:after="20"/>
            </w:pPr>
            <w:r>
              <w:rPr>
                <w:color w:val="1C3A36"/>
                <w:sz w:val="14"/>
              </w:rPr>
              <w:t>0.278</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FY2024 outturn (24.8%) and the corrected FY2025 peak (30.9%). Revision 1 struck 26.5% off an FY2025 margin understated by the statutory-rate error</w:t>
            </w:r>
          </w:p>
        </w:tc>
        <w:tc>
          <w:tcPr>
            <w:tcW w:type="dxa" w:w="1210"/>
          </w:tcPr>
          <w:p>
            <w:pPr>
              <w:spacing w:after="20"/>
            </w:pPr>
            <w:r>
              <w:rPr>
                <w:color w:val="1C3A36"/>
                <w:sz w:val="14"/>
              </w:rPr>
              <w:t>2026-08-06</w:t>
            </w:r>
          </w:p>
        </w:tc>
      </w:tr>
      <w:tr>
        <w:tc>
          <w:tcPr>
            <w:tcW w:type="dxa" w:w="432"/>
          </w:tcPr>
          <w:p>
            <w:pPr>
              <w:spacing w:after="20"/>
            </w:pPr>
            <w:r>
              <w:rPr>
                <w:color w:val="1C3A36"/>
                <w:sz w:val="14"/>
              </w:rPr>
              <w:t>84</w:t>
            </w:r>
          </w:p>
        </w:tc>
        <w:tc>
          <w:tcPr>
            <w:tcW w:type="dxa" w:w="2448"/>
          </w:tcPr>
          <w:p>
            <w:pPr>
              <w:spacing w:after="20"/>
            </w:pPr>
            <w:r>
              <w:rPr>
                <w:color w:val="1C3A36"/>
                <w:sz w:val="14"/>
              </w:rPr>
              <w:t>norm_rev_haircut</w:t>
            </w:r>
          </w:p>
        </w:tc>
        <w:tc>
          <w:tcPr>
            <w:tcW w:type="dxa" w:w="1325"/>
          </w:tcPr>
          <w:p>
            <w:pPr>
              <w:spacing w:after="20"/>
            </w:pPr>
            <w:r>
              <w:rPr>
                <w:color w:val="1C3A36"/>
                <w:sz w:val="14"/>
              </w:rPr>
              <w:t>0.92</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 Revision 1 applied a mid-cycle MARGIN to a PEAK revenue base — half a normalisation, in the lens whose stated purpose is refusing to capitalise a peak</w:t>
            </w:r>
          </w:p>
        </w:tc>
        <w:tc>
          <w:tcPr>
            <w:tcW w:type="dxa" w:w="1210"/>
          </w:tcPr>
          <w:p>
            <w:pPr>
              <w:spacing w:after="20"/>
            </w:pPr>
            <w:r>
              <w:rPr>
                <w:color w:val="1C3A36"/>
                <w:sz w:val="14"/>
              </w:rPr>
              <w:t>2026-08-06</w:t>
            </w:r>
          </w:p>
        </w:tc>
      </w:tr>
      <w:tr>
        <w:tc>
          <w:tcPr>
            <w:tcW w:type="dxa" w:w="432"/>
          </w:tcPr>
          <w:p>
            <w:pPr>
              <w:spacing w:after="20"/>
            </w:pPr>
            <w:r>
              <w:rPr>
                <w:color w:val="1C3A36"/>
                <w:sz w:val="14"/>
              </w:rPr>
              <w:t>85</w:t>
            </w:r>
          </w:p>
        </w:tc>
        <w:tc>
          <w:tcPr>
            <w:tcW w:type="dxa" w:w="2448"/>
          </w:tcPr>
          <w:p>
            <w:pPr>
              <w:spacing w:after="20"/>
            </w:pPr>
            <w:r>
              <w:rPr>
                <w:color w:val="1C3A36"/>
                <w:sz w:val="14"/>
              </w:rPr>
              <w:t>payout</w:t>
            </w:r>
          </w:p>
        </w:tc>
        <w:tc>
          <w:tcPr>
            <w:tcW w:type="dxa" w:w="1325"/>
          </w:tcPr>
          <w:p>
            <w:pPr>
              <w:spacing w:after="20"/>
            </w:pPr>
            <w:r>
              <w:rPr>
                <w:color w:val="1C3A36"/>
                <w:sz w:val="14"/>
              </w:rPr>
              <w:t>0.6</w:t>
            </w:r>
          </w:p>
        </w:tc>
        <w:tc>
          <w:tcPr>
            <w:tcW w:type="dxa" w:w="1066"/>
          </w:tcPr>
          <w:p>
            <w:pPr>
              <w:spacing w:after="20"/>
            </w:pPr>
            <w:r>
              <w:rPr>
                <w:color w:val="1C3A36"/>
                <w:sz w:val="14"/>
              </w:rPr>
              <w:t>House</w:t>
            </w:r>
          </w:p>
        </w:tc>
        <w:tc>
          <w:tcPr>
            <w:tcW w:type="dxa" w:w="7171"/>
          </w:tcPr>
          <w:p>
            <w:pPr>
              <w:spacing w:after="20"/>
            </w:pPr>
            <w:r>
              <w:rPr>
                <w:color w:val="1C3A36"/>
                <w:sz w:val="14"/>
              </w:rPr>
              <w:t>Dividend payout from FY2026E</w:t>
            </w:r>
          </w:p>
        </w:tc>
        <w:tc>
          <w:tcPr>
            <w:tcW w:type="dxa" w:w="1210"/>
          </w:tcPr>
          <w:p>
            <w:pPr>
              <w:spacing w:after="20"/>
            </w:pPr>
            <w:r>
              <w:rPr>
                <w:color w:val="1C3A36"/>
                <w:sz w:val="14"/>
              </w:rPr>
              <w:t>2026-08-06</w:t>
            </w:r>
          </w:p>
        </w:tc>
      </w:tr>
      <w:tr>
        <w:tc>
          <w:tcPr>
            <w:tcW w:type="dxa" w:w="432"/>
          </w:tcPr>
          <w:p>
            <w:pPr>
              <w:spacing w:after="20"/>
            </w:pPr>
            <w:r>
              <w:rPr>
                <w:color w:val="1C3A36"/>
                <w:sz w:val="14"/>
              </w:rPr>
              <w:t>86</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price/earnings on normalised OPERATING earnings</w:t>
            </w:r>
          </w:p>
        </w:tc>
        <w:tc>
          <w:tcPr>
            <w:tcW w:type="dxa" w:w="1210"/>
          </w:tcPr>
          <w:p>
            <w:pPr>
              <w:spacing w:after="20"/>
            </w:pPr>
            <w:r>
              <w:rPr>
                <w:color w:val="1C3A36"/>
                <w:sz w:val="14"/>
              </w:rPr>
              <w:t>2026-08-06</w:t>
            </w:r>
          </w:p>
        </w:tc>
      </w:tr>
      <w:tr>
        <w:tc>
          <w:tcPr>
            <w:tcW w:type="dxa" w:w="432"/>
          </w:tcPr>
          <w:p>
            <w:pPr>
              <w:spacing w:after="20"/>
            </w:pPr>
            <w:r>
              <w:rPr>
                <w:color w:val="1C3A36"/>
                <w:sz w:val="14"/>
              </w:rPr>
              <w:t>87</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171"/>
          </w:tcPr>
          <w:p>
            <w:pPr>
              <w:spacing w:after="20"/>
            </w:pPr>
            <w:r>
              <w:rPr>
                <w:color w:val="1C3A36"/>
                <w:sz w:val="14"/>
              </w:rPr>
              <w:t>Terminal risk-free rate, norm-built from the CBE's OPERATIVE Q4-2026 inflation target of 7% plus a ~5.5pp emerging-market real-rate convention. Revision 1 used the later 5% target while its own text cited 'the 7% and then 5% targets'. REVIEWABLE CHOICE: reverting to 10.5% adds ~1.8%</w:t>
            </w:r>
          </w:p>
        </w:tc>
        <w:tc>
          <w:tcPr>
            <w:tcW w:type="dxa" w:w="1210"/>
          </w:tcPr>
          <w:p>
            <w:pPr>
              <w:spacing w:after="20"/>
            </w:pPr>
            <w:r>
              <w:rPr>
                <w:color w:val="1C3A36"/>
                <w:sz w:val="14"/>
              </w:rPr>
              <w:t>2026-08-06</w:t>
            </w:r>
          </w:p>
        </w:tc>
      </w:tr>
      <w:tr>
        <w:tc>
          <w:tcPr>
            <w:tcW w:type="dxa" w:w="432"/>
          </w:tcPr>
          <w:p>
            <w:pPr>
              <w:spacing w:after="20"/>
            </w:pPr>
            <w:r>
              <w:rPr>
                <w:color w:val="1C3A36"/>
                <w:sz w:val="14"/>
              </w:rPr>
              <w:t>88</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(7 months). Revision 1 discounted FY2026 a full year from a 6-Aug-2026 valuation date and added a 31-Dec-2025 cash balance</w:t>
            </w:r>
          </w:p>
        </w:tc>
        <w:tc>
          <w:tcPr>
            <w:tcW w:type="dxa" w:w="1210"/>
          </w:tcPr>
          <w:p>
            <w:pPr>
              <w:spacing w:after="20"/>
            </w:pPr>
            <w:r>
              <w:rPr>
                <w:color w:val="1C3A36"/>
                <w:sz w:val="14"/>
              </w:rPr>
              <w:t>2026-08-06</w:t>
            </w:r>
          </w:p>
        </w:tc>
      </w:tr>
      <w:tr>
        <w:tc>
          <w:tcPr>
            <w:tcW w:type="dxa" w:w="432"/>
          </w:tcPr>
          <w:p>
            <w:pPr>
              <w:spacing w:after="20"/>
            </w:pPr>
            <w:r>
              <w:rPr>
                <w:color w:val="1C3A36"/>
                <w:sz w:val="14"/>
              </w:rPr>
              <w:t>89</w:t>
            </w:r>
          </w:p>
        </w:tc>
        <w:tc>
          <w:tcPr>
            <w:tcW w:type="dxa" w:w="2448"/>
          </w:tcPr>
          <w:p>
            <w:pPr>
              <w:spacing w:after="20"/>
            </w:pPr>
            <w:r>
              <w:rPr>
                <w:color w:val="1C3A36"/>
                <w:sz w:val="14"/>
              </w:rPr>
              <w:t>swcc_book</w:t>
            </w:r>
          </w:p>
        </w:tc>
        <w:tc>
          <w:tcPr>
            <w:tcW w:type="dxa" w:w="1325"/>
          </w:tcPr>
          <w:p>
            <w:pPr>
              <w:spacing w:after="20"/>
            </w:pPr>
            <w:r>
              <w:rPr>
                <w:color w:val="1C3A36"/>
                <w:sz w:val="14"/>
              </w:rPr>
              <w:t>100</w:t>
            </w:r>
          </w:p>
        </w:tc>
        <w:tc>
          <w:tcPr>
            <w:tcW w:type="dxa" w:w="1066"/>
          </w:tcPr>
          <w:p>
            <w:pPr>
              <w:spacing w:after="20"/>
            </w:pPr>
            <w:r>
              <w:rPr>
                <w:color w:val="1C3A36"/>
                <w:sz w:val="14"/>
              </w:rPr>
              <w:t>House</w:t>
            </w:r>
          </w:p>
        </w:tc>
        <w:tc>
          <w:tcPr>
            <w:tcW w:type="dxa" w:w="7171"/>
          </w:tcPr>
          <w:p>
            <w:pPr>
              <w:spacing w:after="20"/>
            </w:pPr>
            <w:r>
              <w:rPr>
                <w:color w:val="1C3A36"/>
                <w:sz w:val="14"/>
              </w:rPr>
              <w:t>Carrying value of the 25.4% stake. Revision 1 asserted the profit bridge was 'insensitive to it within a +/-EGP 200mn range'. That was FALSE and untested: in revision 1 the chain ran book value -&gt; gain -&gt; SOLVED treasury income -&gt; cash -&gt; every lens, and a +/-200mn move was worth -4.9% to +9.8%. Revision 2 takes cash from the reported balance sheet instead, so this input now touches only the FY2024 gain/treasury split and nothing downstream</w:t>
            </w:r>
          </w:p>
        </w:tc>
        <w:tc>
          <w:tcPr>
            <w:tcW w:type="dxa" w:w="1210"/>
          </w:tcPr>
          <w:p>
            <w:pPr>
              <w:spacing w:after="20"/>
            </w:pPr>
            <w:r>
              <w:rPr>
                <w:color w:val="1C3A36"/>
                <w:sz w:val="14"/>
              </w:rPr>
              <w:t>2026-08-06</w:t>
            </w:r>
          </w:p>
        </w:tc>
      </w:tr>
      <w:tr>
        <w:tc>
          <w:tcPr>
            <w:tcW w:type="dxa" w:w="432"/>
          </w:tcPr>
          <w:p>
            <w:pPr>
              <w:spacing w:after="20"/>
            </w:pPr>
            <w:r>
              <w:rPr>
                <w:color w:val="1C3A36"/>
                <w:sz w:val="14"/>
              </w:rPr>
              <w:t>90</w:t>
            </w:r>
          </w:p>
        </w:tc>
        <w:tc>
          <w:tcPr>
            <w:tcW w:type="dxa" w:w="2448"/>
          </w:tcPr>
          <w:p>
            <w:pPr>
              <w:spacing w:after="20"/>
            </w:pPr>
            <w:r>
              <w:rPr>
                <w:color w:val="1C3A36"/>
                <w:sz w:val="14"/>
              </w:rPr>
              <w:t>treas_fy23</w:t>
            </w:r>
          </w:p>
        </w:tc>
        <w:tc>
          <w:tcPr>
            <w:tcW w:type="dxa" w:w="1325"/>
          </w:tcPr>
          <w:p>
            <w:pPr>
              <w:spacing w:after="20"/>
            </w:pPr>
            <w:r>
              <w:rPr>
                <w:color w:val="1C3A36"/>
                <w:sz w:val="14"/>
              </w:rPr>
              <w:t>198</w:t>
            </w:r>
          </w:p>
        </w:tc>
        <w:tc>
          <w:tcPr>
            <w:tcW w:type="dxa" w:w="1066"/>
          </w:tcPr>
          <w:p>
            <w:pPr>
              <w:spacing w:after="20"/>
            </w:pPr>
            <w:r>
              <w:rPr>
                <w:color w:val="1C3A36"/>
                <w:sz w:val="14"/>
              </w:rPr>
              <w:t>House</w:t>
            </w:r>
          </w:p>
        </w:tc>
        <w:tc>
          <w:tcPr>
            <w:tcW w:type="dxa" w:w="7171"/>
          </w:tcPr>
          <w:p>
            <w:pPr>
              <w:spacing w:after="20"/>
            </w:pPr>
            <w:r>
              <w:rPr>
                <w:color w:val="1C3A36"/>
                <w:sz w:val="14"/>
              </w:rPr>
              <w:t>FY2023 treasury income on its own smaller cash balance</w:t>
            </w:r>
          </w:p>
        </w:tc>
        <w:tc>
          <w:tcPr>
            <w:tcW w:type="dxa" w:w="1210"/>
          </w:tcPr>
          <w:p>
            <w:pPr>
              <w:spacing w:after="20"/>
            </w:pPr>
            <w:r>
              <w:rPr>
                <w:color w:val="1C3A36"/>
                <w:sz w:val="14"/>
              </w:rPr>
              <w:t>2026-08-06</w:t>
            </w:r>
          </w:p>
        </w:tc>
      </w:tr>
      <w:tr>
        <w:tc>
          <w:tcPr>
            <w:tcW w:type="dxa" w:w="432"/>
          </w:tcPr>
          <w:p>
            <w:pPr>
              <w:spacing w:after="20"/>
            </w:pPr>
            <w:r>
              <w:rPr>
                <w:color w:val="1C3A36"/>
                <w:sz w:val="14"/>
              </w:rPr>
              <w:t>91</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Revision 1 gave it 15% while arguing in the same document that restarted lines cost 'a fraction' of new build and that the asset lens 'should not be read as a floor'. Cut to 8%. REVIEWABLE CHOICE: 15% adds ~3.6%, zero subtracts ~2.6%</w:t>
            </w:r>
          </w:p>
        </w:tc>
        <w:tc>
          <w:tcPr>
            <w:tcW w:type="dxa" w:w="1210"/>
          </w:tcPr>
          <w:p>
            <w:pPr>
              <w:spacing w:after="20"/>
            </w:pPr>
            <w:r>
              <w:rPr>
                <w:color w:val="1C3A36"/>
                <w:sz w:val="14"/>
              </w:rPr>
              <w:t>2026-08-06</w:t>
            </w:r>
          </w:p>
        </w:tc>
      </w:tr>
      <w:tr>
        <w:tc>
          <w:tcPr>
            <w:tcW w:type="dxa" w:w="432"/>
          </w:tcPr>
          <w:p>
            <w:pPr>
              <w:spacing w:after="20"/>
            </w:pPr>
            <w:r>
              <w:rPr>
                <w:color w:val="1C3A36"/>
                <w:sz w:val="14"/>
              </w:rPr>
              <w:t>92</w:t>
            </w:r>
          </w:p>
        </w:tc>
        <w:tc>
          <w:tcPr>
            <w:tcW w:type="dxa" w:w="2448"/>
          </w:tcPr>
          <w:p>
            <w:pPr>
              <w:spacing w:after="20"/>
            </w:pPr>
            <w:r>
              <w:rPr>
                <w:color w:val="1C3A36"/>
                <w:sz w:val="14"/>
              </w:rPr>
              <w:t>w_dcf</w:t>
            </w:r>
          </w:p>
        </w:tc>
        <w:tc>
          <w:tcPr>
            <w:tcW w:type="dxa" w:w="1325"/>
          </w:tcPr>
          <w:p>
            <w:pPr>
              <w:spacing w:after="20"/>
            </w:pPr>
            <w:r>
              <w:rPr>
                <w:color w:val="1C3A36"/>
                <w:sz w:val="14"/>
              </w:rPr>
              <w:t>0.48</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93</w:t>
            </w:r>
          </w:p>
        </w:tc>
        <w:tc>
          <w:tcPr>
            <w:tcW w:type="dxa" w:w="2448"/>
          </w:tcPr>
          <w:p>
            <w:pPr>
              <w:spacing w:after="20"/>
            </w:pPr>
            <w:r>
              <w:rPr>
                <w:color w:val="1C3A36"/>
                <w:sz w:val="14"/>
              </w:rPr>
              <w:t>w_norm</w:t>
            </w:r>
          </w:p>
        </w:tc>
        <w:tc>
          <w:tcPr>
            <w:tcW w:type="dxa" w:w="1325"/>
          </w:tcPr>
          <w:p>
            <w:pPr>
              <w:spacing w:after="20"/>
            </w:pPr>
            <w:r>
              <w:rPr>
                <w:color w:val="1C3A36"/>
                <w:sz w:val="14"/>
              </w:rPr>
              <w:t>0.23</w:t>
            </w:r>
          </w:p>
        </w:tc>
        <w:tc>
          <w:tcPr>
            <w:tcW w:type="dxa" w:w="1066"/>
          </w:tcPr>
          <w:p>
            <w:pPr>
              <w:spacing w:after="20"/>
            </w:pPr>
            <w:r>
              <w:rPr>
                <w:color w:val="1C3A36"/>
                <w:sz w:val="14"/>
              </w:rPr>
              <w:t>House</w:t>
            </w:r>
          </w:p>
        </w:tc>
        <w:tc>
          <w:tcPr>
            <w:tcW w:type="dxa" w:w="7171"/>
          </w:tcPr>
          <w:p>
            <w:pPr>
              <w:spacing w:after="20"/>
            </w:pPr>
            <w:r>
              <w:rPr>
                <w:color w:val="1C3A36"/>
                <w:sz w:val="14"/>
              </w:rPr>
              <w:t>Weight,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94</w:t>
            </w:r>
          </w:p>
        </w:tc>
        <w:tc>
          <w:tcPr>
            <w:tcW w:type="dxa" w:w="2448"/>
          </w:tcPr>
          <w:p>
            <w:pPr>
              <w:spacing w:after="20"/>
            </w:pPr>
            <w:r>
              <w:rPr>
                <w:color w:val="1C3A36"/>
                <w:sz w:val="14"/>
              </w:rPr>
              <w:t>w_rel</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171"/>
          </w:tcPr>
          <w:p>
            <w:pPr>
              <w:spacing w:after="20"/>
            </w:pPr>
            <w:r>
              <w:rPr>
                <w:color w:val="1C3A36"/>
                <w:sz w:val="14"/>
              </w:rPr>
              <w:t>Weight, relative lens</w:t>
            </w:r>
          </w:p>
        </w:tc>
        <w:tc>
          <w:tcPr>
            <w:tcW w:type="dxa" w:w="1210"/>
          </w:tcPr>
          <w:p>
            <w:pPr>
              <w:spacing w:after="20"/>
            </w:pPr>
            <w:r>
              <w:rPr>
                <w:color w:val="1C3A36"/>
                <w:sz w:val="14"/>
              </w:rPr>
              <w:t>2026-08-06</w:t>
            </w:r>
          </w:p>
        </w:tc>
      </w:tr>
      <w:tr>
        <w:tc>
          <w:tcPr>
            <w:tcW w:type="dxa" w:w="432"/>
          </w:tcPr>
          <w:p>
            <w:pPr>
              <w:spacing w:after="20"/>
            </w:pPr>
            <w:r>
              <w:rPr>
                <w:color w:val="1C3A36"/>
                <w:sz w:val="14"/>
              </w:rPr>
              <w:t>95</w:t>
            </w:r>
          </w:p>
        </w:tc>
        <w:tc>
          <w:tcPr>
            <w:tcW w:type="dxa" w:w="2448"/>
          </w:tcPr>
          <w:p>
            <w:pPr>
              <w:spacing w:after="20"/>
            </w:pPr>
            <w:r>
              <w:rPr>
                <w:color w:val="1C3A36"/>
                <w:sz w:val="14"/>
              </w:rPr>
              <w:t>wc_pct_drev</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w:t>
            </w:r>
          </w:p>
        </w:tc>
        <w:tc>
          <w:tcPr>
            <w:tcW w:type="dxa" w:w="1210"/>
          </w:tcPr>
          <w:p>
            <w:pPr>
              <w:spacing w:after="20"/>
            </w:pPr>
            <w:r>
              <w:rPr>
                <w:color w:val="1C3A36"/>
                <w:sz w:val="14"/>
              </w:rPr>
              <w:t>2026-08-06</w:t>
            </w:r>
          </w:p>
        </w:tc>
      </w:tr>
      <w:tr>
        <w:tc>
          <w:tcPr>
            <w:tcW w:type="dxa" w:w="432"/>
          </w:tcPr>
          <w:p>
            <w:pPr>
              <w:spacing w:after="20"/>
            </w:pPr>
            <w:r>
              <w:rPr>
                <w:color w:val="1C3A36"/>
                <w:sz w:val="14"/>
              </w:rPr>
              <w:t>96</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 normalised</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Sinai Cement Company S.A.E. — exchange filings</w:t>
            </w:r>
          </w:p>
        </w:tc>
        <w:tc>
          <w:tcPr>
            <w:tcW w:type="dxa" w:w="2333"/>
          </w:tcPr>
          <w:p>
            <w:pPr>
              <w:spacing w:after="20"/>
            </w:pPr>
            <w:r>
              <w:rPr>
                <w:color w:val="1C3A36"/>
                <w:sz w:val="16"/>
              </w:rPr>
              <w:t>Company filing</w:t>
            </w:r>
          </w:p>
        </w:tc>
        <w:tc>
          <w:tcPr>
            <w:tcW w:type="dxa" w:w="5803"/>
          </w:tcPr>
          <w:p>
            <w:pPr>
              <w:spacing w:after="20"/>
            </w:pPr>
            <w:r>
              <w:rPr>
                <w:color w:val="1C3A36"/>
                <w:sz w:val="16"/>
              </w:rPr>
              <w:t>FY2023, FY2024 and FY2025 consolidated results; 9M-2025 results; EGM resolutions on the 2024 capital increase; issued-capital and share-count disclosures.</w:t>
            </w:r>
          </w:p>
        </w:tc>
        <w:tc>
          <w:tcPr>
            <w:tcW w:type="dxa" w:w="2880"/>
          </w:tcPr>
          <w:p>
            <w:pPr>
              <w:spacing w:after="20"/>
            </w:pPr>
            <w:r>
              <w:rPr>
                <w:color w:val="1C3A36"/>
                <w:sz w:val="16"/>
              </w:rPr>
              <w:t>Accessed indirectly through the press outlets below; the primary documents could not be retrieved from the company website or the exchange portal.</w:t>
            </w:r>
          </w:p>
        </w:tc>
      </w:tr>
      <w:tr>
        <w:tc>
          <w:tcPr>
            <w:tcW w:type="dxa" w:w="2664"/>
          </w:tcPr>
          <w:p>
            <w:pPr>
              <w:spacing w:after="20"/>
            </w:pPr>
            <w:r>
              <w:rPr>
                <w:color w:val="1C3A36"/>
                <w:sz w:val="16"/>
              </w:rPr>
              <w:t>Global Cement</w:t>
            </w:r>
          </w:p>
        </w:tc>
        <w:tc>
          <w:tcPr>
            <w:tcW w:type="dxa" w:w="2333"/>
          </w:tcPr>
          <w:p>
            <w:pPr>
              <w:spacing w:after="20"/>
            </w:pPr>
            <w:r>
              <w:rPr>
                <w:color w:val="1C3A36"/>
                <w:sz w:val="16"/>
              </w:rPr>
              <w:t>Trade press</w:t>
            </w:r>
          </w:p>
        </w:tc>
        <w:tc>
          <w:tcPr>
            <w:tcW w:type="dxa" w:w="5803"/>
          </w:tcPr>
          <w:p>
            <w:pPr>
              <w:spacing w:after="20"/>
            </w:pPr>
            <w:r>
              <w:rPr>
                <w:color w:val="1C3A36"/>
                <w:sz w:val="16"/>
              </w:rPr>
              <w:t>FY2024 turnaround (net profit EGP 3.07bn against a EGP 121.42mn FY2023 loss; sales EGP 6.42bn from EGP 4.28bn); Egyptian production, consumption, capacity and export volumes; the dormant-capacity revival programme.</w:t>
            </w:r>
          </w:p>
        </w:tc>
        <w:tc>
          <w:tcPr>
            <w:tcW w:type="dxa" w:w="2880"/>
          </w:tcPr>
          <w:p>
            <w:pPr>
              <w:spacing w:after="20"/>
            </w:pPr>
            <w:r>
              <w:rPr>
                <w:color w:val="1C3A36"/>
                <w:sz w:val="16"/>
              </w:rPr>
              <w:t>globalcement.com</w:t>
            </w:r>
          </w:p>
        </w:tc>
      </w:tr>
      <w:tr>
        <w:tc>
          <w:tcPr>
            <w:tcW w:type="dxa" w:w="2664"/>
          </w:tcPr>
          <w:p>
            <w:pPr>
              <w:spacing w:after="20"/>
            </w:pPr>
            <w:r>
              <w:rPr>
                <w:color w:val="1C3A36"/>
                <w:sz w:val="16"/>
              </w:rPr>
              <w:t>International Cement Review / cemnet</w:t>
            </w:r>
          </w:p>
        </w:tc>
        <w:tc>
          <w:tcPr>
            <w:tcW w:type="dxa" w:w="2333"/>
          </w:tcPr>
          <w:p>
            <w:pPr>
              <w:spacing w:after="20"/>
            </w:pPr>
            <w:r>
              <w:rPr>
                <w:color w:val="1C3A36"/>
                <w:sz w:val="16"/>
              </w:rPr>
              <w:t>Trade press</w:t>
            </w:r>
          </w:p>
        </w:tc>
        <w:tc>
          <w:tcPr>
            <w:tcW w:type="dxa" w:w="5803"/>
          </w:tcPr>
          <w:p>
            <w:pPr>
              <w:spacing w:after="20"/>
            </w:pPr>
            <w:r>
              <w:rPr>
                <w:color w:val="1C3A36"/>
                <w:sz w:val="16"/>
              </w:rPr>
              <w:t>Egyptian 2025 production up 18% to ~65Mt; 9M-2025 results; the Cementir acquisition of the Sinai White stake.</w:t>
            </w:r>
          </w:p>
        </w:tc>
        <w:tc>
          <w:tcPr>
            <w:tcW w:type="dxa" w:w="2880"/>
          </w:tcPr>
          <w:p>
            <w:pPr>
              <w:spacing w:after="20"/>
            </w:pPr>
            <w:r>
              <w:rPr>
                <w:color w:val="1C3A36"/>
                <w:sz w:val="16"/>
              </w:rPr>
              <w:t>cemnet.com</w:t>
            </w:r>
          </w:p>
        </w:tc>
      </w:tr>
      <w:tr>
        <w:tc>
          <w:tcPr>
            <w:tcW w:type="dxa" w:w="2664"/>
          </w:tcPr>
          <w:p>
            <w:pPr>
              <w:spacing w:after="20"/>
            </w:pPr>
            <w:r>
              <w:rPr>
                <w:color w:val="1C3A36"/>
                <w:sz w:val="16"/>
              </w:rPr>
              <w:t>Cementir Holding N.V. / Aalborg Portland Holding A/S</w:t>
            </w:r>
          </w:p>
        </w:tc>
        <w:tc>
          <w:tcPr>
            <w:tcW w:type="dxa" w:w="2333"/>
          </w:tcPr>
          <w:p>
            <w:pPr>
              <w:spacing w:after="20"/>
            </w:pPr>
            <w:r>
              <w:rPr>
                <w:color w:val="1C3A36"/>
                <w:sz w:val="16"/>
              </w:rPr>
              <w:t>Counterparty disclosure</w:t>
            </w:r>
          </w:p>
        </w:tc>
        <w:tc>
          <w:tcPr>
            <w:tcW w:type="dxa" w:w="5803"/>
          </w:tcPr>
          <w:p>
            <w:pPr>
              <w:spacing w:after="20"/>
            </w:pPr>
            <w:r>
              <w:rPr>
                <w:color w:val="1C3A36"/>
                <w:sz w:val="16"/>
              </w:rPr>
              <w:t>Acquisition of an additional 25.40% of Sinai White Portland Cement from Sinai Cement for EUR 30 million, completed 13 August 2024, taking Cementir to 96.5%. This is the transaction that resets the FY2024 base.</w:t>
            </w:r>
          </w:p>
        </w:tc>
        <w:tc>
          <w:tcPr>
            <w:tcW w:type="dxa" w:w="2880"/>
          </w:tcPr>
          <w:p>
            <w:pPr>
              <w:spacing w:after="20"/>
            </w:pPr>
            <w:r>
              <w:rPr>
                <w:color w:val="1C3A36"/>
                <w:sz w:val="16"/>
              </w:rPr>
              <w:t>cementirholding.com</w:t>
            </w:r>
          </w:p>
        </w:tc>
      </w:tr>
      <w:tr>
        <w:tc>
          <w:tcPr>
            <w:tcW w:type="dxa" w:w="2664"/>
          </w:tcPr>
          <w:p>
            <w:pPr>
              <w:spacing w:after="20"/>
            </w:pPr>
            <w:r>
              <w:rPr>
                <w:color w:val="1C3A36"/>
                <w:sz w:val="16"/>
              </w:rPr>
              <w:t>Vicat S.A. — results and regulatory filings</w:t>
            </w:r>
          </w:p>
        </w:tc>
        <w:tc>
          <w:tcPr>
            <w:tcW w:type="dxa" w:w="2333"/>
          </w:tcPr>
          <w:p>
            <w:pPr>
              <w:spacing w:after="20"/>
            </w:pPr>
            <w:r>
              <w:rPr>
                <w:color w:val="1C3A36"/>
                <w:sz w:val="16"/>
              </w:rPr>
              <w:t>Shareholder disclosure</w:t>
            </w:r>
          </w:p>
        </w:tc>
        <w:tc>
          <w:tcPr>
            <w:tcW w:type="dxa" w:w="5803"/>
          </w:tcPr>
          <w:p>
            <w:pPr>
              <w:spacing w:after="20"/>
            </w:pPr>
            <w:r>
              <w:rPr>
                <w:color w:val="1C3A36"/>
                <w:sz w:val="16"/>
              </w:rPr>
              <w:t>The 77.6% holding through Vicat Egypt Cement Industries; the July 2025 mandatory tender offer for 58,416,664 shares (22.4%) at EGP 41.00 per share, filed with the Financial Regulatory Authority.</w:t>
            </w:r>
          </w:p>
        </w:tc>
        <w:tc>
          <w:tcPr>
            <w:tcW w:type="dxa" w:w="2880"/>
          </w:tcPr>
          <w:p>
            <w:pPr>
              <w:spacing w:after="20"/>
            </w:pPr>
            <w:r>
              <w:rPr>
                <w:color w:val="1C3A36"/>
                <w:sz w:val="16"/>
              </w:rPr>
              <w:t>Reported via Reuters and Vicat H1-2025 results</w:t>
            </w:r>
          </w:p>
        </w:tc>
      </w:tr>
      <w:tr>
        <w:tc>
          <w:tcPr>
            <w:tcW w:type="dxa" w:w="2664"/>
          </w:tcPr>
          <w:p>
            <w:pPr>
              <w:spacing w:after="20"/>
            </w:pPr>
            <w:r>
              <w:rPr>
                <w:color w:val="1C3A36"/>
                <w:sz w:val="16"/>
              </w:rPr>
              <w:t>Daily News Egypt</w:t>
            </w:r>
          </w:p>
        </w:tc>
        <w:tc>
          <w:tcPr>
            <w:tcW w:type="dxa" w:w="2333"/>
          </w:tcPr>
          <w:p>
            <w:pPr>
              <w:spacing w:after="20"/>
            </w:pPr>
            <w:r>
              <w:rPr>
                <w:color w:val="1C3A36"/>
                <w:sz w:val="16"/>
              </w:rPr>
              <w:t>National press</w:t>
            </w:r>
          </w:p>
        </w:tc>
        <w:tc>
          <w:tcPr>
            <w:tcW w:type="dxa" w:w="5803"/>
          </w:tcPr>
          <w:p>
            <w:pPr>
              <w:spacing w:after="20"/>
            </w:pPr>
            <w:r>
              <w:rPr>
                <w:color w:val="1C3A36"/>
                <w:sz w:val="16"/>
              </w:rPr>
              <w:t>FY2024 results commentary including the ~5% market-share figure; central bank inflation projections and the May-2026 inflation print.</w:t>
            </w:r>
          </w:p>
        </w:tc>
        <w:tc>
          <w:tcPr>
            <w:tcW w:type="dxa" w:w="2880"/>
          </w:tcPr>
          <w:p>
            <w:pPr>
              <w:spacing w:after="20"/>
            </w:pPr>
            <w:r>
              <w:rPr>
                <w:color w:val="1C3A36"/>
                <w:sz w:val="16"/>
              </w:rPr>
              <w:t>dailynewsegypt.com</w:t>
            </w:r>
          </w:p>
        </w:tc>
      </w:tr>
      <w:tr>
        <w:tc>
          <w:tcPr>
            <w:tcW w:type="dxa" w:w="2664"/>
          </w:tcPr>
          <w:p>
            <w:pPr>
              <w:spacing w:after="20"/>
            </w:pPr>
            <w:r>
              <w:rPr>
                <w:color w:val="1C3A36"/>
                <w:sz w:val="16"/>
              </w:rPr>
              <w:t>Arab Finance</w:t>
            </w:r>
          </w:p>
        </w:tc>
        <w:tc>
          <w:tcPr>
            <w:tcW w:type="dxa" w:w="2333"/>
          </w:tcPr>
          <w:p>
            <w:pPr>
              <w:spacing w:after="20"/>
            </w:pPr>
            <w:r>
              <w:rPr>
                <w:color w:val="1C3A36"/>
                <w:sz w:val="16"/>
              </w:rPr>
              <w:t>Financial press</w:t>
            </w:r>
          </w:p>
        </w:tc>
        <w:tc>
          <w:tcPr>
            <w:tcW w:type="dxa" w:w="5803"/>
          </w:tcPr>
          <w:p>
            <w:pPr>
              <w:spacing w:after="20"/>
            </w:pPr>
            <w:r>
              <w:rPr>
                <w:color w:val="1C3A36"/>
                <w:sz w:val="16"/>
              </w:rPr>
              <w:t>FY2025 consolidated results; peer results for Misr Beni Suef Cement and Arabian Cement.</w:t>
            </w:r>
          </w:p>
        </w:tc>
        <w:tc>
          <w:tcPr>
            <w:tcW w:type="dxa" w:w="2880"/>
          </w:tcPr>
          <w:p>
            <w:pPr>
              <w:spacing w:after="20"/>
            </w:pPr>
            <w:r>
              <w:rPr>
                <w:color w:val="1C3A36"/>
                <w:sz w:val="16"/>
              </w:rPr>
              <w:t>arabfinance.com</w:t>
            </w:r>
          </w:p>
        </w:tc>
      </w:tr>
      <w:tr>
        <w:tc>
          <w:tcPr>
            <w:tcW w:type="dxa" w:w="2664"/>
          </w:tcPr>
          <w:p>
            <w:pPr>
              <w:spacing w:after="20"/>
            </w:pPr>
            <w:r>
              <w:rPr>
                <w:color w:val="1C3A36"/>
                <w:sz w:val="16"/>
              </w:rPr>
              <w:t>EnterpriseAM Egypt</w:t>
            </w:r>
          </w:p>
        </w:tc>
        <w:tc>
          <w:tcPr>
            <w:tcW w:type="dxa" w:w="2333"/>
          </w:tcPr>
          <w:p>
            <w:pPr>
              <w:spacing w:after="20"/>
            </w:pPr>
            <w:r>
              <w:rPr>
                <w:color w:val="1C3A36"/>
                <w:sz w:val="16"/>
              </w:rPr>
              <w:t>Financial press</w:t>
            </w:r>
          </w:p>
        </w:tc>
        <w:tc>
          <w:tcPr>
            <w:tcW w:type="dxa" w:w="5803"/>
          </w:tcPr>
          <w:p>
            <w:pPr>
              <w:spacing w:after="20"/>
            </w:pPr>
            <w:r>
              <w:rPr>
                <w:color w:val="1C3A36"/>
                <w:sz w:val="16"/>
              </w:rPr>
              <w:t>Egyptian cement pricing through 2025 and the 2026 estimate; the Egyptian Competition Authority's permanent removal of production quotas in July 2025.</w:t>
            </w:r>
          </w:p>
        </w:tc>
        <w:tc>
          <w:tcPr>
            <w:tcW w:type="dxa" w:w="2880"/>
          </w:tcPr>
          <w:p>
            <w:pPr>
              <w:spacing w:after="20"/>
            </w:pPr>
            <w:r>
              <w:rPr>
                <w:color w:val="1C3A36"/>
                <w:sz w:val="16"/>
              </w:rPr>
              <w:t>enterpriseam.com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since 2 April 2026; the Q1-2026 Monetary Policy Report; the medium-term inflation target of 7% (±2pp) for Q4-2026 easing to 5%; the headline and core inflation series.</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both the credit-default-swap and credit-rating bases,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PwC Worldwide Tax Summaries</w:t>
            </w:r>
          </w:p>
        </w:tc>
        <w:tc>
          <w:tcPr>
            <w:tcW w:type="dxa" w:w="2333"/>
          </w:tcPr>
          <w:p>
            <w:pPr>
              <w:spacing w:after="20"/>
            </w:pPr>
            <w:r>
              <w:rPr>
                <w:color w:val="1C3A36"/>
                <w:sz w:val="16"/>
              </w:rPr>
              <w:t>Tax reference</w:t>
            </w:r>
          </w:p>
        </w:tc>
        <w:tc>
          <w:tcPr>
            <w:tcW w:type="dxa" w:w="5803"/>
          </w:tcPr>
          <w:p>
            <w:pPr>
              <w:spacing w:after="20"/>
            </w:pPr>
            <w:r>
              <w:rPr>
                <w:color w:val="1C3A36"/>
                <w:sz w:val="16"/>
              </w:rPr>
              <w:t>Egyptian corporate income tax rate of 22.5%, unchanged for 2025-26.</w:t>
            </w:r>
          </w:p>
        </w:tc>
        <w:tc>
          <w:tcPr>
            <w:tcW w:type="dxa" w:w="2880"/>
          </w:tcPr>
          <w:p>
            <w:pPr>
              <w:spacing w:after="20"/>
            </w:pPr>
            <w:r>
              <w:rPr>
                <w:color w:val="1C3A36"/>
                <w:sz w:val="16"/>
              </w:rPr>
              <w:t>taxsummaries.pwc.com</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3,626 daily open, high, low, close and volume records from 2 January 2011 to 6 August 2026, supplied with the engagement. This series is the basis of the price chart, the volatility estimate, the beta regression and the liquidity diagnostics.</w:t>
            </w:r>
          </w:p>
        </w:tc>
        <w:tc>
          <w:tcPr>
            <w:tcW w:type="dxa" w:w="2880"/>
          </w:tcPr>
          <w:p>
            <w:pPr>
              <w:spacing w:after="20"/>
            </w:pPr>
            <w:r>
              <w:rPr>
                <w:color w:val="1C3A36"/>
                <w:sz w:val="16"/>
              </w:rPr>
              <w:t>Supplied as a file</w:t>
            </w:r>
          </w:p>
        </w:tc>
      </w:tr>
      <w:tr>
        <w:tc>
          <w:tcPr>
            <w:tcW w:type="dxa" w:w="2664"/>
          </w:tcPr>
          <w:p>
            <w:pPr>
              <w:spacing w:after="20"/>
            </w:pPr>
            <w:r>
              <w:rPr>
                <w:color w:val="1C3A36"/>
                <w:sz w:val="16"/>
              </w:rPr>
              <w:t>Global Energy Monitor plant register</w:t>
            </w:r>
          </w:p>
        </w:tc>
        <w:tc>
          <w:tcPr>
            <w:tcW w:type="dxa" w:w="2333"/>
          </w:tcPr>
          <w:p>
            <w:pPr>
              <w:spacing w:after="20"/>
            </w:pPr>
            <w:r>
              <w:rPr>
                <w:color w:val="1C3A36"/>
                <w:sz w:val="16"/>
              </w:rPr>
              <w:t>Sector database</w:t>
            </w:r>
          </w:p>
        </w:tc>
        <w:tc>
          <w:tcPr>
            <w:tcW w:type="dxa" w:w="5803"/>
          </w:tcPr>
          <w:p>
            <w:pPr>
              <w:spacing w:after="20"/>
            </w:pPr>
            <w:r>
              <w:rPr>
                <w:color w:val="1C3A36"/>
                <w:sz w:val="16"/>
              </w:rPr>
              <w:t>El Hassana plant configuration: two lines, approximately 3.8 million tonnes a year of cement capacity, commissioned from 1997.</w:t>
            </w:r>
          </w:p>
        </w:tc>
        <w:tc>
          <w:tcPr>
            <w:tcW w:type="dxa" w:w="2880"/>
          </w:tcPr>
          <w:p>
            <w:pPr>
              <w:spacing w:after="20"/>
            </w:pPr>
            <w:r>
              <w:rPr>
                <w:color w:val="1C3A36"/>
                <w:sz w:val="16"/>
              </w:rPr>
              <w:t>gem.wiki</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Share count — 260,812,477</w:t>
            </w:r>
          </w:p>
        </w:tc>
        <w:tc>
          <w:tcPr>
            <w:tcW w:type="dxa" w:w="10224"/>
          </w:tcPr>
          <w:p>
            <w:pPr>
              <w:spacing w:after="20"/>
            </w:pPr>
            <w:r>
              <w:rPr>
                <w:color w:val="1C3A36"/>
                <w:sz w:val="16"/>
              </w:rPr>
              <w:t>Triangulated three ways and cross-checked: issued capital of EGP 2,608,124,770 at EGP 10 par gives 261; the tender offer of 58,416,664 shares described as 22.4% back-solves to 261; quoted market capitalisation divided by the closing price gives 261. The three agree to within 0.01%. Aggregator prints of 141.46 million are irreconcilable with the market capitalisation printed beside them and are rejected.</w:t>
            </w:r>
          </w:p>
        </w:tc>
      </w:tr>
      <w:tr>
        <w:tc>
          <w:tcPr>
            <w:tcW w:type="dxa" w:w="3456"/>
          </w:tcPr>
          <w:p>
            <w:pPr>
              <w:spacing w:after="20"/>
            </w:pPr>
            <w:r>
              <w:rPr>
                <w:color w:val="1C3A36"/>
                <w:sz w:val="16"/>
              </w:rPr>
              <w:t>FY2024 EBIT, treasury income and the disposal gain</w:t>
            </w:r>
          </w:p>
        </w:tc>
        <w:tc>
          <w:tcPr>
            <w:tcW w:type="dxa" w:w="10224"/>
          </w:tcPr>
          <w:p>
            <w:pPr>
              <w:spacing w:after="20"/>
            </w:pPr>
            <w:r>
              <w:rPr>
                <w:color w:val="1C3A36"/>
                <w:sz w:val="16"/>
              </w:rPr>
              <w:t>The FY2024 profit bridge is closed against the one disclosed EBITDA figure. Depreciation is taken at 6.2% of revenue, giving EBIT; the disposal gain is EUR 30 million at the August-2024 exchange rate less an estimated EGP 100 million carrying value; treasury income is then whatever remains once disclosed profit after tax is grossed up at the statutory rate.</w:t>
            </w:r>
          </w:p>
        </w:tc>
      </w:tr>
      <w:tr>
        <w:tc>
          <w:tcPr>
            <w:tcW w:type="dxa" w:w="3456"/>
          </w:tcPr>
          <w:p>
            <w:pPr>
              <w:spacing w:after="20"/>
            </w:pPr>
            <w:r>
              <w:rPr>
                <w:color w:val="1C3A36"/>
                <w:sz w:val="16"/>
              </w:rPr>
              <w:t>FY2025 EBIT and EBITDA</w:t>
            </w:r>
          </w:p>
        </w:tc>
        <w:tc>
          <w:tcPr>
            <w:tcW w:type="dxa" w:w="10224"/>
          </w:tcPr>
          <w:p>
            <w:pPr>
              <w:spacing w:after="20"/>
            </w:pPr>
            <w:r>
              <w:rPr>
                <w:color w:val="1C3A36"/>
                <w:sz w:val="16"/>
              </w:rPr>
              <w:t>Disclosed profit after tax is grossed up at the statutory rate to give pre-tax profit; treasury income on the derived cash balance is deducted to give EBIT; depreciation at 4.6% of revenue is added back to give EBITDA.</w:t>
            </w:r>
          </w:p>
        </w:tc>
      </w:tr>
      <w:tr>
        <w:tc>
          <w:tcPr>
            <w:tcW w:type="dxa" w:w="3456"/>
          </w:tcPr>
          <w:p>
            <w:pPr>
              <w:spacing w:after="20"/>
            </w:pPr>
            <w:r>
              <w:rPr>
                <w:color w:val="1C3A36"/>
                <w:sz w:val="16"/>
              </w:rPr>
              <w:t>The cash balance</w:t>
            </w:r>
          </w:p>
        </w:tc>
        <w:tc>
          <w:tcPr>
            <w:tcW w:type="dxa" w:w="10224"/>
          </w:tcPr>
          <w:p>
            <w:pPr>
              <w:spacing w:after="20"/>
            </w:pPr>
            <w:r>
              <w:rPr>
                <w:color w:val="1C3A36"/>
                <w:sz w:val="16"/>
              </w:rPr>
              <w:t>No cash figure is separately obtainable. FY2024 cash is inferred as the derived FY2024 treasury income divided by the prevailing deposit yield; FY2025 cash is that balance grown by a stated multiple. This is the least well-evidenced material figure in the valuation and net cash is 37% of the equity value.</w:t>
            </w:r>
          </w:p>
        </w:tc>
      </w:tr>
      <w:tr>
        <w:tc>
          <w:tcPr>
            <w:tcW w:type="dxa" w:w="3456"/>
          </w:tcPr>
          <w:p>
            <w:pPr>
              <w:spacing w:after="20"/>
            </w:pPr>
            <w:r>
              <w:rPr>
                <w:color w:val="1C3A36"/>
                <w:sz w:val="16"/>
              </w:rPr>
              <w:t>Sales volume and realised price</w:t>
            </w:r>
          </w:p>
        </w:tc>
        <w:tc>
          <w:tcPr>
            <w:tcW w:type="dxa" w:w="10224"/>
          </w:tcPr>
          <w:p>
            <w:pPr>
              <w:spacing w:after="20"/>
            </w:pPr>
            <w:r>
              <w:rPr>
                <w:color w:val="1C3A36"/>
                <w:sz w:val="16"/>
              </w:rPr>
              <w:t>Volume is the Egyptian market size multiplied by the company's share; realised price is then disclosed revenue divided by that volume, so the build reproduces the reported top line exactly in all three historical years.</w:t>
            </w:r>
          </w:p>
        </w:tc>
      </w:tr>
      <w:tr>
        <w:tc>
          <w:tcPr>
            <w:tcW w:type="dxa" w:w="3456"/>
          </w:tcPr>
          <w:p>
            <w:pPr>
              <w:spacing w:after="20"/>
            </w:pPr>
            <w:r>
              <w:rPr>
                <w:color w:val="1C3A36"/>
                <w:sz w:val="16"/>
              </w:rPr>
              <w:t>Terminal return on invested capital</w:t>
            </w:r>
          </w:p>
        </w:tc>
        <w:tc>
          <w:tcPr>
            <w:tcW w:type="dxa" w:w="10224"/>
          </w:tcPr>
          <w:p>
            <w:pPr>
              <w:spacing w:after="20"/>
            </w:pPr>
            <w:r>
              <w:rPr>
                <w:color w:val="1C3A36"/>
                <w:sz w:val="16"/>
              </w:rPr>
              <w:t>Struck on replacement cost — 3.8Mt at USD 130 per annual tonne — rather than on book invested capital, which implies a nan% return because the plant is carried at 1997 cost through a five-fold devaluation.</w:t>
            </w:r>
          </w:p>
        </w:tc>
      </w:tr>
      <w:tr>
        <w:tc>
          <w:tcPr>
            <w:tcW w:type="dxa" w:w="3456"/>
          </w:tcPr>
          <w:p>
            <w:pPr>
              <w:spacing w:after="20"/>
            </w:pPr>
            <w:r>
              <w:rPr>
                <w:color w:val="1C3A36"/>
                <w:sz w:val="16"/>
              </w:rPr>
              <w:t>Beta — 1.00 adopted</w:t>
            </w:r>
          </w:p>
        </w:tc>
        <w:tc>
          <w:tcPr>
            <w:tcW w:type="dxa" w:w="10224"/>
          </w:tcPr>
          <w:p>
            <w:pPr>
              <w:spacing w:after="20"/>
            </w:pPr>
            <w:r>
              <w:rPr>
                <w:color w:val="1C3A36"/>
                <w:sz w:val="16"/>
              </w:rPr>
              <w:t>A five-year weekly regression of the shares against a 32-name equal-weight Egyptian composite returns 0.485 with an R-squared of 0.038 over 256 observations. That R-squared is below the 5% usability floor, so the regression result is NOT used. No Egyptian listed cement peer carries a price history in the covered library, so a re-levered peer beta is unavailable. 1.00 is adopted and corroborated: a lead-and-lag estimator correcting for the 29.3% of sessions that close unchanged gives 0.837, whose 90% interval contains 1.00.</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23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&amp; USD/FX regime</w:t>
            </w:r>
          </w:p>
        </w:tc>
        <w:tc>
          <w:tcPr>
            <w:tcW w:type="dxa" w:w="5846"/>
          </w:tcPr>
          <w:p>
            <w:pPr>
              <w:spacing w:after="20"/>
            </w:pPr>
            <w:r>
              <w:rPr>
                <w:color w:val="1C3A36"/>
                <w:sz w:val="14"/>
              </w:rPr>
              <w:t>Global easing cycle underway; Fed funds midpoint 3.63% (Jun-2026), which sets the backdrop against which Egypt's own 19.50% policy rate normalises</w:t>
            </w:r>
          </w:p>
        </w:tc>
        <w:tc>
          <w:tcPr>
            <w:tcW w:type="dxa" w:w="3053"/>
          </w:tcPr>
          <w:p>
            <w:pPr>
              <w:spacing w:after="20"/>
            </w:pPr>
            <w:r>
              <w:rPr>
                <w:color w:val="1C3A36"/>
                <w:sz w:val="14"/>
              </w:rPr>
              <w:t>US Federal Reserve policy history (house FED_SCHEDULE, engine/market_profiles.py)</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(input/output)</w:t>
            </w:r>
          </w:p>
        </w:tc>
        <w:tc>
          <w:tcPr>
            <w:tcW w:type="dxa" w:w="5846"/>
          </w:tcPr>
          <w:p>
            <w:pPr>
              <w:spacing w:after="20"/>
            </w:pPr>
            <w:r>
              <w:rPr>
                <w:color w:val="1C3A36"/>
                <w:sz w:val="14"/>
              </w:rPr>
              <w:t>Cement is an energy-conversion business: coal/petcoke and electricity are the dominant cash cost. Egypt's phased energy-subsidy reform keeps raising the local energy bill independent of the global fuel price</w:t>
            </w:r>
          </w:p>
        </w:tc>
        <w:tc>
          <w:tcPr>
            <w:tcW w:type="dxa" w:w="3053"/>
          </w:tcPr>
          <w:p>
            <w:pPr>
              <w:spacing w:after="20"/>
            </w:pPr>
            <w:r>
              <w:rPr>
                <w:color w:val="1C3A36"/>
                <w:sz w:val="14"/>
              </w:rPr>
              <w:t>Egypt Cement Industry Market Size &amp; Forecast Report 2020-2029 (production faces pressure from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global sector demand</w:t>
            </w:r>
          </w:p>
        </w:tc>
        <w:tc>
          <w:tcPr>
            <w:tcW w:type="dxa" w:w="5846"/>
          </w:tcPr>
          <w:p>
            <w:pPr>
              <w:spacing w:after="20"/>
            </w:pPr>
            <w:r>
              <w:rPr>
                <w:color w:val="1C3A36"/>
                <w:sz w:val="14"/>
              </w:rPr>
              <w:t>Cement is a non-traded-at-distance commodity — bulk sea freight limits the economic export radius, so global demand reaches SCEM only through the Mediterranean/East-African export basin, not through a world price</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Global</w:t>
            </w:r>
          </w:p>
        </w:tc>
        <w:tc>
          <w:tcPr>
            <w:tcW w:type="dxa" w:w="2275"/>
          </w:tcPr>
          <w:p>
            <w:pPr>
              <w:spacing w:after="20"/>
            </w:pPr>
            <w:r>
              <w:rPr>
                <w:color w:val="1C3A36"/>
                <w:sz w:val="14"/>
              </w:rPr>
              <w:t>trade / sanctions / supply chains</w:t>
            </w:r>
          </w:p>
        </w:tc>
        <w:tc>
          <w:tcPr>
            <w:tcW w:type="dxa" w:w="5846"/>
          </w:tcPr>
          <w:p>
            <w:pPr>
              <w:spacing w:after="20"/>
            </w:pPr>
            <w:r>
              <w:rPr>
                <w:color w:val="1C3A36"/>
                <w:sz w:val="14"/>
              </w:rPr>
              <w:t>Egyptian cement exports fell ~6% y/y to 18.5Mt in 2025, but the MIX inverted: finished-cement exports +66.6% to 12.5Mt while clinker exports fell ~38%</w:t>
            </w:r>
          </w:p>
        </w:tc>
        <w:tc>
          <w:tcPr>
            <w:tcW w:type="dxa" w:w="3053"/>
          </w:tcPr>
          <w:p>
            <w:pPr>
              <w:spacing w:after="20"/>
            </w:pPr>
            <w:r>
              <w:rPr>
                <w:color w:val="1C3A36"/>
                <w:sz w:val="14"/>
              </w:rPr>
              <w:t>Global Cement — Egyptian cement exports decline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CBE main operation rate 19.50%, held since 2 Apr 2026. Headline inflation eased to 14.6% in May-2026 (core 13.8%); CBE's own Q4-2026 target is 7% (+/-2pp) and it expects the target to be missed on average in Q4-2026 before declining from Q1-2027</w:t>
            </w:r>
          </w:p>
        </w:tc>
        <w:tc>
          <w:tcPr>
            <w:tcW w:type="dxa" w:w="3053"/>
          </w:tcPr>
          <w:p>
            <w:pPr>
              <w:spacing w:after="20"/>
            </w:pPr>
            <w:r>
              <w:rPr>
                <w:color w:val="1C3A36"/>
                <w:sz w:val="14"/>
              </w:rPr>
              <w:t>Central Bank of Egypt — policy rate and Monetary Policy Report Q1-2026; CPI release</w:t>
            </w:r>
          </w:p>
        </w:tc>
        <w:tc>
          <w:tcPr>
            <w:tcW w:type="dxa" w:w="1267"/>
          </w:tcPr>
          <w:p>
            <w:pPr>
              <w:spacing w:after="20"/>
            </w:pPr>
            <w:r>
              <w:rPr>
                <w:color w:val="1C3A36"/>
                <w:sz w:val="14"/>
              </w:rPr>
              <w:t>2026-06-10</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Egypt 5-year CDS ~330bp (May-2026), materially tighter than the 2024 crisis peak</w:t>
            </w:r>
          </w:p>
        </w:tc>
        <w:tc>
          <w:tcPr>
            <w:tcW w:type="dxa" w:w="3053"/>
          </w:tcPr>
          <w:p>
            <w:pPr>
              <w:spacing w:after="20"/>
            </w:pPr>
            <w:r>
              <w:rPr>
                <w:color w:val="1C3A36"/>
                <w:sz w:val="14"/>
              </w:rPr>
              <w:t>Egypt 5Y CDS series</w:t>
            </w:r>
          </w:p>
        </w:tc>
        <w:tc>
          <w:tcPr>
            <w:tcW w:type="dxa" w:w="1267"/>
          </w:tcPr>
          <w:p>
            <w:pPr>
              <w:spacing w:after="20"/>
            </w:pPr>
            <w:r>
              <w:rPr>
                <w:color w:val="1C3A36"/>
                <w:sz w:val="14"/>
              </w:rPr>
              <w:t>2026-05-31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The Egyptian Competition Authority PERMANENTLY lifted cement production quotas in July 2025 (suspended from May 2025). The quota regime had capped output since 2021</w:t>
            </w:r>
          </w:p>
        </w:tc>
        <w:tc>
          <w:tcPr>
            <w:tcW w:type="dxa" w:w="3053"/>
          </w:tcPr>
          <w:p>
            <w:pPr>
              <w:spacing w:after="20"/>
            </w:pPr>
            <w:r>
              <w:rPr>
                <w:color w:val="1C3A36"/>
                <w:sz w:val="14"/>
              </w:rPr>
              <w:t>Egyptian Competition Authority, reported via EnterpriseAM / Global Cement</w:t>
            </w:r>
          </w:p>
        </w:tc>
        <w:tc>
          <w:tcPr>
            <w:tcW w:type="dxa" w:w="1267"/>
          </w:tcPr>
          <w:p>
            <w:pPr>
              <w:spacing w:after="20"/>
            </w:pPr>
            <w:r>
              <w:rPr>
                <w:color w:val="1C3A36"/>
                <w:sz w:val="14"/>
              </w:rPr>
              <w:t>2025-07-01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Egypt corporate income tax 22.5%, unchanged</w:t>
            </w:r>
          </w:p>
        </w:tc>
        <w:tc>
          <w:tcPr>
            <w:tcW w:type="dxa" w:w="3053"/>
          </w:tcPr>
          <w:p>
            <w:pPr>
              <w:spacing w:after="20"/>
            </w:pPr>
            <w:r>
              <w:rPr>
                <w:color w:val="1C3A36"/>
                <w:sz w:val="14"/>
              </w:rPr>
              <w:t>PwC Worldwide Tax Summaries (house Cost-of-Capital reference)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fiscal / political events with sector read-through</w:t>
            </w:r>
          </w:p>
        </w:tc>
        <w:tc>
          <w:tcPr>
            <w:tcW w:type="dxa" w:w="5846"/>
          </w:tcPr>
          <w:p>
            <w:pPr>
              <w:spacing w:after="20"/>
            </w:pPr>
            <w:r>
              <w:rPr>
                <w:color w:val="1C3A36"/>
                <w:sz w:val="14"/>
              </w:rPr>
              <w:t>State-led housing, industrial and transport programmes are the marginal buyer of Egyptian cement; domestic consumption rose 13.4% to 54Mt in 2025 on that programme</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drivers &amp; capacity/supply balance</w:t>
            </w:r>
          </w:p>
        </w:tc>
        <w:tc>
          <w:tcPr>
            <w:tcW w:type="dxa" w:w="5846"/>
          </w:tcPr>
          <w:p>
            <w:pPr>
              <w:spacing w:after="20"/>
            </w:pPr>
            <w:r>
              <w:rPr>
                <w:color w:val="1C3A36"/>
                <w:sz w:val="14"/>
              </w:rPr>
              <w:t>2025 was the first year since 2008 that Egypt's cement supply-demand gap closed: domestic consumption 54Mt (+13.4% from 47.6Mt), production ~65Mt (+18% from 55Mt), operating utilisation ~98% against a nameplate 76Mt/yr across 46 lines</w:t>
            </w:r>
          </w:p>
        </w:tc>
        <w:tc>
          <w:tcPr>
            <w:tcW w:type="dxa" w:w="3053"/>
          </w:tcPr>
          <w:p>
            <w:pPr>
              <w:spacing w:after="20"/>
            </w:pPr>
            <w:r>
              <w:rPr>
                <w:color w:val="1C3A36"/>
                <w:sz w:val="14"/>
              </w:rPr>
              <w:t>Global Cement / cemnet (International Cement Review) — Egypt 2025 production</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new entrants (named-competitor level)</w:t>
            </w:r>
          </w:p>
        </w:tc>
        <w:tc>
          <w:tcPr>
            <w:tcW w:type="dxa" w:w="5846"/>
          </w:tcPr>
          <w:p>
            <w:pPr>
              <w:spacing w:after="20"/>
            </w:pPr>
            <w:r>
              <w:rPr>
                <w:color w:val="1C3A36"/>
                <w:sz w:val="14"/>
              </w:rPr>
              <w:t>Seven to nine dormant production lines are under study for revival, potentially adding 12.6Mt of supply from 2H 2026 -- ~23% of 2025 domestic consumption, landing INSIDE the explicit forecast window</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pricing</w:t>
            </w:r>
          </w:p>
        </w:tc>
        <w:tc>
          <w:tcPr>
            <w:tcW w:type="dxa" w:w="5846"/>
          </w:tcPr>
          <w:p>
            <w:pPr>
              <w:spacing w:after="20"/>
            </w:pPr>
            <w:r>
              <w:rPr>
                <w:color w:val="1C3A36"/>
                <w:sz w:val="14"/>
              </w:rPr>
              <w:t>Egyptian cement prices roughly doubled to ~USD 81/t (EGP 3.9k) in 2025 from ~USD 50/t (EGP 2.1k) a year earlier, then are estimated to normalise to EGP 3,600-3,620/t in 2026e on ~1% higher demand and higher costs</w:t>
            </w:r>
          </w:p>
        </w:tc>
        <w:tc>
          <w:tcPr>
            <w:tcW w:type="dxa" w:w="3053"/>
          </w:tcPr>
          <w:p>
            <w:pPr>
              <w:spacing w:after="20"/>
            </w:pPr>
            <w:r>
              <w:rPr>
                <w:color w:val="1C3A36"/>
                <w:sz w:val="14"/>
              </w:rPr>
              <w:t>EnterpriseAM Egypt — how Egypt's cement industry fared in 2025 and what's next</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technology substitution</w:t>
            </w:r>
          </w:p>
        </w:tc>
        <w:tc>
          <w:tcPr>
            <w:tcW w:type="dxa" w:w="5846"/>
          </w:tcPr>
          <w:p>
            <w:pPr>
              <w:spacing w:after="20"/>
            </w:pPr>
            <w:r>
              <w:rPr>
                <w:color w:val="1C3A36"/>
                <w:sz w:val="14"/>
              </w:rPr>
              <w:t>No material substitution threat to Portland cement in Egyptian construction over the forecast horizon; the live technology question is decarbonisation capex (alternative fuels, clinker factor), which is a cost/capex item rather than a demand substitution</w:t>
            </w:r>
          </w:p>
        </w:tc>
        <w:tc>
          <w:tcPr>
            <w:tcW w:type="dxa" w:w="3053"/>
          </w:tcPr>
          <w:p>
            <w:pPr>
              <w:spacing w:after="20"/>
            </w:pPr>
            <w:r>
              <w:rPr>
                <w:color w:val="1C3A36"/>
                <w:sz w:val="14"/>
              </w:rPr>
              <w:t>Global Cement sector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competitor capacity / price moves (named)</w:t>
            </w:r>
          </w:p>
        </w:tc>
        <w:tc>
          <w:tcPr>
            <w:tcW w:type="dxa" w:w="5846"/>
          </w:tcPr>
          <w:p>
            <w:pPr>
              <w:spacing w:after="20"/>
            </w:pPr>
            <w:r>
              <w:rPr>
                <w:color w:val="1C3A36"/>
                <w:sz w:val="14"/>
              </w:rPr>
              <w:t>Named listed EGX peers all posted the same 2025 step-change: Misr Beni Suef (MBSC) attributable profit +373.7% to EGP 3.946bn on sales of EGP 5.700bn, EPS EGP 61.25, trailing P/E 6.44 and EV/EBITDA 5.03 on a EGP 13.73bn market cap; Arabian Cement (ARCC) FY2025 consolidated profit ~EGP 3.6bn (H1-2025 alone +305.5% to EGP 1.405bn)</w:t>
            </w:r>
          </w:p>
        </w:tc>
        <w:tc>
          <w:tcPr>
            <w:tcW w:type="dxa" w:w="3053"/>
          </w:tcPr>
          <w:p>
            <w:pPr>
              <w:spacing w:after="20"/>
            </w:pPr>
            <w:r>
              <w:rPr>
                <w:color w:val="1C3A36"/>
                <w:sz w:val="14"/>
              </w:rPr>
              <w:t>Arab Finance / EGX filings for MBSC and ARCC</w:t>
            </w:r>
          </w:p>
        </w:tc>
        <w:tc>
          <w:tcPr>
            <w:tcW w:type="dxa" w:w="1267"/>
          </w:tcPr>
          <w:p>
            <w:pPr>
              <w:spacing w:after="20"/>
            </w:pPr>
            <w:r>
              <w:rPr>
                <w:color w:val="1C3A36"/>
                <w:sz w:val="14"/>
              </w:rPr>
              <w:t>2026-03-01</w:t>
            </w:r>
          </w:p>
        </w:tc>
      </w:tr>
      <w:tr>
        <w:tc>
          <w:tcPr>
            <w:tcW w:type="dxa" w:w="1094"/>
          </w:tcPr>
          <w:p>
            <w:pPr>
              <w:spacing w:after="20"/>
            </w:pPr>
            <w:r>
              <w:rPr>
                <w:color w:val="1C3A36"/>
                <w:sz w:val="14"/>
              </w:rPr>
              <w:t>Company</w:t>
            </w:r>
          </w:p>
        </w:tc>
        <w:tc>
          <w:tcPr>
            <w:tcW w:type="dxa" w:w="2275"/>
          </w:tcPr>
          <w:p>
            <w:pPr>
              <w:spacing w:after="20"/>
            </w:pPr>
            <w:r>
              <w:rPr>
                <w:color w:val="1C3A36"/>
                <w:sz w:val="14"/>
              </w:rPr>
              <w:t>one-off base-resetting transactions</w:t>
            </w:r>
          </w:p>
        </w:tc>
        <w:tc>
          <w:tcPr>
            <w:tcW w:type="dxa" w:w="5846"/>
          </w:tcPr>
          <w:p>
            <w:pPr>
              <w:spacing w:after="20"/>
            </w:pPr>
            <w:r>
              <w:rPr>
                <w:color w:val="1C3A36"/>
                <w:sz w:val="14"/>
              </w:rPr>
              <w:t>SCEM sold its 25.40% stake in Sinai White Portland Cement to Aalborg Portland Holding (Cementir) for EUR 30m; completed 13 Aug 2024, taking Cementir to 96.5% of SWCC</w:t>
            </w:r>
          </w:p>
        </w:tc>
        <w:tc>
          <w:tcPr>
            <w:tcW w:type="dxa" w:w="3053"/>
          </w:tcPr>
          <w:p>
            <w:pPr>
              <w:spacing w:after="20"/>
            </w:pPr>
            <w:r>
              <w:rPr>
                <w:color w:val="1C3A36"/>
                <w:sz w:val="14"/>
              </w:rPr>
              <w:t>Cementir Holding N.V. corporate announcement; cemnet/ICR</w:t>
            </w:r>
          </w:p>
        </w:tc>
        <w:tc>
          <w:tcPr>
            <w:tcW w:type="dxa" w:w="1267"/>
          </w:tcPr>
          <w:p>
            <w:pPr>
              <w:spacing w:after="20"/>
            </w:pPr>
            <w:r>
              <w:rPr>
                <w:color w:val="1C3A36"/>
                <w:sz w:val="14"/>
              </w:rPr>
              <w:t>2024-08-13</w:t>
            </w:r>
          </w:p>
        </w:tc>
      </w:tr>
      <w:tr>
        <w:tc>
          <w:tcPr>
            <w:tcW w:type="dxa" w:w="1094"/>
          </w:tcPr>
          <w:p>
            <w:pPr>
              <w:spacing w:after="20"/>
            </w:pPr>
            <w:r>
              <w:rPr>
                <w:color w:val="1C3A36"/>
                <w:sz w:val="14"/>
              </w:rPr>
              <w:t>Company</w:t>
            </w:r>
          </w:p>
        </w:tc>
        <w:tc>
          <w:tcPr>
            <w:tcW w:type="dxa" w:w="2275"/>
          </w:tcPr>
          <w:p>
            <w:pPr>
              <w:spacing w:after="20"/>
            </w:pPr>
            <w:r>
              <w:rPr>
                <w:color w:val="1C3A36"/>
                <w:sz w:val="14"/>
              </w:rPr>
              <w:t>ownership / stake changes (named-transaction rule)</w:t>
            </w:r>
          </w:p>
        </w:tc>
        <w:tc>
          <w:tcPr>
            <w:tcW w:type="dxa" w:w="5846"/>
          </w:tcPr>
          <w:p>
            <w:pPr>
              <w:spacing w:after="20"/>
            </w:pPr>
            <w:r>
              <w:rPr>
                <w:color w:val="1C3A36"/>
                <w:sz w:val="14"/>
              </w:rPr>
              <w:t>Vicat, via Vicat Egypt Cement Industries, holds 77.6%; in Jul-2025 it filed a mandatory tender offer for the remaining 58,416,664 shares (22.4%) at EGP 41.00/share</w:t>
            </w:r>
          </w:p>
        </w:tc>
        <w:tc>
          <w:tcPr>
            <w:tcW w:type="dxa" w:w="3053"/>
          </w:tcPr>
          <w:p>
            <w:pPr>
              <w:spacing w:after="20"/>
            </w:pPr>
            <w:r>
              <w:rPr>
                <w:color w:val="1C3A36"/>
                <w:sz w:val="14"/>
              </w:rPr>
              <w:t>FRA filing reported via Reuters/TradingView; Vicat H1-2025 results</w:t>
            </w:r>
          </w:p>
        </w:tc>
        <w:tc>
          <w:tcPr>
            <w:tcW w:type="dxa" w:w="1267"/>
          </w:tcPr>
          <w:p>
            <w:pPr>
              <w:spacing w:after="20"/>
            </w:pPr>
            <w:r>
              <w:rPr>
                <w:color w:val="1C3A36"/>
                <w:sz w:val="14"/>
              </w:rPr>
              <w:t>2025-07-28</w:t>
            </w:r>
          </w:p>
        </w:tc>
      </w:tr>
      <w:tr>
        <w:tc>
          <w:tcPr>
            <w:tcW w:type="dxa" w:w="1094"/>
          </w:tcPr>
          <w:p>
            <w:pPr>
              <w:spacing w:after="20"/>
            </w:pPr>
            <w:r>
              <w:rPr>
                <w:color w:val="1C3A36"/>
                <w:sz w:val="14"/>
              </w:rPr>
              <w:t>Company</w:t>
            </w:r>
          </w:p>
        </w:tc>
        <w:tc>
          <w:tcPr>
            <w:tcW w:type="dxa" w:w="2275"/>
          </w:tcPr>
          <w:p>
            <w:pPr>
              <w:spacing w:after="20"/>
            </w:pPr>
            <w:r>
              <w:rPr>
                <w:color w:val="1C3A36"/>
                <w:sz w:val="14"/>
              </w:rPr>
              <w:t>management &amp; capital actions</w:t>
            </w:r>
          </w:p>
        </w:tc>
        <w:tc>
          <w:tcPr>
            <w:tcW w:type="dxa" w:w="5846"/>
          </w:tcPr>
          <w:p>
            <w:pPr>
              <w:spacing w:after="20"/>
            </w:pPr>
            <w:r>
              <w:rPr>
                <w:color w:val="1C3A36"/>
                <w:sz w:val="14"/>
              </w:rPr>
              <w:t>Feb-2024 EGM raised authorised capital to EGP 10bn and issued capital by EGP 1.68bn; 168.20m shares offered, 75.95% (127.74m) taken up by senior shareholders in phase 1. Issued capital now EGP 2,608,124,770 at EGP 10 par = 260,812,477 shares</w:t>
            </w:r>
          </w:p>
        </w:tc>
        <w:tc>
          <w:tcPr>
            <w:tcW w:type="dxa" w:w="3053"/>
          </w:tcPr>
          <w:p>
            <w:pPr>
              <w:spacing w:after="20"/>
            </w:pPr>
            <w:r>
              <w:rPr>
                <w:color w:val="1C3A36"/>
                <w:sz w:val="14"/>
              </w:rPr>
              <w:t>Sinai Cement EGM resolutions and capital-increase announcements via EGX</w:t>
            </w:r>
          </w:p>
        </w:tc>
        <w:tc>
          <w:tcPr>
            <w:tcW w:type="dxa" w:w="1267"/>
          </w:tcPr>
          <w:p>
            <w:pPr>
              <w:spacing w:after="20"/>
            </w:pPr>
            <w:r>
              <w:rPr>
                <w:color w:val="1C3A36"/>
                <w:sz w:val="14"/>
              </w:rPr>
              <w:t>2024-07-01</w:t>
            </w:r>
          </w:p>
        </w:tc>
      </w:tr>
      <w:tr>
        <w:tc>
          <w:tcPr>
            <w:tcW w:type="dxa" w:w="1094"/>
          </w:tcPr>
          <w:p>
            <w:pPr>
              <w:spacing w:after="20"/>
            </w:pPr>
            <w:r>
              <w:rPr>
                <w:color w:val="1C3A36"/>
                <w:sz w:val="14"/>
              </w:rPr>
              <w:t>Company</w:t>
            </w:r>
          </w:p>
        </w:tc>
        <w:tc>
          <w:tcPr>
            <w:tcW w:type="dxa" w:w="2275"/>
          </w:tcPr>
          <w:p>
            <w:pPr>
              <w:spacing w:after="20"/>
            </w:pPr>
            <w:r>
              <w:rPr>
                <w:color w:val="1C3A36"/>
                <w:sz w:val="14"/>
              </w:rPr>
              <w:t>official financial statements</w:t>
            </w:r>
          </w:p>
        </w:tc>
        <w:tc>
          <w:tcPr>
            <w:tcW w:type="dxa" w:w="5846"/>
          </w:tcPr>
          <w:p>
            <w:pPr>
              <w:spacing w:after="20"/>
            </w:pPr>
            <w:r>
              <w:rPr>
                <w:color w:val="1C3A36"/>
                <w:sz w:val="14"/>
              </w:rPr>
              <w:t>FY2023-FY2025 consolidated: revenue EGP 4.28bn / 6.42bn / 9.09bn; net profit after tax EGP -121.4m / +3,070m / +2,290m; FY2024 EPS attributable EGP 23.13 (FY2023 -0.88 restated); 9M-2025 net profit EGP 1.53bn</w:t>
            </w:r>
          </w:p>
        </w:tc>
        <w:tc>
          <w:tcPr>
            <w:tcW w:type="dxa" w:w="3053"/>
          </w:tcPr>
          <w:p>
            <w:pPr>
              <w:spacing w:after="20"/>
            </w:pPr>
            <w:r>
              <w:rPr>
                <w:color w:val="1C3A36"/>
                <w:sz w:val="14"/>
              </w:rPr>
              <w:t>EGX filings reported by Global Cement, cemnet/ICR, Daily News Egypt and Arab Finance</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regular disclosures</w:t>
            </w:r>
          </w:p>
        </w:tc>
        <w:tc>
          <w:tcPr>
            <w:tcW w:type="dxa" w:w="5846"/>
          </w:tcPr>
          <w:p>
            <w:pPr>
              <w:spacing w:after="20"/>
            </w:pPr>
            <w:r>
              <w:rPr>
                <w:color w:val="1C3A36"/>
                <w:sz w:val="14"/>
              </w:rPr>
              <w:t>Balance sheet: FY2024 total assets EGP 6,385.9m against total liabilities EGP 1,610.9m (equity EGP 4,775.1m -- the triple closes exactly). Latest reported total debt EGP 36.8m against ~EGP 5.2bn equity, i.e. debt/equity 0.7% and a NET CASH position</w:t>
            </w:r>
          </w:p>
        </w:tc>
        <w:tc>
          <w:tcPr>
            <w:tcW w:type="dxa" w:w="3053"/>
          </w:tcPr>
          <w:p>
            <w:pPr>
              <w:spacing w:after="20"/>
            </w:pPr>
            <w:r>
              <w:rPr>
                <w:color w:val="1C3A36"/>
                <w:sz w:val="14"/>
              </w:rPr>
              <w:t>EGX filings via aggregated financial summaries</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strategic plans &amp; guidance</w:t>
            </w:r>
          </w:p>
        </w:tc>
        <w:tc>
          <w:tcPr>
            <w:tcW w:type="dxa" w:w="5846"/>
          </w:tcPr>
          <w:p>
            <w:pPr>
              <w:spacing w:after="20"/>
            </w:pPr>
            <w:r>
              <w:rPr>
                <w:color w:val="1C3A36"/>
                <w:sz w:val="14"/>
              </w:rPr>
              <w:t>SCEM operates two lines at El Hassana, North Sinai, ~3.8Mt/yr cement capacity, and reported lifting its market share to ~5% of the Egyptian market</w:t>
            </w:r>
          </w:p>
        </w:tc>
        <w:tc>
          <w:tcPr>
            <w:tcW w:type="dxa" w:w="3053"/>
          </w:tcPr>
          <w:p>
            <w:pPr>
              <w:spacing w:after="20"/>
            </w:pPr>
            <w:r>
              <w:rPr>
                <w:color w:val="1C3A36"/>
                <w:sz w:val="14"/>
              </w:rPr>
              <w:t>Company profile and FY2024 results commentary via Daily News Egypt / Global Energy Monitor plant register</w:t>
            </w:r>
          </w:p>
        </w:tc>
        <w:tc>
          <w:tcPr>
            <w:tcW w:type="dxa" w:w="1267"/>
          </w:tcPr>
          <w:p>
            <w:pPr>
              <w:spacing w:after="20"/>
            </w:pPr>
            <w:r>
              <w:rPr>
                <w:color w:val="1C3A36"/>
                <w:sz w:val="14"/>
              </w:rPr>
              <w:t>2025-03-23</w:t>
            </w:r>
          </w:p>
        </w:tc>
      </w:tr>
    </w:tbl>
    <w:p>
      <w:pPr>
        <w:spacing w:after="40"/>
      </w:pPr>
    </w:p>
    <w:p>
      <w:pPr>
        <w:spacing w:after="80" w:before="200"/>
      </w:pPr>
      <w:r>
        <w:rPr>
          <w:b/>
          <w:i w:val="0"/>
          <w:color w:val="1C3A36"/>
          <w:sz w:val="23"/>
        </w:rPr>
        <w:t>Searches that returned nothing</w:t>
      </w:r>
    </w:p>
    <w:p>
      <w:pPr>
        <w:spacing w:after="100" w:before="0"/>
      </w:pPr>
      <w:r>
        <w:rPr>
          <w:b w:val="0"/>
          <w:i w:val="0"/>
          <w:color w:val="1C3A36"/>
          <w:sz w:val="19"/>
        </w:rPr>
        <w:t>Recorded because an absence of evidence shaped the model as much as the evidence did.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0512"/>
      </w:tblGrid>
      <w:tr>
        <w:tc>
          <w:tcPr>
            <w:tcW w:type="dxa" w:w="3168"/>
            <w:shd w:val="clear" w:color="auto" w:fill="EAF0EE"/>
          </w:tcPr>
          <w:p>
            <w:pPr>
              <w:spacing w:after="20"/>
            </w:pPr>
            <w:r>
              <w:rPr>
                <w:b/>
                <w:color w:val="1C3A36"/>
                <w:sz w:val="16"/>
              </w:rPr>
              <w:t>Topic</w:t>
            </w:r>
          </w:p>
        </w:tc>
        <w:tc>
          <w:tcPr>
            <w:tcW w:type="dxa" w:w="10512"/>
            <w:shd w:val="clear" w:color="auto" w:fill="EAF0EE"/>
          </w:tcPr>
          <w:p>
            <w:pPr>
              <w:spacing w:after="20"/>
            </w:pPr>
            <w:r>
              <w:rPr>
                <w:b/>
                <w:color w:val="1C3A36"/>
                <w:sz w:val="16"/>
              </w:rPr>
              <w:t>What was searched for</w:t>
            </w:r>
          </w:p>
        </w:tc>
      </w:tr>
      <w:tr>
        <w:tc>
          <w:tcPr>
            <w:tcW w:type="dxa" w:w="3168"/>
          </w:tcPr>
          <w:p>
            <w:pPr>
              <w:spacing w:after="20"/>
            </w:pPr>
            <w:r>
              <w:rPr>
                <w:color w:val="1C3A36"/>
                <w:sz w:val="16"/>
              </w:rPr>
              <w:t>IR communications (calls, presentations, releases)</w:t>
            </w:r>
          </w:p>
        </w:tc>
        <w:tc>
          <w:tcPr>
            <w:tcW w:type="dxa" w:w="10512"/>
          </w:tcPr>
          <w:p>
            <w:pPr>
              <w:spacing w:after="20"/>
            </w:pPr>
            <w:r>
              <w:rPr>
                <w:color w:val="1C3A36"/>
                <w:sz w:val="16"/>
              </w:rPr>
              <w:t>sinaicement.com investor relations, EGX disclosure portal, earnings-call transcripts and results presentations for FY2024/FY2025 -- every host refused by egress policy; no transcript or presentation obtainable from search either</w:t>
            </w:r>
          </w:p>
        </w:tc>
      </w:tr>
      <w:tr>
        <w:tc>
          <w:tcPr>
            <w:tcW w:type="dxa" w:w="3168"/>
          </w:tcPr>
          <w:p>
            <w:pPr>
              <w:spacing w:after="20"/>
            </w:pPr>
            <w:r>
              <w:rPr>
                <w:color w:val="1C3A36"/>
                <w:sz w:val="16"/>
              </w:rPr>
              <w:t>regular disclosures</w:t>
            </w:r>
          </w:p>
        </w:tc>
        <w:tc>
          <w:tcPr>
            <w:tcW w:type="dxa" w:w="10512"/>
          </w:tcPr>
          <w:p>
            <w:pPr>
              <w:spacing w:after="20"/>
            </w:pPr>
            <w:r>
              <w:rPr>
                <w:color w:val="1C3A36"/>
                <w:sz w:val="16"/>
              </w:rPr>
              <w:t>'Sinai Cement other income / investment income / treasury bills / deposits EGP' and '9M 2025 operating profit gross profit cost of sales' -- no interest-income, finance-income or below-EBIT line item is disclosed in any retrievable source; the income statement between revenue and net profit is not obtainable line by line</w:t>
            </w:r>
          </w:p>
        </w:tc>
      </w:tr>
      <w:tr>
        <w:tc>
          <w:tcPr>
            <w:tcW w:type="dxa" w:w="3168"/>
          </w:tcPr>
          <w:p>
            <w:pPr>
              <w:spacing w:after="20"/>
            </w:pPr>
            <w:r>
              <w:rPr>
                <w:color w:val="1C3A36"/>
                <w:sz w:val="16"/>
              </w:rPr>
              <w:t>strategic plans &amp; guidance</w:t>
            </w:r>
          </w:p>
        </w:tc>
        <w:tc>
          <w:tcPr>
            <w:tcW w:type="dxa" w:w="10512"/>
          </w:tcPr>
          <w:p>
            <w:pPr>
              <w:spacing w:after="20"/>
            </w:pPr>
            <w:r>
              <w:rPr>
                <w:color w:val="1C3A36"/>
                <w:sz w:val="16"/>
              </w:rPr>
              <w:t>'Sinai Cement capex / capital expenditure / investment plan / maintenance capex / free cash flow 2025 2026' -- no capital-expenditure figure, guidance or investment programme is disclosed in any retrievable source</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