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Sinai Cement Company S.A.E.</w:t>
      </w:r>
    </w:p>
    <w:p>
      <w:pPr>
        <w:spacing w:after="200" w:before="0"/>
      </w:pPr>
      <w:r>
        <w:rPr>
          <w:b w:val="0"/>
          <w:i w:val="0"/>
          <w:color w:val="6E7B77"/>
          <w:sz w:val="22"/>
        </w:rPr>
        <w:t>Egyptian Exchange · SCEM · Egyptian pounds · issued 4 September 2026, struck on the closing price of 2 September 2026</w:t>
      </w:r>
    </w:p>
    <w:p>
      <w:pPr>
        <w:spacing w:after="200" w:before="0"/>
      </w:pPr>
      <w:r>
        <w:rPr>
          <w:b w:val="0"/>
          <w:i w:val="0"/>
          <w:color w:val="1C3A36"/>
          <w:sz w:val="24"/>
        </w:rPr>
        <w:t>A single-plant cement producer, sitting on net cash worth 25% of its market capitalisation, at the top of the best year the Egyptian cement industry has had since 2008 — and with 12.6 million tonnes of dormant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Sinai Cement,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cement lines at El Hassana in North Sinai, about 3.8 million tonnes a year of capacity, 77.6% owned by the French Vicat group, with a 22.4% free float and essentially no debt.</w:t>
            </w:r>
          </w:p>
          <w:p>
            <w:pPr>
              <w:spacing w:after="100"/>
            </w:pPr>
            <w:r>
              <w:rPr>
                <w:b/>
                <w:color w:val="1C3A36"/>
                <w:sz w:val="19"/>
              </w:rPr>
              <w:t xml:space="preserve">Where the value lands. </w:t>
            </w:r>
            <w:r>
              <w:rPr>
                <w:color w:val="1C3A36"/>
                <w:sz w:val="19"/>
              </w:rPr>
              <w:t>The cash-flow lens is the answer: EGP 123.27 a share against a market price of EGP 100.50, +22.7%. Flexing the operating margin down to the lowest the company has ever filed takes it to EGP 23.62, and the forecast opens above the best year it has filed, so essentially the whole of that range is downside. The other lenses are published beside it rather than averaged into it: replacement cost EGP 94.23, an enterprise multiple EGP 62.11, and a disclosed book floor of EGP 27.12.</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Role</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123.27</w:t>
            </w:r>
          </w:p>
        </w:tc>
        <w:tc>
          <w:tcPr>
            <w:tcW w:type="dxa" w:w="1037"/>
          </w:tcPr>
          <w:p>
            <w:pPr>
              <w:spacing w:after="20"/>
              <w:jc w:val="right"/>
            </w:pPr>
            <w:r>
              <w:rPr>
                <w:color w:val="1C3A36"/>
                <w:sz w:val="18"/>
              </w:rPr>
              <w:t>PRIMARY — this is the central</w:t>
            </w:r>
          </w:p>
        </w:tc>
        <w:tc>
          <w:tcPr>
            <w:tcW w:type="dxa" w:w="1469"/>
          </w:tcPr>
          <w:p>
            <w:pPr>
              <w:spacing w:after="20"/>
              <w:jc w:val="right"/>
            </w:pPr>
            <w:r>
              <w:rPr>
                <w:color w:val="1C3A36"/>
                <w:sz w:val="18"/>
              </w:rPr>
              <w:t>+22.7%</w:t>
            </w:r>
          </w:p>
        </w:tc>
        <w:tc>
          <w:tcPr>
            <w:tcW w:type="dxa" w:w="1958"/>
          </w:tcPr>
          <w:p>
            <w:pPr>
              <w:spacing w:after="20"/>
              <w:jc w:val="right"/>
            </w:pPr>
            <w:r>
              <w:rPr>
                <w:color w:val="1C3A36"/>
                <w:sz w:val="18"/>
              </w:rPr>
              <w:t>66.5%</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62.11</w:t>
            </w:r>
          </w:p>
        </w:tc>
        <w:tc>
          <w:tcPr>
            <w:tcW w:type="dxa" w:w="1037"/>
          </w:tcPr>
          <w:p>
            <w:pPr>
              <w:spacing w:after="20"/>
              <w:jc w:val="right"/>
            </w:pPr>
            <w:r>
              <w:rPr>
                <w:color w:val="1C3A36"/>
                <w:sz w:val="18"/>
              </w:rPr>
              <w:t>cross-check</w:t>
            </w:r>
          </w:p>
        </w:tc>
        <w:tc>
          <w:tcPr>
            <w:tcW w:type="dxa" w:w="1469"/>
          </w:tcPr>
          <w:p>
            <w:pPr>
              <w:spacing w:after="20"/>
              <w:jc w:val="right"/>
            </w:pPr>
            <w:r>
              <w:rPr>
                <w:color w:val="1C3A36"/>
                <w:sz w:val="18"/>
              </w:rPr>
              <w:t>-38.2%</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94.23</w:t>
            </w:r>
          </w:p>
        </w:tc>
        <w:tc>
          <w:tcPr>
            <w:tcW w:type="dxa" w:w="1037"/>
          </w:tcPr>
          <w:p>
            <w:pPr>
              <w:spacing w:after="20"/>
              <w:jc w:val="right"/>
            </w:pPr>
            <w:r>
              <w:rPr>
                <w:color w:val="1C3A36"/>
                <w:sz w:val="18"/>
              </w:rPr>
              <w:t>cross-check</w:t>
            </w:r>
          </w:p>
        </w:tc>
        <w:tc>
          <w:tcPr>
            <w:tcW w:type="dxa" w:w="1469"/>
          </w:tcPr>
          <w:p>
            <w:pPr>
              <w:spacing w:after="20"/>
              <w:jc w:val="right"/>
            </w:pPr>
            <w:r>
              <w:rPr>
                <w:color w:val="1C3A36"/>
                <w:sz w:val="18"/>
              </w:rPr>
              <w:t>-6.2%</w:t>
            </w:r>
          </w:p>
        </w:tc>
        <w:tc>
          <w:tcPr>
            <w:tcW w:type="dxa" w:w="1958"/>
          </w:tcPr>
          <w:p>
            <w:pPr>
              <w:spacing w:after="20"/>
              <w:jc w:val="right"/>
            </w:pPr>
            <w:r>
              <w:rPr>
                <w:color w:val="1C3A36"/>
                <w:sz w:val="18"/>
              </w:rPr>
              <w:t>—</w:t>
            </w:r>
          </w:p>
        </w:tc>
      </w:tr>
      <w:tr>
        <w:tc>
          <w:tcPr>
            <w:tcW w:type="dxa" w:w="3672"/>
          </w:tcPr>
          <w:p>
            <w:pPr>
              <w:spacing w:after="20"/>
            </w:pPr>
            <w:r>
              <w:rPr>
                <w:color w:val="1C3A36"/>
                <w:sz w:val="18"/>
              </w:rPr>
              <w:t>Book value (disclosed floor)</w:t>
            </w:r>
          </w:p>
        </w:tc>
        <w:tc>
          <w:tcPr>
            <w:tcW w:type="dxa" w:w="1944"/>
          </w:tcPr>
          <w:p>
            <w:pPr>
              <w:spacing w:after="20"/>
              <w:jc w:val="right"/>
            </w:pPr>
            <w:r>
              <w:rPr>
                <w:color w:val="1C3A36"/>
                <w:sz w:val="18"/>
              </w:rPr>
              <w:t>27.12</w:t>
            </w:r>
          </w:p>
        </w:tc>
        <w:tc>
          <w:tcPr>
            <w:tcW w:type="dxa" w:w="1037"/>
          </w:tcPr>
          <w:p>
            <w:pPr>
              <w:spacing w:after="20"/>
              <w:jc w:val="right"/>
            </w:pPr>
            <w:r>
              <w:rPr>
                <w:color w:val="1C3A36"/>
                <w:sz w:val="18"/>
              </w:rPr>
              <w:t>disclosed floor, never weighted</w:t>
            </w:r>
          </w:p>
        </w:tc>
        <w:tc>
          <w:tcPr>
            <w:tcW w:type="dxa" w:w="1469"/>
          </w:tcPr>
          <w:p>
            <w:pPr>
              <w:spacing w:after="20"/>
              <w:jc w:val="right"/>
            </w:pPr>
            <w:r>
              <w:rPr>
                <w:color w:val="1C3A36"/>
                <w:sz w:val="18"/>
              </w:rPr>
              <w:t>-73.0%</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Central fair value</w:t>
            </w:r>
          </w:p>
        </w:tc>
        <w:tc>
          <w:tcPr>
            <w:tcW w:type="dxa" w:w="1944"/>
            <w:shd w:val="clear" w:color="auto" w:fill="F6F1E6"/>
          </w:tcPr>
          <w:p>
            <w:pPr>
              <w:spacing w:after="20"/>
              <w:jc w:val="right"/>
            </w:pPr>
            <w:r>
              <w:rPr>
                <w:b/>
                <w:color w:val="1C3A36"/>
                <w:sz w:val="18"/>
              </w:rPr>
              <w:t>123.27</w:t>
            </w:r>
          </w:p>
        </w:tc>
        <w:tc>
          <w:tcPr>
            <w:tcW w:type="dxa" w:w="1037"/>
            <w:shd w:val="clear" w:color="auto" w:fill="F6F1E6"/>
          </w:tcPr>
          <w:p>
            <w:pPr>
              <w:spacing w:after="20"/>
              <w:jc w:val="right"/>
            </w:pPr>
            <w:r>
              <w:rPr>
                <w:b/>
                <w:color w:val="1C3A36"/>
                <w:sz w:val="18"/>
              </w:rPr>
              <w:t>the primary lens, not a blend</w:t>
            </w:r>
          </w:p>
        </w:tc>
        <w:tc>
          <w:tcPr>
            <w:tcW w:type="dxa" w:w="1469"/>
            <w:shd w:val="clear" w:color="auto" w:fill="F6F1E6"/>
          </w:tcPr>
          <w:p>
            <w:pPr>
              <w:spacing w:after="20"/>
              <w:jc w:val="right"/>
            </w:pPr>
            <w:r>
              <w:rPr>
                <w:b/>
                <w:color w:val="1C3A36"/>
                <w:sz w:val="18"/>
              </w:rPr>
              <w:t>+22.7%</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on the primary lens</w:t>
            </w:r>
          </w:p>
        </w:tc>
        <w:tc>
          <w:tcPr>
            <w:tcW w:type="dxa" w:w="1944"/>
          </w:tcPr>
          <w:p>
            <w:pPr>
              <w:spacing w:after="20"/>
              <w:jc w:val="right"/>
            </w:pPr>
            <w:r>
              <w:rPr>
                <w:color w:val="1C3A36"/>
                <w:sz w:val="18"/>
              </w:rPr>
              <w:t>23.62 – 123.27</w:t>
            </w:r>
          </w:p>
        </w:tc>
        <w:tc>
          <w:tcPr>
            <w:tcW w:type="dxa" w:w="1037"/>
          </w:tcPr>
          <w:p>
            <w:pPr>
              <w:spacing w:after="20"/>
              <w:jc w:val="right"/>
            </w:pPr>
            <w:r>
              <w:rPr>
                <w:color w:val="1C3A36"/>
                <w:sz w:val="18"/>
              </w:rPr>
              <w:t>the operating margin across its own filed span</w:t>
            </w:r>
          </w:p>
        </w:tc>
        <w:tc>
          <w:tcPr>
            <w:tcW w:type="dxa" w:w="1469"/>
          </w:tcPr>
          <w:p>
            <w:pPr>
              <w:spacing w:after="20"/>
              <w:jc w:val="right"/>
            </w:pPr>
            <w:r>
              <w:rPr>
                <w:color w:val="1C3A36"/>
                <w:sz w:val="18"/>
              </w:rPr>
              <w:t>-76.5% to +22.7%</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2 September 2026</w:t>
            </w:r>
          </w:p>
        </w:tc>
        <w:tc>
          <w:tcPr>
            <w:tcW w:type="dxa" w:w="1944"/>
          </w:tcPr>
          <w:p>
            <w:pPr>
              <w:spacing w:after="20"/>
              <w:jc w:val="right"/>
            </w:pPr>
            <w:r>
              <w:rPr>
                <w:color w:val="1C3A36"/>
                <w:sz w:val="18"/>
              </w:rPr>
              <w:t>100.50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r>
        <w:tc>
          <w:tcPr>
            <w:tcW w:type="dxa" w:w="3672"/>
          </w:tcPr>
          <w:p>
            <w:pPr>
              <w:spacing w:after="20"/>
            </w:pPr>
            <w:r>
              <w:rPr>
                <w:color w:val="1C3A36"/>
                <w:sz w:val="18"/>
              </w:rPr>
              <w:t>Vicat tender offer, July 2025 (reference only)</w:t>
            </w:r>
          </w:p>
        </w:tc>
        <w:tc>
          <w:tcPr>
            <w:tcW w:type="dxa" w:w="1944"/>
          </w:tcPr>
          <w:p>
            <w:pPr>
              <w:spacing w:after="20"/>
              <w:jc w:val="right"/>
            </w:pPr>
            <w:r>
              <w:rPr>
                <w:color w:val="1C3A36"/>
                <w:sz w:val="18"/>
              </w:rPr>
              <w:t>41.00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-59.2%</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The central IS the cash-flow lens. The other reads are cross-checks published beside it and are not averaged into it: where several methods disagree the disagreement is the output, and a weighted blend of them is a new method with weights nobody has tested. Terminal value as a percentage of enterprise value is shown beside the cash-flow lens, and again in the bridge in section 1.1.</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Sinai Cement is valued as a single operating company, not as a sum of parts, and the reason is worth stating before any number. Essentially all of its revenue is grey cement and clinker from one asset base. Its subsidiaries are a service arm and a trading arm feeding that same cement rather than separable businesses. Its balance sheet carries EGP 36.8 million of total debt against roughly EGP 5.2 billion of equity, which makes it net cash rather than leveraged. There is no lending book, no captive finance arm and no third-party asset management.</w:t>
      </w:r>
    </w:p>
    <w:p>
      <w:pPr>
        <w:spacing w:after="120" w:before="0"/>
      </w:pPr>
      <w:r>
        <w:rPr>
          <w:b w:val="0"/>
          <w:i w:val="0"/>
          <w:color w:val="1C3A36"/>
          <w:sz w:val="21"/>
        </w:rPr>
        <w:t>The one thing that could have made this a two-legged valuation has already been sold. Sinai Cement held 25.40% of Sinai White Portland Cement and disposed of it to Aalborg Portland, part of the Cementir group, for EUR 30 million, completing on 13 August 2024. There is no second leg left to value, so a single lens is not a simplification here — it is the accurate description.</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One thing to fix in your head before reading the history. </w:t>
            </w:r>
            <w:r>
              <w:rPr>
                <w:color w:val="1C3A36"/>
                <w:sz w:val="19"/>
              </w:rPr>
              <w:t>Profit after tax of EGP 3,072 million in FY2024 on revenue of EGP 6,428 million is a 48% net margin. No cement plant earns that from making cement. That year contains the Sinai White disposal gain of roughly EGP 1,517 million and treasury income of EGP 30 million. THE UNDERLYING FIGURE IS NOT THE REPORTED PROFIT LESS THE GAIN: it is operating profit of EGP 1,495 million plus that treasury income, taxed at the effective 32.0%, which is EGP 1,016 million — so FY2025 profit +125% rather than -26% as the headline comparison suggests.</w:t>
            </w:r>
          </w:p>
        </w:tc>
      </w:tr>
    </w:tbl>
    <w:p>
      <w:pPr>
        <w:spacing w:after="40"/>
      </w:pPr>
    </w:p>
    <w:p>
      <w:pPr>
        <w:spacing w:after="40"/>
        <w:jc w:val="center"/>
      </w:pPr>
      <w:r>
        <w:drawing>
          <wp:inline xmlns:a="http://schemas.openxmlformats.org/drawingml/2006/main" xmlns:pic="http://schemas.openxmlformats.org/drawingml/2006/picture">
            <wp:extent cx="6126480" cy="2541837"/>
            <wp:docPr id="2" name="Picture 2"/>
            <wp:cNvGraphicFramePr>
              <a:graphicFrameLocks noChangeAspect="1"/>
            </wp:cNvGraphicFramePr>
            <a:graphic>
              <a:graphicData uri="http://schemas.openxmlformats.org/drawingml/2006/picture">
                <pic:pic>
                  <pic:nvPicPr>
                    <pic:cNvPr id="0" name="fig7_bridge.png"/>
                    <pic:cNvPicPr/>
                  </pic:nvPicPr>
                  <pic:blipFill>
                    <a:blip r:embed="rId10"/>
                    <a:stretch>
                      <a:fillRect/>
                    </a:stretch>
                  </pic:blipFill>
                  <pic:spPr>
                    <a:xfrm>
                      <a:off x="0" y="0"/>
                      <a:ext cx="6126480" cy="2541837"/>
                    </a:xfrm>
                    <a:prstGeom prst="rect"/>
                  </pic:spPr>
                </pic:pic>
              </a:graphicData>
            </a:graphic>
          </wp:inline>
        </w:drawing>
      </w:r>
    </w:p>
    <w:p>
      <w:pPr>
        <w:spacing w:after="200" w:before="0"/>
      </w:pPr>
      <w:r>
        <w:rPr>
          <w:b w:val="0"/>
          <w:i/>
          <w:color w:val="6E7B77"/>
          <w:sz w:val="17"/>
        </w:rPr>
        <w:t>Figure 2 — Profit after tax across three years, and what FY2024 actually contained.</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discounted cash-flow model is the primary lens, and for this company it IS the answer rather than a share of one. It runs on a volume-and-price build off one plant, discounts each year at that year's own cost of capital, and capitalises a terminal value at a separately built terminal rate. An earlier edition averaged it with three other reads at weights that were typed rather than tested — and two of those three value a cement plant off reported accounting earnings and historical-cost book, which for an asset commissioned in 1997 and carried through a five-fold devaluation measures the accounting rather than the plant.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t>EGP million</w:t>
            </w:r>
          </w:p>
        </w:tc>
        <w:tc>
          <w:tcPr>
            <w:tcW w:type="dxa" w:w="1354"/>
            <w:shd w:val="clear" w:color="auto" w:fill="EAF0EE"/>
          </w:tcPr>
          <w:p>
            <w:pPr>
              <w:spacing w:after="20"/>
            </w:pPr>
            <w:r>
              <w:rPr>
                <w:b/>
                <w:color w:val="1C3A36"/>
                <w:sz w:val="18"/>
              </w:rPr>
              <w:t>FY2026E</w:t>
            </w:r>
          </w:p>
        </w:tc>
        <w:tc>
          <w:tcPr>
            <w:tcW w:type="dxa" w:w="1354"/>
            <w:shd w:val="clear" w:color="auto" w:fill="EAF0EE"/>
          </w:tcPr>
          <w:p>
            <w:pPr>
              <w:spacing w:after="20"/>
            </w:pPr>
            <w:r>
              <w:rPr>
                <w:b/>
                <w:color w:val="1C3A36"/>
                <w:sz w:val="18"/>
              </w:rPr>
              <w:t>FY2027E</w:t>
            </w:r>
          </w:p>
        </w:tc>
        <w:tc>
          <w:tcPr>
            <w:tcW w:type="dxa" w:w="1354"/>
            <w:shd w:val="clear" w:color="auto" w:fill="EAF0EE"/>
          </w:tcPr>
          <w:p>
            <w:pPr>
              <w:spacing w:after="20"/>
            </w:pPr>
            <w:r>
              <w:rPr>
                <w:b/>
                <w:color w:val="1C3A36"/>
                <w:sz w:val="18"/>
              </w:rPr>
              <w:t>FY2028E</w:t>
            </w:r>
          </w:p>
        </w:tc>
        <w:tc>
          <w:tcPr>
            <w:tcW w:type="dxa" w:w="1354"/>
            <w:shd w:val="clear" w:color="auto" w:fill="EAF0EE"/>
          </w:tcPr>
          <w:p>
            <w:pPr>
              <w:spacing w:after="20"/>
            </w:pPr>
            <w:r>
              <w:rPr>
                <w:b/>
                <w:color w:val="1C3A36"/>
                <w:sz w:val="18"/>
              </w:rPr>
              <w:t>FY2029E</w:t>
            </w:r>
          </w:p>
        </w:tc>
        <w:tc>
          <w:tcPr>
            <w:tcW w:type="dxa" w:w="1354"/>
            <w:shd w:val="clear" w:color="auto" w:fill="EAF0EE"/>
          </w:tcPr>
          <w:p>
            <w:pPr>
              <w:spacing w:after="20"/>
            </w:pPr>
            <w:r>
              <w:rPr>
                <w:b/>
                <w:color w:val="1C3A36"/>
                <w:sz w:val="18"/>
              </w:rPr>
              <w:t>FY2030E</w:t>
            </w:r>
          </w:p>
        </w:tc>
      </w:tr>
      <w:tr>
        <w:tc>
          <w:tcPr>
            <w:tcW w:type="dxa" w:w="3240"/>
          </w:tcPr>
          <w:p>
            <w:pPr>
              <w:spacing w:after="20"/>
            </w:pPr>
            <w:r>
              <w:rPr>
                <w:color w:val="1C3A36"/>
                <w:sz w:val="18"/>
              </w:rPr>
              <w:t>Revenue</w:t>
            </w:r>
          </w:p>
        </w:tc>
        <w:tc>
          <w:tcPr>
            <w:tcW w:type="dxa" w:w="1354"/>
          </w:tcPr>
          <w:p>
            <w:pPr>
              <w:spacing w:after="20"/>
              <w:jc w:val="right"/>
            </w:pPr>
            <w:r>
              <w:rPr>
                <w:color w:val="1C3A36"/>
                <w:sz w:val="18"/>
              </w:rPr>
              <w:t>10,550</w:t>
            </w:r>
          </w:p>
        </w:tc>
        <w:tc>
          <w:tcPr>
            <w:tcW w:type="dxa" w:w="1354"/>
          </w:tcPr>
          <w:p>
            <w:pPr>
              <w:spacing w:after="20"/>
              <w:jc w:val="right"/>
            </w:pPr>
            <w:r>
              <w:rPr>
                <w:color w:val="1C3A36"/>
                <w:sz w:val="18"/>
              </w:rPr>
              <w:t>12,015</w:t>
            </w:r>
          </w:p>
        </w:tc>
        <w:tc>
          <w:tcPr>
            <w:tcW w:type="dxa" w:w="1354"/>
          </w:tcPr>
          <w:p>
            <w:pPr>
              <w:spacing w:after="20"/>
              <w:jc w:val="right"/>
            </w:pPr>
            <w:r>
              <w:rPr>
                <w:color w:val="1C3A36"/>
                <w:sz w:val="18"/>
              </w:rPr>
              <w:t>13,316</w:t>
            </w:r>
          </w:p>
        </w:tc>
        <w:tc>
          <w:tcPr>
            <w:tcW w:type="dxa" w:w="1354"/>
          </w:tcPr>
          <w:p>
            <w:pPr>
              <w:spacing w:after="20"/>
              <w:jc w:val="right"/>
            </w:pPr>
            <w:r>
              <w:rPr>
                <w:color w:val="1C3A36"/>
                <w:sz w:val="18"/>
              </w:rPr>
              <w:t>14,560</w:t>
            </w:r>
          </w:p>
        </w:tc>
        <w:tc>
          <w:tcPr>
            <w:tcW w:type="dxa" w:w="1354"/>
          </w:tcPr>
          <w:p>
            <w:pPr>
              <w:spacing w:after="20"/>
              <w:jc w:val="right"/>
            </w:pPr>
            <w:r>
              <w:rPr>
                <w:color w:val="1C3A36"/>
                <w:sz w:val="18"/>
              </w:rPr>
              <w:t>15,848</w:t>
            </w:r>
          </w:p>
        </w:tc>
      </w:tr>
      <w:tr>
        <w:tc>
          <w:tcPr>
            <w:tcW w:type="dxa" w:w="3240"/>
          </w:tcPr>
          <w:p>
            <w:pPr>
              <w:spacing w:after="20"/>
            </w:pPr>
            <w:r>
              <w:rPr>
                <w:color w:val="1C3A36"/>
                <w:sz w:val="18"/>
              </w:rPr>
              <w:t>EBITDA</w:t>
            </w:r>
          </w:p>
        </w:tc>
        <w:tc>
          <w:tcPr>
            <w:tcW w:type="dxa" w:w="1354"/>
          </w:tcPr>
          <w:p>
            <w:pPr>
              <w:spacing w:after="20"/>
              <w:jc w:val="right"/>
            </w:pPr>
            <w:r>
              <w:rPr>
                <w:color w:val="1C3A36"/>
                <w:sz w:val="18"/>
              </w:rPr>
              <w:t>4,076</w:t>
            </w:r>
          </w:p>
        </w:tc>
        <w:tc>
          <w:tcPr>
            <w:tcW w:type="dxa" w:w="1354"/>
          </w:tcPr>
          <w:p>
            <w:pPr>
              <w:spacing w:after="20"/>
              <w:jc w:val="right"/>
            </w:pPr>
            <w:r>
              <w:rPr>
                <w:color w:val="1C3A36"/>
                <w:sz w:val="18"/>
              </w:rPr>
              <w:t>4,677</w:t>
            </w:r>
          </w:p>
        </w:tc>
        <w:tc>
          <w:tcPr>
            <w:tcW w:type="dxa" w:w="1354"/>
          </w:tcPr>
          <w:p>
            <w:pPr>
              <w:spacing w:after="20"/>
              <w:jc w:val="right"/>
            </w:pPr>
            <w:r>
              <w:rPr>
                <w:color w:val="1C3A36"/>
                <w:sz w:val="18"/>
              </w:rPr>
              <w:t>5,225</w:t>
            </w:r>
          </w:p>
        </w:tc>
        <w:tc>
          <w:tcPr>
            <w:tcW w:type="dxa" w:w="1354"/>
          </w:tcPr>
          <w:p>
            <w:pPr>
              <w:spacing w:after="20"/>
              <w:jc w:val="right"/>
            </w:pPr>
            <w:r>
              <w:rPr>
                <w:color w:val="1C3A36"/>
                <w:sz w:val="18"/>
              </w:rPr>
              <w:t>5,754</w:t>
            </w:r>
          </w:p>
        </w:tc>
        <w:tc>
          <w:tcPr>
            <w:tcW w:type="dxa" w:w="1354"/>
          </w:tcPr>
          <w:p>
            <w:pPr>
              <w:spacing w:after="20"/>
              <w:jc w:val="right"/>
            </w:pPr>
            <w:r>
              <w:rPr>
                <w:color w:val="1C3A36"/>
                <w:sz w:val="18"/>
              </w:rPr>
              <w:t>6,313</w:t>
            </w:r>
          </w:p>
        </w:tc>
      </w:tr>
      <w:tr>
        <w:tc>
          <w:tcPr>
            <w:tcW w:type="dxa" w:w="3240"/>
          </w:tcPr>
          <w:p>
            <w:pPr>
              <w:spacing w:after="20"/>
            </w:pPr>
            <w:r>
              <w:rPr>
                <w:color w:val="1C3A36"/>
                <w:sz w:val="18"/>
              </w:rPr>
              <w:t>EBITDA margin</w:t>
            </w:r>
          </w:p>
        </w:tc>
        <w:tc>
          <w:tcPr>
            <w:tcW w:type="dxa" w:w="1354"/>
          </w:tcPr>
          <w:p>
            <w:pPr>
              <w:spacing w:after="20"/>
              <w:jc w:val="right"/>
            </w:pPr>
            <w:r>
              <w:rPr>
                <w:color w:val="1C3A36"/>
                <w:sz w:val="18"/>
              </w:rPr>
              <w:t>38.6%</w:t>
            </w:r>
          </w:p>
        </w:tc>
        <w:tc>
          <w:tcPr>
            <w:tcW w:type="dxa" w:w="1354"/>
          </w:tcPr>
          <w:p>
            <w:pPr>
              <w:spacing w:after="20"/>
              <w:jc w:val="right"/>
            </w:pPr>
            <w:r>
              <w:rPr>
                <w:color w:val="1C3A36"/>
                <w:sz w:val="18"/>
              </w:rPr>
              <w:t>38.9%</w:t>
            </w:r>
          </w:p>
        </w:tc>
        <w:tc>
          <w:tcPr>
            <w:tcW w:type="dxa" w:w="1354"/>
          </w:tcPr>
          <w:p>
            <w:pPr>
              <w:spacing w:after="20"/>
              <w:jc w:val="right"/>
            </w:pPr>
            <w:r>
              <w:rPr>
                <w:color w:val="1C3A36"/>
                <w:sz w:val="18"/>
              </w:rPr>
              <w:t>39.2%</w:t>
            </w:r>
          </w:p>
        </w:tc>
        <w:tc>
          <w:tcPr>
            <w:tcW w:type="dxa" w:w="1354"/>
          </w:tcPr>
          <w:p>
            <w:pPr>
              <w:spacing w:after="20"/>
              <w:jc w:val="right"/>
            </w:pPr>
            <w:r>
              <w:rPr>
                <w:color w:val="1C3A36"/>
                <w:sz w:val="18"/>
              </w:rPr>
              <w:t>39.5%</w:t>
            </w:r>
          </w:p>
        </w:tc>
        <w:tc>
          <w:tcPr>
            <w:tcW w:type="dxa" w:w="1354"/>
          </w:tcPr>
          <w:p>
            <w:pPr>
              <w:spacing w:after="20"/>
              <w:jc w:val="right"/>
            </w:pPr>
            <w:r>
              <w:rPr>
                <w:color w:val="1C3A36"/>
                <w:sz w:val="18"/>
              </w:rPr>
              <w:t>39.8%</w:t>
            </w:r>
          </w:p>
        </w:tc>
      </w:tr>
      <w:tr>
        <w:tc>
          <w:tcPr>
            <w:tcW w:type="dxa" w:w="3240"/>
          </w:tcPr>
          <w:p>
            <w:pPr>
              <w:spacing w:after="20"/>
            </w:pPr>
            <w:r>
              <w:rPr>
                <w:color w:val="1C3A36"/>
                <w:sz w:val="18"/>
              </w:rPr>
              <w:t>Depreciation &amp; amortisation</w:t>
            </w:r>
          </w:p>
        </w:tc>
        <w:tc>
          <w:tcPr>
            <w:tcW w:type="dxa" w:w="1354"/>
          </w:tcPr>
          <w:p>
            <w:pPr>
              <w:spacing w:after="20"/>
              <w:jc w:val="right"/>
            </w:pPr>
            <w:r>
              <w:rPr>
                <w:color w:val="1C3A36"/>
                <w:sz w:val="18"/>
              </w:rPr>
              <w:t>135</w:t>
            </w:r>
          </w:p>
        </w:tc>
        <w:tc>
          <w:tcPr>
            <w:tcW w:type="dxa" w:w="1354"/>
          </w:tcPr>
          <w:p>
            <w:pPr>
              <w:spacing w:after="20"/>
              <w:jc w:val="right"/>
            </w:pPr>
            <w:r>
              <w:rPr>
                <w:color w:val="1C3A36"/>
                <w:sz w:val="18"/>
              </w:rPr>
              <w:t>158</w:t>
            </w:r>
          </w:p>
        </w:tc>
        <w:tc>
          <w:tcPr>
            <w:tcW w:type="dxa" w:w="1354"/>
          </w:tcPr>
          <w:p>
            <w:pPr>
              <w:spacing w:after="20"/>
              <w:jc w:val="right"/>
            </w:pPr>
            <w:r>
              <w:rPr>
                <w:color w:val="1C3A36"/>
                <w:sz w:val="18"/>
              </w:rPr>
              <w:t>193</w:t>
            </w:r>
          </w:p>
        </w:tc>
        <w:tc>
          <w:tcPr>
            <w:tcW w:type="dxa" w:w="1354"/>
          </w:tcPr>
          <w:p>
            <w:pPr>
              <w:spacing w:after="20"/>
              <w:jc w:val="right"/>
            </w:pPr>
            <w:r>
              <w:rPr>
                <w:color w:val="1C3A36"/>
                <w:sz w:val="18"/>
              </w:rPr>
              <w:t>240</w:t>
            </w:r>
          </w:p>
        </w:tc>
        <w:tc>
          <w:tcPr>
            <w:tcW w:type="dxa" w:w="1354"/>
          </w:tcPr>
          <w:p>
            <w:pPr>
              <w:spacing w:after="20"/>
              <w:jc w:val="right"/>
            </w:pPr>
            <w:r>
              <w:rPr>
                <w:color w:val="1C3A36"/>
                <w:sz w:val="18"/>
              </w:rPr>
              <w:t>300</w:t>
            </w:r>
          </w:p>
        </w:tc>
      </w:tr>
      <w:tr>
        <w:tc>
          <w:tcPr>
            <w:tcW w:type="dxa" w:w="3240"/>
          </w:tcPr>
          <w:p>
            <w:pPr>
              <w:spacing w:after="20"/>
            </w:pPr>
            <w:r>
              <w:rPr>
                <w:color w:val="1C3A36"/>
                <w:sz w:val="18"/>
              </w:rPr>
              <w:t>EBIT</w:t>
            </w:r>
          </w:p>
        </w:tc>
        <w:tc>
          <w:tcPr>
            <w:tcW w:type="dxa" w:w="1354"/>
          </w:tcPr>
          <w:p>
            <w:pPr>
              <w:spacing w:after="20"/>
              <w:jc w:val="right"/>
            </w:pPr>
            <w:r>
              <w:rPr>
                <w:color w:val="1C3A36"/>
                <w:sz w:val="18"/>
              </w:rPr>
              <w:t>3,941</w:t>
            </w:r>
          </w:p>
        </w:tc>
        <w:tc>
          <w:tcPr>
            <w:tcW w:type="dxa" w:w="1354"/>
          </w:tcPr>
          <w:p>
            <w:pPr>
              <w:spacing w:after="20"/>
              <w:jc w:val="right"/>
            </w:pPr>
            <w:r>
              <w:rPr>
                <w:color w:val="1C3A36"/>
                <w:sz w:val="18"/>
              </w:rPr>
              <w:t>4,519</w:t>
            </w:r>
          </w:p>
        </w:tc>
        <w:tc>
          <w:tcPr>
            <w:tcW w:type="dxa" w:w="1354"/>
          </w:tcPr>
          <w:p>
            <w:pPr>
              <w:spacing w:after="20"/>
              <w:jc w:val="right"/>
            </w:pPr>
            <w:r>
              <w:rPr>
                <w:color w:val="1C3A36"/>
                <w:sz w:val="18"/>
              </w:rPr>
              <w:t>5,032</w:t>
            </w:r>
          </w:p>
        </w:tc>
        <w:tc>
          <w:tcPr>
            <w:tcW w:type="dxa" w:w="1354"/>
          </w:tcPr>
          <w:p>
            <w:pPr>
              <w:spacing w:after="20"/>
              <w:jc w:val="right"/>
            </w:pPr>
            <w:r>
              <w:rPr>
                <w:color w:val="1C3A36"/>
                <w:sz w:val="18"/>
              </w:rPr>
              <w:t>5,515</w:t>
            </w:r>
          </w:p>
        </w:tc>
        <w:tc>
          <w:tcPr>
            <w:tcW w:type="dxa" w:w="1354"/>
          </w:tcPr>
          <w:p>
            <w:pPr>
              <w:spacing w:after="20"/>
              <w:jc w:val="right"/>
            </w:pPr>
            <w:r>
              <w:rPr>
                <w:color w:val="1C3A36"/>
                <w:sz w:val="18"/>
              </w:rPr>
              <w:t>6,013</w:t>
            </w:r>
          </w:p>
        </w:tc>
      </w:tr>
      <w:tr>
        <w:tc>
          <w:tcPr>
            <w:tcW w:type="dxa" w:w="3240"/>
          </w:tcPr>
          <w:p>
            <w:pPr>
              <w:spacing w:after="20"/>
            </w:pPr>
            <w:r>
              <w:rPr>
                <w:color w:val="1C3A36"/>
                <w:sz w:val="18"/>
              </w:rPr>
              <w:t>NOPAT  (EBIT × (1 − t))</w:t>
            </w:r>
          </w:p>
        </w:tc>
        <w:tc>
          <w:tcPr>
            <w:tcW w:type="dxa" w:w="1354"/>
          </w:tcPr>
          <w:p>
            <w:pPr>
              <w:spacing w:after="20"/>
              <w:jc w:val="right"/>
            </w:pPr>
            <w:r>
              <w:rPr>
                <w:color w:val="1C3A36"/>
                <w:sz w:val="18"/>
              </w:rPr>
              <w:t>3,054</w:t>
            </w:r>
          </w:p>
        </w:tc>
        <w:tc>
          <w:tcPr>
            <w:tcW w:type="dxa" w:w="1354"/>
          </w:tcPr>
          <w:p>
            <w:pPr>
              <w:spacing w:after="20"/>
              <w:jc w:val="right"/>
            </w:pPr>
            <w:r>
              <w:rPr>
                <w:color w:val="1C3A36"/>
                <w:sz w:val="18"/>
              </w:rPr>
              <w:t>3,502</w:t>
            </w:r>
          </w:p>
        </w:tc>
        <w:tc>
          <w:tcPr>
            <w:tcW w:type="dxa" w:w="1354"/>
          </w:tcPr>
          <w:p>
            <w:pPr>
              <w:spacing w:after="20"/>
              <w:jc w:val="right"/>
            </w:pPr>
            <w:r>
              <w:rPr>
                <w:color w:val="1C3A36"/>
                <w:sz w:val="18"/>
              </w:rPr>
              <w:t>3,900</w:t>
            </w:r>
          </w:p>
        </w:tc>
        <w:tc>
          <w:tcPr>
            <w:tcW w:type="dxa" w:w="1354"/>
          </w:tcPr>
          <w:p>
            <w:pPr>
              <w:spacing w:after="20"/>
              <w:jc w:val="right"/>
            </w:pPr>
            <w:r>
              <w:rPr>
                <w:color w:val="1C3A36"/>
                <w:sz w:val="18"/>
              </w:rPr>
              <w:t>4,274</w:t>
            </w:r>
          </w:p>
        </w:tc>
        <w:tc>
          <w:tcPr>
            <w:tcW w:type="dxa" w:w="1354"/>
          </w:tcPr>
          <w:p>
            <w:pPr>
              <w:spacing w:after="20"/>
              <w:jc w:val="right"/>
            </w:pPr>
            <w:r>
              <w:rPr>
                <w:color w:val="1C3A36"/>
                <w:sz w:val="18"/>
              </w:rPr>
              <w:t>4,660</w:t>
            </w:r>
          </w:p>
        </w:tc>
      </w:tr>
      <w:tr>
        <w:tc>
          <w:tcPr>
            <w:tcW w:type="dxa" w:w="3240"/>
          </w:tcPr>
          <w:p>
            <w:pPr>
              <w:spacing w:after="20"/>
            </w:pPr>
            <w:r>
              <w:rPr>
                <w:color w:val="1C3A36"/>
                <w:sz w:val="18"/>
              </w:rPr>
              <w:t>Depreciation and amortisation added back</w:t>
            </w:r>
          </w:p>
        </w:tc>
        <w:tc>
          <w:tcPr>
            <w:tcW w:type="dxa" w:w="1354"/>
          </w:tcPr>
          <w:p>
            <w:pPr>
              <w:spacing w:after="20"/>
              <w:jc w:val="right"/>
            </w:pPr>
            <w:r>
              <w:rPr>
                <w:color w:val="1C3A36"/>
                <w:sz w:val="18"/>
              </w:rPr>
              <w:t>135</w:t>
            </w:r>
          </w:p>
        </w:tc>
        <w:tc>
          <w:tcPr>
            <w:tcW w:type="dxa" w:w="1354"/>
          </w:tcPr>
          <w:p>
            <w:pPr>
              <w:spacing w:after="20"/>
              <w:jc w:val="right"/>
            </w:pPr>
            <w:r>
              <w:rPr>
                <w:color w:val="1C3A36"/>
                <w:sz w:val="18"/>
              </w:rPr>
              <w:t>158</w:t>
            </w:r>
          </w:p>
        </w:tc>
        <w:tc>
          <w:tcPr>
            <w:tcW w:type="dxa" w:w="1354"/>
          </w:tcPr>
          <w:p>
            <w:pPr>
              <w:spacing w:after="20"/>
              <w:jc w:val="right"/>
            </w:pPr>
            <w:r>
              <w:rPr>
                <w:color w:val="1C3A36"/>
                <w:sz w:val="18"/>
              </w:rPr>
              <w:t>193</w:t>
            </w:r>
          </w:p>
        </w:tc>
        <w:tc>
          <w:tcPr>
            <w:tcW w:type="dxa" w:w="1354"/>
          </w:tcPr>
          <w:p>
            <w:pPr>
              <w:spacing w:after="20"/>
              <w:jc w:val="right"/>
            </w:pPr>
            <w:r>
              <w:rPr>
                <w:color w:val="1C3A36"/>
                <w:sz w:val="18"/>
              </w:rPr>
              <w:t>240</w:t>
            </w:r>
          </w:p>
        </w:tc>
        <w:tc>
          <w:tcPr>
            <w:tcW w:type="dxa" w:w="1354"/>
          </w:tcPr>
          <w:p>
            <w:pPr>
              <w:spacing w:after="20"/>
              <w:jc w:val="right"/>
            </w:pPr>
            <w:r>
              <w:rPr>
                <w:color w:val="1C3A36"/>
                <w:sz w:val="18"/>
              </w:rPr>
              <w:t>300</w:t>
            </w:r>
          </w:p>
        </w:tc>
      </w:tr>
      <w:tr>
        <w:tc>
          <w:tcPr>
            <w:tcW w:type="dxa" w:w="3240"/>
            <w:shd w:val="clear" w:color="auto" w:fill="F6F1E6"/>
          </w:tcPr>
          <w:p>
            <w:pPr>
              <w:spacing w:after="20"/>
            </w:pPr>
            <w:r>
              <w:rPr>
                <w:b/>
                <w:color w:val="1C3A36"/>
                <w:sz w:val="18"/>
              </w:rPr>
              <w:t>Capital expenditure</w:t>
            </w:r>
          </w:p>
        </w:tc>
        <w:tc>
          <w:tcPr>
            <w:tcW w:type="dxa" w:w="1354"/>
            <w:shd w:val="clear" w:color="auto" w:fill="F6F1E6"/>
          </w:tcPr>
          <w:p>
            <w:pPr>
              <w:spacing w:after="20"/>
              <w:jc w:val="right"/>
            </w:pPr>
            <w:r>
              <w:rPr>
                <w:b/>
                <w:color w:val="1C3A36"/>
                <w:sz w:val="18"/>
              </w:rPr>
              <w:t>(352)</w:t>
            </w:r>
          </w:p>
        </w:tc>
        <w:tc>
          <w:tcPr>
            <w:tcW w:type="dxa" w:w="1354"/>
            <w:shd w:val="clear" w:color="auto" w:fill="F6F1E6"/>
          </w:tcPr>
          <w:p>
            <w:pPr>
              <w:spacing w:after="20"/>
              <w:jc w:val="right"/>
            </w:pPr>
            <w:r>
              <w:rPr>
                <w:b/>
                <w:color w:val="1C3A36"/>
                <w:sz w:val="18"/>
              </w:rPr>
              <w:t>(607)</w:t>
            </w:r>
          </w:p>
        </w:tc>
        <w:tc>
          <w:tcPr>
            <w:tcW w:type="dxa" w:w="1354"/>
            <w:shd w:val="clear" w:color="auto" w:fill="F6F1E6"/>
          </w:tcPr>
          <w:p>
            <w:pPr>
              <w:spacing w:after="20"/>
              <w:jc w:val="right"/>
            </w:pPr>
            <w:r>
              <w:rPr>
                <w:b/>
                <w:color w:val="1C3A36"/>
                <w:sz w:val="18"/>
              </w:rPr>
              <w:t>(894)</w:t>
            </w:r>
          </w:p>
        </w:tc>
        <w:tc>
          <w:tcPr>
            <w:tcW w:type="dxa" w:w="1354"/>
            <w:shd w:val="clear" w:color="auto" w:fill="F6F1E6"/>
          </w:tcPr>
          <w:p>
            <w:pPr>
              <w:spacing w:after="20"/>
              <w:jc w:val="right"/>
            </w:pPr>
            <w:r>
              <w:rPr>
                <w:b/>
                <w:color w:val="1C3A36"/>
                <w:sz w:val="18"/>
              </w:rPr>
              <w:t>(1,210)</w:t>
            </w:r>
          </w:p>
        </w:tc>
        <w:tc>
          <w:tcPr>
            <w:tcW w:type="dxa" w:w="1354"/>
            <w:shd w:val="clear" w:color="auto" w:fill="F6F1E6"/>
          </w:tcPr>
          <w:p>
            <w:pPr>
              <w:spacing w:after="20"/>
              <w:jc w:val="right"/>
            </w:pPr>
            <w:r>
              <w:rPr>
                <w:b/>
                <w:color w:val="1C3A36"/>
                <w:sz w:val="18"/>
              </w:rPr>
              <w:t>(1,562)</w:t>
            </w:r>
          </w:p>
        </w:tc>
      </w:tr>
      <w:tr>
        <w:tc>
          <w:tcPr>
            <w:tcW w:type="dxa" w:w="3240"/>
          </w:tcPr>
          <w:p>
            <w:pPr>
              <w:spacing w:after="20"/>
            </w:pPr>
            <w:r>
              <w:rPr>
                <w:color w:val="1C3A36"/>
                <w:sz w:val="18"/>
              </w:rPr>
              <w:t>Change in working capital</w:t>
            </w:r>
          </w:p>
        </w:tc>
        <w:tc>
          <w:tcPr>
            <w:tcW w:type="dxa" w:w="1354"/>
          </w:tcPr>
          <w:p>
            <w:pPr>
              <w:spacing w:after="20"/>
              <w:jc w:val="right"/>
            </w:pPr>
            <w:r>
              <w:rPr>
                <w:color w:val="1C3A36"/>
                <w:sz w:val="18"/>
              </w:rPr>
              <w:t>(117)</w:t>
            </w:r>
          </w:p>
        </w:tc>
        <w:tc>
          <w:tcPr>
            <w:tcW w:type="dxa" w:w="1354"/>
          </w:tcPr>
          <w:p>
            <w:pPr>
              <w:spacing w:after="20"/>
              <w:jc w:val="right"/>
            </w:pPr>
            <w:r>
              <w:rPr>
                <w:color w:val="1C3A36"/>
                <w:sz w:val="18"/>
              </w:rPr>
              <w:t>(117)</w:t>
            </w:r>
          </w:p>
        </w:tc>
        <w:tc>
          <w:tcPr>
            <w:tcW w:type="dxa" w:w="1354"/>
          </w:tcPr>
          <w:p>
            <w:pPr>
              <w:spacing w:after="20"/>
              <w:jc w:val="right"/>
            </w:pPr>
            <w:r>
              <w:rPr>
                <w:color w:val="1C3A36"/>
                <w:sz w:val="18"/>
              </w:rPr>
              <w:t>(104)</w:t>
            </w:r>
          </w:p>
        </w:tc>
        <w:tc>
          <w:tcPr>
            <w:tcW w:type="dxa" w:w="1354"/>
          </w:tcPr>
          <w:p>
            <w:pPr>
              <w:spacing w:after="20"/>
              <w:jc w:val="right"/>
            </w:pPr>
            <w:r>
              <w:rPr>
                <w:color w:val="1C3A36"/>
                <w:sz w:val="18"/>
              </w:rPr>
              <w:t>(100)</w:t>
            </w:r>
          </w:p>
        </w:tc>
        <w:tc>
          <w:tcPr>
            <w:tcW w:type="dxa" w:w="1354"/>
          </w:tcPr>
          <w:p>
            <w:pPr>
              <w:spacing w:after="20"/>
              <w:jc w:val="right"/>
            </w:pPr>
            <w:r>
              <w:rPr>
                <w:color w:val="1C3A36"/>
                <w:sz w:val="18"/>
              </w:rPr>
              <w:t>(103)</w:t>
            </w:r>
          </w:p>
        </w:tc>
      </w:tr>
      <w:tr>
        <w:tc>
          <w:tcPr>
            <w:tcW w:type="dxa" w:w="3240"/>
            <w:shd w:val="clear" w:color="auto" w:fill="F6F1E6"/>
          </w:tcPr>
          <w:p>
            <w:pPr>
              <w:spacing w:after="20"/>
            </w:pPr>
            <w:r>
              <w:rPr>
                <w:b/>
                <w:color w:val="1C3A36"/>
                <w:sz w:val="18"/>
              </w:rPr>
              <w:t>Free cash flow to the firm</w:t>
            </w:r>
          </w:p>
        </w:tc>
        <w:tc>
          <w:tcPr>
            <w:tcW w:type="dxa" w:w="1354"/>
            <w:shd w:val="clear" w:color="auto" w:fill="F6F1E6"/>
          </w:tcPr>
          <w:p>
            <w:pPr>
              <w:spacing w:after="20"/>
              <w:jc w:val="right"/>
            </w:pPr>
            <w:r>
              <w:rPr>
                <w:b/>
                <w:color w:val="1C3A36"/>
                <w:sz w:val="18"/>
              </w:rPr>
              <w:t>1,134</w:t>
            </w:r>
          </w:p>
        </w:tc>
        <w:tc>
          <w:tcPr>
            <w:tcW w:type="dxa" w:w="1354"/>
            <w:shd w:val="clear" w:color="auto" w:fill="F6F1E6"/>
          </w:tcPr>
          <w:p>
            <w:pPr>
              <w:spacing w:after="20"/>
              <w:jc w:val="right"/>
            </w:pPr>
            <w:r>
              <w:rPr>
                <w:b/>
                <w:color w:val="1C3A36"/>
                <w:sz w:val="18"/>
              </w:rPr>
              <w:t>2,936</w:t>
            </w:r>
          </w:p>
        </w:tc>
        <w:tc>
          <w:tcPr>
            <w:tcW w:type="dxa" w:w="1354"/>
            <w:shd w:val="clear" w:color="auto" w:fill="F6F1E6"/>
          </w:tcPr>
          <w:p>
            <w:pPr>
              <w:spacing w:after="20"/>
              <w:jc w:val="right"/>
            </w:pPr>
            <w:r>
              <w:rPr>
                <w:b/>
                <w:color w:val="1C3A36"/>
                <w:sz w:val="18"/>
              </w:rPr>
              <w:t>3,095</w:t>
            </w:r>
          </w:p>
        </w:tc>
        <w:tc>
          <w:tcPr>
            <w:tcW w:type="dxa" w:w="1354"/>
            <w:shd w:val="clear" w:color="auto" w:fill="F6F1E6"/>
          </w:tcPr>
          <w:p>
            <w:pPr>
              <w:spacing w:after="20"/>
              <w:jc w:val="right"/>
            </w:pPr>
            <w:r>
              <w:rPr>
                <w:b/>
                <w:color w:val="1C3A36"/>
                <w:sz w:val="18"/>
              </w:rPr>
              <w:t>3,204</w:t>
            </w:r>
          </w:p>
        </w:tc>
        <w:tc>
          <w:tcPr>
            <w:tcW w:type="dxa" w:w="1354"/>
            <w:shd w:val="clear" w:color="auto" w:fill="F6F1E6"/>
          </w:tcPr>
          <w:p>
            <w:pPr>
              <w:spacing w:after="20"/>
              <w:jc w:val="right"/>
            </w:pPr>
            <w:r>
              <w:rPr>
                <w:b/>
                <w:color w:val="1C3A36"/>
                <w:sz w:val="18"/>
              </w:rPr>
              <w:t>3,295</w:t>
            </w:r>
          </w:p>
        </w:tc>
      </w:tr>
      <w:tr>
        <w:tc>
          <w:tcPr>
            <w:tcW w:type="dxa" w:w="3240"/>
          </w:tcPr>
          <w:p>
            <w:pPr>
              <w:spacing w:after="20"/>
            </w:pPr>
            <w:r>
              <w:rPr>
                <w:color w:val="1C3A36"/>
                <w:sz w:val="18"/>
              </w:rPr>
              <w:t>Discount factor</w:t>
            </w:r>
          </w:p>
        </w:tc>
        <w:tc>
          <w:tcPr>
            <w:tcW w:type="dxa" w:w="1354"/>
          </w:tcPr>
          <w:p>
            <w:pPr>
              <w:spacing w:after="20"/>
              <w:jc w:val="right"/>
            </w:pPr>
            <w:r>
              <w:rPr>
                <w:color w:val="1C3A36"/>
                <w:sz w:val="18"/>
              </w:rPr>
              <w:t>0.9484</w:t>
            </w:r>
          </w:p>
        </w:tc>
        <w:tc>
          <w:tcPr>
            <w:tcW w:type="dxa" w:w="1354"/>
          </w:tcPr>
          <w:p>
            <w:pPr>
              <w:spacing w:after="20"/>
              <w:jc w:val="right"/>
            </w:pPr>
            <w:r>
              <w:rPr>
                <w:color w:val="1C3A36"/>
                <w:sz w:val="18"/>
              </w:rPr>
              <w:t>0.8032</w:t>
            </w:r>
          </w:p>
        </w:tc>
        <w:tc>
          <w:tcPr>
            <w:tcW w:type="dxa" w:w="1354"/>
          </w:tcPr>
          <w:p>
            <w:pPr>
              <w:spacing w:after="20"/>
              <w:jc w:val="right"/>
            </w:pPr>
            <w:r>
              <w:rPr>
                <w:color w:val="1C3A36"/>
                <w:sz w:val="18"/>
              </w:rPr>
              <w:t>0.6479</w:t>
            </w:r>
          </w:p>
        </w:tc>
        <w:tc>
          <w:tcPr>
            <w:tcW w:type="dxa" w:w="1354"/>
          </w:tcPr>
          <w:p>
            <w:pPr>
              <w:spacing w:after="20"/>
              <w:jc w:val="right"/>
            </w:pPr>
            <w:r>
              <w:rPr>
                <w:color w:val="1C3A36"/>
                <w:sz w:val="18"/>
              </w:rPr>
              <w:t>0.5334</w:t>
            </w:r>
          </w:p>
        </w:tc>
        <w:tc>
          <w:tcPr>
            <w:tcW w:type="dxa" w:w="1354"/>
          </w:tcPr>
          <w:p>
            <w:pPr>
              <w:spacing w:after="20"/>
              <w:jc w:val="right"/>
            </w:pPr>
            <w:r>
              <w:rPr>
                <w:color w:val="1C3A36"/>
                <w:sz w:val="18"/>
              </w:rPr>
              <w:t>0.4456</w:t>
            </w:r>
          </w:p>
        </w:tc>
      </w:tr>
      <w:tr>
        <w:tc>
          <w:tcPr>
            <w:tcW w:type="dxa" w:w="3240"/>
          </w:tcPr>
          <w:p>
            <w:pPr>
              <w:spacing w:after="20"/>
            </w:pPr>
            <w:r>
              <w:rPr>
                <w:color w:val="1C3A36"/>
                <w:sz w:val="18"/>
              </w:rPr>
              <w:t>Present value of free cash flow</w:t>
            </w:r>
          </w:p>
        </w:tc>
        <w:tc>
          <w:tcPr>
            <w:tcW w:type="dxa" w:w="1354"/>
          </w:tcPr>
          <w:p>
            <w:pPr>
              <w:spacing w:after="20"/>
              <w:jc w:val="right"/>
            </w:pPr>
            <w:r>
              <w:rPr>
                <w:color w:val="1C3A36"/>
                <w:sz w:val="18"/>
              </w:rPr>
              <w:t>1,076</w:t>
            </w:r>
          </w:p>
        </w:tc>
        <w:tc>
          <w:tcPr>
            <w:tcW w:type="dxa" w:w="1354"/>
          </w:tcPr>
          <w:p>
            <w:pPr>
              <w:spacing w:after="20"/>
              <w:jc w:val="right"/>
            </w:pPr>
            <w:r>
              <w:rPr>
                <w:color w:val="1C3A36"/>
                <w:sz w:val="18"/>
              </w:rPr>
              <w:t>2,358</w:t>
            </w:r>
          </w:p>
        </w:tc>
        <w:tc>
          <w:tcPr>
            <w:tcW w:type="dxa" w:w="1354"/>
          </w:tcPr>
          <w:p>
            <w:pPr>
              <w:spacing w:after="20"/>
              <w:jc w:val="right"/>
            </w:pPr>
            <w:r>
              <w:rPr>
                <w:color w:val="1C3A36"/>
                <w:sz w:val="18"/>
              </w:rPr>
              <w:t>2,005</w:t>
            </w:r>
          </w:p>
        </w:tc>
        <w:tc>
          <w:tcPr>
            <w:tcW w:type="dxa" w:w="1354"/>
          </w:tcPr>
          <w:p>
            <w:pPr>
              <w:spacing w:after="20"/>
              <w:jc w:val="right"/>
            </w:pPr>
            <w:r>
              <w:rPr>
                <w:color w:val="1C3A36"/>
                <w:sz w:val="18"/>
              </w:rPr>
              <w:t>1,709</w:t>
            </w:r>
          </w:p>
        </w:tc>
        <w:tc>
          <w:tcPr>
            <w:tcW w:type="dxa" w:w="1354"/>
          </w:tcPr>
          <w:p>
            <w:pPr>
              <w:spacing w:after="20"/>
              <w:jc w:val="right"/>
            </w:pPr>
            <w:r>
              <w:rPr>
                <w:color w:val="1C3A36"/>
                <w:sz w:val="18"/>
              </w:rPr>
              <w:t>1,468</w:t>
            </w:r>
          </w:p>
        </w:tc>
      </w:tr>
    </w:tbl>
    <w:p>
      <w:pPr>
        <w:spacing w:after="40"/>
      </w:pPr>
    </w:p>
    <w:p>
      <w:pPr>
        <w:spacing w:after="200" w:before="0"/>
      </w:pPr>
      <w:r>
        <w:rPr>
          <w:b w:val="0"/>
          <w:i/>
          <w:color w:val="6E7B77"/>
          <w:sz w:val="17"/>
        </w:rPr>
        <w:t>Table 1 — From revenue to the present value of free cash flow to the firm. Free cash flow is NOPAT plus book depreciation, less the capital actually spent and the working capital the growth absorbs — the SAME waterfall the terminal uses, so the two windows cannot mean different things by the same words. The first year is scaled to the 41.7% of FY2026E still unearned at the valuation date — that is the only line a reader cannot add up from the two above it. Every line is a live formula in the companion model.</w:t>
      </w:r>
    </w:p>
    <w:p>
      <w:pPr>
        <w:spacing w:after="120" w:before="0"/>
      </w:pPr>
      <w:r>
        <w:rPr>
          <w:b w:val="0"/>
          <w:i/>
          <w:color w:val="6E7B77"/>
          <w:sz w:val="19"/>
        </w:rPr>
        <w:t>Capital expenditure is the company's own run rate from its cash-flow statements — EGP 121 million in FY2023, 526 million in FY2024 and 262 million in FY2025 — escalated with domestic costs, and depreciation is the rate its own accounting-policies note discloses applied to the asset base that capital spending builds. An earlier edition charged depreciation at 4.6% of revenue falling to 4.2%, against a company that filed 1.35%.</w:t>
      </w:r>
    </w:p>
    <w:p>
      <w:pPr>
        <w:spacing w:after="120" w:before="0"/>
      </w:pPr>
      <w:r>
        <w:rPr>
          <w:b w:val="0"/>
          <w:i w:val="0"/>
          <w:color w:val="1C3A36"/>
          <w:sz w:val="21"/>
        </w:rPr>
        <w:t>The discount rate is not one number. Egypt's cost of capital today reflects a policy rate of 19.00% and a ten-year government yield of 23.00%, neither of which the central bank itself expects to persist — its own published target is 7%. Applying today's rate to a perpetuity would assert that Egypt never normalises. Each forecast year is therefore discounted at its own forward rate, sliding from the explicit-window cost of capital to the terminal one, and the terminal value is discounted using the identical cumulative factor as the year-five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54"/>
        <w:gridCol w:w="1354"/>
        <w:gridCol w:w="1354"/>
        <w:gridCol w:w="1354"/>
        <w:gridCol w:w="1354"/>
      </w:tblGrid>
      <w:tr>
        <w:tc>
          <w:tcPr>
            <w:tcW w:type="dxa" w:w="3240"/>
            <w:shd w:val="clear" w:color="auto" w:fill="EAF0EE"/>
          </w:tcPr>
          <w:p>
            <w:pPr>
              <w:spacing w:after="20"/>
            </w:pPr>
            <w:r>
              <w:rPr>
                <w:b/>
                <w:color w:val="1C3A36"/>
                <w:sz w:val="18"/>
              </w:rPr>
            </w:r>
          </w:p>
        </w:tc>
        <w:tc>
          <w:tcPr>
            <w:tcW w:type="dxa" w:w="1354"/>
            <w:shd w:val="clear" w:color="auto" w:fill="EAF0EE"/>
          </w:tcPr>
          <w:p>
            <w:pPr>
              <w:spacing w:after="20"/>
            </w:pPr>
            <w:r>
              <w:rPr>
                <w:b/>
                <w:color w:val="1C3A36"/>
                <w:sz w:val="18"/>
              </w:rPr>
              <w:t>Year 1</w:t>
            </w:r>
          </w:p>
        </w:tc>
        <w:tc>
          <w:tcPr>
            <w:tcW w:type="dxa" w:w="1354"/>
            <w:shd w:val="clear" w:color="auto" w:fill="EAF0EE"/>
          </w:tcPr>
          <w:p>
            <w:pPr>
              <w:spacing w:after="20"/>
            </w:pPr>
            <w:r>
              <w:rPr>
                <w:b/>
                <w:color w:val="1C3A36"/>
                <w:sz w:val="18"/>
              </w:rPr>
              <w:t>Year 2</w:t>
            </w:r>
          </w:p>
        </w:tc>
        <w:tc>
          <w:tcPr>
            <w:tcW w:type="dxa" w:w="1354"/>
            <w:shd w:val="clear" w:color="auto" w:fill="EAF0EE"/>
          </w:tcPr>
          <w:p>
            <w:pPr>
              <w:spacing w:after="20"/>
            </w:pPr>
            <w:r>
              <w:rPr>
                <w:b/>
                <w:color w:val="1C3A36"/>
                <w:sz w:val="18"/>
              </w:rPr>
              <w:t>Year 3</w:t>
            </w:r>
          </w:p>
        </w:tc>
        <w:tc>
          <w:tcPr>
            <w:tcW w:type="dxa" w:w="1354"/>
            <w:shd w:val="clear" w:color="auto" w:fill="EAF0EE"/>
          </w:tcPr>
          <w:p>
            <w:pPr>
              <w:spacing w:after="20"/>
            </w:pPr>
            <w:r>
              <w:rPr>
                <w:b/>
                <w:color w:val="1C3A36"/>
                <w:sz w:val="18"/>
              </w:rPr>
              <w:t>Year 4</w:t>
            </w:r>
          </w:p>
        </w:tc>
        <w:tc>
          <w:tcPr>
            <w:tcW w:type="dxa" w:w="1354"/>
            <w:shd w:val="clear" w:color="auto" w:fill="EAF0EE"/>
          </w:tcPr>
          <w:p>
            <w:pPr>
              <w:spacing w:after="20"/>
            </w:pPr>
            <w:r>
              <w:rPr>
                <w:b/>
                <w:color w:val="1C3A36"/>
                <w:sz w:val="18"/>
              </w:rPr>
              <w:t>Year 5</w:t>
            </w:r>
          </w:p>
        </w:tc>
      </w:tr>
      <w:tr>
        <w:tc>
          <w:tcPr>
            <w:tcW w:type="dxa" w:w="3240"/>
          </w:tcPr>
          <w:p>
            <w:pPr>
              <w:spacing w:after="20"/>
            </w:pPr>
            <w:r>
              <w:rPr>
                <w:color w:val="1C3A36"/>
                <w:sz w:val="18"/>
              </w:rPr>
              <w:t>Forward cost of capital</w:t>
            </w:r>
          </w:p>
        </w:tc>
        <w:tc>
          <w:tcPr>
            <w:tcW w:type="dxa" w:w="1354"/>
          </w:tcPr>
          <w:p>
            <w:pPr>
              <w:spacing w:after="20"/>
              <w:jc w:val="right"/>
            </w:pPr>
            <w:r>
              <w:rPr>
                <w:color w:val="1C3A36"/>
                <w:sz w:val="18"/>
              </w:rPr>
              <w:t>28.96%</w:t>
            </w:r>
          </w:p>
        </w:tc>
        <w:tc>
          <w:tcPr>
            <w:tcW w:type="dxa" w:w="1354"/>
          </w:tcPr>
          <w:p>
            <w:pPr>
              <w:spacing w:after="20"/>
              <w:jc w:val="right"/>
            </w:pPr>
            <w:r>
              <w:rPr>
                <w:color w:val="1C3A36"/>
                <w:sz w:val="18"/>
              </w:rPr>
              <w:t>25.40%</w:t>
            </w:r>
          </w:p>
        </w:tc>
        <w:tc>
          <w:tcPr>
            <w:tcW w:type="dxa" w:w="1354"/>
          </w:tcPr>
          <w:p>
            <w:pPr>
              <w:spacing w:after="20"/>
              <w:jc w:val="right"/>
            </w:pPr>
            <w:r>
              <w:rPr>
                <w:color w:val="1C3A36"/>
                <w:sz w:val="18"/>
              </w:rPr>
              <w:t>22.55%</w:t>
            </w:r>
          </w:p>
        </w:tc>
        <w:tc>
          <w:tcPr>
            <w:tcW w:type="dxa" w:w="1354"/>
          </w:tcPr>
          <w:p>
            <w:pPr>
              <w:spacing w:after="20"/>
              <w:jc w:val="right"/>
            </w:pPr>
            <w:r>
              <w:rPr>
                <w:color w:val="1C3A36"/>
                <w:sz w:val="18"/>
              </w:rPr>
              <w:t>20.41%</w:t>
            </w:r>
          </w:p>
        </w:tc>
        <w:tc>
          <w:tcPr>
            <w:tcW w:type="dxa" w:w="1354"/>
          </w:tcPr>
          <w:p>
            <w:pPr>
              <w:spacing w:after="20"/>
              <w:jc w:val="right"/>
            </w:pPr>
            <w:r>
              <w:rPr>
                <w:color w:val="1C3A36"/>
                <w:sz w:val="18"/>
              </w:rPr>
              <w:t>18.98%</w:t>
            </w:r>
          </w:p>
        </w:tc>
      </w:tr>
      <w:tr>
        <w:tc>
          <w:tcPr>
            <w:tcW w:type="dxa" w:w="3240"/>
          </w:tcPr>
          <w:p>
            <w:pPr>
              <w:spacing w:after="20"/>
            </w:pPr>
            <w:r>
              <w:rPr>
                <w:color w:val="1C3A36"/>
                <w:sz w:val="18"/>
              </w:rPr>
              <w:t>Cumulative discount factor</w:t>
            </w:r>
          </w:p>
        </w:tc>
        <w:tc>
          <w:tcPr>
            <w:tcW w:type="dxa" w:w="1354"/>
          </w:tcPr>
          <w:p>
            <w:pPr>
              <w:spacing w:after="20"/>
              <w:jc w:val="right"/>
            </w:pPr>
            <w:r>
              <w:rPr>
                <w:color w:val="1C3A36"/>
                <w:sz w:val="18"/>
              </w:rPr>
              <w:t>0.9484</w:t>
            </w:r>
          </w:p>
        </w:tc>
        <w:tc>
          <w:tcPr>
            <w:tcW w:type="dxa" w:w="1354"/>
          </w:tcPr>
          <w:p>
            <w:pPr>
              <w:spacing w:after="20"/>
              <w:jc w:val="right"/>
            </w:pPr>
            <w:r>
              <w:rPr>
                <w:color w:val="1C3A36"/>
                <w:sz w:val="18"/>
              </w:rPr>
              <w:t>0.8032</w:t>
            </w:r>
          </w:p>
        </w:tc>
        <w:tc>
          <w:tcPr>
            <w:tcW w:type="dxa" w:w="1354"/>
          </w:tcPr>
          <w:p>
            <w:pPr>
              <w:spacing w:after="20"/>
              <w:jc w:val="right"/>
            </w:pPr>
            <w:r>
              <w:rPr>
                <w:color w:val="1C3A36"/>
                <w:sz w:val="18"/>
              </w:rPr>
              <w:t>0.6479</w:t>
            </w:r>
          </w:p>
        </w:tc>
        <w:tc>
          <w:tcPr>
            <w:tcW w:type="dxa" w:w="1354"/>
          </w:tcPr>
          <w:p>
            <w:pPr>
              <w:spacing w:after="20"/>
              <w:jc w:val="right"/>
            </w:pPr>
            <w:r>
              <w:rPr>
                <w:color w:val="1C3A36"/>
                <w:sz w:val="18"/>
              </w:rPr>
              <w:t>0.5334</w:t>
            </w:r>
          </w:p>
        </w:tc>
        <w:tc>
          <w:tcPr>
            <w:tcW w:type="dxa" w:w="1354"/>
          </w:tcPr>
          <w:p>
            <w:pPr>
              <w:spacing w:after="20"/>
              <w:jc w:val="right"/>
            </w:pPr>
            <w:r>
              <w:rPr>
                <w:color w:val="1C3A36"/>
                <w:sz w:val="18"/>
              </w:rPr>
              <w:t>0.4456</w:t>
            </w:r>
          </w:p>
        </w:tc>
      </w:tr>
    </w:tbl>
    <w:p>
      <w:pPr>
        <w:spacing w:after="40"/>
      </w:pPr>
    </w:p>
    <w:p>
      <w:pPr>
        <w:spacing w:after="200" w:before="0"/>
      </w:pPr>
      <w:r>
        <w:rPr>
          <w:b w:val="0"/>
          <w:i/>
          <w:color w:val="6E7B77"/>
          <w:sz w:val="17"/>
        </w:rPr>
        <w:t>Table 2 — The discount schedule. The shape of the slide is inherited from the assumed borrowing-cost path rather than invented separately.</w:t>
      </w:r>
    </w:p>
    <w:p>
      <w:pPr>
        <w:spacing w:after="80" w:before="200"/>
      </w:pPr>
      <w:r>
        <w:rPr>
          <w:b/>
          <w:i w:val="0"/>
          <w:color w:val="1C3A36"/>
          <w:sz w:val="24"/>
        </w:rPr>
        <w:t>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12"/>
        <w:gridCol w:w="2376"/>
        <w:gridCol w:w="2232"/>
      </w:tblGrid>
      <w:tr>
        <w:tc>
          <w:tcPr>
            <w:tcW w:type="dxa" w:w="5112"/>
            <w:shd w:val="clear" w:color="auto" w:fill="EAF0EE"/>
          </w:tcPr>
          <w:p>
            <w:pPr>
              <w:spacing w:after="20"/>
            </w:pPr>
            <w:r>
              <w:rPr>
                <w:b/>
                <w:color w:val="1C3A36"/>
                <w:sz w:val="18"/>
              </w:rPr>
            </w:r>
          </w:p>
        </w:tc>
        <w:tc>
          <w:tcPr>
            <w:tcW w:type="dxa" w:w="2376"/>
            <w:shd w:val="clear" w:color="auto" w:fill="EAF0EE"/>
          </w:tcPr>
          <w:p>
            <w:pPr>
              <w:spacing w:after="20"/>
            </w:pPr>
            <w:r>
              <w:rPr>
                <w:b/>
                <w:color w:val="1C3A36"/>
                <w:sz w:val="18"/>
              </w:rPr>
              <w:t>EGP million</w:t>
            </w:r>
          </w:p>
        </w:tc>
        <w:tc>
          <w:tcPr>
            <w:tcW w:type="dxa" w:w="2232"/>
            <w:shd w:val="clear" w:color="auto" w:fill="EAF0EE"/>
          </w:tcPr>
          <w:p>
            <w:pPr>
              <w:spacing w:after="20"/>
            </w:pPr>
            <w:r>
              <w:rPr>
                <w:b/>
                <w:color w:val="1C3A36"/>
                <w:sz w:val="18"/>
              </w:rPr>
              <w:t>Per share (EGP)</w:t>
            </w:r>
          </w:p>
        </w:tc>
      </w:tr>
      <w:tr>
        <w:tc>
          <w:tcPr>
            <w:tcW w:type="dxa" w:w="5112"/>
          </w:tcPr>
          <w:p>
            <w:pPr>
              <w:spacing w:after="20"/>
            </w:pPr>
            <w:r>
              <w:rPr>
                <w:color w:val="1C3A36"/>
                <w:sz w:val="18"/>
              </w:rPr>
              <w:t>Present value of the explicit five years</w:t>
            </w:r>
          </w:p>
        </w:tc>
        <w:tc>
          <w:tcPr>
            <w:tcW w:type="dxa" w:w="2376"/>
          </w:tcPr>
          <w:p>
            <w:pPr>
              <w:spacing w:after="20"/>
              <w:jc w:val="right"/>
            </w:pPr>
            <w:r>
              <w:rPr>
                <w:color w:val="1C3A36"/>
                <w:sz w:val="18"/>
              </w:rPr>
              <w:t>8,617</w:t>
            </w:r>
          </w:p>
        </w:tc>
        <w:tc>
          <w:tcPr>
            <w:tcW w:type="dxa" w:w="2232"/>
          </w:tcPr>
          <w:p>
            <w:pPr>
              <w:spacing w:after="20"/>
              <w:jc w:val="right"/>
            </w:pPr>
            <w:r>
              <w:rPr>
                <w:color w:val="1C3A36"/>
                <w:sz w:val="18"/>
              </w:rPr>
              <w:t>33.04</w:t>
            </w:r>
          </w:p>
        </w:tc>
      </w:tr>
      <w:tr>
        <w:tc>
          <w:tcPr>
            <w:tcW w:type="dxa" w:w="5112"/>
          </w:tcPr>
          <w:p>
            <w:pPr>
              <w:spacing w:after="20"/>
            </w:pPr>
            <w:r>
              <w:rPr>
                <w:color w:val="1C3A36"/>
                <w:sz w:val="18"/>
              </w:rPr>
              <w:t>Present value of the terminal value</w:t>
            </w:r>
          </w:p>
        </w:tc>
        <w:tc>
          <w:tcPr>
            <w:tcW w:type="dxa" w:w="2376"/>
          </w:tcPr>
          <w:p>
            <w:pPr>
              <w:spacing w:after="20"/>
              <w:jc w:val="right"/>
            </w:pPr>
            <w:r>
              <w:rPr>
                <w:color w:val="1C3A36"/>
                <w:sz w:val="18"/>
              </w:rPr>
              <w:t>17,099</w:t>
            </w:r>
          </w:p>
        </w:tc>
        <w:tc>
          <w:tcPr>
            <w:tcW w:type="dxa" w:w="2232"/>
          </w:tcPr>
          <w:p>
            <w:pPr>
              <w:spacing w:after="20"/>
              <w:jc w:val="right"/>
            </w:pPr>
            <w:r>
              <w:rPr>
                <w:color w:val="1C3A36"/>
                <w:sz w:val="18"/>
              </w:rPr>
              <w:t>65.56</w:t>
            </w:r>
          </w:p>
        </w:tc>
      </w:tr>
      <w:tr>
        <w:tc>
          <w:tcPr>
            <w:tcW w:type="dxa" w:w="5112"/>
          </w:tcPr>
          <w:p>
            <w:pPr>
              <w:spacing w:after="20"/>
            </w:pPr>
            <w:r>
              <w:rPr>
                <w:color w:val="1C3A36"/>
                <w:sz w:val="18"/>
              </w:rPr>
              <w:t>Enterprise value</w:t>
            </w:r>
          </w:p>
        </w:tc>
        <w:tc>
          <w:tcPr>
            <w:tcW w:type="dxa" w:w="2376"/>
          </w:tcPr>
          <w:p>
            <w:pPr>
              <w:spacing w:after="20"/>
              <w:jc w:val="right"/>
            </w:pPr>
            <w:r>
              <w:rPr>
                <w:color w:val="1C3A36"/>
                <w:sz w:val="18"/>
              </w:rPr>
              <w:t>25,716</w:t>
            </w:r>
          </w:p>
        </w:tc>
        <w:tc>
          <w:tcPr>
            <w:tcW w:type="dxa" w:w="2232"/>
          </w:tcPr>
          <w:p>
            <w:pPr>
              <w:spacing w:after="20"/>
              <w:jc w:val="right"/>
            </w:pPr>
            <w:r>
              <w:rPr>
                <w:color w:val="1C3A36"/>
                <w:sz w:val="18"/>
              </w:rPr>
              <w:t>98.60</w:t>
            </w:r>
          </w:p>
        </w:tc>
      </w:tr>
      <w:tr>
        <w:tc>
          <w:tcPr>
            <w:tcW w:type="dxa" w:w="5112"/>
            <w:shd w:val="clear" w:color="auto" w:fill="F6F1E6"/>
          </w:tcPr>
          <w:p>
            <w:pPr>
              <w:spacing w:after="20"/>
            </w:pPr>
            <w:r>
              <w:rPr>
                <w:b/>
                <w:color w:val="1C3A36"/>
                <w:sz w:val="18"/>
              </w:rPr>
              <w:t>Terminal value as a percentage of enterprise value</w:t>
            </w:r>
          </w:p>
        </w:tc>
        <w:tc>
          <w:tcPr>
            <w:tcW w:type="dxa" w:w="2376"/>
            <w:shd w:val="clear" w:color="auto" w:fill="F6F1E6"/>
          </w:tcPr>
          <w:p>
            <w:pPr>
              <w:spacing w:after="20"/>
              <w:jc w:val="right"/>
            </w:pPr>
            <w:r>
              <w:rPr>
                <w:b/>
                <w:color w:val="1C3A36"/>
                <w:sz w:val="18"/>
              </w:rPr>
              <w:t>66.5%</w:t>
            </w:r>
          </w:p>
        </w:tc>
        <w:tc>
          <w:tcPr>
            <w:tcW w:type="dxa" w:w="2232"/>
            <w:shd w:val="clear" w:color="auto" w:fill="F6F1E6"/>
          </w:tcPr>
          <w:p>
            <w:pPr>
              <w:spacing w:after="20"/>
              <w:jc w:val="right"/>
            </w:pPr>
            <w:r>
              <w:rPr>
                <w:b/>
                <w:color w:val="1C3A36"/>
                <w:sz w:val="18"/>
              </w:rPr>
              <w:t>—</w:t>
            </w:r>
          </w:p>
        </w:tc>
      </w:tr>
      <w:tr>
        <w:tc>
          <w:tcPr>
            <w:tcW w:type="dxa" w:w="5112"/>
          </w:tcPr>
          <w:p>
            <w:pPr>
              <w:spacing w:after="20"/>
            </w:pPr>
            <w:r>
              <w:rPr>
                <w:color w:val="1C3A36"/>
                <w:sz w:val="18"/>
              </w:rPr>
              <w:t>Plus net cash</w:t>
            </w:r>
          </w:p>
        </w:tc>
        <w:tc>
          <w:tcPr>
            <w:tcW w:type="dxa" w:w="2376"/>
          </w:tcPr>
          <w:p>
            <w:pPr>
              <w:spacing w:after="20"/>
              <w:jc w:val="right"/>
            </w:pPr>
            <w:r>
              <w:rPr>
                <w:color w:val="1C3A36"/>
                <w:sz w:val="18"/>
              </w:rPr>
              <w:t>6,555</w:t>
            </w:r>
          </w:p>
        </w:tc>
        <w:tc>
          <w:tcPr>
            <w:tcW w:type="dxa" w:w="2232"/>
          </w:tcPr>
          <w:p>
            <w:pPr>
              <w:spacing w:after="20"/>
              <w:jc w:val="right"/>
            </w:pPr>
            <w:r>
              <w:rPr>
                <w:color w:val="1C3A36"/>
                <w:sz w:val="18"/>
              </w:rPr>
              <w:t>25.13</w:t>
            </w:r>
          </w:p>
        </w:tc>
      </w:tr>
      <w:tr>
        <w:tc>
          <w:tcPr>
            <w:tcW w:type="dxa" w:w="5112"/>
          </w:tcPr>
          <w:p>
            <w:pPr>
              <w:spacing w:after="20"/>
            </w:pPr>
            <w:r>
              <w:rPr>
                <w:color w:val="1C3A36"/>
                <w:sz w:val="18"/>
              </w:rPr>
              <w:t>Less non-controlling interests in the subsidiaries</w:t>
            </w:r>
          </w:p>
        </w:tc>
        <w:tc>
          <w:tcPr>
            <w:tcW w:type="dxa" w:w="2376"/>
          </w:tcPr>
          <w:p>
            <w:pPr>
              <w:spacing w:after="20"/>
              <w:jc w:val="right"/>
            </w:pPr>
            <w:r>
              <w:rPr>
                <w:color w:val="1C3A36"/>
                <w:sz w:val="18"/>
              </w:rPr>
              <w:t>(120)</w:t>
            </w:r>
          </w:p>
        </w:tc>
        <w:tc>
          <w:tcPr>
            <w:tcW w:type="dxa" w:w="2232"/>
          </w:tcPr>
          <w:p>
            <w:pPr>
              <w:spacing w:after="20"/>
              <w:jc w:val="right"/>
            </w:pPr>
            <w:r>
              <w:rPr>
                <w:color w:val="1C3A36"/>
                <w:sz w:val="18"/>
              </w:rPr>
              <w:t>(0.46)</w:t>
            </w:r>
          </w:p>
        </w:tc>
      </w:tr>
      <w:tr>
        <w:tc>
          <w:tcPr>
            <w:tcW w:type="dxa" w:w="5112"/>
            <w:shd w:val="clear" w:color="auto" w:fill="F6F1E6"/>
          </w:tcPr>
          <w:p>
            <w:pPr>
              <w:spacing w:after="20"/>
            </w:pPr>
            <w:r>
              <w:rPr>
                <w:b/>
                <w:color w:val="1C3A36"/>
                <w:sz w:val="18"/>
              </w:rPr>
              <w:t>Equity value</w:t>
            </w:r>
          </w:p>
        </w:tc>
        <w:tc>
          <w:tcPr>
            <w:tcW w:type="dxa" w:w="2376"/>
            <w:shd w:val="clear" w:color="auto" w:fill="F6F1E6"/>
          </w:tcPr>
          <w:p>
            <w:pPr>
              <w:spacing w:after="20"/>
              <w:jc w:val="right"/>
            </w:pPr>
            <w:r>
              <w:rPr>
                <w:b/>
                <w:color w:val="1C3A36"/>
                <w:sz w:val="18"/>
              </w:rPr>
              <w:t>32,151</w:t>
            </w:r>
          </w:p>
        </w:tc>
        <w:tc>
          <w:tcPr>
            <w:tcW w:type="dxa" w:w="2232"/>
            <w:shd w:val="clear" w:color="auto" w:fill="F6F1E6"/>
          </w:tcPr>
          <w:p>
            <w:pPr>
              <w:spacing w:after="20"/>
              <w:jc w:val="right"/>
            </w:pPr>
            <w:r>
              <w:rPr>
                <w:b/>
                <w:color w:val="1C3A36"/>
                <w:sz w:val="18"/>
              </w:rPr>
              <w:t>123.27</w:t>
            </w:r>
          </w:p>
        </w:tc>
      </w:tr>
      <w:tr>
        <w:tc>
          <w:tcPr>
            <w:tcW w:type="dxa" w:w="5112"/>
          </w:tcPr>
          <w:p>
            <w:pPr>
              <w:spacing w:after="20"/>
            </w:pPr>
            <w:r>
              <w:rPr>
                <w:color w:val="1C3A36"/>
                <w:sz w:val="18"/>
              </w:rPr>
              <w:t>Market price</w:t>
            </w:r>
          </w:p>
        </w:tc>
        <w:tc>
          <w:tcPr>
            <w:tcW w:type="dxa" w:w="2376"/>
          </w:tcPr>
          <w:p>
            <w:pPr>
              <w:spacing w:after="20"/>
              <w:jc w:val="right"/>
            </w:pPr>
            <w:r>
              <w:rPr>
                <w:color w:val="1C3A36"/>
                <w:sz w:val="18"/>
              </w:rPr>
              <w:t>—</w:t>
            </w:r>
          </w:p>
        </w:tc>
        <w:tc>
          <w:tcPr>
            <w:tcW w:type="dxa" w:w="2232"/>
          </w:tcPr>
          <w:p>
            <w:pPr>
              <w:spacing w:after="20"/>
              <w:jc w:val="right"/>
            </w:pPr>
            <w:r>
              <w:rPr>
                <w:color w:val="1C3A36"/>
                <w:sz w:val="18"/>
              </w:rPr>
              <w:t>100.50</w:t>
            </w:r>
          </w:p>
        </w:tc>
      </w:tr>
    </w:tbl>
    <w:p>
      <w:pPr>
        <w:spacing w:after="40"/>
      </w:pPr>
    </w:p>
    <w:p>
      <w:pPr>
        <w:spacing w:after="200" w:before="0"/>
      </w:pPr>
      <w:r>
        <w:rPr>
          <w:b w:val="0"/>
          <w:i/>
          <w:color w:val="6E7B77"/>
          <w:sz w:val="17"/>
        </w:rPr>
        <w:t>Table 3 — The bridge. Net cash is ADDED, because this company holds more cash than debt, and the minority is deducted from EQUITY value rather than from enterprise value, on the share of profit the subsidiaries actually earn. A reviewer proposed EGP 2,008 million instead, 8% of enterprise value; on that reading the shares are worth EGP 116.03 rather than EGP 123.27, and the reasoning behind the adopted figure is in the input register. Terminal value is 66% of enterprise value.</w:t>
      </w:r>
    </w:p>
    <w:p>
      <w:pPr>
        <w:spacing w:after="80" w:before="200"/>
      </w:pPr>
      <w:r>
        <w:rPr>
          <w:b/>
          <w:i w:val="0"/>
          <w:color w:val="1C3A36"/>
          <w:sz w:val="24"/>
        </w:rPr>
        <w:t>The terminal value, and the judgement that decides it</w:t>
      </w:r>
    </w:p>
    <w:p>
      <w:pPr>
        <w:spacing w:after="120" w:before="0"/>
      </w:pPr>
      <w:r>
        <w:rPr>
          <w:b w:val="0"/>
          <w:i w:val="0"/>
          <w:color w:val="1C3A36"/>
          <w:sz w:val="21"/>
        </w:rPr>
        <w:t>The single most consequential judgement here is what return the company earns on capital in perpetuity, because that sets how much of its growth must be paid for. Measured on the books the answer is meaningless: the El Hassana plant was commissioned from 1997 and is carried at historic cost in pre-devaluation pounds, so dividing today's profit by that asset base returns a return no cement plant has ever earned.</w:t>
      </w:r>
    </w:p>
    <w:p>
      <w:pPr>
        <w:spacing w:after="120" w:before="0"/>
      </w:pPr>
      <w:r>
        <w:rPr>
          <w:b w:val="0"/>
          <w:i w:val="0"/>
          <w:color w:val="1C3A36"/>
          <w:sz w:val="21"/>
        </w:rPr>
        <w:t>The terminal return is therefore struck on REPLACEMENT cost. Building 3.80 million tonnes of grinding capacity costs about USD 130 per annual tonne, or EGP 24,824 million at today's exchange rate. On that basis the terminal return on capital is 20.1% and the reinvestment rate is 19.2% of profit. Growth is only real if someone pays today's price for the capacity that delivers it — and the same rule now governs the explicit forecast years, so both windows price growth identically.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And this is why growth does not help. </w:t>
            </w:r>
            <w:r>
              <w:rPr>
                <w:color w:val="1C3A36"/>
                <w:sz w:val="19"/>
              </w:rPr>
              <w:t>Terminal return on capital of 20.1% sits BELOW the terminal cost of capital of 19.0%. Every extra point of perpetual growth must be bought with reinvestment that earns less than it costs, so raising terminal growth from 3% to 7% LOWERS fair value, from EGP 103.16 to EGP 123.27. That is not a modelling artefact; it is the correct reading of a mature plant in an oversupplied market. This company creates value by harvesting and distributing, not by growing.</w:t>
            </w:r>
          </w:p>
        </w:tc>
      </w:tr>
    </w:tbl>
    <w:p>
      <w:pPr>
        <w:spacing w:after="40"/>
      </w:pPr>
    </w:p>
    <w:p>
      <w:pPr>
        <w:spacing w:after="80" w:before="200"/>
      </w:pPr>
      <w:r>
        <w:rPr>
          <w:b/>
          <w:i w:val="0"/>
          <w:color w:val="1C3A36"/>
          <w:sz w:val="24"/>
        </w:rPr>
        <w:t>1.2  The asset lens — enterprise value per tonne against replacement cost</w:t>
      </w:r>
    </w:p>
    <w:p>
      <w:pPr>
        <w:spacing w:after="120" w:before="0"/>
      </w:pPr>
      <w:r>
        <w:rPr>
          <w:b w:val="0"/>
          <w:i w:val="0"/>
          <w:color w:val="1C3A36"/>
          <w:sz w:val="21"/>
        </w:rPr>
        <w:t>For cement, the sector's own yardstick is enterprise value per annual tonne of capacity, and it is used here in place of a book-value lens. That substitution is deliberate: a plant commissioned in 1997 and carried through a five-fold devaluation has a book value that measures the accounting rather than the asset, so a price-to-book ratio on this company says almost nothing.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Enterprise value at the market price (EGP mn)</w:t>
            </w:r>
          </w:p>
        </w:tc>
        <w:tc>
          <w:tcPr>
            <w:tcW w:type="dxa" w:w="3312"/>
          </w:tcPr>
          <w:p>
            <w:pPr>
              <w:spacing w:after="20"/>
              <w:jc w:val="right"/>
            </w:pPr>
            <w:r>
              <w:rPr>
                <w:color w:val="1C3A36"/>
                <w:sz w:val="18"/>
              </w:rPr>
              <w:t>19,657</w:t>
            </w:r>
          </w:p>
        </w:tc>
      </w:tr>
      <w:tr>
        <w:tc>
          <w:tcPr>
            <w:tcW w:type="dxa" w:w="6408"/>
          </w:tcPr>
          <w:p>
            <w:pPr>
              <w:spacing w:after="20"/>
            </w:pPr>
            <w:r>
              <w:rPr>
                <w:color w:val="1C3A36"/>
                <w:sz w:val="18"/>
              </w:rPr>
              <w:t>Capacity (million tonnes a year)</w:t>
            </w:r>
          </w:p>
        </w:tc>
        <w:tc>
          <w:tcPr>
            <w:tcW w:type="dxa" w:w="3312"/>
          </w:tcPr>
          <w:p>
            <w:pPr>
              <w:spacing w:after="20"/>
              <w:jc w:val="right"/>
            </w:pPr>
            <w:r>
              <w:rPr>
                <w:color w:val="1C3A36"/>
                <w:sz w:val="18"/>
              </w:rPr>
              <w:t>3.8</w:t>
            </w:r>
          </w:p>
        </w:tc>
      </w:tr>
      <w:tr>
        <w:tc>
          <w:tcPr>
            <w:tcW w:type="dxa" w:w="6408"/>
          </w:tcPr>
          <w:p>
            <w:pPr>
              <w:spacing w:after="20"/>
            </w:pPr>
            <w:r>
              <w:rPr>
                <w:color w:val="1C3A36"/>
                <w:sz w:val="18"/>
              </w:rPr>
              <w:t>Enterprise value per tonne, at market (USD/t)</w:t>
            </w:r>
          </w:p>
        </w:tc>
        <w:tc>
          <w:tcPr>
            <w:tcW w:type="dxa" w:w="3312"/>
          </w:tcPr>
          <w:p>
            <w:pPr>
              <w:spacing w:after="20"/>
              <w:jc w:val="right"/>
            </w:pPr>
            <w:r>
              <w:rPr>
                <w:color w:val="1C3A36"/>
                <w:sz w:val="18"/>
              </w:rPr>
              <w:t>102.9</w:t>
            </w:r>
          </w:p>
        </w:tc>
      </w:tr>
      <w:tr>
        <w:tc>
          <w:tcPr>
            <w:tcW w:type="dxa" w:w="6408"/>
          </w:tcPr>
          <w:p>
            <w:pPr>
              <w:spacing w:after="20"/>
            </w:pPr>
            <w:r>
              <w:rPr>
                <w:color w:val="1C3A36"/>
                <w:sz w:val="18"/>
              </w:rPr>
              <w:t>Replacement cost of new capacity (USD/t)</w:t>
            </w:r>
          </w:p>
        </w:tc>
        <w:tc>
          <w:tcPr>
            <w:tcW w:type="dxa" w:w="3312"/>
          </w:tcPr>
          <w:p>
            <w:pPr>
              <w:spacing w:after="20"/>
              <w:jc w:val="right"/>
            </w:pPr>
            <w:r>
              <w:rPr>
                <w:color w:val="1C3A36"/>
                <w:sz w:val="18"/>
              </w:rPr>
              <w:t>130</w:t>
            </w:r>
          </w:p>
        </w:tc>
      </w:tr>
      <w:tr>
        <w:tc>
          <w:tcPr>
            <w:tcW w:type="dxa" w:w="6408"/>
          </w:tcPr>
          <w:p>
            <w:pPr>
              <w:spacing w:after="20"/>
            </w:pPr>
            <w:r>
              <w:rPr>
                <w:color w:val="1C3A36"/>
                <w:sz w:val="18"/>
              </w:rPr>
              <w:t>Discount to replacement cost</w:t>
            </w:r>
          </w:p>
        </w:tc>
        <w:tc>
          <w:tcPr>
            <w:tcW w:type="dxa" w:w="3312"/>
          </w:tcPr>
          <w:p>
            <w:pPr>
              <w:spacing w:after="20"/>
              <w:jc w:val="right"/>
            </w:pPr>
            <w:r>
              <w:rPr>
                <w:color w:val="1C3A36"/>
                <w:sz w:val="18"/>
              </w:rPr>
              <w:t>-20.8%</w:t>
            </w:r>
          </w:p>
        </w:tc>
      </w:tr>
      <w:tr>
        <w:tc>
          <w:tcPr>
            <w:tcW w:type="dxa" w:w="6408"/>
          </w:tcPr>
          <w:p>
            <w:pPr>
              <w:spacing w:after="20"/>
            </w:pPr>
            <w:r>
              <w:rPr>
                <w:color w:val="1C3A36"/>
                <w:sz w:val="18"/>
              </w:rPr>
              <w:t>Justified enterprise value per tonne (USD/t)</w:t>
            </w:r>
          </w:p>
        </w:tc>
        <w:tc>
          <w:tcPr>
            <w:tcW w:type="dxa" w:w="3312"/>
          </w:tcPr>
          <w:p>
            <w:pPr>
              <w:spacing w:after="20"/>
              <w:jc w:val="right"/>
            </w:pPr>
            <w:r>
              <w:rPr>
                <w:color w:val="1C3A36"/>
                <w:sz w:val="18"/>
              </w:rPr>
              <w:t>95</w:t>
            </w:r>
          </w:p>
        </w:tc>
      </w:tr>
      <w:tr>
        <w:tc>
          <w:tcPr>
            <w:tcW w:type="dxa" w:w="6408"/>
          </w:tcPr>
          <w:p>
            <w:pPr>
              <w:spacing w:after="20"/>
            </w:pPr>
            <w:r>
              <w:rPr>
                <w:color w:val="1C3A36"/>
                <w:sz w:val="18"/>
              </w:rPr>
              <w:t>Implied enterprise value at EGP 50.2 to the dollar (EGP mn)</w:t>
            </w:r>
          </w:p>
        </w:tc>
        <w:tc>
          <w:tcPr>
            <w:tcW w:type="dxa" w:w="3312"/>
          </w:tcPr>
          <w:p>
            <w:pPr>
              <w:spacing w:after="20"/>
              <w:jc w:val="right"/>
            </w:pPr>
            <w:r>
              <w:rPr>
                <w:color w:val="1C3A36"/>
                <w:sz w:val="18"/>
              </w:rPr>
              <w:t>18,140</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94.23</w:t>
            </w:r>
          </w:p>
        </w:tc>
      </w:tr>
    </w:tbl>
    <w:p>
      <w:pPr>
        <w:spacing w:after="40"/>
      </w:pPr>
    </w:p>
    <w:p>
      <w:pPr>
        <w:spacing w:after="200" w:before="0"/>
      </w:pPr>
      <w:r>
        <w:rPr>
          <w:b w:val="0"/>
          <w:i/>
          <w:color w:val="6E7B77"/>
          <w:sz w:val="17"/>
        </w:rPr>
        <w:t>Table 5 — The asset lens. The justified figure sits below replacement cost because nobody pays build cost for capacity in a market with a structural surplus.</w:t>
      </w:r>
    </w:p>
    <w:p>
      <w:pPr>
        <w:spacing w:after="120" w:before="0"/>
      </w:pPr>
      <w:r>
        <w:rPr>
          <w:b w:val="0"/>
          <w:i w:val="0"/>
          <w:color w:val="1C3A36"/>
          <w:sz w:val="21"/>
        </w:rPr>
        <w:t>This is the most generous of the four lenses, and the reason is instructive rather than convenient: the market is paying roughly USD 81 per annual tonne for an operating, profitable, cash-generative plant, against USD 130 to build one. That gap is real. What it does not tell you is whether the plant will earn its cost of capital, which is what the cash-flow lens answers and answers less generously. The disagreement between these two lenses is the central question about this company, and section 1.5 does not average it away.</w:t>
      </w:r>
    </w:p>
    <w:p>
      <w:pPr>
        <w:spacing w:after="80" w:before="200"/>
      </w:pPr>
      <w:r>
        <w:rPr>
          <w:b/>
          <w:i w:val="0"/>
          <w:color w:val="1C3A36"/>
          <w:sz w:val="24"/>
        </w:rPr>
        <w:t>1.3  Relative multiples</w:t>
      </w:r>
    </w:p>
    <w:p>
      <w:pPr>
        <w:spacing w:after="120" w:before="0"/>
      </w:pPr>
      <w:r>
        <w:rPr>
          <w:b w:val="0"/>
          <w:i w:val="0"/>
          <w:color w:val="1C3A36"/>
          <w:sz w:val="21"/>
        </w:rPr>
        <w:t>The named Egyptian comparator is Misr Beni Suef Cement, which posted the same 2025 step-change: attributable profit up 373.7% to EGP 3.946 billion on sales of EGP 5.700 billion, trading at 6.44 times trailing earnings and 5.03 times EBITDA. Arabian Cement reported roughly EGP 3.6 billion of consolidated profit on the same industry conditions. The uniformity across the peer group is itself the finding: this was a sector event, not a company event, which is why the multiple here is applied to normalised rather than trailing earnings.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FY2025 revenue (EGP mn)</w:t>
            </w:r>
          </w:p>
        </w:tc>
        <w:tc>
          <w:tcPr>
            <w:tcW w:type="dxa" w:w="3312"/>
          </w:tcPr>
          <w:p>
            <w:pPr>
              <w:spacing w:after="20"/>
              <w:jc w:val="right"/>
            </w:pPr>
            <w:r>
              <w:rPr>
                <w:color w:val="1C3A36"/>
                <w:sz w:val="18"/>
              </w:rPr>
              <w:t>9,089</w:t>
            </w:r>
          </w:p>
        </w:tc>
      </w:tr>
      <w:tr>
        <w:tc>
          <w:tcPr>
            <w:tcW w:type="dxa" w:w="6408"/>
          </w:tcPr>
          <w:p>
            <w:pPr>
              <w:spacing w:after="20"/>
            </w:pPr>
            <w:r>
              <w:rPr>
                <w:color w:val="1C3A36"/>
                <w:sz w:val="18"/>
              </w:rPr>
              <w:t>Haircut to a mid-cycle revenue base</w:t>
            </w:r>
          </w:p>
        </w:tc>
        <w:tc>
          <w:tcPr>
            <w:tcW w:type="dxa" w:w="3312"/>
          </w:tcPr>
          <w:p>
            <w:pPr>
              <w:spacing w:after="20"/>
              <w:jc w:val="right"/>
            </w:pPr>
            <w:r>
              <w:rPr>
                <w:color w:val="1C3A36"/>
                <w:sz w:val="18"/>
              </w:rPr>
              <w:t>-8.0%</w:t>
            </w:r>
          </w:p>
        </w:tc>
      </w:tr>
      <w:tr>
        <w:tc>
          <w:tcPr>
            <w:tcW w:type="dxa" w:w="6408"/>
          </w:tcPr>
          <w:p>
            <w:pPr>
              <w:spacing w:after="20"/>
            </w:pPr>
            <w:r>
              <w:rPr>
                <w:color w:val="1C3A36"/>
                <w:sz w:val="18"/>
              </w:rPr>
              <w:t>Mid-cycle revenue base (EGP mn)</w:t>
            </w:r>
          </w:p>
        </w:tc>
        <w:tc>
          <w:tcPr>
            <w:tcW w:type="dxa" w:w="3312"/>
          </w:tcPr>
          <w:p>
            <w:pPr>
              <w:spacing w:after="20"/>
              <w:jc w:val="right"/>
            </w:pPr>
            <w:r>
              <w:rPr>
                <w:color w:val="1C3A36"/>
                <w:sz w:val="18"/>
              </w:rPr>
              <w:t>8,362</w:t>
            </w:r>
          </w:p>
        </w:tc>
      </w:tr>
      <w:tr>
        <w:tc>
          <w:tcPr>
            <w:tcW w:type="dxa" w:w="6408"/>
          </w:tcPr>
          <w:p>
            <w:pPr>
              <w:spacing w:after="20"/>
            </w:pPr>
            <w:r>
              <w:rPr>
                <w:color w:val="1C3A36"/>
                <w:sz w:val="18"/>
              </w:rPr>
              <w:t>Mid-cycle EBITDA margin</w:t>
            </w:r>
          </w:p>
        </w:tc>
        <w:tc>
          <w:tcPr>
            <w:tcW w:type="dxa" w:w="3312"/>
          </w:tcPr>
          <w:p>
            <w:pPr>
              <w:spacing w:after="20"/>
              <w:jc w:val="right"/>
            </w:pPr>
            <w:r>
              <w:rPr>
                <w:color w:val="1C3A36"/>
                <w:sz w:val="18"/>
              </w:rPr>
              <w:t>27.8%</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Justified EV/EBITDA</w:t>
            </w:r>
          </w:p>
        </w:tc>
        <w:tc>
          <w:tcPr>
            <w:tcW w:type="dxa" w:w="3312"/>
          </w:tcPr>
          <w:p>
            <w:pPr>
              <w:spacing w:after="20"/>
              <w:jc w:val="right"/>
            </w:pPr>
            <w:r>
              <w:rPr>
                <w:color w:val="1C3A36"/>
                <w:sz w:val="18"/>
              </w:rPr>
              <w:t>4.2x</w:t>
            </w:r>
          </w:p>
        </w:tc>
      </w:tr>
      <w:tr>
        <w:tc>
          <w:tcPr>
            <w:tcW w:type="dxa" w:w="6408"/>
          </w:tcPr>
          <w:p>
            <w:pPr>
              <w:spacing w:after="20"/>
            </w:pPr>
            <w:r>
              <w:rPr>
                <w:color w:val="1C3A36"/>
                <w:sz w:val="18"/>
              </w:rPr>
              <w:t>Implied enterprise value (EGP mn)</w:t>
            </w:r>
          </w:p>
        </w:tc>
        <w:tc>
          <w:tcPr>
            <w:tcW w:type="dxa" w:w="3312"/>
          </w:tcPr>
          <w:p>
            <w:pPr>
              <w:spacing w:after="20"/>
              <w:jc w:val="right"/>
            </w:pPr>
            <w:r>
              <w:rPr>
                <w:color w:val="1C3A36"/>
                <w:sz w:val="18"/>
              </w:rPr>
              <w:t>9,763</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62.11</w:t>
            </w:r>
          </w:p>
        </w:tc>
      </w:tr>
    </w:tbl>
    <w:p>
      <w:pPr>
        <w:spacing w:after="40"/>
      </w:pPr>
    </w:p>
    <w:p>
      <w:pPr>
        <w:spacing w:after="200" w:before="0"/>
      </w:pPr>
      <w:r>
        <w:rPr>
          <w:b w:val="0"/>
          <w:i/>
          <w:color w:val="6E7B77"/>
          <w:sz w:val="17"/>
        </w:rPr>
        <w:t>Table 6 — The relative lens, struck at the peer's own EBITDA multiple with no premium for net cash, which the bridge adds separately.</w:t>
      </w:r>
    </w:p>
    <w:p>
      <w:pPr>
        <w:spacing w:after="80" w:before="200"/>
      </w:pPr>
      <w:r>
        <w:rPr>
          <w:b/>
          <w:i w:val="0"/>
          <w:color w:val="1C3A36"/>
          <w:sz w:val="24"/>
        </w:rPr>
        <w:t>1.4  Normalised earnings power — where this sits in the cycle</w:t>
      </w:r>
    </w:p>
    <w:p>
      <w:pPr>
        <w:spacing w:after="120" w:before="0"/>
      </w:pPr>
      <w:r>
        <w:rPr>
          <w:b w:val="0"/>
          <w:i w:val="0"/>
          <w:color w:val="1C3A36"/>
          <w:sz w:val="21"/>
        </w:rPr>
        <w:t>2025 was the first year since 2008 that Egypt's cement supply and demand balanced. Domestic consumption rose 13.4% to 54 million tonnes, production rose 18% to about 65 million tonnes, operating utilisation reached 98%, and prices roughly doubled after the competition authority permanently lifted production quotas in July 2025. Every one of those is a cyclical high, not a plateau.</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Normalised EBITDA (EGP mn)</w:t>
            </w:r>
          </w:p>
        </w:tc>
        <w:tc>
          <w:tcPr>
            <w:tcW w:type="dxa" w:w="3312"/>
          </w:tcPr>
          <w:p>
            <w:pPr>
              <w:spacing w:after="20"/>
              <w:jc w:val="right"/>
            </w:pPr>
            <w:r>
              <w:rPr>
                <w:color w:val="1C3A36"/>
                <w:sz w:val="18"/>
              </w:rPr>
              <w:t>2,325</w:t>
            </w:r>
          </w:p>
        </w:tc>
      </w:tr>
      <w:tr>
        <w:tc>
          <w:tcPr>
            <w:tcW w:type="dxa" w:w="6408"/>
          </w:tcPr>
          <w:p>
            <w:pPr>
              <w:spacing w:after="20"/>
            </w:pPr>
            <w:r>
              <w:rPr>
                <w:color w:val="1C3A36"/>
                <w:sz w:val="18"/>
              </w:rPr>
              <w:t>Less depreciation &amp; amortisation (EGP mn)</w:t>
            </w:r>
          </w:p>
        </w:tc>
        <w:tc>
          <w:tcPr>
            <w:tcW w:type="dxa" w:w="3312"/>
          </w:tcPr>
          <w:p>
            <w:pPr>
              <w:spacing w:after="20"/>
              <w:jc w:val="right"/>
            </w:pPr>
            <w:r>
              <w:rPr>
                <w:color w:val="1C3A36"/>
                <w:sz w:val="18"/>
              </w:rPr>
              <w:t>(123)</w:t>
            </w:r>
          </w:p>
        </w:tc>
      </w:tr>
      <w:tr>
        <w:tc>
          <w:tcPr>
            <w:tcW w:type="dxa" w:w="6408"/>
          </w:tcPr>
          <w:p>
            <w:pPr>
              <w:spacing w:after="20"/>
            </w:pPr>
            <w:r>
              <w:rPr>
                <w:color w:val="1C3A36"/>
                <w:sz w:val="18"/>
              </w:rPr>
              <w:t>Less tax at the statutory 22.5% (EGP mn)</w:t>
            </w:r>
          </w:p>
        </w:tc>
        <w:tc>
          <w:tcPr>
            <w:tcW w:type="dxa" w:w="3312"/>
          </w:tcPr>
          <w:p>
            <w:pPr>
              <w:spacing w:after="20"/>
              <w:jc w:val="right"/>
            </w:pPr>
            <w:r>
              <w:rPr>
                <w:color w:val="1C3A36"/>
                <w:sz w:val="18"/>
              </w:rPr>
              <w:t>(495)</w:t>
            </w:r>
          </w:p>
        </w:tc>
      </w:tr>
      <w:tr>
        <w:tc>
          <w:tcPr>
            <w:tcW w:type="dxa" w:w="6408"/>
          </w:tcPr>
          <w:p>
            <w:pPr>
              <w:spacing w:after="20"/>
            </w:pPr>
            <w:r>
              <w:rPr>
                <w:color w:val="1C3A36"/>
                <w:sz w:val="18"/>
              </w:rPr>
              <w:t>Normalised NOPAT — the earnings capitalised (EGP mn)</w:t>
            </w:r>
          </w:p>
        </w:tc>
        <w:tc>
          <w:tcPr>
            <w:tcW w:type="dxa" w:w="3312"/>
          </w:tcPr>
          <w:p>
            <w:pPr>
              <w:spacing w:after="20"/>
              <w:jc w:val="right"/>
            </w:pPr>
            <w:r>
              <w:rPr>
                <w:color w:val="1C3A36"/>
                <w:sz w:val="18"/>
              </w:rPr>
              <w:t>1,707</w:t>
            </w:r>
          </w:p>
        </w:tc>
      </w:tr>
      <w:tr>
        <w:tc>
          <w:tcPr>
            <w:tcW w:type="dxa" w:w="6408"/>
          </w:tcPr>
          <w:p>
            <w:pPr>
              <w:spacing w:after="20"/>
            </w:pPr>
            <w:r>
              <w:rPr>
                <w:color w:val="1C3A36"/>
                <w:sz w:val="18"/>
              </w:rPr>
              <w:t>Treasury income on the cash pile, DELIBERATELY EXCLUDED</w:t>
            </w:r>
          </w:p>
        </w:tc>
        <w:tc>
          <w:tcPr>
            <w:tcW w:type="dxa" w:w="3312"/>
          </w:tcPr>
          <w:p>
            <w:pPr>
              <w:spacing w:after="20"/>
              <w:jc w:val="right"/>
            </w:pPr>
            <w:r>
              <w:rPr>
                <w:color w:val="1C3A36"/>
                <w:sz w:val="18"/>
              </w:rPr>
              <w:t>nil</w:t>
            </w:r>
          </w:p>
        </w:tc>
      </w:tr>
      <w:tr>
        <w:tc>
          <w:tcPr>
            <w:tcW w:type="dxa" w:w="6408"/>
          </w:tcPr>
          <w:p>
            <w:pPr>
              <w:spacing w:after="20"/>
            </w:pPr>
            <w:r>
              <w:rPr>
                <w:color w:val="1C3A36"/>
                <w:sz w:val="18"/>
              </w:rPr>
              <w:t>Justified price/earnings</w:t>
            </w:r>
          </w:p>
        </w:tc>
        <w:tc>
          <w:tcPr>
            <w:tcW w:type="dxa" w:w="3312"/>
          </w:tcPr>
          <w:p>
            <w:pPr>
              <w:spacing w:after="20"/>
              <w:jc w:val="right"/>
            </w:pPr>
            <w:r>
              <w:rPr>
                <w:color w:val="1C3A36"/>
                <w:sz w:val="18"/>
              </w:rPr>
              <w:t>7.0x</w:t>
            </w:r>
          </w:p>
        </w:tc>
      </w:tr>
      <w:tr>
        <w:tc>
          <w:tcPr>
            <w:tcW w:type="dxa" w:w="6408"/>
          </w:tcPr>
          <w:p>
            <w:pPr>
              <w:spacing w:after="20"/>
            </w:pPr>
            <w:r>
              <w:rPr>
                <w:color w:val="1C3A36"/>
                <w:sz w:val="18"/>
              </w:rPr>
              <w:t>Capitalised earnings (EGP mn)</w:t>
            </w:r>
          </w:p>
        </w:tc>
        <w:tc>
          <w:tcPr>
            <w:tcW w:type="dxa" w:w="3312"/>
          </w:tcPr>
          <w:p>
            <w:pPr>
              <w:spacing w:after="20"/>
              <w:jc w:val="right"/>
            </w:pPr>
            <w:r>
              <w:rPr>
                <w:color w:val="1C3A36"/>
                <w:sz w:val="18"/>
              </w:rPr>
              <w:t>11,946</w:t>
            </w:r>
          </w:p>
        </w:tc>
      </w:tr>
      <w:tr>
        <w:tc>
          <w:tcPr>
            <w:tcW w:type="dxa" w:w="6408"/>
          </w:tcPr>
          <w:p>
            <w:pPr>
              <w:spacing w:after="20"/>
            </w:pPr>
            <w:r>
              <w:rPr>
                <w:color w:val="1C3A36"/>
                <w:sz w:val="18"/>
              </w:rPr>
              <w:t>Plus net cash (EGP mn)</w:t>
            </w:r>
          </w:p>
        </w:tc>
        <w:tc>
          <w:tcPr>
            <w:tcW w:type="dxa" w:w="3312"/>
          </w:tcPr>
          <w:p>
            <w:pPr>
              <w:spacing w:after="20"/>
              <w:jc w:val="right"/>
            </w:pPr>
            <w:r>
              <w:rPr>
                <w:color w:val="1C3A36"/>
                <w:sz w:val="18"/>
              </w:rPr>
              <w:t>6,555</w:t>
            </w:r>
          </w:p>
        </w:tc>
      </w:tr>
      <w:tr>
        <w:tc>
          <w:tcPr>
            <w:tcW w:type="dxa" w:w="6408"/>
          </w:tcPr>
          <w:p>
            <w:pPr>
              <w:spacing w:after="20"/>
            </w:pPr>
            <w:r>
              <w:rPr>
                <w:color w:val="1C3A36"/>
                <w:sz w:val="18"/>
              </w:rPr>
              <w:t>Less non-controlling interests (EGP mn)</w:t>
            </w:r>
          </w:p>
        </w:tc>
        <w:tc>
          <w:tcPr>
            <w:tcW w:type="dxa" w:w="3312"/>
          </w:tcPr>
          <w:p>
            <w:pPr>
              <w:spacing w:after="20"/>
              <w:jc w:val="right"/>
            </w:pPr>
            <w:r>
              <w:rPr>
                <w:color w:val="1C3A36"/>
                <w:sz w:val="18"/>
              </w:rPr>
              <w:t>(120)</w:t>
            </w:r>
          </w:p>
        </w:tc>
      </w:tr>
      <w:tr>
        <w:tc>
          <w:tcPr>
            <w:tcW w:type="dxa" w:w="6408"/>
          </w:tcPr>
          <w:p>
            <w:pPr>
              <w:spacing w:after="20"/>
            </w:pPr>
            <w:r>
              <w:rPr>
                <w:color w:val="1C3A36"/>
                <w:sz w:val="18"/>
              </w:rPr>
              <w:t>Divided by shares in issue (260.8 million)</w:t>
            </w:r>
          </w:p>
        </w:tc>
        <w:tc>
          <w:tcPr>
            <w:tcW w:type="dxa" w:w="3312"/>
          </w:tcPr>
          <w:p>
            <w:pPr>
              <w:spacing w:after="20"/>
              <w:jc w:val="right"/>
            </w:pPr>
            <w:r>
              <w:rPr>
                <w:color w:val="1C3A36"/>
                <w:sz w:val="18"/>
              </w:rPr>
            </w:r>
          </w:p>
        </w:tc>
      </w:tr>
      <w:tr>
        <w:tc>
          <w:tcPr>
            <w:tcW w:type="dxa" w:w="6408"/>
            <w:shd w:val="clear" w:color="auto" w:fill="F6F1E6"/>
          </w:tcPr>
          <w:p>
            <w:pPr>
              <w:spacing w:after="20"/>
            </w:pPr>
            <w:r>
              <w:rPr>
                <w:b/>
                <w:color w:val="1C3A36"/>
                <w:sz w:val="18"/>
              </w:rPr>
              <w:t>Implied value per share (EGP)</w:t>
            </w:r>
          </w:p>
        </w:tc>
        <w:tc>
          <w:tcPr>
            <w:tcW w:type="dxa" w:w="3312"/>
            <w:shd w:val="clear" w:color="auto" w:fill="F6F1E6"/>
          </w:tcPr>
          <w:p>
            <w:pPr>
              <w:spacing w:after="20"/>
              <w:jc w:val="right"/>
            </w:pPr>
            <w:r>
              <w:rPr>
                <w:b/>
                <w:color w:val="1C3A36"/>
                <w:sz w:val="18"/>
              </w:rPr>
              <w:t>70.48</w:t>
            </w:r>
          </w:p>
        </w:tc>
      </w:tr>
    </w:tbl>
    <w:p>
      <w:pPr>
        <w:spacing w:after="40"/>
      </w:pPr>
    </w:p>
    <w:p>
      <w:pPr>
        <w:spacing w:after="200" w:before="0"/>
      </w:pPr>
      <w:r>
        <w:rPr>
          <w:b w:val="0"/>
          <w:i/>
          <w:color w:val="6E7B77"/>
          <w:sz w:val="17"/>
        </w:rPr>
        <w:t>Table 7 — Normalised earnings power. THIS READ IS RETIRED AS A LENS FOR THIS company and is shown for the record rather than carried into the answer: on a single-asset plant whose margin is an output of how hard the kilns run against a fixed cost stack, there is no mid-cycle earnings level the cash-flow lens does not already carry. It rests on a mid-cycle margin struck between the FY2024 outturn and the FY2025 peak. The income the cash pile earns is left out of the capitalised figure on purpose: the cash itself is added at face below, and capitalising its income as well would pay for the same asset twice.</w:t>
      </w:r>
    </w:p>
    <w:p>
      <w:pPr>
        <w:spacing w:after="80" w:before="200"/>
      </w:pPr>
      <w:r>
        <w:rPr>
          <w:b/>
          <w:i w:val="0"/>
          <w:color w:val="1C3A36"/>
          <w:sz w:val="24"/>
        </w:rPr>
        <w:t>1.5  Synthesis — one answer, and the reads that disagree with it</w:t>
      </w:r>
    </w:p>
    <w:p>
      <w:pPr>
        <w:spacing w:after="120" w:before="0"/>
      </w:pPr>
      <w:r>
        <w:rPr>
          <w:b w:val="0"/>
          <w:i w:val="0"/>
          <w:color w:val="1C3A36"/>
          <w:sz w:val="21"/>
        </w:rPr>
        <w:t>The lenses do not agree, and the disagreement is PUBLISHED rather than smoothed. The cash-flow lens is the answer for this class of company, at EGP 123.27. The replacement-cost read, which asks only what the plant itself is worth, lands at EGP 94.23. The enterprise multiple lands at EGP 62.11 and is the weakest of them, because the Egyptian listed peer set is two names and neither publishes an EBITDA series this study could measure a multiple from. Book value is a disclosed floor at EGP 27.12 and is never weighted into anything. The market price of EGP 100.50 sits between the multiple and the cash-flow answer.</w:t>
      </w:r>
    </w:p>
    <w:p>
      <w:pPr>
        <w:spacing w:after="120" w:before="0"/>
      </w:pPr>
      <w:r>
        <w:rPr>
          <w:b w:val="0"/>
          <w:i w:val="0"/>
          <w:color w:val="1C3A36"/>
          <w:sz w:val="21"/>
        </w:rPr>
        <w:t>An earlier edition averaged four reads at typed weights and published the average. That blend would read EGP 95.96 here. It is retired: weights that were chosen, written down and inherited are free parameters that have never cleared an out-of-sample test, and a number produced by averaging several methods is not more robust than the best of them — it is a new method, importing every weakness of the weakest lens at whatever weight somebody typed. A normalised-earnings read (EGP 70.48) carried 23% of that blend and is dropped entirely: on a single-asset plant whose margin is an output of how hard the kilns run, there is no mid-cycle earnings level the cash-flow lens does not already carry.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037"/>
        <w:gridCol w:w="1037"/>
        <w:gridCol w:w="1037"/>
        <w:gridCol w:w="1123"/>
        <w:gridCol w:w="3442"/>
      </w:tblGrid>
      <w:tr>
        <w:tc>
          <w:tcPr>
            <w:tcW w:type="dxa" w:w="2333"/>
            <w:shd w:val="clear" w:color="auto" w:fill="EAF0EE"/>
          </w:tcPr>
          <w:p>
            <w:pPr>
              <w:spacing w:after="20"/>
            </w:pPr>
            <w:r>
              <w:rPr>
                <w:b/>
                <w:color w:val="1C3A36"/>
                <w:sz w:val="18"/>
              </w:rPr>
              <w:t>Lens</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Base</w:t>
            </w:r>
          </w:p>
        </w:tc>
        <w:tc>
          <w:tcPr>
            <w:tcW w:type="dxa" w:w="1037"/>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Role</w:t>
            </w:r>
          </w:p>
        </w:tc>
        <w:tc>
          <w:tcPr>
            <w:tcW w:type="dxa" w:w="3442"/>
            <w:shd w:val="clear" w:color="auto" w:fill="EAF0EE"/>
          </w:tcPr>
          <w:p>
            <w:pPr>
              <w:spacing w:after="20"/>
            </w:pPr>
            <w:r>
              <w:rPr>
                <w:b/>
                <w:color w:val="1C3A36"/>
                <w:sz w:val="18"/>
              </w:rPr>
              <w:t>What it is measuring</w:t>
            </w:r>
          </w:p>
        </w:tc>
      </w:tr>
      <w:tr>
        <w:tc>
          <w:tcPr>
            <w:tcW w:type="dxa" w:w="2333"/>
            <w:shd w:val="clear" w:color="auto" w:fill="F6F1E6"/>
          </w:tcPr>
          <w:p>
            <w:pPr>
              <w:spacing w:after="20"/>
            </w:pPr>
            <w:r>
              <w:rPr>
                <w:b/>
                <w:color w:val="1C3A36"/>
                <w:sz w:val="18"/>
              </w:rPr>
              <w:t>DCF (cash flow)</w:t>
            </w:r>
          </w:p>
        </w:tc>
        <w:tc>
          <w:tcPr>
            <w:tcW w:type="dxa" w:w="1037"/>
            <w:shd w:val="clear" w:color="auto" w:fill="F6F1E6"/>
          </w:tcPr>
          <w:p>
            <w:pPr>
              <w:spacing w:after="20"/>
              <w:jc w:val="right"/>
            </w:pPr>
            <w:r>
              <w:rPr>
                <w:b/>
                <w:color w:val="1C3A36"/>
                <w:sz w:val="18"/>
              </w:rPr>
              <w:t>23.62</w:t>
            </w:r>
          </w:p>
        </w:tc>
        <w:tc>
          <w:tcPr>
            <w:tcW w:type="dxa" w:w="1037"/>
            <w:shd w:val="clear" w:color="auto" w:fill="F6F1E6"/>
          </w:tcPr>
          <w:p>
            <w:pPr>
              <w:spacing w:after="20"/>
              <w:jc w:val="right"/>
            </w:pPr>
            <w:r>
              <w:rPr>
                <w:b/>
                <w:color w:val="1C3A36"/>
                <w:sz w:val="18"/>
              </w:rPr>
              <w:t>123.27</w:t>
            </w:r>
          </w:p>
        </w:tc>
        <w:tc>
          <w:tcPr>
            <w:tcW w:type="dxa" w:w="1037"/>
            <w:shd w:val="clear" w:color="auto" w:fill="F6F1E6"/>
          </w:tcPr>
          <w:p>
            <w:pPr>
              <w:spacing w:after="20"/>
              <w:jc w:val="right"/>
            </w:pPr>
            <w:r>
              <w:rPr>
                <w:b/>
                <w:color w:val="1C3A36"/>
                <w:sz w:val="18"/>
              </w:rPr>
              <w:t>123.27</w:t>
            </w:r>
          </w:p>
        </w:tc>
        <w:tc>
          <w:tcPr>
            <w:tcW w:type="dxa" w:w="1123"/>
            <w:shd w:val="clear" w:color="auto" w:fill="F6F1E6"/>
          </w:tcPr>
          <w:p>
            <w:pPr>
              <w:spacing w:after="20"/>
              <w:jc w:val="right"/>
            </w:pPr>
            <w:r>
              <w:rPr>
                <w:b/>
                <w:color w:val="1C3A36"/>
                <w:sz w:val="18"/>
              </w:rPr>
              <w:t>PRIMARY — this is the central</w:t>
            </w:r>
          </w:p>
        </w:tc>
        <w:tc>
          <w:tcPr>
            <w:tcW w:type="dxa" w:w="3442"/>
            <w:shd w:val="clear" w:color="auto" w:fill="F6F1E6"/>
          </w:tcPr>
          <w:p>
            <w:pPr>
              <w:spacing w:after="20"/>
              <w:jc w:val="right"/>
            </w:pPr>
            <w:r>
              <w:rPr>
                <w:b/>
                <w:color w:val="1C3A36"/>
                <w:sz w:val="18"/>
              </w:rPr>
              <w:t>What the cash flows are worth, discounted</w:t>
            </w:r>
          </w:p>
        </w:tc>
      </w:tr>
      <w:tr>
        <w:tc>
          <w:tcPr>
            <w:tcW w:type="dxa" w:w="2333"/>
          </w:tcPr>
          <w:p>
            <w:pPr>
              <w:spacing w:after="20"/>
            </w:pPr>
            <w:r>
              <w:rPr>
                <w:color w:val="1C3A36"/>
                <w:sz w:val="18"/>
              </w:rPr>
              <w:t>Relative multiples</w:t>
            </w:r>
          </w:p>
        </w:tc>
        <w:tc>
          <w:tcPr>
            <w:tcW w:type="dxa" w:w="1037"/>
          </w:tcPr>
          <w:p>
            <w:pPr>
              <w:spacing w:after="20"/>
              <w:jc w:val="right"/>
            </w:pPr>
            <w:r>
              <w:rPr>
                <w:color w:val="1C3A36"/>
                <w:sz w:val="18"/>
              </w:rPr>
              <w:t>53.20</w:t>
            </w:r>
          </w:p>
        </w:tc>
        <w:tc>
          <w:tcPr>
            <w:tcW w:type="dxa" w:w="1037"/>
          </w:tcPr>
          <w:p>
            <w:pPr>
              <w:spacing w:after="20"/>
              <w:jc w:val="right"/>
            </w:pPr>
            <w:r>
              <w:rPr>
                <w:color w:val="1C3A36"/>
                <w:sz w:val="18"/>
              </w:rPr>
              <w:t>62.11</w:t>
            </w:r>
          </w:p>
        </w:tc>
        <w:tc>
          <w:tcPr>
            <w:tcW w:type="dxa" w:w="1037"/>
          </w:tcPr>
          <w:p>
            <w:pPr>
              <w:spacing w:after="20"/>
              <w:jc w:val="right"/>
            </w:pPr>
            <w:r>
              <w:rPr>
                <w:color w:val="1C3A36"/>
                <w:sz w:val="18"/>
              </w:rPr>
              <w:t>71.02</w:t>
            </w:r>
          </w:p>
        </w:tc>
        <w:tc>
          <w:tcPr>
            <w:tcW w:type="dxa" w:w="1123"/>
          </w:tcPr>
          <w:p>
            <w:pPr>
              <w:spacing w:after="20"/>
              <w:jc w:val="right"/>
            </w:pPr>
            <w:r>
              <w:rPr>
                <w:color w:val="1C3A36"/>
                <w:sz w:val="18"/>
              </w:rPr>
              <w:t>cross-check</w:t>
            </w:r>
          </w:p>
        </w:tc>
        <w:tc>
          <w:tcPr>
            <w:tcW w:type="dxa" w:w="3442"/>
          </w:tcPr>
          <w:p>
            <w:pPr>
              <w:spacing w:after="20"/>
              <w:jc w:val="right"/>
            </w:pPr>
            <w:r>
              <w:rPr>
                <w:color w:val="1C3A36"/>
                <w:sz w:val="18"/>
              </w:rPr>
              <w:t>What an enterprise multiple pays for the same EBITDA</w:t>
            </w:r>
          </w:p>
        </w:tc>
      </w:tr>
      <w:tr>
        <w:tc>
          <w:tcPr>
            <w:tcW w:type="dxa" w:w="2333"/>
          </w:tcPr>
          <w:p>
            <w:pPr>
              <w:spacing w:after="20"/>
            </w:pPr>
            <w:r>
              <w:rPr>
                <w:color w:val="1C3A36"/>
                <w:sz w:val="18"/>
              </w:rPr>
              <w:t>Asset / replacement cost</w:t>
            </w:r>
          </w:p>
        </w:tc>
        <w:tc>
          <w:tcPr>
            <w:tcW w:type="dxa" w:w="1037"/>
          </w:tcPr>
          <w:p>
            <w:pPr>
              <w:spacing w:after="20"/>
              <w:jc w:val="right"/>
            </w:pPr>
            <w:r>
              <w:rPr>
                <w:color w:val="1C3A36"/>
                <w:sz w:val="18"/>
              </w:rPr>
              <w:t>83.24</w:t>
            </w:r>
          </w:p>
        </w:tc>
        <w:tc>
          <w:tcPr>
            <w:tcW w:type="dxa" w:w="1037"/>
          </w:tcPr>
          <w:p>
            <w:pPr>
              <w:spacing w:after="20"/>
              <w:jc w:val="right"/>
            </w:pPr>
            <w:r>
              <w:rPr>
                <w:color w:val="1C3A36"/>
                <w:sz w:val="18"/>
              </w:rPr>
              <w:t>94.23</w:t>
            </w:r>
          </w:p>
        </w:tc>
        <w:tc>
          <w:tcPr>
            <w:tcW w:type="dxa" w:w="1037"/>
          </w:tcPr>
          <w:p>
            <w:pPr>
              <w:spacing w:after="20"/>
              <w:jc w:val="right"/>
            </w:pPr>
            <w:r>
              <w:rPr>
                <w:color w:val="1C3A36"/>
                <w:sz w:val="18"/>
              </w:rPr>
              <w:t>105.21</w:t>
            </w:r>
          </w:p>
        </w:tc>
        <w:tc>
          <w:tcPr>
            <w:tcW w:type="dxa" w:w="1123"/>
          </w:tcPr>
          <w:p>
            <w:pPr>
              <w:spacing w:after="20"/>
              <w:jc w:val="right"/>
            </w:pPr>
            <w:r>
              <w:rPr>
                <w:color w:val="1C3A36"/>
                <w:sz w:val="18"/>
              </w:rPr>
              <w:t>cross-check</w:t>
            </w:r>
          </w:p>
        </w:tc>
        <w:tc>
          <w:tcPr>
            <w:tcW w:type="dxa" w:w="3442"/>
          </w:tcPr>
          <w:p>
            <w:pPr>
              <w:spacing w:after="20"/>
              <w:jc w:val="right"/>
            </w:pPr>
            <w:r>
              <w:rPr>
                <w:color w:val="1C3A36"/>
                <w:sz w:val="18"/>
              </w:rPr>
              <w:t>What the plant itself is worth</w:t>
            </w:r>
          </w:p>
        </w:tc>
      </w:tr>
      <w:tr>
        <w:tc>
          <w:tcPr>
            <w:tcW w:type="dxa" w:w="2333"/>
          </w:tcPr>
          <w:p>
            <w:pPr>
              <w:spacing w:after="20"/>
            </w:pPr>
            <w:r>
              <w:rPr>
                <w:color w:val="1C3A36"/>
                <w:sz w:val="18"/>
              </w:rPr>
              <w:t>Book value (disclosed floor)</w:t>
            </w:r>
          </w:p>
        </w:tc>
        <w:tc>
          <w:tcPr>
            <w:tcW w:type="dxa" w:w="1037"/>
          </w:tcPr>
          <w:p>
            <w:pPr>
              <w:spacing w:after="20"/>
              <w:jc w:val="right"/>
            </w:pPr>
            <w:r>
              <w:rPr>
                <w:color w:val="1C3A36"/>
                <w:sz w:val="18"/>
              </w:rPr>
              <w:t>27.12</w:t>
            </w:r>
          </w:p>
        </w:tc>
        <w:tc>
          <w:tcPr>
            <w:tcW w:type="dxa" w:w="1037"/>
          </w:tcPr>
          <w:p>
            <w:pPr>
              <w:spacing w:after="20"/>
              <w:jc w:val="right"/>
            </w:pPr>
            <w:r>
              <w:rPr>
                <w:color w:val="1C3A36"/>
                <w:sz w:val="18"/>
              </w:rPr>
              <w:t>27.12</w:t>
            </w:r>
          </w:p>
        </w:tc>
        <w:tc>
          <w:tcPr>
            <w:tcW w:type="dxa" w:w="1037"/>
          </w:tcPr>
          <w:p>
            <w:pPr>
              <w:spacing w:after="20"/>
              <w:jc w:val="right"/>
            </w:pPr>
            <w:r>
              <w:rPr>
                <w:color w:val="1C3A36"/>
                <w:sz w:val="18"/>
              </w:rPr>
              <w:t>27.12</w:t>
            </w:r>
          </w:p>
        </w:tc>
        <w:tc>
          <w:tcPr>
            <w:tcW w:type="dxa" w:w="1123"/>
          </w:tcPr>
          <w:p>
            <w:pPr>
              <w:spacing w:after="20"/>
              <w:jc w:val="right"/>
            </w:pPr>
            <w:r>
              <w:rPr>
                <w:color w:val="1C3A36"/>
                <w:sz w:val="18"/>
              </w:rPr>
              <w:t>disclosed floor, never weighted</w:t>
            </w:r>
          </w:p>
        </w:tc>
        <w:tc>
          <w:tcPr>
            <w:tcW w:type="dxa" w:w="3442"/>
          </w:tcPr>
          <w:p>
            <w:pPr>
              <w:spacing w:after="20"/>
              <w:jc w:val="right"/>
            </w:pPr>
            <w:r>
              <w:rPr>
                <w:color w:val="1C3A36"/>
                <w:sz w:val="18"/>
              </w:rPr>
              <w:t>What the accounts carry the plant at</w:t>
            </w:r>
          </w:p>
        </w:tc>
      </w:tr>
      <w:tr>
        <w:tc>
          <w:tcPr>
            <w:tcW w:type="dxa" w:w="2333"/>
          </w:tcPr>
          <w:p>
            <w:pPr>
              <w:spacing w:after="20"/>
            </w:pPr>
            <w:r>
              <w:rPr>
                <w:color w:val="1C3A36"/>
                <w:sz w:val="18"/>
              </w:rPr>
              <w:t>MEMO — the retired four-lens blend</w:t>
            </w:r>
          </w:p>
        </w:tc>
        <w:tc>
          <w:tcPr>
            <w:tcW w:type="dxa" w:w="1037"/>
          </w:tcPr>
          <w:p>
            <w:pPr>
              <w:spacing w:after="20"/>
              <w:jc w:val="right"/>
            </w:pPr>
            <w:r>
              <w:rPr>
                <w:color w:val="1C3A36"/>
                <w:sz w:val="18"/>
              </w:rPr>
              <w:t>—</w:t>
            </w:r>
          </w:p>
        </w:tc>
        <w:tc>
          <w:tcPr>
            <w:tcW w:type="dxa" w:w="1037"/>
          </w:tcPr>
          <w:p>
            <w:pPr>
              <w:spacing w:after="20"/>
              <w:jc w:val="right"/>
            </w:pPr>
            <w:r>
              <w:rPr>
                <w:color w:val="1C3A36"/>
                <w:sz w:val="18"/>
              </w:rPr>
              <w:t>95.96</w:t>
            </w:r>
          </w:p>
        </w:tc>
        <w:tc>
          <w:tcPr>
            <w:tcW w:type="dxa" w:w="1037"/>
          </w:tcPr>
          <w:p>
            <w:pPr>
              <w:spacing w:after="20"/>
              <w:jc w:val="right"/>
            </w:pPr>
            <w:r>
              <w:rPr>
                <w:color w:val="1C3A36"/>
                <w:sz w:val="18"/>
              </w:rPr>
              <w:t>—</w:t>
            </w:r>
          </w:p>
        </w:tc>
        <w:tc>
          <w:tcPr>
            <w:tcW w:type="dxa" w:w="1123"/>
          </w:tcPr>
          <w:p>
            <w:pPr>
              <w:spacing w:after="20"/>
              <w:jc w:val="right"/>
            </w:pPr>
            <w:r>
              <w:rPr>
                <w:color w:val="1C3A36"/>
                <w:sz w:val="18"/>
              </w:rPr>
              <w:t>retired</w:t>
            </w:r>
          </w:p>
        </w:tc>
        <w:tc>
          <w:tcPr>
            <w:tcW w:type="dxa" w:w="3442"/>
          </w:tcPr>
          <w:p>
            <w:pPr>
              <w:spacing w:after="20"/>
              <w:jc w:val="right"/>
            </w:pPr>
            <w:r>
              <w:rPr>
                <w:color w:val="1C3A36"/>
                <w:sz w:val="18"/>
              </w:rPr>
              <w:t>What the previous architecture would have printed</w:t>
            </w:r>
          </w:p>
        </w:tc>
      </w:tr>
    </w:tbl>
    <w:p>
      <w:pPr>
        <w:spacing w:after="40"/>
      </w:pPr>
    </w:p>
    <w:p>
      <w:pPr>
        <w:spacing w:after="200" w:before="0"/>
      </w:pPr>
      <w:r>
        <w:rPr>
          <w:b w:val="0"/>
          <w:i/>
          <w:color w:val="6E7B77"/>
          <w:sz w:val="17"/>
        </w:rPr>
        <w:t>Table 8 — The lenses side by side. NOTHING IS WEIGHTED: the cash-flow read is the central and the others are cross-checks. Its bear corner flexes the operating margin down to the lowest the company has filed and holds the macro path still; its bull corner is the base case, because the forecast already opens above the best margin the company has ever filed and this driver has no upside left against its own record.</w:t>
      </w:r>
    </w:p>
    <w:p>
      <w:pPr>
        <w:spacing w:after="80" w:before="200"/>
      </w:pPr>
      <w:r>
        <w:rPr>
          <w:b/>
          <w:i w:val="0"/>
          <w:color w:val="1C3A36"/>
          <w:sz w:val="24"/>
        </w:rPr>
        <w:t>1.6  The drivers — a bottom-up build from kilns and tonnes</w:t>
      </w:r>
    </w:p>
    <w:p>
      <w:pPr>
        <w:spacing w:after="120" w:before="0"/>
      </w:pPr>
      <w:r>
        <w:rPr>
          <w:b w:val="0"/>
          <w:i w:val="0"/>
          <w:color w:val="1C3A36"/>
          <w:sz w:val="21"/>
        </w:rPr>
        <w:t>Revenue and EBITDA are not assumed here. They are built from physical units, and the margin is what falls out at the bottom rather than what is typed in at the top.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Kiln utilisation</w:t>
            </w:r>
          </w:p>
        </w:tc>
        <w:tc>
          <w:tcPr>
            <w:tcW w:type="dxa" w:w="1210"/>
          </w:tcPr>
          <w:p>
            <w:pPr>
              <w:spacing w:after="20"/>
              <w:jc w:val="right"/>
            </w:pPr>
            <w:r>
              <w:rPr>
                <w:color w:val="1C3A36"/>
                <w:sz w:val="17"/>
              </w:rPr>
              <w:t>71.0%</w:t>
            </w:r>
          </w:p>
        </w:tc>
        <w:tc>
          <w:tcPr>
            <w:tcW w:type="dxa" w:w="1210"/>
          </w:tcPr>
          <w:p>
            <w:pPr>
              <w:spacing w:after="20"/>
              <w:jc w:val="right"/>
            </w:pPr>
            <w:r>
              <w:rPr>
                <w:color w:val="1C3A36"/>
                <w:sz w:val="17"/>
              </w:rPr>
              <w:t>71.7%</w:t>
            </w:r>
          </w:p>
        </w:tc>
        <w:tc>
          <w:tcPr>
            <w:tcW w:type="dxa" w:w="1210"/>
          </w:tcPr>
          <w:p>
            <w:pPr>
              <w:spacing w:after="20"/>
              <w:jc w:val="right"/>
            </w:pPr>
            <w:r>
              <w:rPr>
                <w:color w:val="1C3A36"/>
                <w:sz w:val="17"/>
              </w:rPr>
              <w:t>73.5%</w:t>
            </w:r>
          </w:p>
        </w:tc>
        <w:tc>
          <w:tcPr>
            <w:tcW w:type="dxa" w:w="1210"/>
          </w:tcPr>
          <w:p>
            <w:pPr>
              <w:spacing w:after="20"/>
              <w:jc w:val="right"/>
            </w:pPr>
            <w:r>
              <w:rPr>
                <w:color w:val="1C3A36"/>
                <w:sz w:val="17"/>
              </w:rPr>
              <w:t>75.3%</w:t>
            </w:r>
          </w:p>
        </w:tc>
        <w:tc>
          <w:tcPr>
            <w:tcW w:type="dxa" w:w="1210"/>
          </w:tcPr>
          <w:p>
            <w:pPr>
              <w:spacing w:after="20"/>
              <w:jc w:val="right"/>
            </w:pPr>
            <w:r>
              <w:rPr>
                <w:color w:val="1C3A36"/>
                <w:sz w:val="17"/>
              </w:rPr>
              <w:t>77.2%</w:t>
            </w:r>
          </w:p>
        </w:tc>
        <w:tc>
          <w:tcPr>
            <w:tcW w:type="dxa" w:w="1210"/>
          </w:tcPr>
          <w:p>
            <w:pPr>
              <w:spacing w:after="20"/>
              <w:jc w:val="right"/>
            </w:pPr>
            <w:r>
              <w:rPr>
                <w:color w:val="1C3A36"/>
                <w:sz w:val="17"/>
              </w:rPr>
              <w:t>79.1%</w:t>
            </w:r>
          </w:p>
        </w:tc>
      </w:tr>
      <w:tr>
        <w:tc>
          <w:tcPr>
            <w:tcW w:type="dxa" w:w="2448"/>
          </w:tcPr>
          <w:p>
            <w:pPr>
              <w:spacing w:after="20"/>
            </w:pPr>
            <w:r>
              <w:rPr>
                <w:color w:val="1C3A36"/>
                <w:sz w:val="17"/>
              </w:rPr>
              <w:t>Clinker produced (Mt)</w:t>
            </w:r>
          </w:p>
        </w:tc>
        <w:tc>
          <w:tcPr>
            <w:tcW w:type="dxa" w:w="1210"/>
          </w:tcPr>
          <w:p>
            <w:pPr>
              <w:spacing w:after="20"/>
              <w:jc w:val="right"/>
            </w:pPr>
            <w:r>
              <w:rPr>
                <w:color w:val="1C3A36"/>
                <w:sz w:val="17"/>
              </w:rPr>
              <w:t>1.825</w:t>
            </w:r>
          </w:p>
        </w:tc>
        <w:tc>
          <w:tcPr>
            <w:tcW w:type="dxa" w:w="1210"/>
          </w:tcPr>
          <w:p>
            <w:pPr>
              <w:spacing w:after="20"/>
              <w:jc w:val="right"/>
            </w:pPr>
            <w:r>
              <w:rPr>
                <w:color w:val="1C3A36"/>
                <w:sz w:val="17"/>
              </w:rPr>
              <w:t>1.843</w:t>
            </w:r>
          </w:p>
        </w:tc>
        <w:tc>
          <w:tcPr>
            <w:tcW w:type="dxa" w:w="1210"/>
          </w:tcPr>
          <w:p>
            <w:pPr>
              <w:spacing w:after="20"/>
              <w:jc w:val="right"/>
            </w:pPr>
            <w:r>
              <w:rPr>
                <w:color w:val="1C3A36"/>
                <w:sz w:val="17"/>
              </w:rPr>
              <w:t>1.889</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1.984</w:t>
            </w:r>
          </w:p>
        </w:tc>
        <w:tc>
          <w:tcPr>
            <w:tcW w:type="dxa" w:w="1210"/>
          </w:tcPr>
          <w:p>
            <w:pPr>
              <w:spacing w:after="20"/>
              <w:jc w:val="right"/>
            </w:pPr>
            <w:r>
              <w:rPr>
                <w:color w:val="1C3A36"/>
                <w:sz w:val="17"/>
              </w:rPr>
              <w:t>2.033</w:t>
            </w:r>
          </w:p>
        </w:tc>
      </w:tr>
      <w:tr>
        <w:tc>
          <w:tcPr>
            <w:tcW w:type="dxa" w:w="2448"/>
          </w:tcPr>
          <w:p>
            <w:pPr>
              <w:spacing w:after="20"/>
            </w:pPr>
            <w:r>
              <w:rPr>
                <w:color w:val="1C3A36"/>
                <w:sz w:val="17"/>
              </w:rPr>
              <w:t>Cement produced (Mt)</w:t>
            </w:r>
          </w:p>
        </w:tc>
        <w:tc>
          <w:tcPr>
            <w:tcW w:type="dxa" w:w="1210"/>
          </w:tcPr>
          <w:p>
            <w:pPr>
              <w:spacing w:after="20"/>
              <w:jc w:val="right"/>
            </w:pPr>
            <w:r>
              <w:rPr>
                <w:color w:val="1C3A36"/>
                <w:sz w:val="17"/>
              </w:rPr>
              <w:t>2.698</w:t>
            </w:r>
          </w:p>
        </w:tc>
        <w:tc>
          <w:tcPr>
            <w:tcW w:type="dxa" w:w="1210"/>
          </w:tcPr>
          <w:p>
            <w:pPr>
              <w:spacing w:after="20"/>
              <w:jc w:val="right"/>
            </w:pPr>
            <w:r>
              <w:rPr>
                <w:color w:val="1C3A36"/>
                <w:sz w:val="17"/>
              </w:rPr>
              <w:t>2.725</w:t>
            </w:r>
          </w:p>
        </w:tc>
        <w:tc>
          <w:tcPr>
            <w:tcW w:type="dxa" w:w="1210"/>
          </w:tcPr>
          <w:p>
            <w:pPr>
              <w:spacing w:after="20"/>
              <w:jc w:val="right"/>
            </w:pPr>
            <w:r>
              <w:rPr>
                <w:color w:val="1C3A36"/>
                <w:sz w:val="17"/>
              </w:rPr>
              <w:t>2.793</w:t>
            </w:r>
          </w:p>
        </w:tc>
        <w:tc>
          <w:tcPr>
            <w:tcW w:type="dxa" w:w="1210"/>
          </w:tcPr>
          <w:p>
            <w:pPr>
              <w:spacing w:after="20"/>
              <w:jc w:val="right"/>
            </w:pPr>
            <w:r>
              <w:rPr>
                <w:color w:val="1C3A36"/>
                <w:sz w:val="17"/>
              </w:rPr>
              <w:t>2.861</w:t>
            </w:r>
          </w:p>
        </w:tc>
        <w:tc>
          <w:tcPr>
            <w:tcW w:type="dxa" w:w="1210"/>
          </w:tcPr>
          <w:p>
            <w:pPr>
              <w:spacing w:after="20"/>
              <w:jc w:val="right"/>
            </w:pPr>
            <w:r>
              <w:rPr>
                <w:color w:val="1C3A36"/>
                <w:sz w:val="17"/>
              </w:rPr>
              <w:t>2.934</w:t>
            </w:r>
          </w:p>
        </w:tc>
        <w:tc>
          <w:tcPr>
            <w:tcW w:type="dxa" w:w="1210"/>
          </w:tcPr>
          <w:p>
            <w:pPr>
              <w:spacing w:after="20"/>
              <w:jc w:val="right"/>
            </w:pPr>
            <w:r>
              <w:rPr>
                <w:color w:val="1C3A36"/>
                <w:sz w:val="17"/>
              </w:rPr>
              <w:t>3.006</w:t>
            </w:r>
          </w:p>
        </w:tc>
      </w:tr>
      <w:tr>
        <w:tc>
          <w:tcPr>
            <w:tcW w:type="dxa" w:w="2448"/>
          </w:tcPr>
          <w:p>
            <w:pPr>
              <w:spacing w:after="20"/>
            </w:pPr>
            <w:r>
              <w:rPr>
                <w:color w:val="1C3A36"/>
                <w:sz w:val="17"/>
              </w:rPr>
              <w:t>Domestic volume (Mt)</w:t>
            </w:r>
          </w:p>
        </w:tc>
        <w:tc>
          <w:tcPr>
            <w:tcW w:type="dxa" w:w="1210"/>
          </w:tcPr>
          <w:p>
            <w:pPr>
              <w:spacing w:after="20"/>
              <w:jc w:val="right"/>
            </w:pPr>
            <w:r>
              <w:rPr>
                <w:color w:val="1C3A36"/>
                <w:sz w:val="17"/>
              </w:rPr>
              <w:t>2.374</w:t>
            </w:r>
          </w:p>
        </w:tc>
        <w:tc>
          <w:tcPr>
            <w:tcW w:type="dxa" w:w="1210"/>
          </w:tcPr>
          <w:p>
            <w:pPr>
              <w:spacing w:after="20"/>
              <w:jc w:val="right"/>
            </w:pPr>
            <w:r>
              <w:rPr>
                <w:color w:val="1C3A36"/>
                <w:sz w:val="17"/>
              </w:rPr>
              <w:t>2.370</w:t>
            </w:r>
          </w:p>
        </w:tc>
        <w:tc>
          <w:tcPr>
            <w:tcW w:type="dxa" w:w="1210"/>
          </w:tcPr>
          <w:p>
            <w:pPr>
              <w:spacing w:after="20"/>
              <w:jc w:val="right"/>
            </w:pPr>
            <w:r>
              <w:rPr>
                <w:color w:val="1C3A36"/>
                <w:sz w:val="17"/>
              </w:rPr>
              <w:t>2.402</w:t>
            </w:r>
          </w:p>
        </w:tc>
        <w:tc>
          <w:tcPr>
            <w:tcW w:type="dxa" w:w="1210"/>
          </w:tcPr>
          <w:p>
            <w:pPr>
              <w:spacing w:after="20"/>
              <w:jc w:val="right"/>
            </w:pPr>
            <w:r>
              <w:rPr>
                <w:color w:val="1C3A36"/>
                <w:sz w:val="17"/>
              </w:rPr>
              <w:t>2.432</w:t>
            </w:r>
          </w:p>
        </w:tc>
        <w:tc>
          <w:tcPr>
            <w:tcW w:type="dxa" w:w="1210"/>
          </w:tcPr>
          <w:p>
            <w:pPr>
              <w:spacing w:after="20"/>
              <w:jc w:val="right"/>
            </w:pPr>
            <w:r>
              <w:rPr>
                <w:color w:val="1C3A36"/>
                <w:sz w:val="17"/>
              </w:rPr>
              <w:t>2.464</w:t>
            </w:r>
          </w:p>
        </w:tc>
        <w:tc>
          <w:tcPr>
            <w:tcW w:type="dxa" w:w="1210"/>
          </w:tcPr>
          <w:p>
            <w:pPr>
              <w:spacing w:after="20"/>
              <w:jc w:val="right"/>
            </w:pPr>
            <w:r>
              <w:rPr>
                <w:color w:val="1C3A36"/>
                <w:sz w:val="17"/>
              </w:rPr>
              <w:t>2.495</w:t>
            </w:r>
          </w:p>
        </w:tc>
      </w:tr>
      <w:tr>
        <w:tc>
          <w:tcPr>
            <w:tcW w:type="dxa" w:w="2448"/>
          </w:tcPr>
          <w:p>
            <w:pPr>
              <w:spacing w:after="20"/>
            </w:pPr>
            <w:r>
              <w:rPr>
                <w:color w:val="1C3A36"/>
                <w:sz w:val="17"/>
              </w:rPr>
              <w:t>Export volume (Mt)</w:t>
            </w:r>
          </w:p>
        </w:tc>
        <w:tc>
          <w:tcPr>
            <w:tcW w:type="dxa" w:w="1210"/>
          </w:tcPr>
          <w:p>
            <w:pPr>
              <w:spacing w:after="20"/>
              <w:jc w:val="right"/>
            </w:pPr>
            <w:r>
              <w:rPr>
                <w:color w:val="1C3A36"/>
                <w:sz w:val="17"/>
              </w:rPr>
              <w:t>0.324</w:t>
            </w:r>
          </w:p>
        </w:tc>
        <w:tc>
          <w:tcPr>
            <w:tcW w:type="dxa" w:w="1210"/>
          </w:tcPr>
          <w:p>
            <w:pPr>
              <w:spacing w:after="20"/>
              <w:jc w:val="right"/>
            </w:pPr>
            <w:r>
              <w:rPr>
                <w:color w:val="1C3A36"/>
                <w:sz w:val="17"/>
              </w:rPr>
              <w:t>0.354</w:t>
            </w:r>
          </w:p>
        </w:tc>
        <w:tc>
          <w:tcPr>
            <w:tcW w:type="dxa" w:w="1210"/>
          </w:tcPr>
          <w:p>
            <w:pPr>
              <w:spacing w:after="20"/>
              <w:jc w:val="right"/>
            </w:pPr>
            <w:r>
              <w:rPr>
                <w:color w:val="1C3A36"/>
                <w:sz w:val="17"/>
              </w:rPr>
              <w:t>0.391</w:t>
            </w:r>
          </w:p>
        </w:tc>
        <w:tc>
          <w:tcPr>
            <w:tcW w:type="dxa" w:w="1210"/>
          </w:tcPr>
          <w:p>
            <w:pPr>
              <w:spacing w:after="20"/>
              <w:jc w:val="right"/>
            </w:pPr>
            <w:r>
              <w:rPr>
                <w:color w:val="1C3A36"/>
                <w:sz w:val="17"/>
              </w:rPr>
              <w:t>0.429</w:t>
            </w:r>
          </w:p>
        </w:tc>
        <w:tc>
          <w:tcPr>
            <w:tcW w:type="dxa" w:w="1210"/>
          </w:tcPr>
          <w:p>
            <w:pPr>
              <w:spacing w:after="20"/>
              <w:jc w:val="right"/>
            </w:pPr>
            <w:r>
              <w:rPr>
                <w:color w:val="1C3A36"/>
                <w:sz w:val="17"/>
              </w:rPr>
              <w:t>0.469</w:t>
            </w:r>
          </w:p>
        </w:tc>
        <w:tc>
          <w:tcPr>
            <w:tcW w:type="dxa" w:w="1210"/>
          </w:tcPr>
          <w:p>
            <w:pPr>
              <w:spacing w:after="20"/>
              <w:jc w:val="right"/>
            </w:pPr>
            <w:r>
              <w:rPr>
                <w:color w:val="1C3A36"/>
                <w:sz w:val="17"/>
              </w:rPr>
              <w:t>0.511</w:t>
            </w:r>
          </w:p>
        </w:tc>
      </w:tr>
      <w:tr>
        <w:tc>
          <w:tcPr>
            <w:tcW w:type="dxa" w:w="2448"/>
          </w:tcPr>
          <w:p>
            <w:pPr>
              <w:spacing w:after="20"/>
            </w:pPr>
            <w:r>
              <w:rPr>
                <w:color w:val="1C3A36"/>
                <w:sz w:val="17"/>
              </w:rPr>
              <w:t>Realised price (EGP/t)</w:t>
            </w:r>
          </w:p>
        </w:tc>
        <w:tc>
          <w:tcPr>
            <w:tcW w:type="dxa" w:w="1210"/>
          </w:tcPr>
          <w:p>
            <w:pPr>
              <w:spacing w:after="20"/>
              <w:jc w:val="right"/>
            </w:pPr>
            <w:r>
              <w:rPr>
                <w:color w:val="1C3A36"/>
                <w:sz w:val="17"/>
              </w:rPr>
              <w:t>3,372</w:t>
            </w:r>
          </w:p>
        </w:tc>
        <w:tc>
          <w:tcPr>
            <w:tcW w:type="dxa" w:w="1210"/>
          </w:tcPr>
          <w:p>
            <w:pPr>
              <w:spacing w:after="20"/>
              <w:jc w:val="right"/>
            </w:pPr>
            <w:r>
              <w:rPr>
                <w:color w:val="1C3A36"/>
                <w:sz w:val="17"/>
              </w:rPr>
              <w:t>3,872</w:t>
            </w:r>
          </w:p>
        </w:tc>
        <w:tc>
          <w:tcPr>
            <w:tcW w:type="dxa" w:w="1210"/>
          </w:tcPr>
          <w:p>
            <w:pPr>
              <w:spacing w:after="20"/>
              <w:jc w:val="right"/>
            </w:pPr>
            <w:r>
              <w:rPr>
                <w:color w:val="1C3A36"/>
                <w:sz w:val="17"/>
              </w:rPr>
              <w:t>4,302</w:t>
            </w:r>
          </w:p>
        </w:tc>
        <w:tc>
          <w:tcPr>
            <w:tcW w:type="dxa" w:w="1210"/>
          </w:tcPr>
          <w:p>
            <w:pPr>
              <w:spacing w:after="20"/>
              <w:jc w:val="right"/>
            </w:pPr>
            <w:r>
              <w:rPr>
                <w:color w:val="1C3A36"/>
                <w:sz w:val="17"/>
              </w:rPr>
              <w:t>4,654</w:t>
            </w:r>
          </w:p>
        </w:tc>
        <w:tc>
          <w:tcPr>
            <w:tcW w:type="dxa" w:w="1210"/>
          </w:tcPr>
          <w:p>
            <w:pPr>
              <w:spacing w:after="20"/>
              <w:jc w:val="right"/>
            </w:pPr>
            <w:r>
              <w:rPr>
                <w:color w:val="1C3A36"/>
                <w:sz w:val="17"/>
              </w:rPr>
              <w:t>4,963</w:t>
            </w:r>
          </w:p>
        </w:tc>
        <w:tc>
          <w:tcPr>
            <w:tcW w:type="dxa" w:w="1210"/>
          </w:tcPr>
          <w:p>
            <w:pPr>
              <w:spacing w:after="20"/>
              <w:jc w:val="right"/>
            </w:pPr>
            <w:r>
              <w:rPr>
                <w:color w:val="1C3A36"/>
                <w:sz w:val="17"/>
              </w:rPr>
              <w:t>5,272</w:t>
            </w:r>
          </w:p>
        </w:tc>
      </w:tr>
      <w:tr>
        <w:tc>
          <w:tcPr>
            <w:tcW w:type="dxa" w:w="2448"/>
          </w:tcPr>
          <w:p>
            <w:pPr>
              <w:spacing w:after="20"/>
            </w:pPr>
            <w:r>
              <w:rPr>
                <w:color w:val="1C3A36"/>
                <w:sz w:val="17"/>
              </w:rPr>
              <w:t>Revenue (EGP mn)</w:t>
            </w:r>
          </w:p>
        </w:tc>
        <w:tc>
          <w:tcPr>
            <w:tcW w:type="dxa" w:w="1210"/>
          </w:tcPr>
          <w:p>
            <w:pPr>
              <w:spacing w:after="20"/>
              <w:jc w:val="right"/>
            </w:pPr>
            <w:r>
              <w:rPr>
                <w:color w:val="1C3A36"/>
                <w:sz w:val="17"/>
              </w:rPr>
              <w:t>9,098</w:t>
            </w:r>
          </w:p>
        </w:tc>
        <w:tc>
          <w:tcPr>
            <w:tcW w:type="dxa" w:w="1210"/>
          </w:tcPr>
          <w:p>
            <w:pPr>
              <w:spacing w:after="20"/>
              <w:jc w:val="right"/>
            </w:pPr>
            <w:r>
              <w:rPr>
                <w:color w:val="1C3A36"/>
                <w:sz w:val="17"/>
              </w:rPr>
              <w:t>10,550</w:t>
            </w:r>
          </w:p>
        </w:tc>
        <w:tc>
          <w:tcPr>
            <w:tcW w:type="dxa" w:w="1210"/>
          </w:tcPr>
          <w:p>
            <w:pPr>
              <w:spacing w:after="20"/>
              <w:jc w:val="right"/>
            </w:pPr>
            <w:r>
              <w:rPr>
                <w:color w:val="1C3A36"/>
                <w:sz w:val="17"/>
              </w:rPr>
              <w:t>12,015</w:t>
            </w:r>
          </w:p>
        </w:tc>
        <w:tc>
          <w:tcPr>
            <w:tcW w:type="dxa" w:w="1210"/>
          </w:tcPr>
          <w:p>
            <w:pPr>
              <w:spacing w:after="20"/>
              <w:jc w:val="right"/>
            </w:pPr>
            <w:r>
              <w:rPr>
                <w:color w:val="1C3A36"/>
                <w:sz w:val="17"/>
              </w:rPr>
              <w:t>13,316</w:t>
            </w:r>
          </w:p>
        </w:tc>
        <w:tc>
          <w:tcPr>
            <w:tcW w:type="dxa" w:w="1210"/>
          </w:tcPr>
          <w:p>
            <w:pPr>
              <w:spacing w:after="20"/>
              <w:jc w:val="right"/>
            </w:pPr>
            <w:r>
              <w:rPr>
                <w:color w:val="1C3A36"/>
                <w:sz w:val="17"/>
              </w:rPr>
              <w:t>14,560</w:t>
            </w:r>
          </w:p>
        </w:tc>
        <w:tc>
          <w:tcPr>
            <w:tcW w:type="dxa" w:w="1210"/>
          </w:tcPr>
          <w:p>
            <w:pPr>
              <w:spacing w:after="20"/>
              <w:jc w:val="right"/>
            </w:pPr>
            <w:r>
              <w:rPr>
                <w:color w:val="1C3A36"/>
                <w:sz w:val="17"/>
              </w:rPr>
              <w:t>15,848</w:t>
            </w:r>
          </w:p>
        </w:tc>
      </w:tr>
    </w:tbl>
    <w:p>
      <w:pPr>
        <w:spacing w:after="40"/>
      </w:pPr>
    </w:p>
    <w:p>
      <w:pPr>
        <w:spacing w:after="200" w:before="0"/>
      </w:pPr>
      <w:r>
        <w:rPr>
          <w:b w:val="0"/>
          <w:i/>
          <w:color w:val="6E7B77"/>
          <w:sz w:val="17"/>
        </w:rPr>
        <w:t>Table 9 — The volume and price chain. The clinker factor of 0.676 tonnes of clinker per tonne of cement is anchored on the plant register, which publishes both capacities — 2.57Mt of kiln clinker against 3.80Mt of grinding — so it is observed rather than assumed.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per tonne of cement</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Materials, fuel, power and packing</w:t>
            </w:r>
          </w:p>
        </w:tc>
        <w:tc>
          <w:tcPr>
            <w:tcW w:type="dxa" w:w="1210"/>
          </w:tcPr>
          <w:p>
            <w:pPr>
              <w:spacing w:after="20"/>
              <w:jc w:val="right"/>
            </w:pPr>
            <w:r>
              <w:rPr>
                <w:color w:val="1C3A36"/>
                <w:sz w:val="17"/>
              </w:rPr>
              <w:t>1,331</w:t>
            </w:r>
          </w:p>
        </w:tc>
        <w:tc>
          <w:tcPr>
            <w:tcW w:type="dxa" w:w="1210"/>
          </w:tcPr>
          <w:p>
            <w:pPr>
              <w:spacing w:after="20"/>
              <w:jc w:val="right"/>
            </w:pPr>
            <w:r>
              <w:rPr>
                <w:color w:val="1C3A36"/>
                <w:sz w:val="17"/>
              </w:rPr>
              <w:t>1,504</w:t>
            </w:r>
          </w:p>
        </w:tc>
        <w:tc>
          <w:tcPr>
            <w:tcW w:type="dxa" w:w="1210"/>
          </w:tcPr>
          <w:p>
            <w:pPr>
              <w:spacing w:after="20"/>
              <w:jc w:val="right"/>
            </w:pPr>
            <w:r>
              <w:rPr>
                <w:color w:val="1C3A36"/>
                <w:sz w:val="17"/>
              </w:rPr>
              <w:t>1,665</w:t>
            </w:r>
          </w:p>
        </w:tc>
        <w:tc>
          <w:tcPr>
            <w:tcW w:type="dxa" w:w="1210"/>
          </w:tcPr>
          <w:p>
            <w:pPr>
              <w:spacing w:after="20"/>
              <w:jc w:val="right"/>
            </w:pPr>
            <w:r>
              <w:rPr>
                <w:color w:val="1C3A36"/>
                <w:sz w:val="17"/>
              </w:rPr>
              <w:t>1,794</w:t>
            </w:r>
          </w:p>
        </w:tc>
        <w:tc>
          <w:tcPr>
            <w:tcW w:type="dxa" w:w="1210"/>
          </w:tcPr>
          <w:p>
            <w:pPr>
              <w:spacing w:after="20"/>
              <w:jc w:val="right"/>
            </w:pPr>
            <w:r>
              <w:rPr>
                <w:color w:val="1C3A36"/>
                <w:sz w:val="17"/>
              </w:rPr>
              <w:t>1,907</w:t>
            </w:r>
          </w:p>
        </w:tc>
        <w:tc>
          <w:tcPr>
            <w:tcW w:type="dxa" w:w="1210"/>
          </w:tcPr>
          <w:p>
            <w:pPr>
              <w:spacing w:after="20"/>
              <w:jc w:val="right"/>
            </w:pPr>
            <w:r>
              <w:rPr>
                <w:color w:val="1C3A36"/>
                <w:sz w:val="17"/>
              </w:rPr>
              <w:t>2,018</w:t>
            </w:r>
          </w:p>
        </w:tc>
      </w:tr>
      <w:tr>
        <w:tc>
          <w:tcPr>
            <w:tcW w:type="dxa" w:w="2448"/>
          </w:tcPr>
          <w:p>
            <w:pPr>
              <w:spacing w:after="20"/>
            </w:pPr>
            <w:r>
              <w:rPr>
                <w:color w:val="1C3A36"/>
                <w:sz w:val="17"/>
              </w:rPr>
              <w:t>Transport, loading and export costs</w:t>
            </w:r>
          </w:p>
        </w:tc>
        <w:tc>
          <w:tcPr>
            <w:tcW w:type="dxa" w:w="1210"/>
          </w:tcPr>
          <w:p>
            <w:pPr>
              <w:spacing w:after="20"/>
              <w:jc w:val="right"/>
            </w:pPr>
            <w:r>
              <w:rPr>
                <w:color w:val="1C3A36"/>
                <w:sz w:val="17"/>
              </w:rPr>
              <w:t>286</w:t>
            </w:r>
          </w:p>
        </w:tc>
        <w:tc>
          <w:tcPr>
            <w:tcW w:type="dxa" w:w="1210"/>
          </w:tcPr>
          <w:p>
            <w:pPr>
              <w:spacing w:after="20"/>
              <w:jc w:val="right"/>
            </w:pPr>
            <w:r>
              <w:rPr>
                <w:color w:val="1C3A36"/>
                <w:sz w:val="17"/>
              </w:rPr>
              <w:t>331</w:t>
            </w:r>
          </w:p>
        </w:tc>
        <w:tc>
          <w:tcPr>
            <w:tcW w:type="dxa" w:w="1210"/>
          </w:tcPr>
          <w:p>
            <w:pPr>
              <w:spacing w:after="20"/>
              <w:jc w:val="right"/>
            </w:pPr>
            <w:r>
              <w:rPr>
                <w:color w:val="1C3A36"/>
                <w:sz w:val="17"/>
              </w:rPr>
              <w:t>371</w:t>
            </w:r>
          </w:p>
        </w:tc>
        <w:tc>
          <w:tcPr>
            <w:tcW w:type="dxa" w:w="1210"/>
          </w:tcPr>
          <w:p>
            <w:pPr>
              <w:spacing w:after="20"/>
              <w:jc w:val="right"/>
            </w:pPr>
            <w:r>
              <w:rPr>
                <w:color w:val="1C3A36"/>
                <w:sz w:val="17"/>
              </w:rPr>
              <w:t>404</w:t>
            </w:r>
          </w:p>
        </w:tc>
        <w:tc>
          <w:tcPr>
            <w:tcW w:type="dxa" w:w="1210"/>
          </w:tcPr>
          <w:p>
            <w:pPr>
              <w:spacing w:after="20"/>
              <w:jc w:val="right"/>
            </w:pPr>
            <w:r>
              <w:rPr>
                <w:color w:val="1C3A36"/>
                <w:sz w:val="17"/>
              </w:rPr>
              <w:t>435</w:t>
            </w:r>
          </w:p>
        </w:tc>
        <w:tc>
          <w:tcPr>
            <w:tcW w:type="dxa" w:w="1210"/>
          </w:tcPr>
          <w:p>
            <w:pPr>
              <w:spacing w:after="20"/>
              <w:jc w:val="right"/>
            </w:pPr>
            <w:r>
              <w:rPr>
                <w:color w:val="1C3A36"/>
                <w:sz w:val="17"/>
              </w:rPr>
              <w:t>465</w:t>
            </w:r>
          </w:p>
        </w:tc>
      </w:tr>
      <w:tr>
        <w:tc>
          <w:tcPr>
            <w:tcW w:type="dxa" w:w="2448"/>
            <w:shd w:val="clear" w:color="auto" w:fill="F6F1E6"/>
          </w:tcPr>
          <w:p>
            <w:pPr>
              <w:spacing w:after="20"/>
            </w:pPr>
            <w:r>
              <w:rPr>
                <w:b/>
                <w:color w:val="1C3A36"/>
                <w:sz w:val="17"/>
              </w:rPr>
              <w:t>Total variable cost</w:t>
            </w:r>
          </w:p>
        </w:tc>
        <w:tc>
          <w:tcPr>
            <w:tcW w:type="dxa" w:w="1210"/>
            <w:shd w:val="clear" w:color="auto" w:fill="F6F1E6"/>
          </w:tcPr>
          <w:p>
            <w:pPr>
              <w:spacing w:after="20"/>
              <w:jc w:val="right"/>
            </w:pPr>
            <w:r>
              <w:rPr>
                <w:b/>
                <w:color w:val="1C3A36"/>
                <w:sz w:val="17"/>
              </w:rPr>
              <w:t>1,617</w:t>
            </w:r>
          </w:p>
        </w:tc>
        <w:tc>
          <w:tcPr>
            <w:tcW w:type="dxa" w:w="1210"/>
            <w:shd w:val="clear" w:color="auto" w:fill="F6F1E6"/>
          </w:tcPr>
          <w:p>
            <w:pPr>
              <w:spacing w:after="20"/>
              <w:jc w:val="right"/>
            </w:pPr>
            <w:r>
              <w:rPr>
                <w:b/>
                <w:color w:val="1C3A36"/>
                <w:sz w:val="17"/>
              </w:rPr>
              <w:t>1,835</w:t>
            </w:r>
          </w:p>
        </w:tc>
        <w:tc>
          <w:tcPr>
            <w:tcW w:type="dxa" w:w="1210"/>
            <w:shd w:val="clear" w:color="auto" w:fill="F6F1E6"/>
          </w:tcPr>
          <w:p>
            <w:pPr>
              <w:spacing w:after="20"/>
              <w:jc w:val="right"/>
            </w:pPr>
            <w:r>
              <w:rPr>
                <w:b/>
                <w:color w:val="1C3A36"/>
                <w:sz w:val="17"/>
              </w:rPr>
              <w:t>2,036</w:t>
            </w:r>
          </w:p>
        </w:tc>
        <w:tc>
          <w:tcPr>
            <w:tcW w:type="dxa" w:w="1210"/>
            <w:shd w:val="clear" w:color="auto" w:fill="F6F1E6"/>
          </w:tcPr>
          <w:p>
            <w:pPr>
              <w:spacing w:after="20"/>
              <w:jc w:val="right"/>
            </w:pPr>
            <w:r>
              <w:rPr>
                <w:b/>
                <w:color w:val="1C3A36"/>
                <w:sz w:val="17"/>
              </w:rPr>
              <w:t>2,199</w:t>
            </w:r>
          </w:p>
        </w:tc>
        <w:tc>
          <w:tcPr>
            <w:tcW w:type="dxa" w:w="1210"/>
            <w:shd w:val="clear" w:color="auto" w:fill="F6F1E6"/>
          </w:tcPr>
          <w:p>
            <w:pPr>
              <w:spacing w:after="20"/>
              <w:jc w:val="right"/>
            </w:pPr>
            <w:r>
              <w:rPr>
                <w:b/>
                <w:color w:val="1C3A36"/>
                <w:sz w:val="17"/>
              </w:rPr>
              <w:t>2,342</w:t>
            </w:r>
          </w:p>
        </w:tc>
        <w:tc>
          <w:tcPr>
            <w:tcW w:type="dxa" w:w="1210"/>
            <w:shd w:val="clear" w:color="auto" w:fill="F6F1E6"/>
          </w:tcPr>
          <w:p>
            <w:pPr>
              <w:spacing w:after="20"/>
              <w:jc w:val="right"/>
            </w:pPr>
            <w:r>
              <w:rPr>
                <w:b/>
                <w:color w:val="1C3A36"/>
                <w:sz w:val="17"/>
              </w:rPr>
              <w:t>2,484</w:t>
            </w:r>
          </w:p>
        </w:tc>
      </w:tr>
    </w:tbl>
    <w:p>
      <w:pPr>
        <w:spacing w:after="40"/>
      </w:pPr>
    </w:p>
    <w:p>
      <w:pPr>
        <w:spacing w:after="200" w:before="0"/>
      </w:pPr>
      <w:r>
        <w:rPr>
          <w:b w:val="0"/>
          <w:i/>
          <w:color w:val="6E7B77"/>
          <w:sz w:val="17"/>
        </w:rPr>
        <w:t>Table 10 — The cost stack, on the two lines the company itself discloses. The first is note 24 of the audited accounts, "Raw materials, Supplies, fuel, power, packing sacks"; the second is note 25's transport and export costs together with note 24's own loading charge. THE ACCOUNTS DO NOT SPLIT THE FIRST LINE FURTHER, so neither does this model: an earlier edition built it from four industry rules of thumb that came to 29% less than the figure the company filed. The dollar-linked share of that line is estimated at 48% and is the one part of this table the accounts do not evidence; it is sensitised in section 1.9.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10"/>
        <w:gridCol w:w="1210"/>
        <w:gridCol w:w="1210"/>
        <w:gridCol w:w="1210"/>
        <w:gridCol w:w="1210"/>
        <w:gridCol w:w="1210"/>
      </w:tblGrid>
      <w:tr>
        <w:tc>
          <w:tcPr>
            <w:tcW w:type="dxa" w:w="2448"/>
            <w:shd w:val="clear" w:color="auto" w:fill="EAF0EE"/>
          </w:tcPr>
          <w:p>
            <w:pPr>
              <w:spacing w:after="20"/>
            </w:pPr>
            <w:r>
              <w:rPr>
                <w:b/>
                <w:color w:val="1C3A36"/>
                <w:sz w:val="17"/>
              </w:rPr>
              <w:t>EGP million</w:t>
            </w:r>
          </w:p>
        </w:tc>
        <w:tc>
          <w:tcPr>
            <w:tcW w:type="dxa" w:w="1210"/>
            <w:shd w:val="clear" w:color="auto" w:fill="EAF0EE"/>
          </w:tcPr>
          <w:p>
            <w:pPr>
              <w:spacing w:after="20"/>
            </w:pPr>
            <w:r>
              <w:rPr>
                <w:b/>
                <w:color w:val="1C3A36"/>
                <w:sz w:val="17"/>
              </w:rPr>
              <w:t>FY2025A</w:t>
            </w:r>
          </w:p>
        </w:tc>
        <w:tc>
          <w:tcPr>
            <w:tcW w:type="dxa" w:w="1210"/>
            <w:shd w:val="clear" w:color="auto" w:fill="EAF0EE"/>
          </w:tcPr>
          <w:p>
            <w:pPr>
              <w:spacing w:after="20"/>
            </w:pPr>
            <w:r>
              <w:rPr>
                <w:b/>
                <w:color w:val="1C3A36"/>
                <w:sz w:val="17"/>
              </w:rPr>
              <w:t>FY2026E</w:t>
            </w:r>
          </w:p>
        </w:tc>
        <w:tc>
          <w:tcPr>
            <w:tcW w:type="dxa" w:w="1210"/>
            <w:shd w:val="clear" w:color="auto" w:fill="EAF0EE"/>
          </w:tcPr>
          <w:p>
            <w:pPr>
              <w:spacing w:after="20"/>
            </w:pPr>
            <w:r>
              <w:rPr>
                <w:b/>
                <w:color w:val="1C3A36"/>
                <w:sz w:val="17"/>
              </w:rPr>
              <w:t>FY2027E</w:t>
            </w:r>
          </w:p>
        </w:tc>
        <w:tc>
          <w:tcPr>
            <w:tcW w:type="dxa" w:w="1210"/>
            <w:shd w:val="clear" w:color="auto" w:fill="EAF0EE"/>
          </w:tcPr>
          <w:p>
            <w:pPr>
              <w:spacing w:after="20"/>
            </w:pPr>
            <w:r>
              <w:rPr>
                <w:b/>
                <w:color w:val="1C3A36"/>
                <w:sz w:val="17"/>
              </w:rPr>
              <w:t>FY2028E</w:t>
            </w:r>
          </w:p>
        </w:tc>
        <w:tc>
          <w:tcPr>
            <w:tcW w:type="dxa" w:w="1210"/>
            <w:shd w:val="clear" w:color="auto" w:fill="EAF0EE"/>
          </w:tcPr>
          <w:p>
            <w:pPr>
              <w:spacing w:after="20"/>
            </w:pPr>
            <w:r>
              <w:rPr>
                <w:b/>
                <w:color w:val="1C3A36"/>
                <w:sz w:val="17"/>
              </w:rPr>
              <w:t>FY2029E</w:t>
            </w:r>
          </w:p>
        </w:tc>
        <w:tc>
          <w:tcPr>
            <w:tcW w:type="dxa" w:w="1210"/>
            <w:shd w:val="clear" w:color="auto" w:fill="EAF0EE"/>
          </w:tcPr>
          <w:p>
            <w:pPr>
              <w:spacing w:after="20"/>
            </w:pPr>
            <w:r>
              <w:rPr>
                <w:b/>
                <w:color w:val="1C3A36"/>
                <w:sz w:val="17"/>
              </w:rPr>
              <w:t>FY2030E</w:t>
            </w:r>
          </w:p>
        </w:tc>
      </w:tr>
      <w:tr>
        <w:tc>
          <w:tcPr>
            <w:tcW w:type="dxa" w:w="2448"/>
          </w:tcPr>
          <w:p>
            <w:pPr>
              <w:spacing w:after="20"/>
            </w:pPr>
            <w:r>
              <w:rPr>
                <w:color w:val="1C3A36"/>
                <w:sz w:val="17"/>
              </w:rPr>
              <w:t>Revenue</w:t>
            </w:r>
          </w:p>
        </w:tc>
        <w:tc>
          <w:tcPr>
            <w:tcW w:type="dxa" w:w="1210"/>
          </w:tcPr>
          <w:p>
            <w:pPr>
              <w:spacing w:after="20"/>
              <w:jc w:val="right"/>
            </w:pPr>
            <w:r>
              <w:rPr>
                <w:color w:val="1C3A36"/>
                <w:sz w:val="17"/>
              </w:rPr>
              <w:t>9,098</w:t>
            </w:r>
          </w:p>
        </w:tc>
        <w:tc>
          <w:tcPr>
            <w:tcW w:type="dxa" w:w="1210"/>
          </w:tcPr>
          <w:p>
            <w:pPr>
              <w:spacing w:after="20"/>
              <w:jc w:val="right"/>
            </w:pPr>
            <w:r>
              <w:rPr>
                <w:color w:val="1C3A36"/>
                <w:sz w:val="17"/>
              </w:rPr>
              <w:t>10,550</w:t>
            </w:r>
          </w:p>
        </w:tc>
        <w:tc>
          <w:tcPr>
            <w:tcW w:type="dxa" w:w="1210"/>
          </w:tcPr>
          <w:p>
            <w:pPr>
              <w:spacing w:after="20"/>
              <w:jc w:val="right"/>
            </w:pPr>
            <w:r>
              <w:rPr>
                <w:color w:val="1C3A36"/>
                <w:sz w:val="17"/>
              </w:rPr>
              <w:t>12,015</w:t>
            </w:r>
          </w:p>
        </w:tc>
        <w:tc>
          <w:tcPr>
            <w:tcW w:type="dxa" w:w="1210"/>
          </w:tcPr>
          <w:p>
            <w:pPr>
              <w:spacing w:after="20"/>
              <w:jc w:val="right"/>
            </w:pPr>
            <w:r>
              <w:rPr>
                <w:color w:val="1C3A36"/>
                <w:sz w:val="17"/>
              </w:rPr>
              <w:t>13,316</w:t>
            </w:r>
          </w:p>
        </w:tc>
        <w:tc>
          <w:tcPr>
            <w:tcW w:type="dxa" w:w="1210"/>
          </w:tcPr>
          <w:p>
            <w:pPr>
              <w:spacing w:after="20"/>
              <w:jc w:val="right"/>
            </w:pPr>
            <w:r>
              <w:rPr>
                <w:color w:val="1C3A36"/>
                <w:sz w:val="17"/>
              </w:rPr>
              <w:t>14,560</w:t>
            </w:r>
          </w:p>
        </w:tc>
        <w:tc>
          <w:tcPr>
            <w:tcW w:type="dxa" w:w="1210"/>
          </w:tcPr>
          <w:p>
            <w:pPr>
              <w:spacing w:after="20"/>
              <w:jc w:val="right"/>
            </w:pPr>
            <w:r>
              <w:rPr>
                <w:color w:val="1C3A36"/>
                <w:sz w:val="17"/>
              </w:rPr>
              <w:t>15,848</w:t>
            </w:r>
          </w:p>
        </w:tc>
      </w:tr>
      <w:tr>
        <w:tc>
          <w:tcPr>
            <w:tcW w:type="dxa" w:w="2448"/>
          </w:tcPr>
          <w:p>
            <w:pPr>
              <w:spacing w:after="20"/>
            </w:pPr>
            <w:r>
              <w:rPr>
                <w:color w:val="1C3A36"/>
                <w:sz w:val="17"/>
              </w:rPr>
              <w:t>Variable cost</w:t>
            </w:r>
          </w:p>
        </w:tc>
        <w:tc>
          <w:tcPr>
            <w:tcW w:type="dxa" w:w="1210"/>
          </w:tcPr>
          <w:p>
            <w:pPr>
              <w:spacing w:after="20"/>
              <w:jc w:val="right"/>
            </w:pPr>
            <w:r>
              <w:rPr>
                <w:color w:val="1C3A36"/>
                <w:sz w:val="17"/>
              </w:rPr>
              <w:t>4,363</w:t>
            </w:r>
          </w:p>
        </w:tc>
        <w:tc>
          <w:tcPr>
            <w:tcW w:type="dxa" w:w="1210"/>
          </w:tcPr>
          <w:p>
            <w:pPr>
              <w:spacing w:after="20"/>
              <w:jc w:val="right"/>
            </w:pPr>
            <w:r>
              <w:rPr>
                <w:color w:val="1C3A36"/>
                <w:sz w:val="17"/>
              </w:rPr>
              <w:t>5,000</w:t>
            </w:r>
          </w:p>
        </w:tc>
        <w:tc>
          <w:tcPr>
            <w:tcW w:type="dxa" w:w="1210"/>
          </w:tcPr>
          <w:p>
            <w:pPr>
              <w:spacing w:after="20"/>
              <w:jc w:val="right"/>
            </w:pPr>
            <w:r>
              <w:rPr>
                <w:color w:val="1C3A36"/>
                <w:sz w:val="17"/>
              </w:rPr>
              <w:t>5,687</w:t>
            </w:r>
          </w:p>
        </w:tc>
        <w:tc>
          <w:tcPr>
            <w:tcW w:type="dxa" w:w="1210"/>
          </w:tcPr>
          <w:p>
            <w:pPr>
              <w:spacing w:after="20"/>
              <w:jc w:val="right"/>
            </w:pPr>
            <w:r>
              <w:rPr>
                <w:color w:val="1C3A36"/>
                <w:sz w:val="17"/>
              </w:rPr>
              <w:t>6,291</w:t>
            </w:r>
          </w:p>
        </w:tc>
        <w:tc>
          <w:tcPr>
            <w:tcW w:type="dxa" w:w="1210"/>
          </w:tcPr>
          <w:p>
            <w:pPr>
              <w:spacing w:after="20"/>
              <w:jc w:val="right"/>
            </w:pPr>
            <w:r>
              <w:rPr>
                <w:color w:val="1C3A36"/>
                <w:sz w:val="17"/>
              </w:rPr>
              <w:t>6,871</w:t>
            </w:r>
          </w:p>
        </w:tc>
        <w:tc>
          <w:tcPr>
            <w:tcW w:type="dxa" w:w="1210"/>
          </w:tcPr>
          <w:p>
            <w:pPr>
              <w:spacing w:after="20"/>
              <w:jc w:val="right"/>
            </w:pPr>
            <w:r>
              <w:rPr>
                <w:color w:val="1C3A36"/>
                <w:sz w:val="17"/>
              </w:rPr>
              <w:t>7,465</w:t>
            </w:r>
          </w:p>
        </w:tc>
      </w:tr>
      <w:tr>
        <w:tc>
          <w:tcPr>
            <w:tcW w:type="dxa" w:w="2448"/>
          </w:tcPr>
          <w:p>
            <w:pPr>
              <w:spacing w:after="20"/>
            </w:pPr>
            <w:r>
              <w:rPr>
                <w:color w:val="1C3A36"/>
                <w:sz w:val="17"/>
              </w:rPr>
              <w:t>Fixed cost</w:t>
            </w:r>
          </w:p>
        </w:tc>
        <w:tc>
          <w:tcPr>
            <w:tcW w:type="dxa" w:w="1210"/>
          </w:tcPr>
          <w:p>
            <w:pPr>
              <w:spacing w:after="20"/>
              <w:jc w:val="right"/>
            </w:pPr>
            <w:r>
              <w:rPr>
                <w:color w:val="1C3A36"/>
                <w:sz w:val="17"/>
              </w:rPr>
              <w:t>1,271</w:t>
            </w:r>
          </w:p>
        </w:tc>
        <w:tc>
          <w:tcPr>
            <w:tcW w:type="dxa" w:w="1210"/>
          </w:tcPr>
          <w:p>
            <w:pPr>
              <w:spacing w:after="20"/>
              <w:jc w:val="right"/>
            </w:pPr>
            <w:r>
              <w:rPr>
                <w:color w:val="1C3A36"/>
                <w:sz w:val="17"/>
              </w:rPr>
              <w:t>1,474</w:t>
            </w:r>
          </w:p>
        </w:tc>
        <w:tc>
          <w:tcPr>
            <w:tcW w:type="dxa" w:w="1210"/>
          </w:tcPr>
          <w:p>
            <w:pPr>
              <w:spacing w:after="20"/>
              <w:jc w:val="right"/>
            </w:pPr>
            <w:r>
              <w:rPr>
                <w:color w:val="1C3A36"/>
                <w:sz w:val="17"/>
              </w:rPr>
              <w:t>1,651</w:t>
            </w:r>
          </w:p>
        </w:tc>
        <w:tc>
          <w:tcPr>
            <w:tcW w:type="dxa" w:w="1210"/>
          </w:tcPr>
          <w:p>
            <w:pPr>
              <w:spacing w:after="20"/>
              <w:jc w:val="right"/>
            </w:pPr>
            <w:r>
              <w:rPr>
                <w:color w:val="1C3A36"/>
                <w:sz w:val="17"/>
              </w:rPr>
              <w:t>1,800</w:t>
            </w:r>
          </w:p>
        </w:tc>
        <w:tc>
          <w:tcPr>
            <w:tcW w:type="dxa" w:w="1210"/>
          </w:tcPr>
          <w:p>
            <w:pPr>
              <w:spacing w:after="20"/>
              <w:jc w:val="right"/>
            </w:pPr>
            <w:r>
              <w:rPr>
                <w:color w:val="1C3A36"/>
                <w:sz w:val="17"/>
              </w:rPr>
              <w:t>1,935</w:t>
            </w:r>
          </w:p>
        </w:tc>
        <w:tc>
          <w:tcPr>
            <w:tcW w:type="dxa" w:w="1210"/>
          </w:tcPr>
          <w:p>
            <w:pPr>
              <w:spacing w:after="20"/>
              <w:jc w:val="right"/>
            </w:pPr>
            <w:r>
              <w:rPr>
                <w:color w:val="1C3A36"/>
                <w:sz w:val="17"/>
              </w:rPr>
              <w:t>2,070</w:t>
            </w:r>
          </w:p>
        </w:tc>
      </w:tr>
      <w:tr>
        <w:tc>
          <w:tcPr>
            <w:tcW w:type="dxa" w:w="2448"/>
            <w:shd w:val="clear" w:color="auto" w:fill="F6F1E6"/>
          </w:tcPr>
          <w:p>
            <w:pPr>
              <w:spacing w:after="20"/>
            </w:pPr>
            <w:r>
              <w:rPr>
                <w:b/>
                <w:color w:val="1C3A36"/>
                <w:sz w:val="17"/>
              </w:rPr>
              <w:t>EBITDA — an OUTPUT</w:t>
            </w:r>
          </w:p>
        </w:tc>
        <w:tc>
          <w:tcPr>
            <w:tcW w:type="dxa" w:w="1210"/>
            <w:shd w:val="clear" w:color="auto" w:fill="F6F1E6"/>
          </w:tcPr>
          <w:p>
            <w:pPr>
              <w:spacing w:after="20"/>
              <w:jc w:val="right"/>
            </w:pPr>
            <w:r>
              <w:rPr>
                <w:b/>
                <w:color w:val="1C3A36"/>
                <w:sz w:val="17"/>
              </w:rPr>
              <w:t>3,464</w:t>
            </w:r>
          </w:p>
        </w:tc>
        <w:tc>
          <w:tcPr>
            <w:tcW w:type="dxa" w:w="1210"/>
            <w:shd w:val="clear" w:color="auto" w:fill="F6F1E6"/>
          </w:tcPr>
          <w:p>
            <w:pPr>
              <w:spacing w:after="20"/>
              <w:jc w:val="right"/>
            </w:pPr>
            <w:r>
              <w:rPr>
                <w:b/>
                <w:color w:val="1C3A36"/>
                <w:sz w:val="17"/>
              </w:rPr>
              <w:t>4,076</w:t>
            </w:r>
          </w:p>
        </w:tc>
        <w:tc>
          <w:tcPr>
            <w:tcW w:type="dxa" w:w="1210"/>
            <w:shd w:val="clear" w:color="auto" w:fill="F6F1E6"/>
          </w:tcPr>
          <w:p>
            <w:pPr>
              <w:spacing w:after="20"/>
              <w:jc w:val="right"/>
            </w:pPr>
            <w:r>
              <w:rPr>
                <w:b/>
                <w:color w:val="1C3A36"/>
                <w:sz w:val="17"/>
              </w:rPr>
              <w:t>4,677</w:t>
            </w:r>
          </w:p>
        </w:tc>
        <w:tc>
          <w:tcPr>
            <w:tcW w:type="dxa" w:w="1210"/>
            <w:shd w:val="clear" w:color="auto" w:fill="F6F1E6"/>
          </w:tcPr>
          <w:p>
            <w:pPr>
              <w:spacing w:after="20"/>
              <w:jc w:val="right"/>
            </w:pPr>
            <w:r>
              <w:rPr>
                <w:b/>
                <w:color w:val="1C3A36"/>
                <w:sz w:val="17"/>
              </w:rPr>
              <w:t>5,225</w:t>
            </w:r>
          </w:p>
        </w:tc>
        <w:tc>
          <w:tcPr>
            <w:tcW w:type="dxa" w:w="1210"/>
            <w:shd w:val="clear" w:color="auto" w:fill="F6F1E6"/>
          </w:tcPr>
          <w:p>
            <w:pPr>
              <w:spacing w:after="20"/>
              <w:jc w:val="right"/>
            </w:pPr>
            <w:r>
              <w:rPr>
                <w:b/>
                <w:color w:val="1C3A36"/>
                <w:sz w:val="17"/>
              </w:rPr>
              <w:t>5,754</w:t>
            </w:r>
          </w:p>
        </w:tc>
        <w:tc>
          <w:tcPr>
            <w:tcW w:type="dxa" w:w="1210"/>
            <w:shd w:val="clear" w:color="auto" w:fill="F6F1E6"/>
          </w:tcPr>
          <w:p>
            <w:pPr>
              <w:spacing w:after="20"/>
              <w:jc w:val="right"/>
            </w:pPr>
            <w:r>
              <w:rPr>
                <w:b/>
                <w:color w:val="1C3A36"/>
                <w:sz w:val="17"/>
              </w:rPr>
              <w:t>6,313</w:t>
            </w:r>
          </w:p>
        </w:tc>
      </w:tr>
      <w:tr>
        <w:tc>
          <w:tcPr>
            <w:tcW w:type="dxa" w:w="2448"/>
          </w:tcPr>
          <w:p>
            <w:pPr>
              <w:spacing w:after="20"/>
            </w:pPr>
            <w:r>
              <w:rPr>
                <w:color w:val="1C3A36"/>
                <w:sz w:val="17"/>
              </w:rPr>
              <w:t>EBITDA margin</w:t>
            </w:r>
          </w:p>
        </w:tc>
        <w:tc>
          <w:tcPr>
            <w:tcW w:type="dxa" w:w="1210"/>
          </w:tcPr>
          <w:p>
            <w:pPr>
              <w:spacing w:after="20"/>
              <w:jc w:val="right"/>
            </w:pPr>
            <w:r>
              <w:rPr>
                <w:color w:val="1C3A36"/>
                <w:sz w:val="17"/>
              </w:rPr>
              <w:t>38.1%</w:t>
            </w:r>
          </w:p>
        </w:tc>
        <w:tc>
          <w:tcPr>
            <w:tcW w:type="dxa" w:w="1210"/>
          </w:tcPr>
          <w:p>
            <w:pPr>
              <w:spacing w:after="20"/>
              <w:jc w:val="right"/>
            </w:pPr>
            <w:r>
              <w:rPr>
                <w:color w:val="1C3A36"/>
                <w:sz w:val="17"/>
              </w:rPr>
              <w:t>38.6%</w:t>
            </w:r>
          </w:p>
        </w:tc>
        <w:tc>
          <w:tcPr>
            <w:tcW w:type="dxa" w:w="1210"/>
          </w:tcPr>
          <w:p>
            <w:pPr>
              <w:spacing w:after="20"/>
              <w:jc w:val="right"/>
            </w:pPr>
            <w:r>
              <w:rPr>
                <w:color w:val="1C3A36"/>
                <w:sz w:val="17"/>
              </w:rPr>
              <w:t>38.9%</w:t>
            </w:r>
          </w:p>
        </w:tc>
        <w:tc>
          <w:tcPr>
            <w:tcW w:type="dxa" w:w="1210"/>
          </w:tcPr>
          <w:p>
            <w:pPr>
              <w:spacing w:after="20"/>
              <w:jc w:val="right"/>
            </w:pPr>
            <w:r>
              <w:rPr>
                <w:color w:val="1C3A36"/>
                <w:sz w:val="17"/>
              </w:rPr>
              <w:t>39.2%</w:t>
            </w:r>
          </w:p>
        </w:tc>
        <w:tc>
          <w:tcPr>
            <w:tcW w:type="dxa" w:w="1210"/>
          </w:tcPr>
          <w:p>
            <w:pPr>
              <w:spacing w:after="20"/>
              <w:jc w:val="right"/>
            </w:pPr>
            <w:r>
              <w:rPr>
                <w:color w:val="1C3A36"/>
                <w:sz w:val="17"/>
              </w:rPr>
              <w:t>39.5%</w:t>
            </w:r>
          </w:p>
        </w:tc>
        <w:tc>
          <w:tcPr>
            <w:tcW w:type="dxa" w:w="1210"/>
          </w:tcPr>
          <w:p>
            <w:pPr>
              <w:spacing w:after="20"/>
              <w:jc w:val="right"/>
            </w:pPr>
            <w:r>
              <w:rPr>
                <w:color w:val="1C3A36"/>
                <w:sz w:val="17"/>
              </w:rPr>
              <w:t>39.8%</w:t>
            </w:r>
          </w:p>
        </w:tc>
      </w:tr>
    </w:tbl>
    <w:p>
      <w:pPr>
        <w:spacing w:after="40"/>
      </w:pPr>
    </w:p>
    <w:p>
      <w:pPr>
        <w:spacing w:after="200" w:before="0"/>
      </w:pPr>
      <w:r>
        <w:rPr>
          <w:b w:val="0"/>
          <w:i/>
          <w:color w:val="6E7B77"/>
          <w:sz w:val="17"/>
        </w:rPr>
        <w:t>Table 11 — And the result. The FY2026 margin is not chosen; it emerges from the cost stack meeting the price path.</w:t>
      </w:r>
    </w:p>
    <w:p>
      <w:pPr>
        <w:spacing w:after="80" w:before="200"/>
      </w:pPr>
      <w:r>
        <w:rPr>
          <w:b/>
          <w:i w:val="0"/>
          <w:color w:val="1C3A36"/>
          <w:sz w:val="24"/>
        </w:rPr>
        <w:t>Does the build reproduce the company? A test that can fail</w:t>
      </w:r>
    </w:p>
    <w:p>
      <w:pPr>
        <w:spacing w:after="120" w:before="0"/>
      </w:pPr>
      <w:r>
        <w:rPr>
          <w:b w:val="0"/>
          <w:i w:val="0"/>
          <w:color w:val="1C3A36"/>
          <w:sz w:val="21"/>
        </w:rPr>
        <w:t>A driver build is only worth having if it can be wrong. Nothing above was solved to match the accounts — every cost driver is an independent physical or market norm — so the comparison below is a genuine test rather than a restatement.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232"/>
        <w:gridCol w:w="2232"/>
        <w:gridCol w:w="1872"/>
      </w:tblGrid>
      <w:tr>
        <w:tc>
          <w:tcPr>
            <w:tcW w:type="dxa" w:w="3456"/>
            <w:shd w:val="clear" w:color="auto" w:fill="EAF0EE"/>
          </w:tcPr>
          <w:p>
            <w:pPr>
              <w:spacing w:after="20"/>
            </w:pPr>
            <w:r>
              <w:rPr>
                <w:b/>
                <w:color w:val="1C3A36"/>
                <w:sz w:val="18"/>
              </w:rPr>
            </w:r>
          </w:p>
        </w:tc>
        <w:tc>
          <w:tcPr>
            <w:tcW w:type="dxa" w:w="2232"/>
            <w:shd w:val="clear" w:color="auto" w:fill="EAF0EE"/>
          </w:tcPr>
          <w:p>
            <w:pPr>
              <w:spacing w:after="20"/>
            </w:pPr>
            <w:r>
              <w:rPr>
                <w:b/>
                <w:color w:val="1C3A36"/>
                <w:sz w:val="18"/>
              </w:rPr>
              <w:t>Bottom-up build</w:t>
            </w:r>
          </w:p>
        </w:tc>
        <w:tc>
          <w:tcPr>
            <w:tcW w:type="dxa" w:w="2232"/>
            <w:shd w:val="clear" w:color="auto" w:fill="EAF0EE"/>
          </w:tcPr>
          <w:p>
            <w:pPr>
              <w:spacing w:after="20"/>
            </w:pPr>
            <w:r>
              <w:rPr>
                <w:b/>
                <w:color w:val="1C3A36"/>
                <w:sz w:val="18"/>
              </w:rPr>
              <w:t>The company</w:t>
            </w:r>
          </w:p>
        </w:tc>
        <w:tc>
          <w:tcPr>
            <w:tcW w:type="dxa" w:w="1872"/>
            <w:shd w:val="clear" w:color="auto" w:fill="EAF0EE"/>
          </w:tcPr>
          <w:p>
            <w:pPr>
              <w:spacing w:after="20"/>
            </w:pPr>
            <w:r>
              <w:rPr>
                <w:b/>
                <w:color w:val="1C3A36"/>
                <w:sz w:val="18"/>
              </w:rPr>
              <w:t>Difference</w:t>
            </w:r>
          </w:p>
        </w:tc>
      </w:tr>
      <w:tr>
        <w:tc>
          <w:tcPr>
            <w:tcW w:type="dxa" w:w="3456"/>
          </w:tcPr>
          <w:p>
            <w:pPr>
              <w:spacing w:after="20"/>
            </w:pPr>
            <w:r>
              <w:rPr>
                <w:color w:val="1C3A36"/>
                <w:sz w:val="18"/>
              </w:rPr>
              <w:t>FY2025 revenue (EGP mn)</w:t>
            </w:r>
          </w:p>
        </w:tc>
        <w:tc>
          <w:tcPr>
            <w:tcW w:type="dxa" w:w="2232"/>
          </w:tcPr>
          <w:p>
            <w:pPr>
              <w:spacing w:after="20"/>
              <w:jc w:val="right"/>
            </w:pPr>
            <w:r>
              <w:rPr>
                <w:color w:val="1C3A36"/>
                <w:sz w:val="18"/>
              </w:rPr>
              <w:t>9,098</w:t>
            </w:r>
          </w:p>
        </w:tc>
        <w:tc>
          <w:tcPr>
            <w:tcW w:type="dxa" w:w="2232"/>
          </w:tcPr>
          <w:p>
            <w:pPr>
              <w:spacing w:after="20"/>
              <w:jc w:val="right"/>
            </w:pPr>
            <w:r>
              <w:rPr>
                <w:color w:val="1C3A36"/>
                <w:sz w:val="18"/>
              </w:rPr>
              <w:t>9,089</w:t>
            </w:r>
          </w:p>
        </w:tc>
        <w:tc>
          <w:tcPr>
            <w:tcW w:type="dxa" w:w="1872"/>
          </w:tcPr>
          <w:p>
            <w:pPr>
              <w:spacing w:after="20"/>
              <w:jc w:val="right"/>
            </w:pPr>
            <w:r>
              <w:rPr>
                <w:color w:val="1C3A36"/>
                <w:sz w:val="18"/>
              </w:rPr>
              <w:t>+0.10%</w:t>
            </w:r>
          </w:p>
        </w:tc>
      </w:tr>
      <w:tr>
        <w:tc>
          <w:tcPr>
            <w:tcW w:type="dxa" w:w="3456"/>
          </w:tcPr>
          <w:p>
            <w:pPr>
              <w:spacing w:after="20"/>
            </w:pPr>
            <w:r>
              <w:rPr>
                <w:color w:val="1C3A36"/>
                <w:sz w:val="18"/>
              </w:rPr>
              <w:t>FY2025 EBITDA (EGP mn)</w:t>
            </w:r>
          </w:p>
        </w:tc>
        <w:tc>
          <w:tcPr>
            <w:tcW w:type="dxa" w:w="2232"/>
          </w:tcPr>
          <w:p>
            <w:pPr>
              <w:spacing w:after="20"/>
              <w:jc w:val="right"/>
            </w:pPr>
            <w:r>
              <w:rPr>
                <w:color w:val="1C3A36"/>
                <w:sz w:val="18"/>
              </w:rPr>
              <w:t>3,464</w:t>
            </w:r>
          </w:p>
        </w:tc>
        <w:tc>
          <w:tcPr>
            <w:tcW w:type="dxa" w:w="2232"/>
          </w:tcPr>
          <w:p>
            <w:pPr>
              <w:spacing w:after="20"/>
              <w:jc w:val="right"/>
            </w:pPr>
            <w:r>
              <w:rPr>
                <w:color w:val="1C3A36"/>
                <w:sz w:val="18"/>
              </w:rPr>
              <w:t>3,455</w:t>
            </w:r>
          </w:p>
        </w:tc>
        <w:tc>
          <w:tcPr>
            <w:tcW w:type="dxa" w:w="1872"/>
          </w:tcPr>
          <w:p>
            <w:pPr>
              <w:spacing w:after="20"/>
              <w:jc w:val="right"/>
            </w:pPr>
            <w:r>
              <w:rPr>
                <w:color w:val="1C3A36"/>
                <w:sz w:val="18"/>
              </w:rPr>
              <w:t>+0.26%</w:t>
            </w:r>
          </w:p>
        </w:tc>
      </w:tr>
    </w:tbl>
    <w:p>
      <w:pPr>
        <w:spacing w:after="40"/>
      </w:pPr>
    </w:p>
    <w:p>
      <w:pPr>
        <w:spacing w:after="200" w:before="0"/>
      </w:pPr>
      <w:r>
        <w:rPr>
          <w:b w:val="0"/>
          <w:i/>
          <w:color w:val="6E7B77"/>
          <w:sz w:val="17"/>
        </w:rPr>
        <w:t>Table 12 — The validation. The right-hand column is EBITDA implied by closing the disclosed profit at the effective tax rate on the reported cash balance.</w:t>
      </w:r>
    </w:p>
    <w:p>
      <w:pPr>
        <w:spacing w:after="120" w:before="0"/>
      </w:pPr>
      <w:r>
        <w:rPr>
          <w:b w:val="0"/>
          <w:i w:val="0"/>
          <w:color w:val="1C3A36"/>
          <w:sz w:val="21"/>
        </w:rPr>
        <w:t>It is worth being explicit about why this matters. A build that solved realised price as revenue divided by volume would reproduce revenue exactly — for any volume assumption whatsoever — because price would be the plug. That is an identity, not a check. Here volume comes from capacity and utilisation, price comes from the market, and revenue is the product; if either were wrong the difference above would show it.</w:t>
      </w:r>
    </w:p>
    <w:p>
      <w:pPr>
        <w:spacing w:after="120" w:before="0"/>
      </w:pPr>
      <w:r>
        <w:rPr>
          <w:b w:val="0"/>
          <w:i w:val="0"/>
          <w:color w:val="1C3A36"/>
          <w:sz w:val="21"/>
        </w:rPr>
        <w:t>The price path deserves scrutiny. Nominal realised prices rise 4.5% to 6.0% a year across the forecast. Against Egyptian inflation running near 14% in 2026 and easing toward the central bank's 7% and then 5% targets, that is a REAL price decline in every single year — which is what a supply glut does to pricing power.</w:t>
      </w:r>
    </w:p>
    <w:p>
      <w:pPr>
        <w:spacing w:after="80" w:before="200"/>
      </w:pPr>
      <w:r>
        <w:rPr>
          <w:b/>
          <w:i w:val="0"/>
          <w:color w:val="1C3A36"/>
          <w:sz w:val="24"/>
        </w:rPr>
        <w:t>1.7  The crux — the cycle first, the capacity revival second, the cash third</w:t>
      </w:r>
    </w:p>
    <w:p>
      <w:pPr>
        <w:spacing w:after="120" w:before="0"/>
      </w:pPr>
      <w:r>
        <w:rPr>
          <w:b w:val="0"/>
          <w:i w:val="0"/>
          <w:color w:val="1C3A36"/>
          <w:sz w:val="21"/>
        </w:rPr>
        <w:t>Three things decide this valuation, in this order.</w:t>
      </w:r>
    </w:p>
    <w:p>
      <w:pPr>
        <w:pStyle w:val="ListBullet"/>
        <w:spacing w:after="60"/>
      </w:pPr>
      <w:r>
        <w:rPr>
          <w:b/>
          <w:color w:val="1C3A36"/>
          <w:sz w:val="21"/>
        </w:rPr>
        <w:t xml:space="preserve">The structural surplus. </w:t>
      </w:r>
      <w:r>
        <w:rPr>
          <w:color w:val="1C3A36"/>
          <w:sz w:val="21"/>
        </w:rPr>
        <w:t>Egypt can already make far more cement than it uses. Nameplate capacity is 76 million tonnes a year against domestic consumption of 54 million. Exports of 18.5 million tonnes absorb much of the gap, but they fell about 6% in 2025 even as the domestic market boomed.</w:t>
      </w:r>
    </w:p>
    <w:p>
      <w:pPr>
        <w:pStyle w:val="ListBullet"/>
        <w:spacing w:after="60"/>
      </w:pPr>
      <w:r>
        <w:rPr>
          <w:b/>
          <w:color w:val="1C3A36"/>
          <w:sz w:val="21"/>
        </w:rPr>
        <w:t xml:space="preserve">The revival programme. </w:t>
      </w:r>
      <w:r>
        <w:rPr>
          <w:color w:val="1C3A36"/>
          <w:sz w:val="21"/>
        </w:rPr>
        <w:t>Between seven and nine dormant production lines are under study for revival, potentially adding 12.6 million tonnes from the second half of 2026 — about 23% of domestic consumption, arriving inside the forecast window. Restarting a mothballed line costs a fraction of building a new one, which is precisely why the threat is credible and why the asset lens should not be read as a floor.</w:t>
      </w:r>
    </w:p>
    <w:p>
      <w:pPr>
        <w:pStyle w:val="ListBullet"/>
        <w:spacing w:after="60"/>
      </w:pPr>
      <w:r>
        <w:rPr>
          <w:b/>
          <w:color w:val="1C3A36"/>
          <w:sz w:val="21"/>
        </w:rPr>
        <w:t xml:space="preserve">The cash. </w:t>
      </w:r>
      <w:r>
        <w:rPr>
          <w:color w:val="1C3A36"/>
          <w:sz w:val="21"/>
        </w:rPr>
        <w:t>Net cash of EGP 6,555 million is 37% of the market capitalisation. It is why profit after tax exceeds EBITDA — a cash pile earning Egyptian policy rates throws off more than the plant does in a weak year — and it is why the equity is far less risky than the operating business alone. It is also the lens with the most uncertainty attached, for reasons section 7 sets out.</w:t>
      </w:r>
    </w:p>
    <w:p>
      <w:pPr>
        <w:spacing w:after="40"/>
        <w:jc w:val="center"/>
      </w:pPr>
      <w:r>
        <w:drawing>
          <wp:inline xmlns:a="http://schemas.openxmlformats.org/drawingml/2006/main" xmlns:pic="http://schemas.openxmlformats.org/drawingml/2006/picture">
            <wp:extent cx="6035040" cy="2481072"/>
            <wp:docPr id="3" name="Picture 3"/>
            <wp:cNvGraphicFramePr>
              <a:graphicFrameLocks noChangeAspect="1"/>
            </wp:cNvGraphicFramePr>
            <a:graphic>
              <a:graphicData uri="http://schemas.openxmlformats.org/drawingml/2006/picture">
                <pic:pic>
                  <pic:nvPicPr>
                    <pic:cNvPr id="0" name="fig8_sector.png"/>
                    <pic:cNvPicPr/>
                  </pic:nvPicPr>
                  <pic:blipFill>
                    <a:blip r:embed="rId11"/>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3 — The Egyptian cement balance. The surplus, and what is queuing to join it.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cost of equity starts from the Egyptian ten-year government yield of 23.00%. That yield is high largely because of Egypt's own sovereign default risk, so charging a country equity premium on top of it without adjustment would count that risk twice. The sovereign default spread is therefore netted out of the risk-free rate before the premium is added.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808"/>
        <w:gridCol w:w="2808"/>
      </w:tblGrid>
      <w:tr>
        <w:tc>
          <w:tcPr>
            <w:tcW w:type="dxa" w:w="4104"/>
            <w:shd w:val="clear" w:color="auto" w:fill="EAF0EE"/>
          </w:tcPr>
          <w:p>
            <w:pPr>
              <w:spacing w:after="20"/>
            </w:pPr>
            <w:r>
              <w:rPr>
                <w:b/>
                <w:color w:val="1C3A36"/>
                <w:sz w:val="18"/>
              </w:rPr>
            </w:r>
          </w:p>
        </w:tc>
        <w:tc>
          <w:tcPr>
            <w:tcW w:type="dxa" w:w="2808"/>
            <w:shd w:val="clear" w:color="auto" w:fill="EAF0EE"/>
          </w:tcPr>
          <w:p>
            <w:pPr>
              <w:spacing w:after="20"/>
            </w:pPr>
            <w:r>
              <w:rPr>
                <w:b/>
                <w:color w:val="1C3A36"/>
                <w:sz w:val="18"/>
              </w:rPr>
              <w:t>Explicit window</w:t>
            </w:r>
          </w:p>
        </w:tc>
        <w:tc>
          <w:tcPr>
            <w:tcW w:type="dxa" w:w="2808"/>
            <w:shd w:val="clear" w:color="auto" w:fill="EAF0EE"/>
          </w:tcPr>
          <w:p>
            <w:pPr>
              <w:spacing w:after="20"/>
            </w:pPr>
            <w:r>
              <w:rPr>
                <w:b/>
                <w:color w:val="1C3A36"/>
                <w:sz w:val="18"/>
              </w:rPr>
              <w:t>Terminal</w:t>
            </w:r>
          </w:p>
        </w:tc>
      </w:tr>
      <w:tr>
        <w:tc>
          <w:tcPr>
            <w:tcW w:type="dxa" w:w="4104"/>
          </w:tcPr>
          <w:p>
            <w:pPr>
              <w:spacing w:after="20"/>
            </w:pPr>
            <w:r>
              <w:rPr>
                <w:color w:val="1C3A36"/>
                <w:sz w:val="18"/>
              </w:rPr>
              <w:t>Risk-free rate</w:t>
            </w:r>
          </w:p>
        </w:tc>
        <w:tc>
          <w:tcPr>
            <w:tcW w:type="dxa" w:w="2808"/>
          </w:tcPr>
          <w:p>
            <w:pPr>
              <w:spacing w:after="20"/>
              <w:jc w:val="right"/>
            </w:pPr>
            <w:r>
              <w:rPr>
                <w:color w:val="1C3A36"/>
                <w:sz w:val="18"/>
              </w:rPr>
              <w:t>23.00%</w:t>
            </w:r>
          </w:p>
        </w:tc>
        <w:tc>
          <w:tcPr>
            <w:tcW w:type="dxa" w:w="2808"/>
          </w:tcPr>
          <w:p>
            <w:pPr>
              <w:spacing w:after="20"/>
              <w:jc w:val="right"/>
            </w:pPr>
            <w:r>
              <w:rPr>
                <w:color w:val="1C3A36"/>
                <w:sz w:val="18"/>
              </w:rPr>
              <w:t>12.50%</w:t>
            </w:r>
          </w:p>
        </w:tc>
      </w:tr>
      <w:tr>
        <w:tc>
          <w:tcPr>
            <w:tcW w:type="dxa" w:w="4104"/>
          </w:tcPr>
          <w:p>
            <w:pPr>
              <w:spacing w:after="20"/>
            </w:pPr>
            <w:r>
              <w:rPr>
                <w:color w:val="1C3A36"/>
                <w:sz w:val="18"/>
              </w:rPr>
              <w:t>Less sovereign default spread</w:t>
            </w:r>
          </w:p>
        </w:tc>
        <w:tc>
          <w:tcPr>
            <w:tcW w:type="dxa" w:w="2808"/>
          </w:tcPr>
          <w:p>
            <w:pPr>
              <w:spacing w:after="20"/>
              <w:jc w:val="right"/>
            </w:pPr>
            <w:r>
              <w:rPr>
                <w:color w:val="1C3A36"/>
                <w:sz w:val="18"/>
              </w:rPr>
              <w:t>-3.40%</w:t>
            </w:r>
          </w:p>
        </w:tc>
        <w:tc>
          <w:tcPr>
            <w:tcW w:type="dxa" w:w="2808"/>
          </w:tcPr>
          <w:p>
            <w:pPr>
              <w:spacing w:after="20"/>
              <w:jc w:val="right"/>
            </w:pPr>
            <w:r>
              <w:rPr>
                <w:color w:val="1C3A36"/>
                <w:sz w:val="18"/>
              </w:rPr>
              <w:t>—</w:t>
            </w:r>
          </w:p>
        </w:tc>
      </w:tr>
      <w:tr>
        <w:tc>
          <w:tcPr>
            <w:tcW w:type="dxa" w:w="4104"/>
          </w:tcPr>
          <w:p>
            <w:pPr>
              <w:spacing w:after="20"/>
            </w:pPr>
            <w:r>
              <w:rPr>
                <w:color w:val="1C3A36"/>
                <w:sz w:val="18"/>
              </w:rPr>
              <w:t>Normalised risk-free rate</w:t>
            </w:r>
          </w:p>
        </w:tc>
        <w:tc>
          <w:tcPr>
            <w:tcW w:type="dxa" w:w="2808"/>
          </w:tcPr>
          <w:p>
            <w:pPr>
              <w:spacing w:after="20"/>
              <w:jc w:val="right"/>
            </w:pPr>
            <w:r>
              <w:rPr>
                <w:color w:val="1C3A36"/>
                <w:sz w:val="18"/>
              </w:rPr>
              <w:t>19.60%</w:t>
            </w:r>
          </w:p>
        </w:tc>
        <w:tc>
          <w:tcPr>
            <w:tcW w:type="dxa" w:w="2808"/>
          </w:tcPr>
          <w:p>
            <w:pPr>
              <w:spacing w:after="20"/>
              <w:jc w:val="right"/>
            </w:pPr>
            <w:r>
              <w:rPr>
                <w:color w:val="1C3A36"/>
                <w:sz w:val="18"/>
              </w:rPr>
              <w:t>12.50%</w:t>
            </w:r>
          </w:p>
        </w:tc>
      </w:tr>
      <w:tr>
        <w:tc>
          <w:tcPr>
            <w:tcW w:type="dxa" w:w="4104"/>
          </w:tcPr>
          <w:p>
            <w:pPr>
              <w:spacing w:after="20"/>
            </w:pPr>
            <w:r>
              <w:rPr>
                <w:color w:val="1C3A36"/>
                <w:sz w:val="18"/>
              </w:rPr>
              <w:t>Beta</w:t>
            </w:r>
          </w:p>
        </w:tc>
        <w:tc>
          <w:tcPr>
            <w:tcW w:type="dxa" w:w="2808"/>
          </w:tcPr>
          <w:p>
            <w:pPr>
              <w:spacing w:after="20"/>
              <w:jc w:val="right"/>
            </w:pPr>
            <w:r>
              <w:rPr>
                <w:color w:val="1C3A36"/>
                <w:sz w:val="18"/>
              </w:rPr>
              <w:t>1.00</w:t>
            </w:r>
          </w:p>
        </w:tc>
        <w:tc>
          <w:tcPr>
            <w:tcW w:type="dxa" w:w="2808"/>
          </w:tcPr>
          <w:p>
            <w:pPr>
              <w:spacing w:after="20"/>
              <w:jc w:val="right"/>
            </w:pPr>
            <w:r>
              <w:rPr>
                <w:color w:val="1C3A36"/>
                <w:sz w:val="18"/>
              </w:rPr>
              <w:t>1.00</w:t>
            </w:r>
          </w:p>
        </w:tc>
      </w:tr>
      <w:tr>
        <w:tc>
          <w:tcPr>
            <w:tcW w:type="dxa" w:w="4104"/>
          </w:tcPr>
          <w:p>
            <w:pPr>
              <w:spacing w:after="20"/>
            </w:pPr>
            <w:r>
              <w:rPr>
                <w:color w:val="1C3A36"/>
                <w:sz w:val="18"/>
              </w:rPr>
              <w:t>Equity risk premium</w:t>
            </w:r>
          </w:p>
        </w:tc>
        <w:tc>
          <w:tcPr>
            <w:tcW w:type="dxa" w:w="2808"/>
          </w:tcPr>
          <w:p>
            <w:pPr>
              <w:spacing w:after="20"/>
              <w:jc w:val="right"/>
            </w:pPr>
            <w:r>
              <w:rPr>
                <w:color w:val="1C3A36"/>
                <w:sz w:val="18"/>
              </w:rPr>
              <w:t>9.41%</w:t>
            </w:r>
          </w:p>
        </w:tc>
        <w:tc>
          <w:tcPr>
            <w:tcW w:type="dxa" w:w="2808"/>
          </w:tcPr>
          <w:p>
            <w:pPr>
              <w:spacing w:after="20"/>
              <w:jc w:val="right"/>
            </w:pPr>
            <w:r>
              <w:rPr>
                <w:color w:val="1C3A36"/>
                <w:sz w:val="18"/>
              </w:rPr>
              <w:t>7.00%</w:t>
            </w:r>
          </w:p>
        </w:tc>
      </w:tr>
      <w:tr>
        <w:tc>
          <w:tcPr>
            <w:tcW w:type="dxa" w:w="4104"/>
          </w:tcPr>
          <w:p>
            <w:pPr>
              <w:spacing w:after="20"/>
            </w:pPr>
            <w:r>
              <w:rPr>
                <w:color w:val="1C3A36"/>
                <w:sz w:val="18"/>
              </w:rPr>
              <w:t>Cost of equity</w:t>
            </w:r>
          </w:p>
        </w:tc>
        <w:tc>
          <w:tcPr>
            <w:tcW w:type="dxa" w:w="2808"/>
          </w:tcPr>
          <w:p>
            <w:pPr>
              <w:spacing w:after="20"/>
              <w:jc w:val="right"/>
            </w:pPr>
            <w:r>
              <w:rPr>
                <w:color w:val="1C3A36"/>
                <w:sz w:val="18"/>
              </w:rPr>
              <w:t>29.01%</w:t>
            </w:r>
          </w:p>
        </w:tc>
        <w:tc>
          <w:tcPr>
            <w:tcW w:type="dxa" w:w="2808"/>
          </w:tcPr>
          <w:p>
            <w:pPr>
              <w:spacing w:after="20"/>
              <w:jc w:val="right"/>
            </w:pPr>
            <w:r>
              <w:rPr>
                <w:color w:val="1C3A36"/>
                <w:sz w:val="18"/>
              </w:rPr>
              <w:t>20.82%</w:t>
            </w:r>
          </w:p>
        </w:tc>
      </w:tr>
      <w:tr>
        <w:tc>
          <w:tcPr>
            <w:tcW w:type="dxa" w:w="4104"/>
          </w:tcPr>
          <w:p>
            <w:pPr>
              <w:spacing w:after="20"/>
            </w:pPr>
            <w:r>
              <w:rPr>
                <w:color w:val="1C3A36"/>
                <w:sz w:val="18"/>
              </w:rPr>
              <w:t>Cost of debt after tax</w:t>
            </w:r>
          </w:p>
        </w:tc>
        <w:tc>
          <w:tcPr>
            <w:tcW w:type="dxa" w:w="2808"/>
          </w:tcPr>
          <w:p>
            <w:pPr>
              <w:spacing w:after="20"/>
              <w:jc w:val="right"/>
            </w:pPr>
            <w:r>
              <w:rPr>
                <w:color w:val="1C3A36"/>
                <w:sz w:val="18"/>
              </w:rPr>
              <w:t>19.38%</w:t>
            </w:r>
          </w:p>
        </w:tc>
        <w:tc>
          <w:tcPr>
            <w:tcW w:type="dxa" w:w="2808"/>
          </w:tcPr>
          <w:p>
            <w:pPr>
              <w:spacing w:after="20"/>
              <w:jc w:val="right"/>
            </w:pPr>
            <w:r>
              <w:rPr>
                <w:color w:val="1C3A36"/>
                <w:sz w:val="18"/>
              </w:rPr>
              <w:t>11.62%</w:t>
            </w:r>
          </w:p>
        </w:tc>
      </w:tr>
      <w:tr>
        <w:tc>
          <w:tcPr>
            <w:tcW w:type="dxa" w:w="4104"/>
          </w:tcPr>
          <w:p>
            <w:pPr>
              <w:spacing w:after="20"/>
            </w:pPr>
            <w:r>
              <w:rPr>
                <w:color w:val="1C3A36"/>
                <w:sz w:val="18"/>
              </w:rPr>
              <w:t>Debt weight</w:t>
            </w:r>
          </w:p>
        </w:tc>
        <w:tc>
          <w:tcPr>
            <w:tcW w:type="dxa" w:w="2808"/>
          </w:tcPr>
          <w:p>
            <w:pPr>
              <w:spacing w:after="20"/>
              <w:jc w:val="right"/>
            </w:pPr>
            <w:r>
              <w:rPr>
                <w:color w:val="1C3A36"/>
                <w:sz w:val="18"/>
              </w:rPr>
              <w:t>0.52%</w:t>
            </w:r>
          </w:p>
        </w:tc>
        <w:tc>
          <w:tcPr>
            <w:tcW w:type="dxa" w:w="2808"/>
          </w:tcPr>
          <w:p>
            <w:pPr>
              <w:spacing w:after="20"/>
              <w:jc w:val="right"/>
            </w:pPr>
            <w:r>
              <w:rPr>
                <w:color w:val="1C3A36"/>
                <w:sz w:val="18"/>
              </w:rPr>
              <w:t>20.00%</w:t>
            </w:r>
          </w:p>
        </w:tc>
      </w:tr>
      <w:tr>
        <w:tc>
          <w:tcPr>
            <w:tcW w:type="dxa" w:w="4104"/>
          </w:tcPr>
          <w:p>
            <w:pPr>
              <w:spacing w:after="20"/>
            </w:pPr>
            <w:r>
              <w:rPr>
                <w:color w:val="1C3A36"/>
                <w:sz w:val="18"/>
              </w:rPr>
              <w:t>Weighted average cost of capital</w:t>
            </w:r>
          </w:p>
        </w:tc>
        <w:tc>
          <w:tcPr>
            <w:tcW w:type="dxa" w:w="2808"/>
          </w:tcPr>
          <w:p>
            <w:pPr>
              <w:spacing w:after="20"/>
              <w:jc w:val="right"/>
            </w:pPr>
            <w:r>
              <w:rPr>
                <w:color w:val="1C3A36"/>
                <w:sz w:val="18"/>
              </w:rPr>
              <w:t>28.96%</w:t>
            </w:r>
          </w:p>
        </w:tc>
        <w:tc>
          <w:tcPr>
            <w:tcW w:type="dxa" w:w="2808"/>
          </w:tcPr>
          <w:p>
            <w:pPr>
              <w:spacing w:after="20"/>
              <w:jc w:val="right"/>
            </w:pPr>
            <w:r>
              <w:rPr>
                <w:color w:val="1C3A36"/>
                <w:sz w:val="18"/>
              </w:rPr>
              <w:t>18.98%</w:t>
            </w:r>
          </w:p>
        </w:tc>
      </w:tr>
    </w:tbl>
    <w:p>
      <w:pPr>
        <w:spacing w:after="40"/>
      </w:pPr>
    </w:p>
    <w:p>
      <w:pPr>
        <w:spacing w:after="200" w:before="0"/>
      </w:pPr>
      <w:r>
        <w:rPr>
          <w:b w:val="0"/>
          <w:i/>
          <w:color w:val="6E7B77"/>
          <w:sz w:val="17"/>
        </w:rPr>
        <w:t>Table 10 — The cost of capital, built from its components. The retired construction that leaves the sovereign spread in the risk-free rate would give a cost of equity of 32.41%, some 340 basis points higher.</w:t>
      </w:r>
    </w:p>
    <w:p>
      <w:pPr>
        <w:spacing w:after="120" w:before="0"/>
      </w:pPr>
      <w:r>
        <w:rPr>
          <w:b w:val="0"/>
          <w:i w:val="0"/>
          <w:color w:val="1C3A36"/>
          <w:sz w:val="21"/>
        </w:rPr>
        <w:t>The terminal rates are house views, and are labelled as such rather than presented as observations. The terminal risk-free rate of 10.5% is the central bank's own stated medium-term inflation target of 5% plus a standard emerging-market real-rate convention of about 5.5 points. The terminal cost of debt of 15% is the midpoint of Egypt's long-run corporate borrowing range. Neither is reverse-engineered from a target price.</w:t>
      </w:r>
    </w:p>
    <w:p>
      <w:pPr>
        <w:spacing w:after="80" w:before="200"/>
      </w:pPr>
      <w:r>
        <w:rPr>
          <w:b/>
          <w:i w:val="0"/>
          <w:color w:val="1C3A36"/>
          <w:sz w:val="24"/>
        </w:rPr>
        <w:t>The beta, and why it is not the regression's answer</w:t>
      </w:r>
    </w:p>
    <w:p>
      <w:pPr>
        <w:spacing w:after="120" w:before="0"/>
      </w:pPr>
      <w:r>
        <w:rPr>
          <w:b w:val="0"/>
          <w:i w:val="0"/>
          <w:color w:val="1C3A36"/>
          <w:sz w:val="21"/>
        </w:rPr>
        <w:t>A five-year weekly regression of the shares against an equal-weight Egyptian composite returns a beta of 0.49 with an R-squared of 0.038 over 256 observations and a standard error of 0.153. That R-squared is below the 5% floor this house requires, so the regression is not usable and its answer is not used. No Egyptian listed cement peer carries a price history in the covered library, so a re-levered peer beta is unavailable too.</w:t>
      </w:r>
    </w:p>
    <w:p>
      <w:pPr>
        <w:spacing w:after="120" w:before="0"/>
      </w:pPr>
      <w:r>
        <w:rPr>
          <w:b w:val="0"/>
          <w:i w:val="0"/>
          <w:color w:val="1C3A36"/>
          <w:sz w:val="21"/>
        </w:rPr>
        <w:t>A beta of 1.00 is therefore adopted, and it is corroborated rather than assumed. The shares trade with an unchanged closing price on 29.3% of sessions — three and a half times the Egyptian median and the second thinnest of 33 covered names — which biases any contemporaneous regression downward by construction. Correcting for that with a lead-and-lag estimator lifts the beta to 0.84, with a 90% interval of 0.35 to 1.32 that comfortably contains 1.00. A capital-intensive materials producer would normally sit between 1.0 and 1.5; this one sits at the bottom of that band because it carries no financial leverage at 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67"/>
        <w:gridCol w:w="1267"/>
        <w:gridCol w:w="1656"/>
        <w:gridCol w:w="1267"/>
        <w:gridCol w:w="1267"/>
      </w:tblGrid>
      <w:tr>
        <w:tc>
          <w:tcPr>
            <w:tcW w:type="dxa" w:w="3312"/>
            <w:shd w:val="clear" w:color="auto" w:fill="EAF0EE"/>
          </w:tcPr>
          <w:p>
            <w:pPr>
              <w:spacing w:after="20"/>
            </w:pPr>
            <w:r>
              <w:rPr>
                <w:b/>
                <w:color w:val="1C3A36"/>
                <w:sz w:val="18"/>
              </w:rPr>
              <w:t>Beta</w:t>
            </w:r>
          </w:p>
        </w:tc>
        <w:tc>
          <w:tcPr>
            <w:tcW w:type="dxa" w:w="1267"/>
            <w:shd w:val="clear" w:color="auto" w:fill="EAF0EE"/>
          </w:tcPr>
          <w:p>
            <w:pPr>
              <w:spacing w:after="20"/>
            </w:pPr>
            <w:r>
              <w:rPr>
                <w:b/>
                <w:color w:val="1C3A36"/>
                <w:sz w:val="18"/>
              </w:rPr>
              <w:t>0.60</w:t>
            </w:r>
          </w:p>
        </w:tc>
        <w:tc>
          <w:tcPr>
            <w:tcW w:type="dxa" w:w="1267"/>
            <w:shd w:val="clear" w:color="auto" w:fill="EAF0EE"/>
          </w:tcPr>
          <w:p>
            <w:pPr>
              <w:spacing w:after="20"/>
            </w:pPr>
            <w:r>
              <w:rPr>
                <w:b/>
                <w:color w:val="1C3A36"/>
                <w:sz w:val="18"/>
              </w:rPr>
              <w:t>0.80</w:t>
            </w:r>
          </w:p>
        </w:tc>
        <w:tc>
          <w:tcPr>
            <w:tcW w:type="dxa" w:w="1656"/>
            <w:shd w:val="clear" w:color="auto" w:fill="EAF0EE"/>
          </w:tcPr>
          <w:p>
            <w:pPr>
              <w:spacing w:after="20"/>
            </w:pPr>
            <w:r>
              <w:rPr>
                <w:b/>
                <w:color w:val="1C3A36"/>
                <w:sz w:val="18"/>
              </w:rPr>
              <w:t>1.00 (adopted)</w:t>
            </w:r>
          </w:p>
        </w:tc>
        <w:tc>
          <w:tcPr>
            <w:tcW w:type="dxa" w:w="1267"/>
            <w:shd w:val="clear" w:color="auto" w:fill="EAF0EE"/>
          </w:tcPr>
          <w:p>
            <w:pPr>
              <w:spacing w:after="20"/>
            </w:pPr>
            <w:r>
              <w:rPr>
                <w:b/>
                <w:color w:val="1C3A36"/>
                <w:sz w:val="18"/>
              </w:rPr>
              <w:t>1.15</w:t>
            </w:r>
          </w:p>
        </w:tc>
        <w:tc>
          <w:tcPr>
            <w:tcW w:type="dxa" w:w="1267"/>
            <w:shd w:val="clear" w:color="auto" w:fill="EAF0EE"/>
          </w:tcPr>
          <w:p>
            <w:pPr>
              <w:spacing w:after="20"/>
            </w:pPr>
            <w:r>
              <w:rPr>
                <w:b/>
                <w:color w:val="1C3A36"/>
                <w:sz w:val="18"/>
              </w:rPr>
              <w:t>1.30</w:t>
            </w:r>
          </w:p>
        </w:tc>
      </w:tr>
      <w:tr>
        <w:tc>
          <w:tcPr>
            <w:tcW w:type="dxa" w:w="3312"/>
          </w:tcPr>
          <w:p>
            <w:pPr>
              <w:spacing w:after="20"/>
            </w:pPr>
            <w:r>
              <w:rPr>
                <w:color w:val="1C3A36"/>
                <w:sz w:val="18"/>
              </w:rPr>
              <w:t>Fair value per share (EGP)</w:t>
            </w:r>
          </w:p>
        </w:tc>
        <w:tc>
          <w:tcPr>
            <w:tcW w:type="dxa" w:w="1267"/>
          </w:tcPr>
          <w:p>
            <w:pPr>
              <w:spacing w:after="20"/>
              <w:jc w:val="right"/>
            </w:pPr>
            <w:r>
              <w:rPr>
                <w:color w:val="1C3A36"/>
                <w:sz w:val="18"/>
              </w:rPr>
              <w:t>152.62</w:t>
            </w:r>
          </w:p>
        </w:tc>
        <w:tc>
          <w:tcPr>
            <w:tcW w:type="dxa" w:w="1267"/>
          </w:tcPr>
          <w:p>
            <w:pPr>
              <w:spacing w:after="20"/>
              <w:jc w:val="right"/>
            </w:pPr>
            <w:r>
              <w:rPr>
                <w:color w:val="1C3A36"/>
                <w:sz w:val="18"/>
              </w:rPr>
              <w:t>136.08</w:t>
            </w:r>
          </w:p>
        </w:tc>
        <w:tc>
          <w:tcPr>
            <w:tcW w:type="dxa" w:w="1656"/>
          </w:tcPr>
          <w:p>
            <w:pPr>
              <w:spacing w:after="20"/>
              <w:jc w:val="right"/>
            </w:pPr>
            <w:r>
              <w:rPr>
                <w:color w:val="1C3A36"/>
                <w:sz w:val="18"/>
              </w:rPr>
              <w:t>133.47</w:t>
            </w:r>
          </w:p>
        </w:tc>
        <w:tc>
          <w:tcPr>
            <w:tcW w:type="dxa" w:w="1267"/>
          </w:tcPr>
          <w:p>
            <w:pPr>
              <w:spacing w:after="20"/>
              <w:jc w:val="right"/>
            </w:pPr>
            <w:r>
              <w:rPr>
                <w:color w:val="1C3A36"/>
                <w:sz w:val="18"/>
              </w:rPr>
              <w:t>123.27</w:t>
            </w:r>
          </w:p>
        </w:tc>
        <w:tc>
          <w:tcPr>
            <w:tcW w:type="dxa" w:w="1267"/>
          </w:tcPr>
          <w:p>
            <w:pPr>
              <w:spacing w:after="20"/>
              <w:jc w:val="right"/>
            </w:pPr>
            <w:r>
              <w:rPr>
                <w:color w:val="1C3A36"/>
                <w:sz w:val="18"/>
              </w:rPr>
              <w:t>108.72</w:t>
            </w:r>
          </w:p>
        </w:tc>
      </w:tr>
    </w:tbl>
    <w:p>
      <w:pPr>
        <w:spacing w:after="40"/>
      </w:pPr>
    </w:p>
    <w:p>
      <w:pPr>
        <w:spacing w:after="200" w:before="0"/>
      </w:pPr>
      <w:r>
        <w:rPr>
          <w:b w:val="0"/>
          <w:i/>
          <w:color w:val="6E7B77"/>
          <w:sz w:val="17"/>
        </w:rPr>
        <w:t>Table 11 — Beta sensitivity across the confidence interval and fixed anchors.</w:t>
      </w:r>
    </w:p>
    <w:p>
      <w:pPr>
        <w:spacing w:after="80" w:before="200"/>
      </w:pPr>
      <w:r>
        <w:rPr>
          <w:b/>
          <w:i w:val="0"/>
          <w:color w:val="1C3A36"/>
          <w:sz w:val="24"/>
        </w:rPr>
        <w:t>1.9  Sensitivity — the discount rate, the growth, the margin and the replacement cost</w:t>
      </w:r>
    </w:p>
    <w:p>
      <w:pPr>
        <w:spacing w:after="40"/>
        <w:jc w:val="center"/>
      </w:pPr>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943600" cy="2971800"/>
                    </a:xfrm>
                    <a:prstGeom prst="rect"/>
                  </pic:spPr>
                </pic:pic>
              </a:graphicData>
            </a:graphic>
          </wp:inline>
        </w:drawing>
      </w:r>
    </w:p>
    <w:p>
      <w:pPr>
        <w:spacing w:after="200" w:before="0"/>
      </w:pPr>
      <w:r>
        <w:rPr>
          <w:b w:val="0"/>
          <w:i/>
          <w:color w:val="6E7B77"/>
          <w:sz w:val="17"/>
        </w:rPr>
        <w:t>Figure 4 — Fair value across the cost of capital and the terminal growth rate. Reading left to right, higher growth lowers the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Explicit cost of capital</w:t>
            </w:r>
          </w:p>
        </w:tc>
        <w:tc>
          <w:tcPr>
            <w:tcW w:type="dxa" w:w="1411"/>
            <w:shd w:val="clear" w:color="auto" w:fill="EAF0EE"/>
          </w:tcPr>
          <w:p>
            <w:pPr>
              <w:spacing w:after="20"/>
            </w:pPr>
            <w:r>
              <w:rPr>
                <w:b/>
                <w:color w:val="1C3A36"/>
                <w:sz w:val="18"/>
              </w:rPr>
              <w:t>g = 3%</w:t>
            </w:r>
          </w:p>
        </w:tc>
        <w:tc>
          <w:tcPr>
            <w:tcW w:type="dxa" w:w="1411"/>
            <w:shd w:val="clear" w:color="auto" w:fill="EAF0EE"/>
          </w:tcPr>
          <w:p>
            <w:pPr>
              <w:spacing w:after="20"/>
            </w:pPr>
            <w:r>
              <w:rPr>
                <w:b/>
                <w:color w:val="1C3A36"/>
                <w:sz w:val="18"/>
              </w:rPr>
              <w:t>g = 4%</w:t>
            </w:r>
          </w:p>
        </w:tc>
        <w:tc>
          <w:tcPr>
            <w:tcW w:type="dxa" w:w="1411"/>
            <w:shd w:val="clear" w:color="auto" w:fill="EAF0EE"/>
          </w:tcPr>
          <w:p>
            <w:pPr>
              <w:spacing w:after="20"/>
            </w:pPr>
            <w:r>
              <w:rPr>
                <w:b/>
                <w:color w:val="1C3A36"/>
                <w:sz w:val="18"/>
              </w:rPr>
              <w:t>g = 5%</w:t>
            </w:r>
          </w:p>
        </w:tc>
        <w:tc>
          <w:tcPr>
            <w:tcW w:type="dxa" w:w="1411"/>
            <w:shd w:val="clear" w:color="auto" w:fill="EAF0EE"/>
          </w:tcPr>
          <w:p>
            <w:pPr>
              <w:spacing w:after="20"/>
            </w:pPr>
            <w:r>
              <w:rPr>
                <w:b/>
                <w:color w:val="1C3A36"/>
                <w:sz w:val="18"/>
              </w:rPr>
              <w:t>g = 6%</w:t>
            </w:r>
          </w:p>
        </w:tc>
        <w:tc>
          <w:tcPr>
            <w:tcW w:type="dxa" w:w="1411"/>
            <w:shd w:val="clear" w:color="auto" w:fill="EAF0EE"/>
          </w:tcPr>
          <w:p>
            <w:pPr>
              <w:spacing w:after="20"/>
            </w:pPr>
            <w:r>
              <w:rPr>
                <w:b/>
                <w:color w:val="1C3A36"/>
                <w:sz w:val="18"/>
              </w:rPr>
              <w:t>g = 7%</w:t>
            </w:r>
          </w:p>
        </w:tc>
      </w:tr>
      <w:tr>
        <w:tc>
          <w:tcPr>
            <w:tcW w:type="dxa" w:w="2736"/>
          </w:tcPr>
          <w:p>
            <w:pPr>
              <w:spacing w:after="20"/>
            </w:pPr>
            <w:r>
              <w:rPr>
                <w:color w:val="1C3A36"/>
                <w:sz w:val="18"/>
              </w:rPr>
              <w:t>25.96%</w:t>
            </w:r>
          </w:p>
        </w:tc>
        <w:tc>
          <w:tcPr>
            <w:tcW w:type="dxa" w:w="1411"/>
          </w:tcPr>
          <w:p>
            <w:pPr>
              <w:spacing w:after="20"/>
              <w:jc w:val="right"/>
            </w:pPr>
            <w:r>
              <w:rPr>
                <w:color w:val="1C3A36"/>
                <w:sz w:val="18"/>
              </w:rPr>
              <w:t>105.77</w:t>
            </w:r>
          </w:p>
        </w:tc>
        <w:tc>
          <w:tcPr>
            <w:tcW w:type="dxa" w:w="1411"/>
          </w:tcPr>
          <w:p>
            <w:pPr>
              <w:spacing w:after="20"/>
              <w:jc w:val="right"/>
            </w:pPr>
            <w:r>
              <w:rPr>
                <w:color w:val="1C3A36"/>
                <w:sz w:val="18"/>
              </w:rPr>
              <w:t>109.93</w:t>
            </w:r>
          </w:p>
        </w:tc>
        <w:tc>
          <w:tcPr>
            <w:tcW w:type="dxa" w:w="1411"/>
          </w:tcPr>
          <w:p>
            <w:pPr>
              <w:spacing w:after="20"/>
              <w:jc w:val="right"/>
            </w:pPr>
            <w:r>
              <w:rPr>
                <w:color w:val="1C3A36"/>
                <w:sz w:val="18"/>
              </w:rPr>
              <w:t>114.70</w:t>
            </w:r>
          </w:p>
        </w:tc>
        <w:tc>
          <w:tcPr>
            <w:tcW w:type="dxa" w:w="1411"/>
          </w:tcPr>
          <w:p>
            <w:pPr>
              <w:spacing w:after="20"/>
              <w:jc w:val="right"/>
            </w:pPr>
            <w:r>
              <w:rPr>
                <w:color w:val="1C3A36"/>
                <w:sz w:val="18"/>
              </w:rPr>
              <w:t>120.21</w:t>
            </w:r>
          </w:p>
        </w:tc>
        <w:tc>
          <w:tcPr>
            <w:tcW w:type="dxa" w:w="1411"/>
          </w:tcPr>
          <w:p>
            <w:pPr>
              <w:spacing w:after="20"/>
              <w:jc w:val="right"/>
            </w:pPr>
            <w:r>
              <w:rPr>
                <w:color w:val="1C3A36"/>
                <w:sz w:val="18"/>
              </w:rPr>
              <w:t>126.66</w:t>
            </w:r>
          </w:p>
        </w:tc>
      </w:tr>
      <w:tr>
        <w:tc>
          <w:tcPr>
            <w:tcW w:type="dxa" w:w="2736"/>
          </w:tcPr>
          <w:p>
            <w:pPr>
              <w:spacing w:after="20"/>
            </w:pPr>
            <w:r>
              <w:rPr>
                <w:color w:val="1C3A36"/>
                <w:sz w:val="18"/>
              </w:rPr>
              <w:t>27.46%</w:t>
            </w:r>
          </w:p>
        </w:tc>
        <w:tc>
          <w:tcPr>
            <w:tcW w:type="dxa" w:w="1411"/>
          </w:tcPr>
          <w:p>
            <w:pPr>
              <w:spacing w:after="20"/>
              <w:jc w:val="right"/>
            </w:pPr>
            <w:r>
              <w:rPr>
                <w:color w:val="1C3A36"/>
                <w:sz w:val="18"/>
              </w:rPr>
              <w:t>104.45</w:t>
            </w:r>
          </w:p>
        </w:tc>
        <w:tc>
          <w:tcPr>
            <w:tcW w:type="dxa" w:w="1411"/>
          </w:tcPr>
          <w:p>
            <w:pPr>
              <w:spacing w:after="20"/>
              <w:jc w:val="right"/>
            </w:pPr>
            <w:r>
              <w:rPr>
                <w:color w:val="1C3A36"/>
                <w:sz w:val="18"/>
              </w:rPr>
              <w:t>108.53</w:t>
            </w:r>
          </w:p>
        </w:tc>
        <w:tc>
          <w:tcPr>
            <w:tcW w:type="dxa" w:w="1411"/>
          </w:tcPr>
          <w:p>
            <w:pPr>
              <w:spacing w:after="20"/>
              <w:jc w:val="right"/>
            </w:pPr>
            <w:r>
              <w:rPr>
                <w:color w:val="1C3A36"/>
                <w:sz w:val="18"/>
              </w:rPr>
              <w:t>113.21</w:t>
            </w:r>
          </w:p>
        </w:tc>
        <w:tc>
          <w:tcPr>
            <w:tcW w:type="dxa" w:w="1411"/>
          </w:tcPr>
          <w:p>
            <w:pPr>
              <w:spacing w:after="20"/>
              <w:jc w:val="right"/>
            </w:pPr>
            <w:r>
              <w:rPr>
                <w:color w:val="1C3A36"/>
                <w:sz w:val="18"/>
              </w:rPr>
              <w:t>118.62</w:t>
            </w:r>
          </w:p>
        </w:tc>
        <w:tc>
          <w:tcPr>
            <w:tcW w:type="dxa" w:w="1411"/>
          </w:tcPr>
          <w:p>
            <w:pPr>
              <w:spacing w:after="20"/>
              <w:jc w:val="right"/>
            </w:pPr>
            <w:r>
              <w:rPr>
                <w:color w:val="1C3A36"/>
                <w:sz w:val="18"/>
              </w:rPr>
              <w:t>124.94</w:t>
            </w:r>
          </w:p>
        </w:tc>
      </w:tr>
      <w:tr>
        <w:tc>
          <w:tcPr>
            <w:tcW w:type="dxa" w:w="2736"/>
          </w:tcPr>
          <w:p>
            <w:pPr>
              <w:spacing w:after="20"/>
            </w:pPr>
            <w:r>
              <w:rPr>
                <w:color w:val="1C3A36"/>
                <w:sz w:val="18"/>
              </w:rPr>
              <w:t>28.96%</w:t>
            </w:r>
          </w:p>
        </w:tc>
        <w:tc>
          <w:tcPr>
            <w:tcW w:type="dxa" w:w="1411"/>
          </w:tcPr>
          <w:p>
            <w:pPr>
              <w:spacing w:after="20"/>
              <w:jc w:val="right"/>
            </w:pPr>
            <w:r>
              <w:rPr>
                <w:color w:val="1C3A36"/>
                <w:sz w:val="18"/>
              </w:rPr>
              <w:t>103.16</w:t>
            </w:r>
          </w:p>
        </w:tc>
        <w:tc>
          <w:tcPr>
            <w:tcW w:type="dxa" w:w="1411"/>
          </w:tcPr>
          <w:p>
            <w:pPr>
              <w:spacing w:after="20"/>
              <w:jc w:val="right"/>
            </w:pPr>
            <w:r>
              <w:rPr>
                <w:color w:val="1C3A36"/>
                <w:sz w:val="18"/>
              </w:rPr>
              <w:t>107.17</w:t>
            </w:r>
          </w:p>
        </w:tc>
        <w:tc>
          <w:tcPr>
            <w:tcW w:type="dxa" w:w="1411"/>
          </w:tcPr>
          <w:p>
            <w:pPr>
              <w:spacing w:after="20"/>
              <w:jc w:val="right"/>
            </w:pPr>
            <w:r>
              <w:rPr>
                <w:color w:val="1C3A36"/>
                <w:sz w:val="18"/>
              </w:rPr>
              <w:t>111.76</w:t>
            </w:r>
          </w:p>
        </w:tc>
        <w:tc>
          <w:tcPr>
            <w:tcW w:type="dxa" w:w="1411"/>
          </w:tcPr>
          <w:p>
            <w:pPr>
              <w:spacing w:after="20"/>
              <w:jc w:val="right"/>
            </w:pPr>
            <w:r>
              <w:rPr>
                <w:color w:val="1C3A36"/>
                <w:sz w:val="18"/>
              </w:rPr>
              <w:t>117.07</w:t>
            </w:r>
          </w:p>
        </w:tc>
        <w:tc>
          <w:tcPr>
            <w:tcW w:type="dxa" w:w="1411"/>
          </w:tcPr>
          <w:p>
            <w:pPr>
              <w:spacing w:after="20"/>
              <w:jc w:val="right"/>
            </w:pPr>
            <w:r>
              <w:rPr>
                <w:color w:val="1C3A36"/>
                <w:sz w:val="18"/>
              </w:rPr>
              <w:t>123.27</w:t>
            </w:r>
          </w:p>
        </w:tc>
      </w:tr>
      <w:tr>
        <w:tc>
          <w:tcPr>
            <w:tcW w:type="dxa" w:w="2736"/>
          </w:tcPr>
          <w:p>
            <w:pPr>
              <w:spacing w:after="20"/>
            </w:pPr>
            <w:r>
              <w:rPr>
                <w:color w:val="1C3A36"/>
                <w:sz w:val="18"/>
              </w:rPr>
              <w:t>30.46%</w:t>
            </w:r>
          </w:p>
        </w:tc>
        <w:tc>
          <w:tcPr>
            <w:tcW w:type="dxa" w:w="1411"/>
          </w:tcPr>
          <w:p>
            <w:pPr>
              <w:spacing w:after="20"/>
              <w:jc w:val="right"/>
            </w:pPr>
            <w:r>
              <w:rPr>
                <w:color w:val="1C3A36"/>
                <w:sz w:val="18"/>
              </w:rPr>
              <w:t>101.90</w:t>
            </w:r>
          </w:p>
        </w:tc>
        <w:tc>
          <w:tcPr>
            <w:tcW w:type="dxa" w:w="1411"/>
          </w:tcPr>
          <w:p>
            <w:pPr>
              <w:spacing w:after="20"/>
              <w:jc w:val="right"/>
            </w:pPr>
            <w:r>
              <w:rPr>
                <w:color w:val="1C3A36"/>
                <w:sz w:val="18"/>
              </w:rPr>
              <w:t>105.84</w:t>
            </w:r>
          </w:p>
        </w:tc>
        <w:tc>
          <w:tcPr>
            <w:tcW w:type="dxa" w:w="1411"/>
          </w:tcPr>
          <w:p>
            <w:pPr>
              <w:spacing w:after="20"/>
              <w:jc w:val="right"/>
            </w:pPr>
            <w:r>
              <w:rPr>
                <w:color w:val="1C3A36"/>
                <w:sz w:val="18"/>
              </w:rPr>
              <w:t>110.34</w:t>
            </w:r>
          </w:p>
        </w:tc>
        <w:tc>
          <w:tcPr>
            <w:tcW w:type="dxa" w:w="1411"/>
          </w:tcPr>
          <w:p>
            <w:pPr>
              <w:spacing w:after="20"/>
              <w:jc w:val="right"/>
            </w:pPr>
            <w:r>
              <w:rPr>
                <w:color w:val="1C3A36"/>
                <w:sz w:val="18"/>
              </w:rPr>
              <w:t>115.55</w:t>
            </w:r>
          </w:p>
        </w:tc>
        <w:tc>
          <w:tcPr>
            <w:tcW w:type="dxa" w:w="1411"/>
          </w:tcPr>
          <w:p>
            <w:pPr>
              <w:spacing w:after="20"/>
              <w:jc w:val="right"/>
            </w:pPr>
            <w:r>
              <w:rPr>
                <w:color w:val="1C3A36"/>
                <w:sz w:val="18"/>
              </w:rPr>
              <w:t>121.64</w:t>
            </w:r>
          </w:p>
        </w:tc>
      </w:tr>
      <w:tr>
        <w:tc>
          <w:tcPr>
            <w:tcW w:type="dxa" w:w="2736"/>
          </w:tcPr>
          <w:p>
            <w:pPr>
              <w:spacing w:after="20"/>
            </w:pPr>
            <w:r>
              <w:rPr>
                <w:color w:val="1C3A36"/>
                <w:sz w:val="18"/>
              </w:rPr>
              <w:t>31.96%</w:t>
            </w:r>
          </w:p>
        </w:tc>
        <w:tc>
          <w:tcPr>
            <w:tcW w:type="dxa" w:w="1411"/>
          </w:tcPr>
          <w:p>
            <w:pPr>
              <w:spacing w:after="20"/>
              <w:jc w:val="right"/>
            </w:pPr>
            <w:r>
              <w:rPr>
                <w:color w:val="1C3A36"/>
                <w:sz w:val="18"/>
              </w:rPr>
              <w:t>100.68</w:t>
            </w:r>
          </w:p>
        </w:tc>
        <w:tc>
          <w:tcPr>
            <w:tcW w:type="dxa" w:w="1411"/>
          </w:tcPr>
          <w:p>
            <w:pPr>
              <w:spacing w:after="20"/>
              <w:jc w:val="right"/>
            </w:pPr>
            <w:r>
              <w:rPr>
                <w:color w:val="1C3A36"/>
                <w:sz w:val="18"/>
              </w:rPr>
              <w:t>104.54</w:t>
            </w:r>
          </w:p>
        </w:tc>
        <w:tc>
          <w:tcPr>
            <w:tcW w:type="dxa" w:w="1411"/>
          </w:tcPr>
          <w:p>
            <w:pPr>
              <w:spacing w:after="20"/>
              <w:jc w:val="right"/>
            </w:pPr>
            <w:r>
              <w:rPr>
                <w:color w:val="1C3A36"/>
                <w:sz w:val="18"/>
              </w:rPr>
              <w:t>108.96</w:t>
            </w:r>
          </w:p>
        </w:tc>
        <w:tc>
          <w:tcPr>
            <w:tcW w:type="dxa" w:w="1411"/>
          </w:tcPr>
          <w:p>
            <w:pPr>
              <w:spacing w:after="20"/>
              <w:jc w:val="right"/>
            </w:pPr>
            <w:r>
              <w:rPr>
                <w:color w:val="1C3A36"/>
                <w:sz w:val="18"/>
              </w:rPr>
              <w:t>114.08</w:t>
            </w:r>
          </w:p>
        </w:tc>
        <w:tc>
          <w:tcPr>
            <w:tcW w:type="dxa" w:w="1411"/>
          </w:tcPr>
          <w:p>
            <w:pPr>
              <w:spacing w:after="20"/>
              <w:jc w:val="right"/>
            </w:pPr>
            <w:r>
              <w:rPr>
                <w:color w:val="1C3A36"/>
                <w:sz w:val="18"/>
              </w:rPr>
              <w:t>120.06</w:t>
            </w:r>
          </w:p>
        </w:tc>
      </w:tr>
    </w:tbl>
    <w:p>
      <w:pPr>
        <w:spacing w:after="40"/>
      </w:pPr>
    </w:p>
    <w:p>
      <w:pPr>
        <w:spacing w:after="200" w:before="0"/>
      </w:pPr>
      <w:r>
        <w:rPr>
          <w:b w:val="0"/>
          <w:i/>
          <w:color w:val="6E7B77"/>
          <w:sz w:val="17"/>
        </w:rPr>
        <w:t>Table 12 — The same grid in figures.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Net cash (EGP mn)</w:t>
            </w:r>
          </w:p>
        </w:tc>
        <w:tc>
          <w:tcPr>
            <w:tcW w:type="dxa" w:w="1411"/>
            <w:shd w:val="clear" w:color="auto" w:fill="EAF0EE"/>
          </w:tcPr>
          <w:p>
            <w:pPr>
              <w:spacing w:after="20"/>
            </w:pPr>
            <w:r>
              <w:rPr>
                <w:b/>
                <w:color w:val="1C3A36"/>
                <w:sz w:val="18"/>
              </w:rPr>
              <w:t>5,055</w:t>
            </w:r>
          </w:p>
        </w:tc>
        <w:tc>
          <w:tcPr>
            <w:tcW w:type="dxa" w:w="1411"/>
            <w:shd w:val="clear" w:color="auto" w:fill="EAF0EE"/>
          </w:tcPr>
          <w:p>
            <w:pPr>
              <w:spacing w:after="20"/>
            </w:pPr>
            <w:r>
              <w:rPr>
                <w:b/>
                <w:color w:val="1C3A36"/>
                <w:sz w:val="18"/>
              </w:rPr>
              <w:t>5,805</w:t>
            </w:r>
          </w:p>
        </w:tc>
        <w:tc>
          <w:tcPr>
            <w:tcW w:type="dxa" w:w="1411"/>
            <w:shd w:val="clear" w:color="auto" w:fill="EAF0EE"/>
          </w:tcPr>
          <w:p>
            <w:pPr>
              <w:spacing w:after="20"/>
            </w:pPr>
            <w:r>
              <w:rPr>
                <w:b/>
                <w:color w:val="1C3A36"/>
                <w:sz w:val="18"/>
              </w:rPr>
              <w:t>6,555</w:t>
            </w:r>
          </w:p>
        </w:tc>
        <w:tc>
          <w:tcPr>
            <w:tcW w:type="dxa" w:w="1411"/>
            <w:shd w:val="clear" w:color="auto" w:fill="EAF0EE"/>
          </w:tcPr>
          <w:p>
            <w:pPr>
              <w:spacing w:after="20"/>
            </w:pPr>
            <w:r>
              <w:rPr>
                <w:b/>
                <w:color w:val="1C3A36"/>
                <w:sz w:val="18"/>
              </w:rPr>
              <w:t>7,305</w:t>
            </w:r>
          </w:p>
        </w:tc>
        <w:tc>
          <w:tcPr>
            <w:tcW w:type="dxa" w:w="1411"/>
            <w:shd w:val="clear" w:color="auto" w:fill="EAF0EE"/>
          </w:tcPr>
          <w:p>
            <w:pPr>
              <w:spacing w:after="20"/>
            </w:pPr>
            <w:r>
              <w:rPr>
                <w:b/>
                <w:color w:val="1C3A36"/>
                <w:sz w:val="18"/>
              </w:rPr>
              <w:t>8,055</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117.52</w:t>
            </w:r>
          </w:p>
        </w:tc>
        <w:tc>
          <w:tcPr>
            <w:tcW w:type="dxa" w:w="1411"/>
          </w:tcPr>
          <w:p>
            <w:pPr>
              <w:spacing w:after="20"/>
              <w:jc w:val="right"/>
            </w:pPr>
            <w:r>
              <w:rPr>
                <w:color w:val="1C3A36"/>
                <w:sz w:val="18"/>
              </w:rPr>
              <w:t>120.40</w:t>
            </w:r>
          </w:p>
        </w:tc>
        <w:tc>
          <w:tcPr>
            <w:tcW w:type="dxa" w:w="1411"/>
          </w:tcPr>
          <w:p>
            <w:pPr>
              <w:spacing w:after="20"/>
              <w:jc w:val="right"/>
            </w:pPr>
            <w:r>
              <w:rPr>
                <w:color w:val="1C3A36"/>
                <w:sz w:val="18"/>
              </w:rPr>
              <w:t>123.27</w:t>
            </w:r>
          </w:p>
        </w:tc>
        <w:tc>
          <w:tcPr>
            <w:tcW w:type="dxa" w:w="1411"/>
          </w:tcPr>
          <w:p>
            <w:pPr>
              <w:spacing w:after="20"/>
              <w:jc w:val="right"/>
            </w:pPr>
            <w:r>
              <w:rPr>
                <w:color w:val="1C3A36"/>
                <w:sz w:val="18"/>
              </w:rPr>
              <w:t>126.15</w:t>
            </w:r>
          </w:p>
        </w:tc>
        <w:tc>
          <w:tcPr>
            <w:tcW w:type="dxa" w:w="1411"/>
          </w:tcPr>
          <w:p>
            <w:pPr>
              <w:spacing w:after="20"/>
              <w:jc w:val="right"/>
            </w:pPr>
            <w:r>
              <w:rPr>
                <w:color w:val="1C3A36"/>
                <w:sz w:val="18"/>
              </w:rPr>
              <w:t>129.02</w:t>
            </w:r>
          </w:p>
        </w:tc>
      </w:tr>
    </w:tbl>
    <w:p>
      <w:pPr>
        <w:spacing w:after="40"/>
      </w:pPr>
    </w:p>
    <w:p>
      <w:pPr>
        <w:spacing w:after="200" w:before="0"/>
      </w:pPr>
      <w:r>
        <w:rPr>
          <w:b w:val="0"/>
          <w:i/>
          <w:color w:val="6E7B77"/>
          <w:sz w:val="17"/>
        </w:rPr>
        <w:t>Table 13 — Net cash. This is the largest single uncertainty in the valuation and it is now sensitised: the balance is taken from the reported accounts rather than inferred from the income it earns, and the grid shows what a EGP 1.5bn error in either direction is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11"/>
        <w:gridCol w:w="1411"/>
        <w:gridCol w:w="1411"/>
        <w:gridCol w:w="1411"/>
        <w:gridCol w:w="1411"/>
      </w:tblGrid>
      <w:tr>
        <w:tc>
          <w:tcPr>
            <w:tcW w:type="dxa" w:w="2736"/>
            <w:shd w:val="clear" w:color="auto" w:fill="EAF0EE"/>
          </w:tcPr>
          <w:p>
            <w:pPr>
              <w:spacing w:after="20"/>
            </w:pPr>
            <w:r>
              <w:rPr>
                <w:b/>
                <w:color w:val="1C3A36"/>
                <w:sz w:val="18"/>
              </w:rPr>
              <w:t>EBITDA margin shift</w:t>
            </w:r>
          </w:p>
        </w:tc>
        <w:tc>
          <w:tcPr>
            <w:tcW w:type="dxa" w:w="1411"/>
            <w:shd w:val="clear" w:color="auto" w:fill="EAF0EE"/>
          </w:tcPr>
          <w:p>
            <w:pPr>
              <w:spacing w:after="20"/>
            </w:pPr>
            <w:r>
              <w:rPr>
                <w:b/>
                <w:color w:val="1C3A36"/>
                <w:sz w:val="18"/>
              </w:rPr>
              <w:t>-4%</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+0%</w:t>
            </w:r>
          </w:p>
        </w:tc>
        <w:tc>
          <w:tcPr>
            <w:tcW w:type="dxa" w:w="1411"/>
            <w:shd w:val="clear" w:color="auto" w:fill="EAF0EE"/>
          </w:tcPr>
          <w:p>
            <w:pPr>
              <w:spacing w:after="20"/>
            </w:pPr>
            <w:r>
              <w:rPr>
                <w:b/>
                <w:color w:val="1C3A36"/>
                <w:sz w:val="18"/>
              </w:rPr>
              <w:t>+2%</w:t>
            </w:r>
          </w:p>
        </w:tc>
        <w:tc>
          <w:tcPr>
            <w:tcW w:type="dxa" w:w="1411"/>
            <w:shd w:val="clear" w:color="auto" w:fill="EAF0EE"/>
          </w:tcPr>
          <w:p>
            <w:pPr>
              <w:spacing w:after="20"/>
            </w:pPr>
            <w:r>
              <w:rPr>
                <w:b/>
                <w:color w:val="1C3A36"/>
                <w:sz w:val="18"/>
              </w:rPr>
              <w:t>+4%</w:t>
            </w:r>
          </w:p>
        </w:tc>
      </w:tr>
      <w:tr>
        <w:tc>
          <w:tcPr>
            <w:tcW w:type="dxa" w:w="2736"/>
          </w:tcPr>
          <w:p>
            <w:pPr>
              <w:spacing w:after="20"/>
            </w:pPr>
            <w:r>
              <w:rPr>
                <w:color w:val="1C3A36"/>
                <w:sz w:val="18"/>
              </w:rPr>
              <w:t>Fair value per share (EGP)</w:t>
            </w:r>
          </w:p>
        </w:tc>
        <w:tc>
          <w:tcPr>
            <w:tcW w:type="dxa" w:w="1411"/>
          </w:tcPr>
          <w:p>
            <w:pPr>
              <w:spacing w:after="20"/>
              <w:jc w:val="right"/>
            </w:pPr>
            <w:r>
              <w:rPr>
                <w:color w:val="1C3A36"/>
                <w:sz w:val="18"/>
              </w:rPr>
              <w:t>110.82</w:t>
            </w:r>
          </w:p>
        </w:tc>
        <w:tc>
          <w:tcPr>
            <w:tcW w:type="dxa" w:w="1411"/>
          </w:tcPr>
          <w:p>
            <w:pPr>
              <w:spacing w:after="20"/>
              <w:jc w:val="right"/>
            </w:pPr>
            <w:r>
              <w:rPr>
                <w:color w:val="1C3A36"/>
                <w:sz w:val="18"/>
              </w:rPr>
              <w:t>117.05</w:t>
            </w:r>
          </w:p>
        </w:tc>
        <w:tc>
          <w:tcPr>
            <w:tcW w:type="dxa" w:w="1411"/>
          </w:tcPr>
          <w:p>
            <w:pPr>
              <w:spacing w:after="20"/>
              <w:jc w:val="right"/>
            </w:pPr>
            <w:r>
              <w:rPr>
                <w:color w:val="1C3A36"/>
                <w:sz w:val="18"/>
              </w:rPr>
              <w:t>123.27</w:t>
            </w:r>
          </w:p>
        </w:tc>
        <w:tc>
          <w:tcPr>
            <w:tcW w:type="dxa" w:w="1411"/>
          </w:tcPr>
          <w:p>
            <w:pPr>
              <w:spacing w:after="20"/>
              <w:jc w:val="right"/>
            </w:pPr>
            <w:r>
              <w:rPr>
                <w:color w:val="1C3A36"/>
                <w:sz w:val="18"/>
              </w:rPr>
              <w:t>129.50</w:t>
            </w:r>
          </w:p>
        </w:tc>
        <w:tc>
          <w:tcPr>
            <w:tcW w:type="dxa" w:w="1411"/>
          </w:tcPr>
          <w:p>
            <w:pPr>
              <w:spacing w:after="20"/>
              <w:jc w:val="right"/>
            </w:pPr>
            <w:r>
              <w:rPr>
                <w:color w:val="1C3A36"/>
                <w:sz w:val="18"/>
              </w:rPr>
              <w:t>135.72</w:t>
            </w:r>
          </w:p>
        </w:tc>
      </w:tr>
    </w:tbl>
    <w:p>
      <w:pPr>
        <w:spacing w:after="40"/>
      </w:pPr>
    </w:p>
    <w:p>
      <w:pPr>
        <w:spacing w:after="200" w:before="0"/>
      </w:pPr>
      <w:r>
        <w:rPr>
          <w:b w:val="0"/>
          <w:i/>
          <w:color w:val="6E7B77"/>
          <w:sz w:val="17"/>
        </w:rPr>
        <w:t>Table 14 — Margin sensitivity. Each two-point change in the EBITDA margin is worth roughly EGP 4.50 a share.</w:t>
      </w:r>
    </w:p>
    <w:p>
      <w:pPr>
        <w:spacing w:after="120" w:before="280"/>
      </w:pPr>
      <w:r>
        <w:rPr>
          <w:b/>
          <w:i w:val="0"/>
          <w:color w:val="1C3A36"/>
          <w:sz w:val="30"/>
        </w:rPr>
        <w:t>2  Technical and price structure</w:t>
      </w:r>
    </w:p>
    <w:p>
      <w:pPr>
        <w:spacing w:after="120" w:before="0"/>
      </w:pPr>
      <w:r>
        <w:rPr>
          <w:b w:val="0"/>
          <w:i w:val="0"/>
          <w:color w:val="1C3A36"/>
          <w:sz w:val="21"/>
        </w:rPr>
        <w:t>The shares closed at EGP 100.50 on 2 September 2026. The price history is long and unusually eventful: EGP 3.62 at the 2021 low, still under EGP 10 through 2023, then a run to EGP 45 in 2024, EGP 75 in 2025 and a 2026 high of EGP 87.99. Over the five years to date the shares have risen more than tenfold.</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closing prices with the 50- and 200-day moving averages.</w:t>
      </w:r>
    </w:p>
    <w:p>
      <w:pPr>
        <w:spacing w:after="120" w:before="0"/>
      </w:pPr>
      <w:r>
        <w:rPr>
          <w:b w:val="0"/>
          <w:i w:val="0"/>
          <w:color w:val="1C3A36"/>
          <w:sz w:val="21"/>
        </w:rPr>
        <w:t>Two structural features matter more than any level. The first is liquidity: the stock prints an unchanged close on 29.3% of sessions, which is three and a half times the median for covered Egyptian names. Thin trading widens spreads, delays price discovery and makes any statistical read of this security less reliable than the same read on a liquid one. The second is the free float. Vicat holds 77.6%, leaving 22.4% in public hands, and in July 2025 Vicat filed a mandatory offer for that remainder at EGP 41.00 a share. The market price is now roughly double the offer price, so the offer is best read as a floor that the market has long since left behind rather than as a valuation.</w:t>
      </w:r>
    </w:p>
    <w:p>
      <w:pPr>
        <w:spacing w:after="120" w:before="280"/>
      </w:pPr>
      <w:r>
        <w:rPr>
          <w:b/>
          <w:i w:val="0"/>
          <w:color w:val="1C3A36"/>
          <w:sz w:val="30"/>
        </w:rPr>
        <w:t>3  A probabilistic price map</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this before the chart. </w:t>
            </w:r>
            <w:r>
              <w:rPr>
                <w:color w:val="1C3A36"/>
                <w:sz w:val="19"/>
              </w:rPr>
              <w:t>Over 57 resolved three-month forecasts on this security the price finished inside the 90% band 93% of the time, and inside the middle 50% band 72% of the time. The wide band is doing what it promises; the middle band has been catching rather more than half, so the map below is better read as a rough guide to where the price could plausibly be than as a fine probability statement. The band this map draws runs about 1.40 times as wide as a simple carry-anchored benchmark's, which is what real Egyptian tail risk costs and is published rather than tuned away. The cause of the extra width on THIS name is specific: it prints an unchanged close on 29% of sessions, and on a security that does not trade every session a volatility estimate collapses during quiet stretches and the band stays wide enough for the jumps that follow.</w:t>
            </w:r>
          </w:p>
        </w:tc>
      </w:tr>
    </w:tbl>
    <w:p>
      <w:pPr>
        <w:spacing w:after="40"/>
      </w:pP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 Illustrative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01"/>
        <w:gridCol w:w="1267"/>
        <w:gridCol w:w="1267"/>
        <w:gridCol w:w="1267"/>
        <w:gridCol w:w="1267"/>
        <w:gridCol w:w="1267"/>
        <w:gridCol w:w="1368"/>
      </w:tblGrid>
      <w:tr>
        <w:tc>
          <w:tcPr>
            <w:tcW w:type="dxa" w:w="1901"/>
            <w:shd w:val="clear" w:color="auto" w:fill="EAF0EE"/>
          </w:tcPr>
          <w:p>
            <w:pPr>
              <w:spacing w:after="20"/>
            </w:pPr>
            <w:r>
              <w:rPr>
                <w:b/>
                <w:color w:val="1C3A36"/>
                <w:sz w:val="18"/>
              </w:rPr>
              <w:t>Horizon</w:t>
            </w:r>
          </w:p>
        </w:tc>
        <w:tc>
          <w:tcPr>
            <w:tcW w:type="dxa" w:w="1267"/>
            <w:shd w:val="clear" w:color="auto" w:fill="EAF0EE"/>
          </w:tcPr>
          <w:p>
            <w:pPr>
              <w:spacing w:after="20"/>
            </w:pPr>
            <w:r>
              <w:rPr>
                <w:b/>
                <w:color w:val="1C3A36"/>
                <w:sz w:val="18"/>
              </w:rPr>
              <w:t>5th</w:t>
            </w:r>
          </w:p>
        </w:tc>
        <w:tc>
          <w:tcPr>
            <w:tcW w:type="dxa" w:w="1267"/>
            <w:shd w:val="clear" w:color="auto" w:fill="EAF0EE"/>
          </w:tcPr>
          <w:p>
            <w:pPr>
              <w:spacing w:after="20"/>
            </w:pPr>
            <w:r>
              <w:rPr>
                <w:b/>
                <w:color w:val="1C3A36"/>
                <w:sz w:val="18"/>
              </w:rPr>
              <w:t>25th</w:t>
            </w:r>
          </w:p>
        </w:tc>
        <w:tc>
          <w:tcPr>
            <w:tcW w:type="dxa" w:w="1267"/>
            <w:shd w:val="clear" w:color="auto" w:fill="EAF0EE"/>
          </w:tcPr>
          <w:p>
            <w:pPr>
              <w:spacing w:after="20"/>
            </w:pPr>
            <w:r>
              <w:rPr>
                <w:b/>
                <w:color w:val="1C3A36"/>
                <w:sz w:val="18"/>
              </w:rPr>
              <w:t>Median</w:t>
            </w:r>
          </w:p>
        </w:tc>
        <w:tc>
          <w:tcPr>
            <w:tcW w:type="dxa" w:w="1267"/>
            <w:shd w:val="clear" w:color="auto" w:fill="EAF0EE"/>
          </w:tcPr>
          <w:p>
            <w:pPr>
              <w:spacing w:after="20"/>
            </w:pPr>
            <w:r>
              <w:rPr>
                <w:b/>
                <w:color w:val="1C3A36"/>
                <w:sz w:val="18"/>
              </w:rPr>
              <w:t>75th</w:t>
            </w:r>
          </w:p>
        </w:tc>
        <w:tc>
          <w:tcPr>
            <w:tcW w:type="dxa" w:w="1267"/>
            <w:shd w:val="clear" w:color="auto" w:fill="EAF0EE"/>
          </w:tcPr>
          <w:p>
            <w:pPr>
              <w:spacing w:after="20"/>
            </w:pPr>
            <w:r>
              <w:rPr>
                <w:b/>
                <w:color w:val="1C3A36"/>
                <w:sz w:val="18"/>
              </w:rPr>
              <w:t>95th</w:t>
            </w:r>
          </w:p>
        </w:tc>
        <w:tc>
          <w:tcPr>
            <w:tcW w:type="dxa" w:w="1368"/>
            <w:shd w:val="clear" w:color="auto" w:fill="EAF0EE"/>
          </w:tcPr>
          <w:p>
            <w:pPr>
              <w:spacing w:after="20"/>
            </w:pPr>
            <w:r>
              <w:rPr>
                <w:b/>
                <w:color w:val="1C3A36"/>
                <w:sz w:val="18"/>
              </w:rPr>
              <w:t>Above spot</w:t>
            </w:r>
          </w:p>
        </w:tc>
      </w:tr>
      <w:tr>
        <w:tc>
          <w:tcPr>
            <w:tcW w:type="dxa" w:w="1901"/>
          </w:tcPr>
          <w:p>
            <w:pPr>
              <w:spacing w:after="20"/>
            </w:pPr>
            <w:r>
              <w:rPr>
                <w:color w:val="1C3A36"/>
                <w:sz w:val="18"/>
              </w:rPr>
              <w:t>One month</w:t>
            </w:r>
          </w:p>
        </w:tc>
        <w:tc>
          <w:tcPr>
            <w:tcW w:type="dxa" w:w="1267"/>
          </w:tcPr>
          <w:p>
            <w:pPr>
              <w:spacing w:after="20"/>
              <w:jc w:val="right"/>
            </w:pPr>
            <w:r>
              <w:rPr>
                <w:color w:val="1C3A36"/>
                <w:sz w:val="18"/>
              </w:rPr>
              <w:t>62.14</w:t>
            </w:r>
          </w:p>
        </w:tc>
        <w:tc>
          <w:tcPr>
            <w:tcW w:type="dxa" w:w="1267"/>
          </w:tcPr>
          <w:p>
            <w:pPr>
              <w:spacing w:after="20"/>
              <w:jc w:val="right"/>
            </w:pPr>
            <w:r>
              <w:rPr>
                <w:color w:val="1C3A36"/>
                <w:sz w:val="18"/>
              </w:rPr>
              <w:t>72.94</w:t>
            </w:r>
          </w:p>
        </w:tc>
        <w:tc>
          <w:tcPr>
            <w:tcW w:type="dxa" w:w="1267"/>
          </w:tcPr>
          <w:p>
            <w:pPr>
              <w:spacing w:after="20"/>
              <w:jc w:val="right"/>
            </w:pPr>
            <w:r>
              <w:rPr>
                <w:color w:val="1C3A36"/>
                <w:sz w:val="18"/>
              </w:rPr>
              <w:t>80.17</w:t>
            </w:r>
          </w:p>
        </w:tc>
        <w:tc>
          <w:tcPr>
            <w:tcW w:type="dxa" w:w="1267"/>
          </w:tcPr>
          <w:p>
            <w:pPr>
              <w:spacing w:after="20"/>
              <w:jc w:val="right"/>
            </w:pPr>
            <w:r>
              <w:rPr>
                <w:color w:val="1C3A36"/>
                <w:sz w:val="18"/>
              </w:rPr>
              <w:t>88.18</w:t>
            </w:r>
          </w:p>
        </w:tc>
        <w:tc>
          <w:tcPr>
            <w:tcW w:type="dxa" w:w="1267"/>
          </w:tcPr>
          <w:p>
            <w:pPr>
              <w:spacing w:after="20"/>
              <w:jc w:val="right"/>
            </w:pPr>
            <w:r>
              <w:rPr>
                <w:color w:val="1C3A36"/>
                <w:sz w:val="18"/>
              </w:rPr>
              <w:t>103.50</w:t>
            </w:r>
          </w:p>
        </w:tc>
        <w:tc>
          <w:tcPr>
            <w:tcW w:type="dxa" w:w="1368"/>
          </w:tcPr>
          <w:p>
            <w:pPr>
              <w:spacing w:after="20"/>
              <w:jc w:val="right"/>
            </w:pPr>
            <w:r>
              <w:rPr>
                <w:color w:val="1C3A36"/>
                <w:sz w:val="18"/>
              </w:rPr>
              <w:t>54%</w:t>
            </w:r>
          </w:p>
        </w:tc>
      </w:tr>
      <w:tr>
        <w:tc>
          <w:tcPr>
            <w:tcW w:type="dxa" w:w="1901"/>
          </w:tcPr>
          <w:p>
            <w:pPr>
              <w:spacing w:after="20"/>
            </w:pPr>
            <w:r>
              <w:rPr>
                <w:color w:val="1C3A36"/>
                <w:sz w:val="18"/>
              </w:rPr>
              <w:t>Three months</w:t>
            </w:r>
          </w:p>
        </w:tc>
        <w:tc>
          <w:tcPr>
            <w:tcW w:type="dxa" w:w="1267"/>
          </w:tcPr>
          <w:p>
            <w:pPr>
              <w:spacing w:after="20"/>
              <w:jc w:val="right"/>
            </w:pPr>
            <w:r>
              <w:rPr>
                <w:color w:val="1C3A36"/>
                <w:sz w:val="18"/>
              </w:rPr>
              <w:t>52.13</w:t>
            </w:r>
          </w:p>
        </w:tc>
        <w:tc>
          <w:tcPr>
            <w:tcW w:type="dxa" w:w="1267"/>
          </w:tcPr>
          <w:p>
            <w:pPr>
              <w:spacing w:after="20"/>
              <w:jc w:val="right"/>
            </w:pPr>
            <w:r>
              <w:rPr>
                <w:color w:val="1C3A36"/>
                <w:sz w:val="18"/>
              </w:rPr>
              <w:t>69.75</w:t>
            </w:r>
          </w:p>
        </w:tc>
        <w:tc>
          <w:tcPr>
            <w:tcW w:type="dxa" w:w="1267"/>
          </w:tcPr>
          <w:p>
            <w:pPr>
              <w:spacing w:after="20"/>
              <w:jc w:val="right"/>
            </w:pPr>
            <w:r>
              <w:rPr>
                <w:color w:val="1C3A36"/>
                <w:sz w:val="18"/>
              </w:rPr>
              <w:t>82.78</w:t>
            </w:r>
          </w:p>
        </w:tc>
        <w:tc>
          <w:tcPr>
            <w:tcW w:type="dxa" w:w="1267"/>
          </w:tcPr>
          <w:p>
            <w:pPr>
              <w:spacing w:after="20"/>
              <w:jc w:val="right"/>
            </w:pPr>
            <w:r>
              <w:rPr>
                <w:color w:val="1C3A36"/>
                <w:sz w:val="18"/>
              </w:rPr>
              <w:t>98.07</w:t>
            </w:r>
          </w:p>
        </w:tc>
        <w:tc>
          <w:tcPr>
            <w:tcW w:type="dxa" w:w="1267"/>
          </w:tcPr>
          <w:p>
            <w:pPr>
              <w:spacing w:after="20"/>
              <w:jc w:val="right"/>
            </w:pPr>
            <w:r>
              <w:rPr>
                <w:color w:val="1C3A36"/>
                <w:sz w:val="18"/>
              </w:rPr>
              <w:t>131.35</w:t>
            </w:r>
          </w:p>
        </w:tc>
        <w:tc>
          <w:tcPr>
            <w:tcW w:type="dxa" w:w="1368"/>
          </w:tcPr>
          <w:p>
            <w:pPr>
              <w:spacing w:after="20"/>
              <w:jc w:val="right"/>
            </w:pPr>
            <w:r>
              <w:rPr>
                <w:color w:val="1C3A36"/>
                <w:sz w:val="18"/>
              </w:rPr>
              <w:t>57%</w:t>
            </w:r>
          </w:p>
        </w:tc>
      </w:tr>
    </w:tbl>
    <w:p>
      <w:pPr>
        <w:spacing w:after="40"/>
      </w:pPr>
    </w:p>
    <w:p>
      <w:pPr>
        <w:spacing w:after="200" w:before="0"/>
      </w:pPr>
      <w:r>
        <w:rPr>
          <w:b w:val="0"/>
          <w:i/>
          <w:color w:val="6E7B77"/>
          <w:sz w:val="17"/>
        </w:rPr>
        <w:t>Table 15 — Percentiles of the simulated distribution, in EGP per share.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280"/>
      </w:pPr>
      <w:r>
        <w:rPr>
          <w:b/>
          <w:i w:val="0"/>
          <w:color w:val="1C3A36"/>
          <w:sz w:val="30"/>
        </w:rPr>
        <w:t>4  Comparison of the lenses</w:t>
      </w:r>
    </w:p>
    <w:p>
      <w:pPr>
        <w:spacing w:after="120" w:before="0"/>
      </w:pPr>
      <w:r>
        <w:rPr>
          <w:b w:val="0"/>
          <w:i w:val="0"/>
          <w:color w:val="1C3A36"/>
          <w:sz w:val="21"/>
        </w:rPr>
        <w:t>Set against each other the reads describe a company whose cash flows, on the operating improvement its own filings have already printed, are worth more than either the plant or an enterprise multiple would pay for. Each is stated with the condition that has to hold for it to be the right one, so a reader who rejects a condition can see immediately which answer goes with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325"/>
        <w:gridCol w:w="1123"/>
        <w:gridCol w:w="1037"/>
        <w:gridCol w:w="4075"/>
      </w:tblGrid>
      <w:tr>
        <w:tc>
          <w:tcPr>
            <w:tcW w:type="dxa" w:w="2160"/>
            <w:shd w:val="clear" w:color="auto" w:fill="EAF0EE"/>
          </w:tcPr>
          <w:p>
            <w:pPr>
              <w:spacing w:after="20"/>
            </w:pPr>
            <w:r>
              <w:rPr>
                <w:b/>
                <w:color w:val="1C3A36"/>
                <w:sz w:val="18"/>
              </w:rPr>
              <w:t>Lens</w:t>
            </w:r>
          </w:p>
        </w:tc>
        <w:tc>
          <w:tcPr>
            <w:tcW w:type="dxa" w:w="1325"/>
            <w:shd w:val="clear" w:color="auto" w:fill="EAF0EE"/>
          </w:tcPr>
          <w:p>
            <w:pPr>
              <w:spacing w:after="20"/>
            </w:pPr>
            <w:r>
              <w:rPr>
                <w:b/>
                <w:color w:val="1C3A36"/>
                <w:sz w:val="18"/>
              </w:rPr>
              <w:t>Role</w:t>
            </w:r>
          </w:p>
        </w:tc>
        <w:tc>
          <w:tcPr>
            <w:tcW w:type="dxa" w:w="1123"/>
            <w:shd w:val="clear" w:color="auto" w:fill="EAF0EE"/>
          </w:tcPr>
          <w:p>
            <w:pPr>
              <w:spacing w:after="20"/>
            </w:pPr>
            <w:r>
              <w:rPr>
                <w:b/>
                <w:color w:val="1C3A36"/>
                <w:sz w:val="18"/>
              </w:rPr>
              <w:t>Value (EGP)</w:t>
            </w:r>
          </w:p>
        </w:tc>
        <w:tc>
          <w:tcPr>
            <w:tcW w:type="dxa" w:w="1037"/>
            <w:shd w:val="clear" w:color="auto" w:fill="EAF0EE"/>
          </w:tcPr>
          <w:p>
            <w:pPr>
              <w:spacing w:after="20"/>
            </w:pPr>
            <w:r>
              <w:rPr>
                <w:b/>
                <w:color w:val="1C3A36"/>
                <w:sz w:val="18"/>
              </w:rPr>
              <w:t>Versus spot</w:t>
            </w:r>
          </w:p>
        </w:tc>
        <w:tc>
          <w:tcPr>
            <w:tcW w:type="dxa" w:w="4075"/>
            <w:shd w:val="clear" w:color="auto" w:fill="EAF0EE"/>
          </w:tcPr>
          <w:p>
            <w:pPr>
              <w:spacing w:after="20"/>
            </w:pPr>
            <w:r>
              <w:rPr>
                <w:b/>
                <w:color w:val="1C3A36"/>
                <w:sz w:val="18"/>
              </w:rPr>
              <w:t>What would have to be true for it to be right</w:t>
            </w:r>
          </w:p>
        </w:tc>
      </w:tr>
      <w:tr>
        <w:tc>
          <w:tcPr>
            <w:tcW w:type="dxa" w:w="2160"/>
          </w:tcPr>
          <w:p>
            <w:pPr>
              <w:spacing w:after="20"/>
            </w:pPr>
            <w:r>
              <w:rPr>
                <w:color w:val="1C3A36"/>
                <w:sz w:val="18"/>
              </w:rPr>
              <w:t>DCF (cash flow)</w:t>
            </w:r>
          </w:p>
        </w:tc>
        <w:tc>
          <w:tcPr>
            <w:tcW w:type="dxa" w:w="1325"/>
          </w:tcPr>
          <w:p>
            <w:pPr>
              <w:spacing w:after="20"/>
              <w:jc w:val="right"/>
            </w:pPr>
            <w:r>
              <w:rPr>
                <w:color w:val="1C3A36"/>
                <w:sz w:val="18"/>
              </w:rPr>
              <w:t>PRIMARY — this is the central</w:t>
            </w:r>
          </w:p>
        </w:tc>
        <w:tc>
          <w:tcPr>
            <w:tcW w:type="dxa" w:w="1123"/>
          </w:tcPr>
          <w:p>
            <w:pPr>
              <w:spacing w:after="20"/>
              <w:jc w:val="right"/>
            </w:pPr>
            <w:r>
              <w:rPr>
                <w:color w:val="1C3A36"/>
                <w:sz w:val="18"/>
              </w:rPr>
              <w:t>123.27</w:t>
            </w:r>
          </w:p>
        </w:tc>
        <w:tc>
          <w:tcPr>
            <w:tcW w:type="dxa" w:w="1037"/>
          </w:tcPr>
          <w:p>
            <w:pPr>
              <w:spacing w:after="20"/>
              <w:jc w:val="right"/>
            </w:pPr>
            <w:r>
              <w:rPr>
                <w:color w:val="1C3A36"/>
                <w:sz w:val="18"/>
              </w:rPr>
              <w:t>+22.7%</w:t>
            </w:r>
          </w:p>
        </w:tc>
        <w:tc>
          <w:tcPr>
            <w:tcW w:type="dxa" w:w="4075"/>
          </w:tcPr>
          <w:p>
            <w:pPr>
              <w:spacing w:after="20"/>
              <w:jc w:val="right"/>
            </w:pPr>
            <w:r>
              <w:rPr>
                <w:color w:val="1C3A36"/>
                <w:sz w:val="18"/>
              </w:rPr>
              <w:t>Utilisation keeps climbing toward 79% and the real price spread per tonne holds</w:t>
            </w:r>
          </w:p>
        </w:tc>
      </w:tr>
      <w:tr>
        <w:tc>
          <w:tcPr>
            <w:tcW w:type="dxa" w:w="2160"/>
          </w:tcPr>
          <w:p>
            <w:pPr>
              <w:spacing w:after="20"/>
            </w:pPr>
            <w:r>
              <w:rPr>
                <w:color w:val="1C3A36"/>
                <w:sz w:val="18"/>
              </w:rPr>
              <w:t>Relative multiples</w:t>
            </w:r>
          </w:p>
        </w:tc>
        <w:tc>
          <w:tcPr>
            <w:tcW w:type="dxa" w:w="1325"/>
          </w:tcPr>
          <w:p>
            <w:pPr>
              <w:spacing w:after="20"/>
              <w:jc w:val="right"/>
            </w:pPr>
            <w:r>
              <w:rPr>
                <w:color w:val="1C3A36"/>
                <w:sz w:val="18"/>
              </w:rPr>
              <w:t>cross-check</w:t>
            </w:r>
          </w:p>
        </w:tc>
        <w:tc>
          <w:tcPr>
            <w:tcW w:type="dxa" w:w="1123"/>
          </w:tcPr>
          <w:p>
            <w:pPr>
              <w:spacing w:after="20"/>
              <w:jc w:val="right"/>
            </w:pPr>
            <w:r>
              <w:rPr>
                <w:color w:val="1C3A36"/>
                <w:sz w:val="18"/>
              </w:rPr>
              <w:t>62.11</w:t>
            </w:r>
          </w:p>
        </w:tc>
        <w:tc>
          <w:tcPr>
            <w:tcW w:type="dxa" w:w="1037"/>
          </w:tcPr>
          <w:p>
            <w:pPr>
              <w:spacing w:after="20"/>
              <w:jc w:val="right"/>
            </w:pPr>
            <w:r>
              <w:rPr>
                <w:color w:val="1C3A36"/>
                <w:sz w:val="18"/>
              </w:rPr>
              <w:t>-38.2%</w:t>
            </w:r>
          </w:p>
        </w:tc>
        <w:tc>
          <w:tcPr>
            <w:tcW w:type="dxa" w:w="4075"/>
          </w:tcPr>
          <w:p>
            <w:pPr>
              <w:spacing w:after="20"/>
              <w:jc w:val="right"/>
            </w:pPr>
            <w:r>
              <w:rPr>
                <w:color w:val="1C3A36"/>
                <w:sz w:val="18"/>
              </w:rPr>
              <w:t>An enterprise multiple near 4x on a normalised margin is what this asset is worth</w:t>
            </w:r>
          </w:p>
        </w:tc>
      </w:tr>
      <w:tr>
        <w:tc>
          <w:tcPr>
            <w:tcW w:type="dxa" w:w="2160"/>
          </w:tcPr>
          <w:p>
            <w:pPr>
              <w:spacing w:after="20"/>
            </w:pPr>
            <w:r>
              <w:rPr>
                <w:color w:val="1C3A36"/>
                <w:sz w:val="18"/>
              </w:rPr>
              <w:t>Asset / replacement cost</w:t>
            </w:r>
          </w:p>
        </w:tc>
        <w:tc>
          <w:tcPr>
            <w:tcW w:type="dxa" w:w="1325"/>
          </w:tcPr>
          <w:p>
            <w:pPr>
              <w:spacing w:after="20"/>
              <w:jc w:val="right"/>
            </w:pPr>
            <w:r>
              <w:rPr>
                <w:color w:val="1C3A36"/>
                <w:sz w:val="18"/>
              </w:rPr>
              <w:t>cross-check</w:t>
            </w:r>
          </w:p>
        </w:tc>
        <w:tc>
          <w:tcPr>
            <w:tcW w:type="dxa" w:w="1123"/>
          </w:tcPr>
          <w:p>
            <w:pPr>
              <w:spacing w:after="20"/>
              <w:jc w:val="right"/>
            </w:pPr>
            <w:r>
              <w:rPr>
                <w:color w:val="1C3A36"/>
                <w:sz w:val="18"/>
              </w:rPr>
              <w:t>94.23</w:t>
            </w:r>
          </w:p>
        </w:tc>
        <w:tc>
          <w:tcPr>
            <w:tcW w:type="dxa" w:w="1037"/>
          </w:tcPr>
          <w:p>
            <w:pPr>
              <w:spacing w:after="20"/>
              <w:jc w:val="right"/>
            </w:pPr>
            <w:r>
              <w:rPr>
                <w:color w:val="1C3A36"/>
                <w:sz w:val="18"/>
              </w:rPr>
              <w:t>-6.2%</w:t>
            </w:r>
          </w:p>
        </w:tc>
        <w:tc>
          <w:tcPr>
            <w:tcW w:type="dxa" w:w="4075"/>
          </w:tcPr>
          <w:p>
            <w:pPr>
              <w:spacing w:after="20"/>
              <w:jc w:val="right"/>
            </w:pPr>
            <w:r>
              <w:rPr>
                <w:color w:val="1C3A36"/>
                <w:sz w:val="18"/>
              </w:rPr>
              <w:t>Capacity is scarce enough that build cost, not cash flow, anchors value</w:t>
            </w:r>
          </w:p>
        </w:tc>
      </w:tr>
      <w:tr>
        <w:tc>
          <w:tcPr>
            <w:tcW w:type="dxa" w:w="2160"/>
          </w:tcPr>
          <w:p>
            <w:pPr>
              <w:spacing w:after="20"/>
            </w:pPr>
            <w:r>
              <w:rPr>
                <w:color w:val="1C3A36"/>
                <w:sz w:val="18"/>
              </w:rPr>
              <w:t>Book value (disclosed floor)</w:t>
            </w:r>
          </w:p>
        </w:tc>
        <w:tc>
          <w:tcPr>
            <w:tcW w:type="dxa" w:w="1325"/>
          </w:tcPr>
          <w:p>
            <w:pPr>
              <w:spacing w:after="20"/>
              <w:jc w:val="right"/>
            </w:pPr>
            <w:r>
              <w:rPr>
                <w:color w:val="1C3A36"/>
                <w:sz w:val="18"/>
              </w:rPr>
              <w:t>disclosed floor, never weighted</w:t>
            </w:r>
          </w:p>
        </w:tc>
        <w:tc>
          <w:tcPr>
            <w:tcW w:type="dxa" w:w="1123"/>
          </w:tcPr>
          <w:p>
            <w:pPr>
              <w:spacing w:after="20"/>
              <w:jc w:val="right"/>
            </w:pPr>
            <w:r>
              <w:rPr>
                <w:color w:val="1C3A36"/>
                <w:sz w:val="18"/>
              </w:rPr>
              <w:t>27.12</w:t>
            </w:r>
          </w:p>
        </w:tc>
        <w:tc>
          <w:tcPr>
            <w:tcW w:type="dxa" w:w="1037"/>
          </w:tcPr>
          <w:p>
            <w:pPr>
              <w:spacing w:after="20"/>
              <w:jc w:val="right"/>
            </w:pPr>
            <w:r>
              <w:rPr>
                <w:color w:val="1C3A36"/>
                <w:sz w:val="18"/>
              </w:rPr>
              <w:t>-73.0%</w:t>
            </w:r>
          </w:p>
        </w:tc>
        <w:tc>
          <w:tcPr>
            <w:tcW w:type="dxa" w:w="4075"/>
          </w:tcPr>
          <w:p>
            <w:pPr>
              <w:spacing w:after="20"/>
              <w:jc w:val="right"/>
            </w:pPr>
            <w:r>
              <w:rPr>
                <w:color w:val="1C3A36"/>
                <w:sz w:val="18"/>
              </w:rPr>
              <w:t>Nothing — it is a floor, and a 1997 plant carried through a five-fold devaluation is worth more than its historic cost whatever else is true</w:t>
            </w:r>
          </w:p>
        </w:tc>
      </w:tr>
      <w:tr>
        <w:tc>
          <w:tcPr>
            <w:tcW w:type="dxa" w:w="2160"/>
          </w:tcPr>
          <w:p>
            <w:pPr>
              <w:spacing w:after="20"/>
            </w:pPr>
            <w:r>
              <w:rPr>
                <w:color w:val="1C3A36"/>
                <w:sz w:val="18"/>
              </w:rPr>
              <w:t>MEMO — normalised earnings, retired for this class</w:t>
            </w:r>
          </w:p>
        </w:tc>
        <w:tc>
          <w:tcPr>
            <w:tcW w:type="dxa" w:w="1325"/>
          </w:tcPr>
          <w:p>
            <w:pPr>
              <w:spacing w:after="20"/>
              <w:jc w:val="right"/>
            </w:pPr>
            <w:r>
              <w:rPr>
                <w:color w:val="1C3A36"/>
                <w:sz w:val="18"/>
              </w:rPr>
              <w:t>retired</w:t>
            </w:r>
          </w:p>
        </w:tc>
        <w:tc>
          <w:tcPr>
            <w:tcW w:type="dxa" w:w="1123"/>
          </w:tcPr>
          <w:p>
            <w:pPr>
              <w:spacing w:after="20"/>
              <w:jc w:val="right"/>
            </w:pPr>
            <w:r>
              <w:rPr>
                <w:color w:val="1C3A36"/>
                <w:sz w:val="18"/>
              </w:rPr>
              <w:t>70.48</w:t>
            </w:r>
          </w:p>
        </w:tc>
        <w:tc>
          <w:tcPr>
            <w:tcW w:type="dxa" w:w="1037"/>
          </w:tcPr>
          <w:p>
            <w:pPr>
              <w:spacing w:after="20"/>
              <w:jc w:val="right"/>
            </w:pPr>
            <w:r>
              <w:rPr>
                <w:color w:val="1C3A36"/>
                <w:sz w:val="18"/>
              </w:rPr>
              <w:t>-29.9%</w:t>
            </w:r>
          </w:p>
        </w:tc>
        <w:tc>
          <w:tcPr>
            <w:tcW w:type="dxa" w:w="4075"/>
          </w:tcPr>
          <w:p>
            <w:pPr>
              <w:spacing w:after="20"/>
              <w:jc w:val="right"/>
            </w:pPr>
            <w:r>
              <w:rPr>
                <w:color w:val="1C3A36"/>
                <w:sz w:val="18"/>
              </w:rPr>
              <w:t>FY2025 was a cyclical peak rather than a new operating level — a claim the cash-flow lens tests directly through utilisation and price</w:t>
            </w:r>
          </w:p>
        </w:tc>
      </w:tr>
    </w:tbl>
    <w:p>
      <w:pPr>
        <w:spacing w:after="40"/>
      </w:pPr>
    </w:p>
    <w:p>
      <w:pPr>
        <w:spacing w:after="200" w:before="0"/>
      </w:pPr>
      <w:r>
        <w:rPr>
          <w:b w:val="0"/>
          <w:i/>
          <w:color w:val="6E7B77"/>
          <w:sz w:val="17"/>
        </w:rPr>
        <w:t>Table 16 — What each lens is betting on. The cash-flow read is the answer and the others are cross-checks; none of them is weighted into it.</w:t>
      </w:r>
    </w:p>
    <w:p>
      <w:pPr>
        <w:spacing w:after="120" w:before="280"/>
      </w:pPr>
      <w:r>
        <w:rPr>
          <w:b/>
          <w:i w:val="0"/>
          <w:color w:val="1C3A36"/>
          <w:sz w:val="30"/>
        </w:rPr>
        <w:t>5  Catalysts to watch</w:t>
      </w:r>
    </w:p>
    <w:p>
      <w:pPr>
        <w:pStyle w:val="ListBullet"/>
        <w:spacing w:after="60"/>
      </w:pPr>
      <w:r>
        <w:rPr>
          <w:b/>
          <w:color w:val="1C3A36"/>
          <w:sz w:val="21"/>
        </w:rPr>
        <w:t xml:space="preserve">The revival programme. </w:t>
      </w:r>
      <w:r>
        <w:rPr>
          <w:color w:val="1C3A36"/>
          <w:sz w:val="21"/>
        </w:rPr>
        <w:t>Whether the seven to nine dormant lines actually restart, and how much of the 12.6 million tonnes reaches the market. This is the single largest swing factor and it lands inside the forecast window.</w:t>
      </w:r>
    </w:p>
    <w:p>
      <w:pPr>
        <w:pStyle w:val="ListBullet"/>
        <w:spacing w:after="60"/>
      </w:pPr>
      <w:r>
        <w:rPr>
          <w:b/>
          <w:color w:val="1C3A36"/>
          <w:sz w:val="21"/>
        </w:rPr>
        <w:t xml:space="preserve">The first post-quota pricing year. </w:t>
      </w:r>
      <w:r>
        <w:rPr>
          <w:color w:val="1C3A36"/>
          <w:sz w:val="21"/>
        </w:rPr>
        <w:t>FY2026 realised prices are the first clean read of what an unregulated Egyptian cement market clears at. Published estimates point to EGP 3,600–3,620 a tonne on about 1% demand growth.</w:t>
      </w:r>
    </w:p>
    <w:p>
      <w:pPr>
        <w:pStyle w:val="ListBullet"/>
        <w:spacing w:after="60"/>
      </w:pPr>
      <w:r>
        <w:rPr>
          <w:b/>
          <w:color w:val="1C3A36"/>
          <w:sz w:val="21"/>
        </w:rPr>
        <w:t xml:space="preserve">A dividend declaration. </w:t>
      </w:r>
      <w:r>
        <w:rPr>
          <w:color w:val="1C3A36"/>
          <w:sz w:val="21"/>
        </w:rPr>
        <w:t>The company has no dividend on record and its own statements confirm it twice over, to the pound: equity of EGP 3,735.80 million at 31 December 2024 plus the year's profit of 2,284.54 million is exactly the filed 6,020.34 million, and that plus the reviewed quarter's 1,114.48 million is exactly the filed 7,134.82 million at 31 March 2026. Nothing has been distributed. An earlier edition read a substantial distribution out of balance-sheet arithmetic and called it the largest single uncertainty in the bridge; it was reading a figure it had not taken from the statements. What remains genuinely open is whether the cash is ever returned, and a first declaration would answer it.</w:t>
      </w:r>
    </w:p>
    <w:p>
      <w:pPr>
        <w:pStyle w:val="ListBullet"/>
        <w:spacing w:after="60"/>
      </w:pPr>
      <w:r>
        <w:rPr>
          <w:b/>
          <w:color w:val="1C3A36"/>
          <w:sz w:val="21"/>
        </w:rPr>
        <w:t xml:space="preserve">Vicat's intentions for the float. </w:t>
      </w:r>
      <w:r>
        <w:rPr>
          <w:color w:val="1C3A36"/>
          <w:sz w:val="21"/>
        </w:rPr>
        <w:t>The 2025 mandatory offer at EGP 41.00 lapsed well below the market. Any renewed approach, or a move to delist, changes the minority shareholder's position entirely.</w:t>
      </w:r>
    </w:p>
    <w:p>
      <w:pPr>
        <w:pStyle w:val="ListBullet"/>
        <w:spacing w:after="60"/>
      </w:pPr>
      <w:r>
        <w:rPr>
          <w:b/>
          <w:color w:val="1C3A36"/>
          <w:sz w:val="21"/>
        </w:rPr>
        <w:t xml:space="preserve">The central bank's easing path. </w:t>
      </w:r>
      <w:r>
        <w:rPr>
          <w:color w:val="1C3A36"/>
          <w:sz w:val="21"/>
        </w:rPr>
        <w:t>A faster fall in Egyptian rates lifts the valuation through the discount rate but reduces the treasury income that currently flatters the earnings line. The two effects partly offset.</w:t>
      </w:r>
    </w:p>
    <w:p>
      <w:pPr>
        <w:pStyle w:val="ListBullet"/>
        <w:spacing w:after="60"/>
      </w:pPr>
      <w:r>
        <w:rPr>
          <w:b/>
          <w:color w:val="1C3A36"/>
          <w:sz w:val="21"/>
        </w:rPr>
        <w:t xml:space="preserve">Energy costs. </w:t>
      </w:r>
      <w:r>
        <w:rPr>
          <w:color w:val="1C3A36"/>
          <w:sz w:val="21"/>
        </w:rPr>
        <w:t>Egypt's phased subsidy reform raises the cash cost of clinker independently of the global fuel price, and cement is an energy-conversion business before it is anything else.</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too wide to support fine probability statements, and the honest way to use it is as a rough map of where the price could plausibly be, not as a calibrated forecast. Read against the fundamental work, three zones are worth naming.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2088"/>
        <w:gridCol w:w="4680"/>
      </w:tblGrid>
      <w:tr>
        <w:tc>
          <w:tcPr>
            <w:tcW w:type="dxa" w:w="2952"/>
            <w:shd w:val="clear" w:color="auto" w:fill="EAF0EE"/>
          </w:tcPr>
          <w:p>
            <w:pPr>
              <w:spacing w:after="20"/>
            </w:pPr>
            <w:r>
              <w:rPr>
                <w:b/>
                <w:color w:val="1C3A36"/>
                <w:sz w:val="18"/>
              </w:rPr>
              <w:t>Zone</w:t>
            </w:r>
          </w:p>
        </w:tc>
        <w:tc>
          <w:tcPr>
            <w:tcW w:type="dxa" w:w="2088"/>
            <w:shd w:val="clear" w:color="auto" w:fill="EAF0EE"/>
          </w:tcPr>
          <w:p>
            <w:pPr>
              <w:spacing w:after="20"/>
            </w:pPr>
            <w:r>
              <w:rPr>
                <w:b/>
                <w:color w:val="1C3A36"/>
                <w:sz w:val="18"/>
              </w:rPr>
              <w:t>Range (EGP)</w:t>
            </w:r>
          </w:p>
        </w:tc>
        <w:tc>
          <w:tcPr>
            <w:tcW w:type="dxa" w:w="4680"/>
            <w:shd w:val="clear" w:color="auto" w:fill="EAF0EE"/>
          </w:tcPr>
          <w:p>
            <w:pPr>
              <w:spacing w:after="20"/>
            </w:pPr>
            <w:r>
              <w:rPr>
                <w:b/>
                <w:color w:val="1C3A36"/>
                <w:sz w:val="18"/>
              </w:rPr>
              <w:t>What it would mean</w:t>
            </w:r>
          </w:p>
        </w:tc>
      </w:tr>
      <w:tr>
        <w:tc>
          <w:tcPr>
            <w:tcW w:type="dxa" w:w="2952"/>
          </w:tcPr>
          <w:p>
            <w:pPr>
              <w:spacing w:after="20"/>
            </w:pPr>
            <w:r>
              <w:rPr>
                <w:color w:val="1C3A36"/>
                <w:sz w:val="18"/>
              </w:rPr>
              <w:t>Below the replacement-cost read</w:t>
            </w:r>
          </w:p>
        </w:tc>
        <w:tc>
          <w:tcPr>
            <w:tcW w:type="dxa" w:w="2088"/>
          </w:tcPr>
          <w:p>
            <w:pPr>
              <w:spacing w:after="20"/>
              <w:jc w:val="right"/>
            </w:pPr>
            <w:r>
              <w:rPr>
                <w:color w:val="1C3A36"/>
                <w:sz w:val="18"/>
              </w:rPr>
              <w:t>under 94.23</w:t>
            </w:r>
          </w:p>
        </w:tc>
        <w:tc>
          <w:tcPr>
            <w:tcW w:type="dxa" w:w="4680"/>
          </w:tcPr>
          <w:p>
            <w:pPr>
              <w:spacing w:after="20"/>
              <w:jc w:val="right"/>
            </w:pPr>
            <w:r>
              <w:rPr>
                <w:color w:val="1C3A36"/>
                <w:sz w:val="18"/>
              </w:rPr>
              <w:t>The plant is valued below what it would cost to build. Where the price sits today, and the condition for it is that the operating improvement the company has already filed does not hold</w:t>
            </w:r>
          </w:p>
        </w:tc>
      </w:tr>
      <w:tr>
        <w:tc>
          <w:tcPr>
            <w:tcW w:type="dxa" w:w="2952"/>
          </w:tcPr>
          <w:p>
            <w:pPr>
              <w:spacing w:after="20"/>
            </w:pPr>
            <w:r>
              <w:rPr>
                <w:color w:val="1C3A36"/>
                <w:sz w:val="18"/>
              </w:rPr>
              <w:t>Between replacement cost and the cash-flow read</w:t>
            </w:r>
          </w:p>
        </w:tc>
        <w:tc>
          <w:tcPr>
            <w:tcW w:type="dxa" w:w="2088"/>
          </w:tcPr>
          <w:p>
            <w:pPr>
              <w:spacing w:after="20"/>
              <w:jc w:val="right"/>
            </w:pPr>
            <w:r>
              <w:rPr>
                <w:color w:val="1C3A36"/>
                <w:sz w:val="18"/>
              </w:rPr>
              <w:t>94.23 – 123.27</w:t>
            </w:r>
          </w:p>
        </w:tc>
        <w:tc>
          <w:tcPr>
            <w:tcW w:type="dxa" w:w="4680"/>
          </w:tcPr>
          <w:p>
            <w:pPr>
              <w:spacing w:after="20"/>
              <w:jc w:val="right"/>
            </w:pPr>
            <w:r>
              <w:rPr>
                <w:color w:val="1C3A36"/>
                <w:sz w:val="18"/>
              </w:rPr>
              <w:t>The market has come to price the utilisation and margin the filings already show, but not the whole of the forecast path</w:t>
            </w:r>
          </w:p>
        </w:tc>
      </w:tr>
      <w:tr>
        <w:tc>
          <w:tcPr>
            <w:tcW w:type="dxa" w:w="2952"/>
          </w:tcPr>
          <w:p>
            <w:pPr>
              <w:spacing w:after="20"/>
            </w:pPr>
            <w:r>
              <w:rPr>
                <w:color w:val="1C3A36"/>
                <w:sz w:val="18"/>
              </w:rPr>
              <w:t>Above the cash-flow read</w:t>
            </w:r>
          </w:p>
        </w:tc>
        <w:tc>
          <w:tcPr>
            <w:tcW w:type="dxa" w:w="2088"/>
          </w:tcPr>
          <w:p>
            <w:pPr>
              <w:spacing w:after="20"/>
              <w:jc w:val="right"/>
            </w:pPr>
            <w:r>
              <w:rPr>
                <w:color w:val="1C3A36"/>
                <w:sz w:val="18"/>
              </w:rPr>
              <w:t>over 123.27</w:t>
            </w:r>
          </w:p>
        </w:tc>
        <w:tc>
          <w:tcPr>
            <w:tcW w:type="dxa" w:w="4680"/>
          </w:tcPr>
          <w:p>
            <w:pPr>
              <w:spacing w:after="20"/>
              <w:jc w:val="right"/>
            </w:pPr>
            <w:r>
              <w:rPr>
                <w:color w:val="1C3A36"/>
                <w:sz w:val="18"/>
              </w:rPr>
              <w:t>The market is paying for more than this study forecasts — a faster utilisation ramp, a wider real spread per tonne, or a lower cost of capital than the central bank's own easing path implies</w:t>
            </w:r>
          </w:p>
        </w:tc>
      </w:tr>
    </w:tbl>
    <w:p>
      <w:pPr>
        <w:spacing w:after="40"/>
      </w:pPr>
    </w:p>
    <w:p>
      <w:pPr>
        <w:spacing w:after="200" w:before="0"/>
      </w:pPr>
      <w:r>
        <w:rPr>
          <w:b w:val="0"/>
          <w:i/>
          <w:color w:val="6E7B77"/>
          <w:sz w:val="17"/>
        </w:rPr>
        <w:t>Table 17 — Zones read against the fundamental work rather than against the simulated distribution.</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audited statements could not be obtained. </w:t>
      </w:r>
      <w:r>
        <w:rPr>
          <w:color w:val="1C3A36"/>
          <w:sz w:val="21"/>
        </w:rPr>
        <w:t>Revenue and profit after tax are carried as disclosed through reporting of the company's exchange filings. Every line between them — EBITDA, depreciation, operating profit and treasury income — is DERIVED by closing the disclosed profit, and is labelled as derived in the financial statements appendix. The margin structure rests on a single disclosed EBITDA figure for FY2024.</w:t>
      </w:r>
    </w:p>
    <w:p>
      <w:pPr>
        <w:pStyle w:val="ListBullet"/>
        <w:spacing w:after="60"/>
      </w:pPr>
      <w:r>
        <w:rPr>
          <w:b/>
          <w:color w:val="1C3A36"/>
          <w:sz w:val="21"/>
        </w:rPr>
        <w:t xml:space="preserve">The balance sheet still does not fully reconcile. </w:t>
      </w:r>
      <w:r>
        <w:rPr>
          <w:color w:val="1C3A36"/>
          <w:sz w:val="21"/>
        </w:rPr>
        <w:t>Rolling FY2024 equity of EGP 4,775 million forward by FY2025 profit with no distribution gives EGP 7,060 million, against a reported figure of about EGP 6,020 million. The EGP 1,039 million difference implies a FY2025 distribution that no obtainable source reports. It is carried as a disclosed uncertainty rather than plugged, and it bears directly on the cash balance the valuation adds back.</w:t>
      </w:r>
    </w:p>
    <w:p>
      <w:pPr>
        <w:pStyle w:val="ListBullet"/>
        <w:spacing w:after="60"/>
      </w:pPr>
      <w:r>
        <w:rPr>
          <w:b/>
          <w:color w:val="1C3A36"/>
          <w:sz w:val="21"/>
        </w:rPr>
        <w:t xml:space="preserve">The cash balance is now reported, and sensitised. </w:t>
      </w:r>
      <w:r>
        <w:rPr>
          <w:color w:val="1C3A36"/>
          <w:sz w:val="21"/>
        </w:rPr>
        <w:t>An earlier draft inferred it from the treasury income the profit bridge implied, divided by a deposit yield, and then grew it by an undisclosed multiplier. It is now the reported FY2025 balance of EGP 4,762 million, rolled forward to the valuation date on the elapsed share of FY2026 free cash flow. It is 20% of fair equity value, so it carries its own sensitivity grid in section 1.9 rather than being asserted.</w:t>
      </w:r>
    </w:p>
    <w:p>
      <w:pPr>
        <w:pStyle w:val="ListBullet"/>
        <w:spacing w:after="60"/>
      </w:pPr>
      <w:r>
        <w:rPr>
          <w:b/>
          <w:color w:val="1C3A36"/>
          <w:sz w:val="21"/>
        </w:rPr>
        <w:t xml:space="preserve">The EBITDA margin is an output, and that changed the answer. </w:t>
      </w:r>
      <w:r>
        <w:rPr>
          <w:color w:val="1C3A36"/>
          <w:sz w:val="21"/>
        </w:rPr>
        <w:t>An earlier draft set the FY2026 EBITDA margin at 30.5% — above the FY2025 outturn it simultaneously described as a cyclical peak. Rebuilding the operating line from the cost stack puts FY2026 at 38.6% falling to 39.8%, and moved the weighted central materially lower.</w:t>
      </w:r>
    </w:p>
    <w:p>
      <w:pPr>
        <w:pStyle w:val="ListBullet"/>
        <w:spacing w:after="60"/>
      </w:pPr>
      <w:r>
        <w:rPr>
          <w:b/>
          <w:color w:val="1C3A36"/>
          <w:sz w:val="21"/>
        </w:rPr>
        <w:t xml:space="preserve">The fixed cost block is calibrated, not observed. </w:t>
      </w:r>
      <w:r>
        <w:rPr>
          <w:color w:val="1C3A36"/>
          <w:sz w:val="21"/>
        </w:rPr>
        <w:t>Variable costs are built from independent physical norms, but the fixed block — labour, maintenance, insurance, security and administration — is set at USD 14.6 per tonne of installed capacity, the level the FY2025 reconciliation implies against that variable stack. It sits inside the USD 10-20 industry band, but it is the one cost line the build does not independently evidence.</w:t>
      </w:r>
    </w:p>
    <w:p>
      <w:pPr>
        <w:pStyle w:val="ListBullet"/>
        <w:spacing w:after="60"/>
      </w:pPr>
      <w:r>
        <w:rPr>
          <w:b/>
          <w:color w:val="1C3A36"/>
          <w:sz w:val="21"/>
        </w:rPr>
        <w:t xml:space="preserve">Capital expenditure is a top-down assumption. </w:t>
      </w:r>
      <w:r>
        <w:rPr>
          <w:color w:val="1C3A36"/>
          <w:sz w:val="21"/>
        </w:rPr>
        <w:t>The company publishes no capital-expenditure figure, guidance or investment plan that could be retrieved. Capex is set at 4.5% to 5.0% of revenue as maintenance for a mature two-line plant plus decarbonisation spending, and is sensitised.</w:t>
      </w:r>
    </w:p>
    <w:p>
      <w:pPr>
        <w:pStyle w:val="ListBullet"/>
        <w:spacing w:after="60"/>
      </w:pPr>
      <w:r>
        <w:rPr>
          <w:b/>
          <w:color w:val="1C3A36"/>
          <w:sz w:val="21"/>
        </w:rPr>
        <w:t xml:space="preserve">The FY2024 disposal gain is estimated, not disclosed. </w:t>
      </w:r>
      <w:r>
        <w:rPr>
          <w:color w:val="1C3A36"/>
          <w:sz w:val="21"/>
        </w:rPr>
        <w:t>The EUR 30 million consideration and the completion date are reported, but the carrying value of the stake is not. It is estimated at EGP 100 million on the reasoning that a 1990s-vintage holding carried at historic cost in pre-devaluation pounds is small. A different carrying value shifts the split between the FY2024 disposal gain and FY2024 treasury income, but not the FY2025 or forecast figures.</w:t>
      </w:r>
    </w:p>
    <w:p>
      <w:pPr>
        <w:pStyle w:val="ListBullet"/>
        <w:spacing w:after="60"/>
      </w:pPr>
      <w:r>
        <w:rPr>
          <w:b/>
          <w:color w:val="1C3A36"/>
          <w:sz w:val="21"/>
        </w:rPr>
        <w:t xml:space="preserve">The price map is wider than the market average, and it says so. </w:t>
      </w:r>
      <w:r>
        <w:rPr>
          <w:color w:val="1C3A36"/>
          <w:sz w:val="21"/>
        </w:rPr>
        <w:t>Over 57 resolved three-month forecasts the 90% band held 93% of the time and the middle band 72%, so the wide band does what it promises and the middle one has been generous. The band runs about 1.40 times as wide as a simple carry-anchored benchmark, which is what this market's tail risk costs. It carries no weight in the fundamental valuation and is not an input to it.</w:t>
      </w:r>
    </w:p>
    <w:p>
      <w:pPr>
        <w:pStyle w:val="ListBullet"/>
        <w:spacing w:after="60"/>
      </w:pPr>
      <w:r>
        <w:rPr>
          <w:b/>
          <w:color w:val="1C3A36"/>
          <w:sz w:val="21"/>
        </w:rPr>
        <w:t xml:space="preserve">Concentration of control. </w:t>
      </w:r>
      <w:r>
        <w:rPr>
          <w:color w:val="1C3A36"/>
          <w:sz w:val="21"/>
        </w:rPr>
        <w:t>Vicat holds 77.6%. A minority shareholder in an Egyptian company with a float of 22.4% has limited influence over dividend policy, related-party terms or the timing of any exit, and the shares trade thinly as a direct consequence.</w:t>
      </w:r>
    </w:p>
    <w:p>
      <w:pPr>
        <w:pStyle w:val="ListBullet"/>
        <w:spacing w:after="60"/>
      </w:pPr>
      <w:r>
        <w:rPr>
          <w:b/>
          <w:color w:val="1C3A36"/>
          <w:sz w:val="21"/>
        </w:rPr>
        <w:t xml:space="preserve">What would change our mind, upward. </w:t>
      </w:r>
      <w:r>
        <w:rPr>
          <w:color w:val="1C3A36"/>
          <w:sz w:val="21"/>
        </w:rPr>
        <w:t>A declared dividend confirming the cash is distributable; cancellation or material delay of the capacity-revival programme; realised prices holding above EGP 3,900 a tonne into 2027; or evidence that replacement cost in Egypt is materially above USD 130 per tonne.</w:t>
      </w:r>
    </w:p>
    <w:p>
      <w:pPr>
        <w:pStyle w:val="ListBullet"/>
        <w:spacing w:after="60"/>
      </w:pPr>
      <w:r>
        <w:rPr>
          <w:b/>
          <w:color w:val="1C3A36"/>
          <w:sz w:val="21"/>
        </w:rPr>
        <w:t xml:space="preserve">What would change our mind, downward. </w:t>
      </w:r>
      <w:r>
        <w:rPr>
          <w:color w:val="1C3A36"/>
          <w:sz w:val="21"/>
        </w:rPr>
        <w:t>Restarted capacity reaching the market faster than expected; realised prices falling in nominal terms rather than merely in real terms; a debt-funded expansion into the surplus; or confirmation that the cash balance is smaller than the profit bridge implies.</w:t>
      </w:r>
    </w:p>
    <w:p>
      <w:r>
        <w:br w:type="page"/>
      </w:r>
    </w:p>
    <w:p>
      <w:pPr>
        <w:spacing w:after="120" w:before="280"/>
      </w:pPr>
      <w:r>
        <w:rPr>
          <w:b/>
          <w:i w:val="0"/>
          <w:color w:val="1C3A36"/>
          <w:sz w:val="30"/>
        </w:rPr>
        <w:t>Appendix A  Financial statements</w:t>
      </w:r>
    </w:p>
    <w:p>
      <w:pPr>
        <w:spacing w:after="120" w:before="0"/>
      </w:pPr>
      <w:r>
        <w:rPr>
          <w:b w:val="0"/>
          <w:i w:val="0"/>
          <w:color w:val="1C3A36"/>
          <w:sz w:val="21"/>
        </w:rPr>
        <w:t>Three years of history and a five-year forecast. Figures shown in green in the companion model are disclosed; the remainder are derived and are marked here.</w:t>
      </w:r>
    </w:p>
    <w:p>
      <w:pPr>
        <w:spacing w:after="80" w:before="200"/>
      </w:pPr>
      <w:r>
        <w:rPr>
          <w:b/>
          <w:i w:val="0"/>
          <w:color w:val="1C3A36"/>
          <w:sz w:val="24"/>
        </w:rPr>
        <w:t>Income statement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Revenue  (disclosed)</w:t>
            </w:r>
          </w:p>
        </w:tc>
        <w:tc>
          <w:tcPr>
            <w:tcW w:type="dxa" w:w="864"/>
          </w:tcPr>
          <w:p>
            <w:pPr>
              <w:spacing w:after="20"/>
              <w:jc w:val="right"/>
            </w:pPr>
            <w:r>
              <w:rPr>
                <w:color w:val="1C3A36"/>
                <w:sz w:val="16"/>
              </w:rPr>
              <w:t>4,285</w:t>
            </w:r>
          </w:p>
        </w:tc>
        <w:tc>
          <w:tcPr>
            <w:tcW w:type="dxa" w:w="864"/>
          </w:tcPr>
          <w:p>
            <w:pPr>
              <w:spacing w:after="20"/>
              <w:jc w:val="right"/>
            </w:pPr>
            <w:r>
              <w:rPr>
                <w:color w:val="1C3A36"/>
                <w:sz w:val="16"/>
              </w:rPr>
              <w:t>6,428</w:t>
            </w:r>
          </w:p>
        </w:tc>
        <w:tc>
          <w:tcPr>
            <w:tcW w:type="dxa" w:w="864"/>
          </w:tcPr>
          <w:p>
            <w:pPr>
              <w:spacing w:after="20"/>
              <w:jc w:val="right"/>
            </w:pPr>
            <w:r>
              <w:rPr>
                <w:color w:val="1C3A36"/>
                <w:sz w:val="16"/>
              </w:rPr>
              <w:t>9,089</w:t>
            </w:r>
          </w:p>
        </w:tc>
        <w:tc>
          <w:tcPr>
            <w:tcW w:type="dxa" w:w="864"/>
          </w:tcPr>
          <w:p>
            <w:pPr>
              <w:spacing w:after="20"/>
              <w:jc w:val="right"/>
            </w:pPr>
            <w:r>
              <w:rPr>
                <w:color w:val="1C3A36"/>
                <w:sz w:val="16"/>
              </w:rPr>
              <w:t>10,550</w:t>
            </w:r>
          </w:p>
        </w:tc>
        <w:tc>
          <w:tcPr>
            <w:tcW w:type="dxa" w:w="864"/>
          </w:tcPr>
          <w:p>
            <w:pPr>
              <w:spacing w:after="20"/>
              <w:jc w:val="right"/>
            </w:pPr>
            <w:r>
              <w:rPr>
                <w:color w:val="1C3A36"/>
                <w:sz w:val="16"/>
              </w:rPr>
              <w:t>12,015</w:t>
            </w:r>
          </w:p>
        </w:tc>
        <w:tc>
          <w:tcPr>
            <w:tcW w:type="dxa" w:w="864"/>
          </w:tcPr>
          <w:p>
            <w:pPr>
              <w:spacing w:after="20"/>
              <w:jc w:val="right"/>
            </w:pPr>
            <w:r>
              <w:rPr>
                <w:color w:val="1C3A36"/>
                <w:sz w:val="16"/>
              </w:rPr>
              <w:t>13,316</w:t>
            </w:r>
          </w:p>
        </w:tc>
        <w:tc>
          <w:tcPr>
            <w:tcW w:type="dxa" w:w="864"/>
          </w:tcPr>
          <w:p>
            <w:pPr>
              <w:spacing w:after="20"/>
              <w:jc w:val="right"/>
            </w:pPr>
            <w:r>
              <w:rPr>
                <w:color w:val="1C3A36"/>
                <w:sz w:val="16"/>
              </w:rPr>
              <w:t>14,560</w:t>
            </w:r>
          </w:p>
        </w:tc>
        <w:tc>
          <w:tcPr>
            <w:tcW w:type="dxa" w:w="864"/>
          </w:tcPr>
          <w:p>
            <w:pPr>
              <w:spacing w:after="20"/>
              <w:jc w:val="right"/>
            </w:pPr>
            <w:r>
              <w:rPr>
                <w:color w:val="1C3A36"/>
                <w:sz w:val="16"/>
              </w:rPr>
              <w:t>15,848</w:t>
            </w:r>
          </w:p>
        </w:tc>
      </w:tr>
      <w:tr>
        <w:tc>
          <w:tcPr>
            <w:tcW w:type="dxa" w:w="2909"/>
          </w:tcPr>
          <w:p>
            <w:pPr>
              <w:spacing w:after="20"/>
            </w:pPr>
            <w:r>
              <w:rPr>
                <w:color w:val="1C3A36"/>
                <w:sz w:val="16"/>
              </w:rPr>
              <w:t>EBITDA  (derived)</w:t>
            </w:r>
          </w:p>
        </w:tc>
        <w:tc>
          <w:tcPr>
            <w:tcW w:type="dxa" w:w="864"/>
          </w:tcPr>
          <w:p>
            <w:pPr>
              <w:spacing w:after="20"/>
              <w:jc w:val="right"/>
            </w:pPr>
            <w:r>
              <w:rPr>
                <w:color w:val="1C3A36"/>
                <w:sz w:val="16"/>
              </w:rPr>
              <w:t>284</w:t>
            </w:r>
          </w:p>
        </w:tc>
        <w:tc>
          <w:tcPr>
            <w:tcW w:type="dxa" w:w="864"/>
          </w:tcPr>
          <w:p>
            <w:pPr>
              <w:spacing w:after="20"/>
              <w:jc w:val="right"/>
            </w:pPr>
            <w:r>
              <w:rPr>
                <w:color w:val="1C3A36"/>
                <w:sz w:val="16"/>
              </w:rPr>
              <w:t>1,585</w:t>
            </w:r>
          </w:p>
        </w:tc>
        <w:tc>
          <w:tcPr>
            <w:tcW w:type="dxa" w:w="864"/>
          </w:tcPr>
          <w:p>
            <w:pPr>
              <w:spacing w:after="20"/>
              <w:jc w:val="right"/>
            </w:pPr>
            <w:r>
              <w:rPr>
                <w:color w:val="1C3A36"/>
                <w:sz w:val="16"/>
              </w:rPr>
              <w:t>3,455</w:t>
            </w:r>
          </w:p>
        </w:tc>
        <w:tc>
          <w:tcPr>
            <w:tcW w:type="dxa" w:w="864"/>
          </w:tcPr>
          <w:p>
            <w:pPr>
              <w:spacing w:after="20"/>
              <w:jc w:val="right"/>
            </w:pPr>
            <w:r>
              <w:rPr>
                <w:color w:val="1C3A36"/>
                <w:sz w:val="16"/>
              </w:rPr>
              <w:t>4,076</w:t>
            </w:r>
          </w:p>
        </w:tc>
        <w:tc>
          <w:tcPr>
            <w:tcW w:type="dxa" w:w="864"/>
          </w:tcPr>
          <w:p>
            <w:pPr>
              <w:spacing w:after="20"/>
              <w:jc w:val="right"/>
            </w:pPr>
            <w:r>
              <w:rPr>
                <w:color w:val="1C3A36"/>
                <w:sz w:val="16"/>
              </w:rPr>
              <w:t>4,677</w:t>
            </w:r>
          </w:p>
        </w:tc>
        <w:tc>
          <w:tcPr>
            <w:tcW w:type="dxa" w:w="864"/>
          </w:tcPr>
          <w:p>
            <w:pPr>
              <w:spacing w:after="20"/>
              <w:jc w:val="right"/>
            </w:pPr>
            <w:r>
              <w:rPr>
                <w:color w:val="1C3A36"/>
                <w:sz w:val="16"/>
              </w:rPr>
              <w:t>5,225</w:t>
            </w:r>
          </w:p>
        </w:tc>
        <w:tc>
          <w:tcPr>
            <w:tcW w:type="dxa" w:w="864"/>
          </w:tcPr>
          <w:p>
            <w:pPr>
              <w:spacing w:after="20"/>
              <w:jc w:val="right"/>
            </w:pPr>
            <w:r>
              <w:rPr>
                <w:color w:val="1C3A36"/>
                <w:sz w:val="16"/>
              </w:rPr>
              <w:t>5,754</w:t>
            </w:r>
          </w:p>
        </w:tc>
        <w:tc>
          <w:tcPr>
            <w:tcW w:type="dxa" w:w="864"/>
          </w:tcPr>
          <w:p>
            <w:pPr>
              <w:spacing w:after="20"/>
              <w:jc w:val="right"/>
            </w:pPr>
            <w:r>
              <w:rPr>
                <w:color w:val="1C3A36"/>
                <w:sz w:val="16"/>
              </w:rPr>
              <w:t>6,313</w:t>
            </w:r>
          </w:p>
        </w:tc>
      </w:tr>
      <w:tr>
        <w:tc>
          <w:tcPr>
            <w:tcW w:type="dxa" w:w="2909"/>
          </w:tcPr>
          <w:p>
            <w:pPr>
              <w:spacing w:after="20"/>
            </w:pPr>
            <w:r>
              <w:rPr>
                <w:color w:val="1C3A36"/>
                <w:sz w:val="16"/>
              </w:rPr>
              <w:t>EBITDA margin</w:t>
            </w:r>
          </w:p>
        </w:tc>
        <w:tc>
          <w:tcPr>
            <w:tcW w:type="dxa" w:w="864"/>
          </w:tcPr>
          <w:p>
            <w:pPr>
              <w:spacing w:after="20"/>
              <w:jc w:val="right"/>
            </w:pPr>
            <w:r>
              <w:rPr>
                <w:color w:val="1C3A36"/>
                <w:sz w:val="16"/>
              </w:rPr>
              <w:t>6.6%</w:t>
            </w:r>
          </w:p>
        </w:tc>
        <w:tc>
          <w:tcPr>
            <w:tcW w:type="dxa" w:w="864"/>
          </w:tcPr>
          <w:p>
            <w:pPr>
              <w:spacing w:after="20"/>
              <w:jc w:val="right"/>
            </w:pPr>
            <w:r>
              <w:rPr>
                <w:color w:val="1C3A36"/>
                <w:sz w:val="16"/>
              </w:rPr>
              <w:t>24.7%</w:t>
            </w:r>
          </w:p>
        </w:tc>
        <w:tc>
          <w:tcPr>
            <w:tcW w:type="dxa" w:w="864"/>
          </w:tcPr>
          <w:p>
            <w:pPr>
              <w:spacing w:after="20"/>
              <w:jc w:val="right"/>
            </w:pPr>
            <w:r>
              <w:rPr>
                <w:color w:val="1C3A36"/>
                <w:sz w:val="16"/>
              </w:rPr>
              <w:t>38.0%</w:t>
            </w:r>
          </w:p>
        </w:tc>
        <w:tc>
          <w:tcPr>
            <w:tcW w:type="dxa" w:w="864"/>
          </w:tcPr>
          <w:p>
            <w:pPr>
              <w:spacing w:after="20"/>
              <w:jc w:val="right"/>
            </w:pPr>
            <w:r>
              <w:rPr>
                <w:color w:val="1C3A36"/>
                <w:sz w:val="16"/>
              </w:rPr>
              <w:t>38.6%</w:t>
            </w:r>
          </w:p>
        </w:tc>
        <w:tc>
          <w:tcPr>
            <w:tcW w:type="dxa" w:w="864"/>
          </w:tcPr>
          <w:p>
            <w:pPr>
              <w:spacing w:after="20"/>
              <w:jc w:val="right"/>
            </w:pPr>
            <w:r>
              <w:rPr>
                <w:color w:val="1C3A36"/>
                <w:sz w:val="16"/>
              </w:rPr>
              <w:t>38.9%</w:t>
            </w:r>
          </w:p>
        </w:tc>
        <w:tc>
          <w:tcPr>
            <w:tcW w:type="dxa" w:w="864"/>
          </w:tcPr>
          <w:p>
            <w:pPr>
              <w:spacing w:after="20"/>
              <w:jc w:val="right"/>
            </w:pPr>
            <w:r>
              <w:rPr>
                <w:color w:val="1C3A36"/>
                <w:sz w:val="16"/>
              </w:rPr>
              <w:t>39.2%</w:t>
            </w:r>
          </w:p>
        </w:tc>
        <w:tc>
          <w:tcPr>
            <w:tcW w:type="dxa" w:w="864"/>
          </w:tcPr>
          <w:p>
            <w:pPr>
              <w:spacing w:after="20"/>
              <w:jc w:val="right"/>
            </w:pPr>
            <w:r>
              <w:rPr>
                <w:color w:val="1C3A36"/>
                <w:sz w:val="16"/>
              </w:rPr>
              <w:t>39.5%</w:t>
            </w:r>
          </w:p>
        </w:tc>
        <w:tc>
          <w:tcPr>
            <w:tcW w:type="dxa" w:w="864"/>
          </w:tcPr>
          <w:p>
            <w:pPr>
              <w:spacing w:after="20"/>
              <w:jc w:val="right"/>
            </w:pPr>
            <w:r>
              <w:rPr>
                <w:color w:val="1C3A36"/>
                <w:sz w:val="16"/>
              </w:rPr>
              <w:t>39.8%</w:t>
            </w:r>
          </w:p>
        </w:tc>
      </w:tr>
      <w:tr>
        <w:tc>
          <w:tcPr>
            <w:tcW w:type="dxa" w:w="2909"/>
          </w:tcPr>
          <w:p>
            <w:pPr>
              <w:spacing w:after="20"/>
            </w:pPr>
            <w:r>
              <w:rPr>
                <w:color w:val="1C3A36"/>
                <w:sz w:val="16"/>
              </w:rPr>
              <w:t>Depreciation &amp; amortisation  (derived)</w:t>
            </w:r>
          </w:p>
        </w:tc>
        <w:tc>
          <w:tcPr>
            <w:tcW w:type="dxa" w:w="864"/>
          </w:tcPr>
          <w:p>
            <w:pPr>
              <w:spacing w:after="20"/>
              <w:jc w:val="right"/>
            </w:pPr>
            <w:r>
              <w:rPr>
                <w:color w:val="1C3A36"/>
                <w:sz w:val="16"/>
              </w:rPr>
              <w:t>87</w:t>
            </w:r>
          </w:p>
        </w:tc>
        <w:tc>
          <w:tcPr>
            <w:tcW w:type="dxa" w:w="864"/>
          </w:tcPr>
          <w:p>
            <w:pPr>
              <w:spacing w:after="20"/>
              <w:jc w:val="right"/>
            </w:pPr>
            <w:r>
              <w:rPr>
                <w:color w:val="1C3A36"/>
                <w:sz w:val="16"/>
              </w:rPr>
              <w:t>91</w:t>
            </w:r>
          </w:p>
        </w:tc>
        <w:tc>
          <w:tcPr>
            <w:tcW w:type="dxa" w:w="864"/>
          </w:tcPr>
          <w:p>
            <w:pPr>
              <w:spacing w:after="20"/>
              <w:jc w:val="right"/>
            </w:pPr>
            <w:r>
              <w:rPr>
                <w:color w:val="1C3A36"/>
                <w:sz w:val="16"/>
              </w:rPr>
              <w:t>123</w:t>
            </w:r>
          </w:p>
        </w:tc>
        <w:tc>
          <w:tcPr>
            <w:tcW w:type="dxa" w:w="864"/>
          </w:tcPr>
          <w:p>
            <w:pPr>
              <w:spacing w:after="20"/>
              <w:jc w:val="right"/>
            </w:pPr>
            <w:r>
              <w:rPr>
                <w:color w:val="1C3A36"/>
                <w:sz w:val="16"/>
              </w:rPr>
              <w:t>135</w:t>
            </w:r>
          </w:p>
        </w:tc>
        <w:tc>
          <w:tcPr>
            <w:tcW w:type="dxa" w:w="864"/>
          </w:tcPr>
          <w:p>
            <w:pPr>
              <w:spacing w:after="20"/>
              <w:jc w:val="right"/>
            </w:pPr>
            <w:r>
              <w:rPr>
                <w:color w:val="1C3A36"/>
                <w:sz w:val="16"/>
              </w:rPr>
              <w:t>158</w:t>
            </w:r>
          </w:p>
        </w:tc>
        <w:tc>
          <w:tcPr>
            <w:tcW w:type="dxa" w:w="864"/>
          </w:tcPr>
          <w:p>
            <w:pPr>
              <w:spacing w:after="20"/>
              <w:jc w:val="right"/>
            </w:pPr>
            <w:r>
              <w:rPr>
                <w:color w:val="1C3A36"/>
                <w:sz w:val="16"/>
              </w:rPr>
              <w:t>193</w:t>
            </w:r>
          </w:p>
        </w:tc>
        <w:tc>
          <w:tcPr>
            <w:tcW w:type="dxa" w:w="864"/>
          </w:tcPr>
          <w:p>
            <w:pPr>
              <w:spacing w:after="20"/>
              <w:jc w:val="right"/>
            </w:pPr>
            <w:r>
              <w:rPr>
                <w:color w:val="1C3A36"/>
                <w:sz w:val="16"/>
              </w:rPr>
              <w:t>240</w:t>
            </w:r>
          </w:p>
        </w:tc>
        <w:tc>
          <w:tcPr>
            <w:tcW w:type="dxa" w:w="864"/>
          </w:tcPr>
          <w:p>
            <w:pPr>
              <w:spacing w:after="20"/>
              <w:jc w:val="right"/>
            </w:pPr>
            <w:r>
              <w:rPr>
                <w:color w:val="1C3A36"/>
                <w:sz w:val="16"/>
              </w:rPr>
              <w:t>300</w:t>
            </w:r>
          </w:p>
        </w:tc>
      </w:tr>
      <w:tr>
        <w:tc>
          <w:tcPr>
            <w:tcW w:type="dxa" w:w="2909"/>
          </w:tcPr>
          <w:p>
            <w:pPr>
              <w:spacing w:after="20"/>
            </w:pPr>
            <w:r>
              <w:rPr>
                <w:color w:val="1C3A36"/>
                <w:sz w:val="16"/>
              </w:rPr>
              <w:t>EBIT  (derived)</w:t>
            </w:r>
          </w:p>
        </w:tc>
        <w:tc>
          <w:tcPr>
            <w:tcW w:type="dxa" w:w="864"/>
          </w:tcPr>
          <w:p>
            <w:pPr>
              <w:spacing w:after="20"/>
              <w:jc w:val="right"/>
            </w:pPr>
            <w:r>
              <w:rPr>
                <w:color w:val="1C3A36"/>
                <w:sz w:val="16"/>
              </w:rPr>
              <w:t>196</w:t>
            </w:r>
          </w:p>
        </w:tc>
        <w:tc>
          <w:tcPr>
            <w:tcW w:type="dxa" w:w="864"/>
          </w:tcPr>
          <w:p>
            <w:pPr>
              <w:spacing w:after="20"/>
              <w:jc w:val="right"/>
            </w:pPr>
            <w:r>
              <w:rPr>
                <w:color w:val="1C3A36"/>
                <w:sz w:val="16"/>
              </w:rPr>
              <w:t>1,495</w:t>
            </w:r>
          </w:p>
        </w:tc>
        <w:tc>
          <w:tcPr>
            <w:tcW w:type="dxa" w:w="864"/>
          </w:tcPr>
          <w:p>
            <w:pPr>
              <w:spacing w:after="20"/>
              <w:jc w:val="right"/>
            </w:pPr>
            <w:r>
              <w:rPr>
                <w:color w:val="1C3A36"/>
                <w:sz w:val="16"/>
              </w:rPr>
              <w:t>3,333</w:t>
            </w:r>
          </w:p>
        </w:tc>
        <w:tc>
          <w:tcPr>
            <w:tcW w:type="dxa" w:w="864"/>
          </w:tcPr>
          <w:p>
            <w:pPr>
              <w:spacing w:after="20"/>
              <w:jc w:val="right"/>
            </w:pPr>
            <w:r>
              <w:rPr>
                <w:color w:val="1C3A36"/>
                <w:sz w:val="16"/>
              </w:rPr>
              <w:t>3,941</w:t>
            </w:r>
          </w:p>
        </w:tc>
        <w:tc>
          <w:tcPr>
            <w:tcW w:type="dxa" w:w="864"/>
          </w:tcPr>
          <w:p>
            <w:pPr>
              <w:spacing w:after="20"/>
              <w:jc w:val="right"/>
            </w:pPr>
            <w:r>
              <w:rPr>
                <w:color w:val="1C3A36"/>
                <w:sz w:val="16"/>
              </w:rPr>
              <w:t>4,519</w:t>
            </w:r>
          </w:p>
        </w:tc>
        <w:tc>
          <w:tcPr>
            <w:tcW w:type="dxa" w:w="864"/>
          </w:tcPr>
          <w:p>
            <w:pPr>
              <w:spacing w:after="20"/>
              <w:jc w:val="right"/>
            </w:pPr>
            <w:r>
              <w:rPr>
                <w:color w:val="1C3A36"/>
                <w:sz w:val="16"/>
              </w:rPr>
              <w:t>5,032</w:t>
            </w:r>
          </w:p>
        </w:tc>
        <w:tc>
          <w:tcPr>
            <w:tcW w:type="dxa" w:w="864"/>
          </w:tcPr>
          <w:p>
            <w:pPr>
              <w:spacing w:after="20"/>
              <w:jc w:val="right"/>
            </w:pPr>
            <w:r>
              <w:rPr>
                <w:color w:val="1C3A36"/>
                <w:sz w:val="16"/>
              </w:rPr>
              <w:t>5,515</w:t>
            </w:r>
          </w:p>
        </w:tc>
        <w:tc>
          <w:tcPr>
            <w:tcW w:type="dxa" w:w="864"/>
          </w:tcPr>
          <w:p>
            <w:pPr>
              <w:spacing w:after="20"/>
              <w:jc w:val="right"/>
            </w:pPr>
            <w:r>
              <w:rPr>
                <w:color w:val="1C3A36"/>
                <w:sz w:val="16"/>
              </w:rPr>
              <w:t>6,013</w:t>
            </w:r>
          </w:p>
        </w:tc>
      </w:tr>
      <w:tr>
        <w:tc>
          <w:tcPr>
            <w:tcW w:type="dxa" w:w="2909"/>
          </w:tcPr>
          <w:p>
            <w:pPr>
              <w:spacing w:after="20"/>
            </w:pPr>
            <w:r>
              <w:rPr>
                <w:color w:val="1C3A36"/>
                <w:sz w:val="16"/>
              </w:rPr>
              <w:t>Treasury income  (derived)</w:t>
            </w:r>
          </w:p>
        </w:tc>
        <w:tc>
          <w:tcPr>
            <w:tcW w:type="dxa" w:w="864"/>
          </w:tcPr>
          <w:p>
            <w:pPr>
              <w:spacing w:after="20"/>
              <w:jc w:val="right"/>
            </w:pPr>
            <w:r>
              <w:rPr>
                <w:color w:val="1C3A36"/>
                <w:sz w:val="16"/>
              </w:rPr>
              <w:t>7</w:t>
            </w:r>
          </w:p>
        </w:tc>
        <w:tc>
          <w:tcPr>
            <w:tcW w:type="dxa" w:w="864"/>
          </w:tcPr>
          <w:p>
            <w:pPr>
              <w:spacing w:after="20"/>
              <w:jc w:val="right"/>
            </w:pPr>
            <w:r>
              <w:rPr>
                <w:color w:val="1C3A36"/>
                <w:sz w:val="16"/>
              </w:rPr>
              <w:t>30</w:t>
            </w:r>
          </w:p>
        </w:tc>
        <w:tc>
          <w:tcPr>
            <w:tcW w:type="dxa" w:w="864"/>
          </w:tcPr>
          <w:p>
            <w:pPr>
              <w:spacing w:after="20"/>
              <w:jc w:val="right"/>
            </w:pPr>
            <w:r>
              <w:rPr>
                <w:color w:val="1C3A36"/>
                <w:sz w:val="16"/>
              </w:rPr>
              <w:t>172</w:t>
            </w:r>
          </w:p>
        </w:tc>
        <w:tc>
          <w:tcPr>
            <w:tcW w:type="dxa" w:w="864"/>
          </w:tcPr>
          <w:p>
            <w:pPr>
              <w:spacing w:after="20"/>
              <w:jc w:val="right"/>
            </w:pPr>
            <w:r>
              <w:rPr>
                <w:color w:val="1C3A36"/>
                <w:sz w:val="16"/>
              </w:rPr>
              <w:t>905</w:t>
            </w:r>
          </w:p>
        </w:tc>
        <w:tc>
          <w:tcPr>
            <w:tcW w:type="dxa" w:w="864"/>
          </w:tcPr>
          <w:p>
            <w:pPr>
              <w:spacing w:after="20"/>
              <w:jc w:val="right"/>
            </w:pPr>
            <w:r>
              <w:rPr>
                <w:color w:val="1C3A36"/>
                <w:sz w:val="16"/>
              </w:rPr>
              <w:t>1,391</w:t>
            </w:r>
          </w:p>
        </w:tc>
        <w:tc>
          <w:tcPr>
            <w:tcW w:type="dxa" w:w="864"/>
          </w:tcPr>
          <w:p>
            <w:pPr>
              <w:spacing w:after="20"/>
              <w:jc w:val="right"/>
            </w:pPr>
            <w:r>
              <w:rPr>
                <w:color w:val="1C3A36"/>
                <w:sz w:val="16"/>
              </w:rPr>
              <w:t>1,830</w:t>
            </w:r>
          </w:p>
        </w:tc>
        <w:tc>
          <w:tcPr>
            <w:tcW w:type="dxa" w:w="864"/>
          </w:tcPr>
          <w:p>
            <w:pPr>
              <w:spacing w:after="20"/>
              <w:jc w:val="right"/>
            </w:pPr>
            <w:r>
              <w:rPr>
                <w:color w:val="1C3A36"/>
                <w:sz w:val="16"/>
              </w:rPr>
              <w:t>2,256</w:t>
            </w:r>
          </w:p>
        </w:tc>
        <w:tc>
          <w:tcPr>
            <w:tcW w:type="dxa" w:w="864"/>
          </w:tcPr>
          <w:p>
            <w:pPr>
              <w:spacing w:after="20"/>
              <w:jc w:val="right"/>
            </w:pPr>
            <w:r>
              <w:rPr>
                <w:color w:val="1C3A36"/>
                <w:sz w:val="16"/>
              </w:rPr>
              <w:t>2,708</w:t>
            </w:r>
          </w:p>
        </w:tc>
      </w:tr>
      <w:tr>
        <w:tc>
          <w:tcPr>
            <w:tcW w:type="dxa" w:w="2909"/>
          </w:tcPr>
          <w:p>
            <w:pPr>
              <w:spacing w:after="20"/>
            </w:pPr>
            <w:r>
              <w:rPr>
                <w:color w:val="1C3A36"/>
                <w:sz w:val="16"/>
              </w:rPr>
              <w:t>Gain on disposal</w:t>
            </w:r>
          </w:p>
        </w:tc>
        <w:tc>
          <w:tcPr>
            <w:tcW w:type="dxa" w:w="864"/>
          </w:tcPr>
          <w:p>
            <w:pPr>
              <w:spacing w:after="20"/>
              <w:jc w:val="right"/>
            </w:pPr>
            <w:r>
              <w:rPr>
                <w:color w:val="1C3A36"/>
                <w:sz w:val="16"/>
              </w:rPr>
              <w:t>—</w:t>
            </w:r>
          </w:p>
        </w:tc>
        <w:tc>
          <w:tcPr>
            <w:tcW w:type="dxa" w:w="864"/>
          </w:tcPr>
          <w:p>
            <w:pPr>
              <w:spacing w:after="20"/>
              <w:jc w:val="right"/>
            </w:pPr>
            <w:r>
              <w:rPr>
                <w:color w:val="1C3A36"/>
                <w:sz w:val="16"/>
              </w:rPr>
              <w:t>1,517</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r>
      <w:tr>
        <w:tc>
          <w:tcPr>
            <w:tcW w:type="dxa" w:w="2909"/>
          </w:tcPr>
          <w:p>
            <w:pPr>
              <w:spacing w:after="20"/>
            </w:pPr>
            <w:r>
              <w:rPr>
                <w:color w:val="1C3A36"/>
                <w:sz w:val="16"/>
              </w:rPr>
              <w:t>Profit after tax  (disclosed / forecast)</w:t>
            </w:r>
          </w:p>
        </w:tc>
        <w:tc>
          <w:tcPr>
            <w:tcW w:type="dxa" w:w="864"/>
          </w:tcPr>
          <w:p>
            <w:pPr>
              <w:spacing w:after="20"/>
              <w:jc w:val="right"/>
            </w:pPr>
            <w:r>
              <w:rPr>
                <w:color w:val="1C3A36"/>
                <w:sz w:val="16"/>
              </w:rPr>
              <w:t>-118</w:t>
            </w:r>
          </w:p>
        </w:tc>
        <w:tc>
          <w:tcPr>
            <w:tcW w:type="dxa" w:w="864"/>
          </w:tcPr>
          <w:p>
            <w:pPr>
              <w:spacing w:after="20"/>
              <w:jc w:val="right"/>
            </w:pPr>
            <w:r>
              <w:rPr>
                <w:color w:val="1C3A36"/>
                <w:sz w:val="16"/>
              </w:rPr>
              <w:t>3,072</w:t>
            </w:r>
          </w:p>
        </w:tc>
        <w:tc>
          <w:tcPr>
            <w:tcW w:type="dxa" w:w="864"/>
          </w:tcPr>
          <w:p>
            <w:pPr>
              <w:spacing w:after="20"/>
              <w:jc w:val="right"/>
            </w:pPr>
            <w:r>
              <w:rPr>
                <w:color w:val="1C3A36"/>
                <w:sz w:val="16"/>
              </w:rPr>
              <w:t>2,285</w:t>
            </w:r>
          </w:p>
        </w:tc>
        <w:tc>
          <w:tcPr>
            <w:tcW w:type="dxa" w:w="864"/>
          </w:tcPr>
          <w:p>
            <w:pPr>
              <w:spacing w:after="20"/>
              <w:jc w:val="right"/>
            </w:pPr>
            <w:r>
              <w:rPr>
                <w:color w:val="1C3A36"/>
                <w:sz w:val="16"/>
              </w:rPr>
              <w:t>3,755</w:t>
            </w:r>
          </w:p>
        </w:tc>
        <w:tc>
          <w:tcPr>
            <w:tcW w:type="dxa" w:w="864"/>
          </w:tcPr>
          <w:p>
            <w:pPr>
              <w:spacing w:after="20"/>
              <w:jc w:val="right"/>
            </w:pPr>
            <w:r>
              <w:rPr>
                <w:color w:val="1C3A36"/>
                <w:sz w:val="16"/>
              </w:rPr>
              <w:t>4,580</w:t>
            </w:r>
          </w:p>
        </w:tc>
        <w:tc>
          <w:tcPr>
            <w:tcW w:type="dxa" w:w="864"/>
          </w:tcPr>
          <w:p>
            <w:pPr>
              <w:spacing w:after="20"/>
              <w:jc w:val="right"/>
            </w:pPr>
            <w:r>
              <w:rPr>
                <w:color w:val="1C3A36"/>
                <w:sz w:val="16"/>
              </w:rPr>
              <w:t>5,318</w:t>
            </w:r>
          </w:p>
        </w:tc>
        <w:tc>
          <w:tcPr>
            <w:tcW w:type="dxa" w:w="864"/>
          </w:tcPr>
          <w:p>
            <w:pPr>
              <w:spacing w:after="20"/>
              <w:jc w:val="right"/>
            </w:pPr>
            <w:r>
              <w:rPr>
                <w:color w:val="1C3A36"/>
                <w:sz w:val="16"/>
              </w:rPr>
              <w:t>6,022</w:t>
            </w:r>
          </w:p>
        </w:tc>
        <w:tc>
          <w:tcPr>
            <w:tcW w:type="dxa" w:w="864"/>
          </w:tcPr>
          <w:p>
            <w:pPr>
              <w:spacing w:after="20"/>
              <w:jc w:val="right"/>
            </w:pPr>
            <w:r>
              <w:rPr>
                <w:color w:val="1C3A36"/>
                <w:sz w:val="16"/>
              </w:rPr>
              <w:t>6,759</w:t>
            </w:r>
          </w:p>
        </w:tc>
      </w:tr>
      <w:tr>
        <w:tc>
          <w:tcPr>
            <w:tcW w:type="dxa" w:w="2909"/>
          </w:tcPr>
          <w:p>
            <w:pPr>
              <w:spacing w:after="20"/>
            </w:pPr>
            <w:r>
              <w:rPr>
                <w:color w:val="1C3A36"/>
                <w:sz w:val="16"/>
              </w:rPr>
              <w:t>Earnings per share (EGP)</w:t>
            </w:r>
          </w:p>
        </w:tc>
        <w:tc>
          <w:tcPr>
            <w:tcW w:type="dxa" w:w="864"/>
          </w:tcPr>
          <w:p>
            <w:pPr>
              <w:spacing w:after="20"/>
              <w:jc w:val="right"/>
            </w:pPr>
            <w:r>
              <w:rPr>
                <w:color w:val="1C3A36"/>
                <w:sz w:val="16"/>
              </w:rPr>
              <w:t>-0.45</w:t>
            </w:r>
          </w:p>
        </w:tc>
        <w:tc>
          <w:tcPr>
            <w:tcW w:type="dxa" w:w="864"/>
          </w:tcPr>
          <w:p>
            <w:pPr>
              <w:spacing w:after="20"/>
              <w:jc w:val="right"/>
            </w:pPr>
            <w:r>
              <w:rPr>
                <w:color w:val="1C3A36"/>
                <w:sz w:val="16"/>
              </w:rPr>
              <w:t>11.78</w:t>
            </w:r>
          </w:p>
        </w:tc>
        <w:tc>
          <w:tcPr>
            <w:tcW w:type="dxa" w:w="864"/>
          </w:tcPr>
          <w:p>
            <w:pPr>
              <w:spacing w:after="20"/>
              <w:jc w:val="right"/>
            </w:pPr>
            <w:r>
              <w:rPr>
                <w:color w:val="1C3A36"/>
                <w:sz w:val="16"/>
              </w:rPr>
              <w:t>8.76</w:t>
            </w:r>
          </w:p>
        </w:tc>
        <w:tc>
          <w:tcPr>
            <w:tcW w:type="dxa" w:w="864"/>
          </w:tcPr>
          <w:p>
            <w:pPr>
              <w:spacing w:after="20"/>
              <w:jc w:val="right"/>
            </w:pPr>
            <w:r>
              <w:rPr>
                <w:color w:val="1C3A36"/>
                <w:sz w:val="16"/>
              </w:rPr>
              <w:t>14.40</w:t>
            </w:r>
          </w:p>
        </w:tc>
        <w:tc>
          <w:tcPr>
            <w:tcW w:type="dxa" w:w="864"/>
          </w:tcPr>
          <w:p>
            <w:pPr>
              <w:spacing w:after="20"/>
              <w:jc w:val="right"/>
            </w:pPr>
            <w:r>
              <w:rPr>
                <w:color w:val="1C3A36"/>
                <w:sz w:val="16"/>
              </w:rPr>
              <w:t>17.56</w:t>
            </w:r>
          </w:p>
        </w:tc>
        <w:tc>
          <w:tcPr>
            <w:tcW w:type="dxa" w:w="864"/>
          </w:tcPr>
          <w:p>
            <w:pPr>
              <w:spacing w:after="20"/>
              <w:jc w:val="right"/>
            </w:pPr>
            <w:r>
              <w:rPr>
                <w:color w:val="1C3A36"/>
                <w:sz w:val="16"/>
              </w:rPr>
              <w:t>20.39</w:t>
            </w:r>
          </w:p>
        </w:tc>
        <w:tc>
          <w:tcPr>
            <w:tcW w:type="dxa" w:w="864"/>
          </w:tcPr>
          <w:p>
            <w:pPr>
              <w:spacing w:after="20"/>
              <w:jc w:val="right"/>
            </w:pPr>
            <w:r>
              <w:rPr>
                <w:color w:val="1C3A36"/>
                <w:sz w:val="16"/>
              </w:rPr>
              <w:t>23.09</w:t>
            </w:r>
          </w:p>
        </w:tc>
        <w:tc>
          <w:tcPr>
            <w:tcW w:type="dxa" w:w="864"/>
          </w:tcPr>
          <w:p>
            <w:pPr>
              <w:spacing w:after="20"/>
              <w:jc w:val="right"/>
            </w:pPr>
            <w:r>
              <w:rPr>
                <w:color w:val="1C3A36"/>
                <w:sz w:val="16"/>
              </w:rPr>
              <w:t>25.91</w:t>
            </w:r>
          </w:p>
        </w:tc>
      </w:tr>
    </w:tbl>
    <w:p>
      <w:pPr>
        <w:spacing w:after="40"/>
      </w:pPr>
    </w:p>
    <w:p>
      <w:pPr>
        <w:spacing w:after="200" w:before="0"/>
      </w:pPr>
      <w:r>
        <w:rPr>
          <w:b w:val="0"/>
          <w:i/>
          <w:color w:val="6E7B77"/>
          <w:sz w:val="17"/>
        </w:rPr>
        <w:t>Table A1 — Income statement. FY2024 contains the disposal gain and is not a base year for normalisation.</w:t>
      </w:r>
    </w:p>
    <w:p>
      <w:pPr>
        <w:spacing w:after="80" w:before="200"/>
      </w:pPr>
      <w:r>
        <w:rPr>
          <w:b/>
          <w:i w:val="0"/>
          <w:color w:val="1C3A36"/>
          <w:sz w:val="24"/>
        </w:rPr>
        <w:t>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64"/>
        <w:gridCol w:w="864"/>
        <w:gridCol w:w="864"/>
        <w:gridCol w:w="864"/>
        <w:gridCol w:w="864"/>
        <w:gridCol w:w="864"/>
        <w:gridCol w:w="864"/>
        <w:gridCol w:w="864"/>
      </w:tblGrid>
      <w:tr>
        <w:tc>
          <w:tcPr>
            <w:tcW w:type="dxa" w:w="2909"/>
            <w:shd w:val="clear" w:color="auto" w:fill="EAF0EE"/>
          </w:tcPr>
          <w:p>
            <w:pPr>
              <w:spacing w:after="20"/>
            </w:pPr>
            <w:r>
              <w:rPr>
                <w:b/>
                <w:color w:val="1C3A36"/>
                <w:sz w:val="16"/>
              </w:rPr>
            </w:r>
          </w:p>
        </w:tc>
        <w:tc>
          <w:tcPr>
            <w:tcW w:type="dxa" w:w="864"/>
            <w:shd w:val="clear" w:color="auto" w:fill="EAF0EE"/>
          </w:tcPr>
          <w:p>
            <w:pPr>
              <w:spacing w:after="20"/>
            </w:pPr>
            <w:r>
              <w:rPr>
                <w:b/>
                <w:color w:val="1C3A36"/>
                <w:sz w:val="16"/>
              </w:rPr>
              <w:t>FY2023</w:t>
            </w:r>
          </w:p>
        </w:tc>
        <w:tc>
          <w:tcPr>
            <w:tcW w:type="dxa" w:w="864"/>
            <w:shd w:val="clear" w:color="auto" w:fill="EAF0EE"/>
          </w:tcPr>
          <w:p>
            <w:pPr>
              <w:spacing w:after="20"/>
            </w:pPr>
            <w:r>
              <w:rPr>
                <w:b/>
                <w:color w:val="1C3A36"/>
                <w:sz w:val="16"/>
              </w:rPr>
              <w:t>FY2024</w:t>
            </w:r>
          </w:p>
        </w:tc>
        <w:tc>
          <w:tcPr>
            <w:tcW w:type="dxa" w:w="864"/>
            <w:shd w:val="clear" w:color="auto" w:fill="EAF0EE"/>
          </w:tcPr>
          <w:p>
            <w:pPr>
              <w:spacing w:after="20"/>
            </w:pPr>
            <w:r>
              <w:rPr>
                <w:b/>
                <w:color w:val="1C3A36"/>
                <w:sz w:val="16"/>
              </w:rPr>
              <w:t>FY2025</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Cash and equivalents</w:t>
            </w:r>
          </w:p>
        </w:tc>
        <w:tc>
          <w:tcPr>
            <w:tcW w:type="dxa" w:w="864"/>
          </w:tcPr>
          <w:p>
            <w:pPr>
              <w:spacing w:after="20"/>
              <w:jc w:val="right"/>
            </w:pPr>
            <w:r>
              <w:rPr>
                <w:color w:val="1C3A36"/>
                <w:sz w:val="16"/>
              </w:rPr>
              <w:t>2,348</w:t>
            </w:r>
          </w:p>
        </w:tc>
        <w:tc>
          <w:tcPr>
            <w:tcW w:type="dxa" w:w="864"/>
          </w:tcPr>
          <w:p>
            <w:pPr>
              <w:spacing w:after="20"/>
              <w:jc w:val="right"/>
            </w:pPr>
            <w:r>
              <w:rPr>
                <w:color w:val="1C3A36"/>
                <w:sz w:val="16"/>
              </w:rPr>
              <w:t>6,708</w:t>
            </w:r>
          </w:p>
        </w:tc>
        <w:tc>
          <w:tcPr>
            <w:tcW w:type="dxa" w:w="864"/>
          </w:tcPr>
          <w:p>
            <w:pPr>
              <w:spacing w:after="20"/>
              <w:jc w:val="right"/>
            </w:pPr>
            <w:r>
              <w:rPr>
                <w:color w:val="1C3A36"/>
                <w:sz w:val="16"/>
              </w:rPr>
              <w:t>6,708</w:t>
            </w:r>
          </w:p>
        </w:tc>
        <w:tc>
          <w:tcPr>
            <w:tcW w:type="dxa" w:w="864"/>
          </w:tcPr>
          <w:p>
            <w:pPr>
              <w:spacing w:after="20"/>
              <w:jc w:val="right"/>
            </w:pPr>
            <w:r>
              <w:rPr>
                <w:color w:val="1C3A36"/>
                <w:sz w:val="16"/>
              </w:rPr>
              <w:t>8,184</w:t>
            </w:r>
          </w:p>
        </w:tc>
        <w:tc>
          <w:tcPr>
            <w:tcW w:type="dxa" w:w="864"/>
          </w:tcPr>
          <w:p>
            <w:pPr>
              <w:spacing w:after="20"/>
              <w:jc w:val="right"/>
            </w:pPr>
            <w:r>
              <w:rPr>
                <w:color w:val="1C3A36"/>
                <w:sz w:val="16"/>
              </w:rPr>
              <w:t>12,199</w:t>
            </w:r>
          </w:p>
        </w:tc>
        <w:tc>
          <w:tcPr>
            <w:tcW w:type="dxa" w:w="864"/>
          </w:tcPr>
          <w:p>
            <w:pPr>
              <w:spacing w:after="20"/>
              <w:jc w:val="right"/>
            </w:pPr>
            <w:r>
              <w:rPr>
                <w:color w:val="1C3A36"/>
                <w:sz w:val="16"/>
              </w:rPr>
              <w:t>16,712</w:t>
            </w:r>
          </w:p>
        </w:tc>
        <w:tc>
          <w:tcPr>
            <w:tcW w:type="dxa" w:w="864"/>
          </w:tcPr>
          <w:p>
            <w:pPr>
              <w:spacing w:after="20"/>
              <w:jc w:val="right"/>
            </w:pPr>
            <w:r>
              <w:rPr>
                <w:color w:val="1C3A36"/>
                <w:sz w:val="16"/>
              </w:rPr>
              <w:t>21,664</w:t>
            </w:r>
          </w:p>
        </w:tc>
        <w:tc>
          <w:tcPr>
            <w:tcW w:type="dxa" w:w="864"/>
          </w:tcPr>
          <w:p>
            <w:pPr>
              <w:spacing w:after="20"/>
              <w:jc w:val="right"/>
            </w:pPr>
            <w:r>
              <w:rPr>
                <w:color w:val="1C3A36"/>
                <w:sz w:val="16"/>
              </w:rPr>
              <w:t>27,058</w:t>
            </w:r>
          </w:p>
        </w:tc>
      </w:tr>
      <w:tr>
        <w:tc>
          <w:tcPr>
            <w:tcW w:type="dxa" w:w="2909"/>
          </w:tcPr>
          <w:p>
            <w:pPr>
              <w:spacing w:after="20"/>
            </w:pPr>
            <w:r>
              <w:rPr>
                <w:color w:val="1C3A36"/>
                <w:sz w:val="16"/>
              </w:rPr>
              <w:t>Gross debt</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c>
          <w:tcPr>
            <w:tcW w:type="dxa" w:w="864"/>
          </w:tcPr>
          <w:p>
            <w:pPr>
              <w:spacing w:after="20"/>
              <w:jc w:val="right"/>
            </w:pPr>
            <w:r>
              <w:rPr>
                <w:color w:val="1C3A36"/>
                <w:sz w:val="16"/>
              </w:rPr>
              <w:t>137.6</w:t>
            </w:r>
          </w:p>
        </w:tc>
      </w:tr>
      <w:tr>
        <w:tc>
          <w:tcPr>
            <w:tcW w:type="dxa" w:w="2909"/>
          </w:tcPr>
          <w:p>
            <w:pPr>
              <w:spacing w:after="20"/>
            </w:pPr>
            <w:r>
              <w:rPr>
                <w:color w:val="1C3A36"/>
                <w:sz w:val="16"/>
              </w:rPr>
              <w:t>Net cash</w:t>
            </w:r>
          </w:p>
        </w:tc>
        <w:tc>
          <w:tcPr>
            <w:tcW w:type="dxa" w:w="864"/>
          </w:tcPr>
          <w:p>
            <w:pPr>
              <w:spacing w:after="20"/>
              <w:jc w:val="right"/>
            </w:pPr>
            <w:r>
              <w:rPr>
                <w:color w:val="1C3A36"/>
                <w:sz w:val="16"/>
              </w:rPr>
              <w:t>2,210</w:t>
            </w:r>
          </w:p>
        </w:tc>
        <w:tc>
          <w:tcPr>
            <w:tcW w:type="dxa" w:w="864"/>
          </w:tcPr>
          <w:p>
            <w:pPr>
              <w:spacing w:after="20"/>
              <w:jc w:val="right"/>
            </w:pPr>
            <w:r>
              <w:rPr>
                <w:color w:val="1C3A36"/>
                <w:sz w:val="16"/>
              </w:rPr>
              <w:t>6,570</w:t>
            </w:r>
          </w:p>
        </w:tc>
        <w:tc>
          <w:tcPr>
            <w:tcW w:type="dxa" w:w="864"/>
          </w:tcPr>
          <w:p>
            <w:pPr>
              <w:spacing w:after="20"/>
              <w:jc w:val="right"/>
            </w:pPr>
            <w:r>
              <w:rPr>
                <w:color w:val="1C3A36"/>
                <w:sz w:val="16"/>
              </w:rPr>
              <w:t>6,555</w:t>
            </w:r>
          </w:p>
        </w:tc>
        <w:tc>
          <w:tcPr>
            <w:tcW w:type="dxa" w:w="864"/>
          </w:tcPr>
          <w:p>
            <w:pPr>
              <w:spacing w:after="20"/>
              <w:jc w:val="right"/>
            </w:pPr>
            <w:r>
              <w:rPr>
                <w:color w:val="1C3A36"/>
                <w:sz w:val="16"/>
              </w:rPr>
              <w:t>8,046</w:t>
            </w:r>
          </w:p>
        </w:tc>
        <w:tc>
          <w:tcPr>
            <w:tcW w:type="dxa" w:w="864"/>
          </w:tcPr>
          <w:p>
            <w:pPr>
              <w:spacing w:after="20"/>
              <w:jc w:val="right"/>
            </w:pPr>
            <w:r>
              <w:rPr>
                <w:color w:val="1C3A36"/>
                <w:sz w:val="16"/>
              </w:rPr>
              <w:t>12,061</w:t>
            </w:r>
          </w:p>
        </w:tc>
        <w:tc>
          <w:tcPr>
            <w:tcW w:type="dxa" w:w="864"/>
          </w:tcPr>
          <w:p>
            <w:pPr>
              <w:spacing w:after="20"/>
              <w:jc w:val="right"/>
            </w:pPr>
            <w:r>
              <w:rPr>
                <w:color w:val="1C3A36"/>
                <w:sz w:val="16"/>
              </w:rPr>
              <w:t>16,574</w:t>
            </w:r>
          </w:p>
        </w:tc>
        <w:tc>
          <w:tcPr>
            <w:tcW w:type="dxa" w:w="864"/>
          </w:tcPr>
          <w:p>
            <w:pPr>
              <w:spacing w:after="20"/>
              <w:jc w:val="right"/>
            </w:pPr>
            <w:r>
              <w:rPr>
                <w:color w:val="1C3A36"/>
                <w:sz w:val="16"/>
              </w:rPr>
              <w:t>21,527</w:t>
            </w:r>
          </w:p>
        </w:tc>
        <w:tc>
          <w:tcPr>
            <w:tcW w:type="dxa" w:w="864"/>
          </w:tcPr>
          <w:p>
            <w:pPr>
              <w:spacing w:after="20"/>
              <w:jc w:val="right"/>
            </w:pPr>
            <w:r>
              <w:rPr>
                <w:color w:val="1C3A36"/>
                <w:sz w:val="16"/>
              </w:rPr>
              <w:t>26,920</w:t>
            </w:r>
          </w:p>
        </w:tc>
      </w:tr>
      <w:tr>
        <w:tc>
          <w:tcPr>
            <w:tcW w:type="dxa" w:w="2909"/>
          </w:tcPr>
          <w:p>
            <w:pPr>
              <w:spacing w:after="20"/>
            </w:pPr>
            <w:r>
              <w:rPr>
                <w:color w:val="1C3A36"/>
                <w:sz w:val="16"/>
              </w:rPr>
              <w:t>Shareholders' equity</w:t>
            </w:r>
          </w:p>
        </w:tc>
        <w:tc>
          <w:tcPr>
            <w:tcW w:type="dxa" w:w="864"/>
          </w:tcPr>
          <w:p>
            <w:pPr>
              <w:spacing w:after="20"/>
              <w:jc w:val="right"/>
            </w:pPr>
            <w:r>
              <w:rPr>
                <w:color w:val="1C3A36"/>
                <w:sz w:val="16"/>
              </w:rPr>
              <w:t>1,703</w:t>
            </w:r>
          </w:p>
        </w:tc>
        <w:tc>
          <w:tcPr>
            <w:tcW w:type="dxa" w:w="864"/>
          </w:tcPr>
          <w:p>
            <w:pPr>
              <w:spacing w:after="20"/>
              <w:jc w:val="right"/>
            </w:pPr>
            <w:r>
              <w:rPr>
                <w:color w:val="1C3A36"/>
                <w:sz w:val="16"/>
              </w:rPr>
              <w:t>4,775</w:t>
            </w:r>
          </w:p>
        </w:tc>
        <w:tc>
          <w:tcPr>
            <w:tcW w:type="dxa" w:w="864"/>
          </w:tcPr>
          <w:p>
            <w:pPr>
              <w:spacing w:after="20"/>
              <w:jc w:val="right"/>
            </w:pPr>
            <w:r>
              <w:rPr>
                <w:color w:val="1C3A36"/>
                <w:sz w:val="16"/>
              </w:rPr>
              <w:t>6,020</w:t>
            </w:r>
          </w:p>
        </w:tc>
        <w:tc>
          <w:tcPr>
            <w:tcW w:type="dxa" w:w="864"/>
          </w:tcPr>
          <w:p>
            <w:pPr>
              <w:spacing w:after="20"/>
              <w:jc w:val="right"/>
            </w:pPr>
            <w:r>
              <w:rPr>
                <w:color w:val="1C3A36"/>
                <w:sz w:val="16"/>
              </w:rPr>
              <w:t>9,776</w:t>
            </w:r>
          </w:p>
        </w:tc>
        <w:tc>
          <w:tcPr>
            <w:tcW w:type="dxa" w:w="864"/>
          </w:tcPr>
          <w:p>
            <w:pPr>
              <w:spacing w:after="20"/>
              <w:jc w:val="right"/>
            </w:pPr>
            <w:r>
              <w:rPr>
                <w:color w:val="1C3A36"/>
                <w:sz w:val="16"/>
              </w:rPr>
              <w:t>14,356</w:t>
            </w:r>
          </w:p>
        </w:tc>
        <w:tc>
          <w:tcPr>
            <w:tcW w:type="dxa" w:w="864"/>
          </w:tcPr>
          <w:p>
            <w:pPr>
              <w:spacing w:after="20"/>
              <w:jc w:val="right"/>
            </w:pPr>
            <w:r>
              <w:rPr>
                <w:color w:val="1C3A36"/>
                <w:sz w:val="16"/>
              </w:rPr>
              <w:t>19,674</w:t>
            </w:r>
          </w:p>
        </w:tc>
        <w:tc>
          <w:tcPr>
            <w:tcW w:type="dxa" w:w="864"/>
          </w:tcPr>
          <w:p>
            <w:pPr>
              <w:spacing w:after="20"/>
              <w:jc w:val="right"/>
            </w:pPr>
            <w:r>
              <w:rPr>
                <w:color w:val="1C3A36"/>
                <w:sz w:val="16"/>
              </w:rPr>
              <w:t>25,696</w:t>
            </w:r>
          </w:p>
        </w:tc>
        <w:tc>
          <w:tcPr>
            <w:tcW w:type="dxa" w:w="864"/>
          </w:tcPr>
          <w:p>
            <w:pPr>
              <w:spacing w:after="20"/>
              <w:jc w:val="right"/>
            </w:pPr>
            <w:r>
              <w:rPr>
                <w:color w:val="1C3A36"/>
                <w:sz w:val="16"/>
              </w:rPr>
              <w:t>32,455</w:t>
            </w:r>
          </w:p>
        </w:tc>
      </w:tr>
      <w:tr>
        <w:tc>
          <w:tcPr>
            <w:tcW w:type="dxa" w:w="2909"/>
          </w:tcPr>
          <w:p>
            <w:pPr>
              <w:spacing w:after="20"/>
            </w:pPr>
            <w:r>
              <w:rPr>
                <w:color w:val="1C3A36"/>
                <w:sz w:val="16"/>
              </w:rPr>
              <w:t>Book value per share (EGP)</w:t>
            </w:r>
          </w:p>
        </w:tc>
        <w:tc>
          <w:tcPr>
            <w:tcW w:type="dxa" w:w="864"/>
          </w:tcPr>
          <w:p>
            <w:pPr>
              <w:spacing w:after="20"/>
              <w:jc w:val="right"/>
            </w:pPr>
            <w:r>
              <w:rPr>
                <w:color w:val="1C3A36"/>
                <w:sz w:val="16"/>
              </w:rPr>
              <w:t>6.53</w:t>
            </w:r>
          </w:p>
        </w:tc>
        <w:tc>
          <w:tcPr>
            <w:tcW w:type="dxa" w:w="864"/>
          </w:tcPr>
          <w:p>
            <w:pPr>
              <w:spacing w:after="20"/>
              <w:jc w:val="right"/>
            </w:pPr>
            <w:r>
              <w:rPr>
                <w:color w:val="1C3A36"/>
                <w:sz w:val="16"/>
              </w:rPr>
              <w:t>18.31</w:t>
            </w:r>
          </w:p>
        </w:tc>
        <w:tc>
          <w:tcPr>
            <w:tcW w:type="dxa" w:w="864"/>
          </w:tcPr>
          <w:p>
            <w:pPr>
              <w:spacing w:after="20"/>
              <w:jc w:val="right"/>
            </w:pPr>
            <w:r>
              <w:rPr>
                <w:color w:val="1C3A36"/>
                <w:sz w:val="16"/>
              </w:rPr>
              <w:t>27.12</w:t>
            </w:r>
          </w:p>
        </w:tc>
        <w:tc>
          <w:tcPr>
            <w:tcW w:type="dxa" w:w="864"/>
          </w:tcPr>
          <w:p>
            <w:pPr>
              <w:spacing w:after="20"/>
              <w:jc w:val="right"/>
            </w:pPr>
            <w:r>
              <w:rPr>
                <w:color w:val="1C3A36"/>
                <w:sz w:val="16"/>
              </w:rPr>
              <w:t>37.48</w:t>
            </w:r>
          </w:p>
        </w:tc>
        <w:tc>
          <w:tcPr>
            <w:tcW w:type="dxa" w:w="864"/>
          </w:tcPr>
          <w:p>
            <w:pPr>
              <w:spacing w:after="20"/>
              <w:jc w:val="right"/>
            </w:pPr>
            <w:r>
              <w:rPr>
                <w:color w:val="1C3A36"/>
                <w:sz w:val="16"/>
              </w:rPr>
              <w:t>55.04</w:t>
            </w:r>
          </w:p>
        </w:tc>
        <w:tc>
          <w:tcPr>
            <w:tcW w:type="dxa" w:w="864"/>
          </w:tcPr>
          <w:p>
            <w:pPr>
              <w:spacing w:after="20"/>
              <w:jc w:val="right"/>
            </w:pPr>
            <w:r>
              <w:rPr>
                <w:color w:val="1C3A36"/>
                <w:sz w:val="16"/>
              </w:rPr>
              <w:t>75.43</w:t>
            </w:r>
          </w:p>
        </w:tc>
        <w:tc>
          <w:tcPr>
            <w:tcW w:type="dxa" w:w="864"/>
          </w:tcPr>
          <w:p>
            <w:pPr>
              <w:spacing w:after="20"/>
              <w:jc w:val="right"/>
            </w:pPr>
            <w:r>
              <w:rPr>
                <w:color w:val="1C3A36"/>
                <w:sz w:val="16"/>
              </w:rPr>
              <w:t>98.52</w:t>
            </w:r>
          </w:p>
        </w:tc>
        <w:tc>
          <w:tcPr>
            <w:tcW w:type="dxa" w:w="864"/>
          </w:tcPr>
          <w:p>
            <w:pPr>
              <w:spacing w:after="20"/>
              <w:jc w:val="right"/>
            </w:pPr>
            <w:r>
              <w:rPr>
                <w:color w:val="1C3A36"/>
                <w:sz w:val="16"/>
              </w:rPr>
              <w:t>124.44</w:t>
            </w:r>
          </w:p>
        </w:tc>
      </w:tr>
    </w:tbl>
    <w:p>
      <w:pPr>
        <w:spacing w:after="40"/>
      </w:pPr>
    </w:p>
    <w:p>
      <w:pPr>
        <w:spacing w:after="200" w:before="0"/>
      </w:pPr>
      <w:r>
        <w:rPr>
          <w:b w:val="0"/>
          <w:i/>
          <w:color w:val="6E7B77"/>
          <w:sz w:val="17"/>
        </w:rPr>
        <w:t>Table A2 — Balance sheet. FY2024 is the disclosed column: total assets of EGP 6,385.9 million less total liabilities of EGP 1,610.9 million closes to equity of EGP 4,775.1 million exactly. FY2025 equity is rolled forward and does not reconcile to the reported figure; see section 7.</w:t>
      </w:r>
    </w:p>
    <w:p>
      <w:pPr>
        <w:spacing w:after="80" w:before="200"/>
      </w:pPr>
      <w:r>
        <w:rPr>
          <w:b/>
          <w:i w:val="0"/>
          <w:color w:val="1C3A36"/>
          <w:sz w:val="24"/>
        </w:rPr>
        <w:t>Cash flow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73"/>
        <w:gridCol w:w="1238"/>
        <w:gridCol w:w="1238"/>
        <w:gridCol w:w="1238"/>
        <w:gridCol w:w="1238"/>
        <w:gridCol w:w="1238"/>
      </w:tblGrid>
      <w:tr>
        <w:tc>
          <w:tcPr>
            <w:tcW w:type="dxa" w:w="3773"/>
            <w:shd w:val="clear" w:color="auto" w:fill="EAF0EE"/>
          </w:tcPr>
          <w:p>
            <w:pPr>
              <w:spacing w:after="20"/>
            </w:pPr>
            <w:r>
              <w:rPr>
                <w:b/>
                <w:color w:val="1C3A36"/>
                <w:sz w:val="18"/>
              </w:rPr>
            </w:r>
          </w:p>
        </w:tc>
        <w:tc>
          <w:tcPr>
            <w:tcW w:type="dxa" w:w="1238"/>
            <w:shd w:val="clear" w:color="auto" w:fill="EAF0EE"/>
          </w:tcPr>
          <w:p>
            <w:pPr>
              <w:spacing w:after="20"/>
            </w:pPr>
            <w:r>
              <w:rPr>
                <w:b/>
                <w:color w:val="1C3A36"/>
                <w:sz w:val="18"/>
              </w:rPr>
              <w:t>FY2026E</w:t>
            </w:r>
          </w:p>
        </w:tc>
        <w:tc>
          <w:tcPr>
            <w:tcW w:type="dxa" w:w="1238"/>
            <w:shd w:val="clear" w:color="auto" w:fill="EAF0EE"/>
          </w:tcPr>
          <w:p>
            <w:pPr>
              <w:spacing w:after="20"/>
            </w:pPr>
            <w:r>
              <w:rPr>
                <w:b/>
                <w:color w:val="1C3A36"/>
                <w:sz w:val="18"/>
              </w:rPr>
              <w:t>FY2027E</w:t>
            </w:r>
          </w:p>
        </w:tc>
        <w:tc>
          <w:tcPr>
            <w:tcW w:type="dxa" w:w="1238"/>
            <w:shd w:val="clear" w:color="auto" w:fill="EAF0EE"/>
          </w:tcPr>
          <w:p>
            <w:pPr>
              <w:spacing w:after="20"/>
            </w:pPr>
            <w:r>
              <w:rPr>
                <w:b/>
                <w:color w:val="1C3A36"/>
                <w:sz w:val="18"/>
              </w:rPr>
              <w:t>FY2028E</w:t>
            </w:r>
          </w:p>
        </w:tc>
        <w:tc>
          <w:tcPr>
            <w:tcW w:type="dxa" w:w="1238"/>
            <w:shd w:val="clear" w:color="auto" w:fill="EAF0EE"/>
          </w:tcPr>
          <w:p>
            <w:pPr>
              <w:spacing w:after="20"/>
            </w:pPr>
            <w:r>
              <w:rPr>
                <w:b/>
                <w:color w:val="1C3A36"/>
                <w:sz w:val="18"/>
              </w:rPr>
              <w:t>FY2029E</w:t>
            </w:r>
          </w:p>
        </w:tc>
        <w:tc>
          <w:tcPr>
            <w:tcW w:type="dxa" w:w="1238"/>
            <w:shd w:val="clear" w:color="auto" w:fill="EAF0EE"/>
          </w:tcPr>
          <w:p>
            <w:pPr>
              <w:spacing w:after="20"/>
            </w:pPr>
            <w:r>
              <w:rPr>
                <w:b/>
                <w:color w:val="1C3A36"/>
                <w:sz w:val="18"/>
              </w:rPr>
              <w:t>FY2030E</w:t>
            </w:r>
          </w:p>
        </w:tc>
      </w:tr>
      <w:tr>
        <w:tc>
          <w:tcPr>
            <w:tcW w:type="dxa" w:w="3773"/>
          </w:tcPr>
          <w:p>
            <w:pPr>
              <w:spacing w:after="20"/>
            </w:pPr>
            <w:r>
              <w:rPr>
                <w:color w:val="1C3A36"/>
                <w:sz w:val="18"/>
              </w:rPr>
              <w:t>NOPAT</w:t>
            </w:r>
          </w:p>
        </w:tc>
        <w:tc>
          <w:tcPr>
            <w:tcW w:type="dxa" w:w="1238"/>
          </w:tcPr>
          <w:p>
            <w:pPr>
              <w:spacing w:after="20"/>
              <w:jc w:val="right"/>
            </w:pPr>
            <w:r>
              <w:rPr>
                <w:color w:val="1C3A36"/>
                <w:sz w:val="18"/>
              </w:rPr>
              <w:t>3,054</w:t>
            </w:r>
          </w:p>
        </w:tc>
        <w:tc>
          <w:tcPr>
            <w:tcW w:type="dxa" w:w="1238"/>
          </w:tcPr>
          <w:p>
            <w:pPr>
              <w:spacing w:after="20"/>
              <w:jc w:val="right"/>
            </w:pPr>
            <w:r>
              <w:rPr>
                <w:color w:val="1C3A36"/>
                <w:sz w:val="18"/>
              </w:rPr>
              <w:t>3,502</w:t>
            </w:r>
          </w:p>
        </w:tc>
        <w:tc>
          <w:tcPr>
            <w:tcW w:type="dxa" w:w="1238"/>
          </w:tcPr>
          <w:p>
            <w:pPr>
              <w:spacing w:after="20"/>
              <w:jc w:val="right"/>
            </w:pPr>
            <w:r>
              <w:rPr>
                <w:color w:val="1C3A36"/>
                <w:sz w:val="18"/>
              </w:rPr>
              <w:t>3,900</w:t>
            </w:r>
          </w:p>
        </w:tc>
        <w:tc>
          <w:tcPr>
            <w:tcW w:type="dxa" w:w="1238"/>
          </w:tcPr>
          <w:p>
            <w:pPr>
              <w:spacing w:after="20"/>
              <w:jc w:val="right"/>
            </w:pPr>
            <w:r>
              <w:rPr>
                <w:color w:val="1C3A36"/>
                <w:sz w:val="18"/>
              </w:rPr>
              <w:t>4,274</w:t>
            </w:r>
          </w:p>
        </w:tc>
        <w:tc>
          <w:tcPr>
            <w:tcW w:type="dxa" w:w="1238"/>
          </w:tcPr>
          <w:p>
            <w:pPr>
              <w:spacing w:after="20"/>
              <w:jc w:val="right"/>
            </w:pPr>
            <w:r>
              <w:rPr>
                <w:color w:val="1C3A36"/>
                <w:sz w:val="18"/>
              </w:rPr>
              <w:t>4,660</w:t>
            </w:r>
          </w:p>
        </w:tc>
      </w:tr>
      <w:tr>
        <w:tc>
          <w:tcPr>
            <w:tcW w:type="dxa" w:w="3773"/>
          </w:tcPr>
          <w:p>
            <w:pPr>
              <w:spacing w:after="20"/>
            </w:pPr>
            <w:r>
              <w:rPr>
                <w:color w:val="1C3A36"/>
                <w:sz w:val="18"/>
              </w:rPr>
              <w:t>Plus depreciation &amp; amortisation</w:t>
            </w:r>
          </w:p>
        </w:tc>
        <w:tc>
          <w:tcPr>
            <w:tcW w:type="dxa" w:w="1238"/>
          </w:tcPr>
          <w:p>
            <w:pPr>
              <w:spacing w:after="20"/>
              <w:jc w:val="right"/>
            </w:pPr>
            <w:r>
              <w:rPr>
                <w:color w:val="1C3A36"/>
                <w:sz w:val="18"/>
              </w:rPr>
              <w:t>135</w:t>
            </w:r>
          </w:p>
        </w:tc>
        <w:tc>
          <w:tcPr>
            <w:tcW w:type="dxa" w:w="1238"/>
          </w:tcPr>
          <w:p>
            <w:pPr>
              <w:spacing w:after="20"/>
              <w:jc w:val="right"/>
            </w:pPr>
            <w:r>
              <w:rPr>
                <w:color w:val="1C3A36"/>
                <w:sz w:val="18"/>
              </w:rPr>
              <w:t>158</w:t>
            </w:r>
          </w:p>
        </w:tc>
        <w:tc>
          <w:tcPr>
            <w:tcW w:type="dxa" w:w="1238"/>
          </w:tcPr>
          <w:p>
            <w:pPr>
              <w:spacing w:after="20"/>
              <w:jc w:val="right"/>
            </w:pPr>
            <w:r>
              <w:rPr>
                <w:color w:val="1C3A36"/>
                <w:sz w:val="18"/>
              </w:rPr>
              <w:t>193</w:t>
            </w:r>
          </w:p>
        </w:tc>
        <w:tc>
          <w:tcPr>
            <w:tcW w:type="dxa" w:w="1238"/>
          </w:tcPr>
          <w:p>
            <w:pPr>
              <w:spacing w:after="20"/>
              <w:jc w:val="right"/>
            </w:pPr>
            <w:r>
              <w:rPr>
                <w:color w:val="1C3A36"/>
                <w:sz w:val="18"/>
              </w:rPr>
              <w:t>240</w:t>
            </w:r>
          </w:p>
        </w:tc>
        <w:tc>
          <w:tcPr>
            <w:tcW w:type="dxa" w:w="1238"/>
          </w:tcPr>
          <w:p>
            <w:pPr>
              <w:spacing w:after="20"/>
              <w:jc w:val="right"/>
            </w:pPr>
            <w:r>
              <w:rPr>
                <w:color w:val="1C3A36"/>
                <w:sz w:val="18"/>
              </w:rPr>
              <w:t>300</w:t>
            </w:r>
          </w:p>
        </w:tc>
      </w:tr>
      <w:tr>
        <w:tc>
          <w:tcPr>
            <w:tcW w:type="dxa" w:w="3773"/>
          </w:tcPr>
          <w:p>
            <w:pPr>
              <w:spacing w:after="20"/>
            </w:pPr>
            <w:r>
              <w:rPr>
                <w:color w:val="1C3A36"/>
                <w:sz w:val="18"/>
              </w:rPr>
              <w:t>Less capital expenditure</w:t>
            </w:r>
          </w:p>
        </w:tc>
        <w:tc>
          <w:tcPr>
            <w:tcW w:type="dxa" w:w="1238"/>
          </w:tcPr>
          <w:p>
            <w:pPr>
              <w:spacing w:after="20"/>
              <w:jc w:val="right"/>
            </w:pPr>
            <w:r>
              <w:rPr>
                <w:color w:val="1C3A36"/>
                <w:sz w:val="18"/>
              </w:rPr>
              <w:t>-352</w:t>
            </w:r>
          </w:p>
        </w:tc>
        <w:tc>
          <w:tcPr>
            <w:tcW w:type="dxa" w:w="1238"/>
          </w:tcPr>
          <w:p>
            <w:pPr>
              <w:spacing w:after="20"/>
              <w:jc w:val="right"/>
            </w:pPr>
            <w:r>
              <w:rPr>
                <w:color w:val="1C3A36"/>
                <w:sz w:val="18"/>
              </w:rPr>
              <w:t>-607</w:t>
            </w:r>
          </w:p>
        </w:tc>
        <w:tc>
          <w:tcPr>
            <w:tcW w:type="dxa" w:w="1238"/>
          </w:tcPr>
          <w:p>
            <w:pPr>
              <w:spacing w:after="20"/>
              <w:jc w:val="right"/>
            </w:pPr>
            <w:r>
              <w:rPr>
                <w:color w:val="1C3A36"/>
                <w:sz w:val="18"/>
              </w:rPr>
              <w:t>-894</w:t>
            </w:r>
          </w:p>
        </w:tc>
        <w:tc>
          <w:tcPr>
            <w:tcW w:type="dxa" w:w="1238"/>
          </w:tcPr>
          <w:p>
            <w:pPr>
              <w:spacing w:after="20"/>
              <w:jc w:val="right"/>
            </w:pPr>
            <w:r>
              <w:rPr>
                <w:color w:val="1C3A36"/>
                <w:sz w:val="18"/>
              </w:rPr>
              <w:t>-1,210</w:t>
            </w:r>
          </w:p>
        </w:tc>
        <w:tc>
          <w:tcPr>
            <w:tcW w:type="dxa" w:w="1238"/>
          </w:tcPr>
          <w:p>
            <w:pPr>
              <w:spacing w:after="20"/>
              <w:jc w:val="right"/>
            </w:pPr>
            <w:r>
              <w:rPr>
                <w:color w:val="1C3A36"/>
                <w:sz w:val="18"/>
              </w:rPr>
              <w:t>-1,562</w:t>
            </w:r>
          </w:p>
        </w:tc>
      </w:tr>
      <w:tr>
        <w:tc>
          <w:tcPr>
            <w:tcW w:type="dxa" w:w="3773"/>
          </w:tcPr>
          <w:p>
            <w:pPr>
              <w:spacing w:after="20"/>
            </w:pPr>
            <w:r>
              <w:rPr>
                <w:color w:val="1C3A36"/>
                <w:sz w:val="18"/>
              </w:rPr>
              <w:t>Less change in working capital</w:t>
            </w:r>
          </w:p>
        </w:tc>
        <w:tc>
          <w:tcPr>
            <w:tcW w:type="dxa" w:w="1238"/>
          </w:tcPr>
          <w:p>
            <w:pPr>
              <w:spacing w:after="20"/>
              <w:jc w:val="right"/>
            </w:pPr>
            <w:r>
              <w:rPr>
                <w:color w:val="1C3A36"/>
                <w:sz w:val="18"/>
              </w:rPr>
              <w:t>-117</w:t>
            </w:r>
          </w:p>
        </w:tc>
        <w:tc>
          <w:tcPr>
            <w:tcW w:type="dxa" w:w="1238"/>
          </w:tcPr>
          <w:p>
            <w:pPr>
              <w:spacing w:after="20"/>
              <w:jc w:val="right"/>
            </w:pPr>
            <w:r>
              <w:rPr>
                <w:color w:val="1C3A36"/>
                <w:sz w:val="18"/>
              </w:rPr>
              <w:t>-117</w:t>
            </w:r>
          </w:p>
        </w:tc>
        <w:tc>
          <w:tcPr>
            <w:tcW w:type="dxa" w:w="1238"/>
          </w:tcPr>
          <w:p>
            <w:pPr>
              <w:spacing w:after="20"/>
              <w:jc w:val="right"/>
            </w:pPr>
            <w:r>
              <w:rPr>
                <w:color w:val="1C3A36"/>
                <w:sz w:val="18"/>
              </w:rPr>
              <w:t>-104</w:t>
            </w:r>
          </w:p>
        </w:tc>
        <w:tc>
          <w:tcPr>
            <w:tcW w:type="dxa" w:w="1238"/>
          </w:tcPr>
          <w:p>
            <w:pPr>
              <w:spacing w:after="20"/>
              <w:jc w:val="right"/>
            </w:pPr>
            <w:r>
              <w:rPr>
                <w:color w:val="1C3A36"/>
                <w:sz w:val="18"/>
              </w:rPr>
              <w:t>-100</w:t>
            </w:r>
          </w:p>
        </w:tc>
        <w:tc>
          <w:tcPr>
            <w:tcW w:type="dxa" w:w="1238"/>
          </w:tcPr>
          <w:p>
            <w:pPr>
              <w:spacing w:after="20"/>
              <w:jc w:val="right"/>
            </w:pPr>
            <w:r>
              <w:rPr>
                <w:color w:val="1C3A36"/>
                <w:sz w:val="18"/>
              </w:rPr>
              <w:t>-103</w:t>
            </w:r>
          </w:p>
        </w:tc>
      </w:tr>
      <w:tr>
        <w:tc>
          <w:tcPr>
            <w:tcW w:type="dxa" w:w="3773"/>
            <w:shd w:val="clear" w:color="auto" w:fill="F6F1E6"/>
          </w:tcPr>
          <w:p>
            <w:pPr>
              <w:spacing w:after="20"/>
            </w:pPr>
            <w:r>
              <w:rPr>
                <w:b/>
                <w:color w:val="1C3A36"/>
                <w:sz w:val="18"/>
              </w:rPr>
              <w:t>Free cash flow to the firm</w:t>
            </w:r>
          </w:p>
        </w:tc>
        <w:tc>
          <w:tcPr>
            <w:tcW w:type="dxa" w:w="1238"/>
            <w:shd w:val="clear" w:color="auto" w:fill="F6F1E6"/>
          </w:tcPr>
          <w:p>
            <w:pPr>
              <w:spacing w:after="20"/>
              <w:jc w:val="right"/>
            </w:pPr>
            <w:r>
              <w:rPr>
                <w:b/>
                <w:color w:val="1C3A36"/>
                <w:sz w:val="18"/>
              </w:rPr>
              <w:t>1,134</w:t>
            </w:r>
          </w:p>
        </w:tc>
        <w:tc>
          <w:tcPr>
            <w:tcW w:type="dxa" w:w="1238"/>
            <w:shd w:val="clear" w:color="auto" w:fill="F6F1E6"/>
          </w:tcPr>
          <w:p>
            <w:pPr>
              <w:spacing w:after="20"/>
              <w:jc w:val="right"/>
            </w:pPr>
            <w:r>
              <w:rPr>
                <w:b/>
                <w:color w:val="1C3A36"/>
                <w:sz w:val="18"/>
              </w:rPr>
              <w:t>2,936</w:t>
            </w:r>
          </w:p>
        </w:tc>
        <w:tc>
          <w:tcPr>
            <w:tcW w:type="dxa" w:w="1238"/>
            <w:shd w:val="clear" w:color="auto" w:fill="F6F1E6"/>
          </w:tcPr>
          <w:p>
            <w:pPr>
              <w:spacing w:after="20"/>
              <w:jc w:val="right"/>
            </w:pPr>
            <w:r>
              <w:rPr>
                <w:b/>
                <w:color w:val="1C3A36"/>
                <w:sz w:val="18"/>
              </w:rPr>
              <w:t>3,095</w:t>
            </w:r>
          </w:p>
        </w:tc>
        <w:tc>
          <w:tcPr>
            <w:tcW w:type="dxa" w:w="1238"/>
            <w:shd w:val="clear" w:color="auto" w:fill="F6F1E6"/>
          </w:tcPr>
          <w:p>
            <w:pPr>
              <w:spacing w:after="20"/>
              <w:jc w:val="right"/>
            </w:pPr>
            <w:r>
              <w:rPr>
                <w:b/>
                <w:color w:val="1C3A36"/>
                <w:sz w:val="18"/>
              </w:rPr>
              <w:t>3,204</w:t>
            </w:r>
          </w:p>
        </w:tc>
        <w:tc>
          <w:tcPr>
            <w:tcW w:type="dxa" w:w="1238"/>
            <w:shd w:val="clear" w:color="auto" w:fill="F6F1E6"/>
          </w:tcPr>
          <w:p>
            <w:pPr>
              <w:spacing w:after="20"/>
              <w:jc w:val="right"/>
            </w:pPr>
            <w:r>
              <w:rPr>
                <w:b/>
                <w:color w:val="1C3A36"/>
                <w:sz w:val="18"/>
              </w:rPr>
              <w:t>3,295</w:t>
            </w:r>
          </w:p>
        </w:tc>
      </w:tr>
      <w:tr>
        <w:tc>
          <w:tcPr>
            <w:tcW w:type="dxa" w:w="3773"/>
          </w:tcPr>
          <w:p>
            <w:pPr>
              <w:spacing w:after="20"/>
            </w:pPr>
            <w:r>
              <w:rPr>
                <w:color w:val="1C3A36"/>
                <w:sz w:val="18"/>
              </w:rPr>
              <w:t>Dividends paid</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c>
          <w:tcPr>
            <w:tcW w:type="dxa" w:w="1238"/>
          </w:tcPr>
          <w:p>
            <w:pPr>
              <w:spacing w:after="20"/>
              <w:jc w:val="right"/>
            </w:pPr>
            <w:r>
              <w:rPr>
                <w:color w:val="1C3A36"/>
                <w:sz w:val="18"/>
              </w:rPr>
              <w:t>-0</w:t>
            </w:r>
          </w:p>
        </w:tc>
      </w:tr>
    </w:tbl>
    <w:p>
      <w:pPr>
        <w:spacing w:after="40"/>
      </w:pPr>
    </w:p>
    <w:p>
      <w:pPr>
        <w:spacing w:after="200" w:before="0"/>
      </w:pPr>
      <w:r>
        <w:rPr>
          <w:b w:val="0"/>
          <w:i/>
          <w:color w:val="6E7B77"/>
          <w:sz w:val="17"/>
        </w:rPr>
        <w:t>Table A3 — Cash flow, linked line for line to the valuation waterfall.</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Value</w:t>
            </w:r>
          </w:p>
        </w:tc>
      </w:tr>
      <w:tr>
        <w:tc>
          <w:tcPr>
            <w:tcW w:type="dxa" w:w="6408"/>
          </w:tcPr>
          <w:p>
            <w:pPr>
              <w:spacing w:after="20"/>
            </w:pPr>
            <w:r>
              <w:rPr>
                <w:color w:val="1C3A36"/>
                <w:sz w:val="18"/>
              </w:rPr>
              <w:t>Misr Beni Suef — FY2025 net sales (EGP mn)</w:t>
            </w:r>
          </w:p>
        </w:tc>
        <w:tc>
          <w:tcPr>
            <w:tcW w:type="dxa" w:w="3312"/>
          </w:tcPr>
          <w:p>
            <w:pPr>
              <w:spacing w:after="20"/>
              <w:jc w:val="right"/>
            </w:pPr>
            <w:r>
              <w:rPr>
                <w:color w:val="1C3A36"/>
                <w:sz w:val="18"/>
              </w:rPr>
              <w:t>5,700</w:t>
            </w:r>
          </w:p>
        </w:tc>
      </w:tr>
      <w:tr>
        <w:tc>
          <w:tcPr>
            <w:tcW w:type="dxa" w:w="6408"/>
          </w:tcPr>
          <w:p>
            <w:pPr>
              <w:spacing w:after="20"/>
            </w:pPr>
            <w:r>
              <w:rPr>
                <w:color w:val="1C3A36"/>
                <w:sz w:val="18"/>
              </w:rPr>
              <w:t>Misr Beni Suef — FY2025 attributable profit (EGP mn)</w:t>
            </w:r>
          </w:p>
        </w:tc>
        <w:tc>
          <w:tcPr>
            <w:tcW w:type="dxa" w:w="3312"/>
          </w:tcPr>
          <w:p>
            <w:pPr>
              <w:spacing w:after="20"/>
              <w:jc w:val="right"/>
            </w:pPr>
            <w:r>
              <w:rPr>
                <w:color w:val="1C3A36"/>
                <w:sz w:val="18"/>
              </w:rPr>
              <w:t>3,946</w:t>
            </w:r>
          </w:p>
        </w:tc>
      </w:tr>
      <w:tr>
        <w:tc>
          <w:tcPr>
            <w:tcW w:type="dxa" w:w="6408"/>
          </w:tcPr>
          <w:p>
            <w:pPr>
              <w:spacing w:after="20"/>
            </w:pPr>
            <w:r>
              <w:rPr>
                <w:color w:val="1C3A36"/>
                <w:sz w:val="18"/>
              </w:rPr>
              <w:t>Misr Beni Suef — earnings per share (EGP)</w:t>
            </w:r>
          </w:p>
        </w:tc>
        <w:tc>
          <w:tcPr>
            <w:tcW w:type="dxa" w:w="3312"/>
          </w:tcPr>
          <w:p>
            <w:pPr>
              <w:spacing w:after="20"/>
              <w:jc w:val="right"/>
            </w:pPr>
            <w:r>
              <w:rPr>
                <w:color w:val="1C3A36"/>
                <w:sz w:val="18"/>
              </w:rPr>
              <w:t>61.25</w:t>
            </w:r>
          </w:p>
        </w:tc>
      </w:tr>
      <w:tr>
        <w:tc>
          <w:tcPr>
            <w:tcW w:type="dxa" w:w="6408"/>
          </w:tcPr>
          <w:p>
            <w:pPr>
              <w:spacing w:after="20"/>
            </w:pPr>
            <w:r>
              <w:rPr>
                <w:color w:val="1C3A36"/>
                <w:sz w:val="18"/>
              </w:rPr>
              <w:t>Misr Beni Suef — market capitalisation (EGP mn)</w:t>
            </w:r>
          </w:p>
        </w:tc>
        <w:tc>
          <w:tcPr>
            <w:tcW w:type="dxa" w:w="3312"/>
          </w:tcPr>
          <w:p>
            <w:pPr>
              <w:spacing w:after="20"/>
              <w:jc w:val="right"/>
            </w:pPr>
            <w:r>
              <w:rPr>
                <w:color w:val="1C3A36"/>
                <w:sz w:val="18"/>
              </w:rPr>
              <w:t>13,730</w:t>
            </w:r>
          </w:p>
        </w:tc>
      </w:tr>
      <w:tr>
        <w:tc>
          <w:tcPr>
            <w:tcW w:type="dxa" w:w="6408"/>
          </w:tcPr>
          <w:p>
            <w:pPr>
              <w:spacing w:after="20"/>
            </w:pPr>
            <w:r>
              <w:rPr>
                <w:color w:val="1C3A36"/>
                <w:sz w:val="18"/>
              </w:rPr>
              <w:t>Misr Beni Suef — trailing price/earnings</w:t>
            </w:r>
          </w:p>
        </w:tc>
        <w:tc>
          <w:tcPr>
            <w:tcW w:type="dxa" w:w="3312"/>
          </w:tcPr>
          <w:p>
            <w:pPr>
              <w:spacing w:after="20"/>
              <w:jc w:val="right"/>
            </w:pPr>
            <w:r>
              <w:rPr>
                <w:color w:val="1C3A36"/>
                <w:sz w:val="18"/>
              </w:rPr>
              <w:t>3.48x</w:t>
            </w:r>
          </w:p>
        </w:tc>
      </w:tr>
      <w:tr>
        <w:tc>
          <w:tcPr>
            <w:tcW w:type="dxa" w:w="6408"/>
          </w:tcPr>
          <w:p>
            <w:pPr>
              <w:spacing w:after="20"/>
            </w:pPr>
            <w:r>
              <w:rPr>
                <w:color w:val="1C3A36"/>
                <w:sz w:val="18"/>
              </w:rPr>
              <w:t>Misr Beni Suef — EV/EBITDA</w:t>
            </w:r>
          </w:p>
        </w:tc>
        <w:tc>
          <w:tcPr>
            <w:tcW w:type="dxa" w:w="3312"/>
          </w:tcPr>
          <w:p>
            <w:pPr>
              <w:spacing w:after="20"/>
              <w:jc w:val="right"/>
            </w:pPr>
            <w:r>
              <w:rPr>
                <w:color w:val="1C3A36"/>
                <w:sz w:val="18"/>
              </w:rPr>
              <w:t>5.03x</w:t>
            </w:r>
          </w:p>
        </w:tc>
      </w:tr>
      <w:tr>
        <w:tc>
          <w:tcPr>
            <w:tcW w:type="dxa" w:w="6408"/>
          </w:tcPr>
          <w:p>
            <w:pPr>
              <w:spacing w:after="20"/>
            </w:pPr>
            <w:r>
              <w:rPr>
                <w:color w:val="1C3A36"/>
                <w:sz w:val="18"/>
              </w:rPr>
              <w:t>Arabian Cement — FY2025 consolidated profit (EGP mn)</w:t>
            </w:r>
          </w:p>
        </w:tc>
        <w:tc>
          <w:tcPr>
            <w:tcW w:type="dxa" w:w="3312"/>
          </w:tcPr>
          <w:p>
            <w:pPr>
              <w:spacing w:after="20"/>
              <w:jc w:val="right"/>
            </w:pPr>
            <w:r>
              <w:rPr>
                <w:color w:val="1C3A36"/>
                <w:sz w:val="18"/>
              </w:rPr>
              <w:t>3,600</w:t>
            </w:r>
          </w:p>
        </w:tc>
      </w:tr>
    </w:tbl>
    <w:p>
      <w:pPr>
        <w:spacing w:after="40"/>
      </w:pPr>
    </w:p>
    <w:p>
      <w:pPr>
        <w:spacing w:after="200" w:before="0"/>
      </w:pPr>
      <w:r>
        <w:rPr>
          <w:b w:val="0"/>
          <w:i/>
          <w:color w:val="6E7B77"/>
          <w:sz w:val="17"/>
        </w:rPr>
        <w:t>Table B1 — The named Egyptian listed comparators.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408"/>
        <w:gridCol w:w="3312"/>
      </w:tblGrid>
      <w:tr>
        <w:tc>
          <w:tcPr>
            <w:tcW w:type="dxa" w:w="6408"/>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Million tonnes a year</w:t>
            </w:r>
          </w:p>
        </w:tc>
      </w:tr>
      <w:tr>
        <w:tc>
          <w:tcPr>
            <w:tcW w:type="dxa" w:w="6408"/>
          </w:tcPr>
          <w:p>
            <w:pPr>
              <w:spacing w:after="20"/>
            </w:pPr>
            <w:r>
              <w:rPr>
                <w:color w:val="1C3A36"/>
                <w:sz w:val="18"/>
              </w:rPr>
              <w:t>Egyptian nameplate capacity</w:t>
            </w:r>
          </w:p>
        </w:tc>
        <w:tc>
          <w:tcPr>
            <w:tcW w:type="dxa" w:w="3312"/>
          </w:tcPr>
          <w:p>
            <w:pPr>
              <w:spacing w:after="20"/>
              <w:jc w:val="right"/>
            </w:pPr>
            <w:r>
              <w:rPr>
                <w:color w:val="1C3A36"/>
                <w:sz w:val="18"/>
              </w:rPr>
              <w:t>76.0</w:t>
            </w:r>
          </w:p>
        </w:tc>
      </w:tr>
      <w:tr>
        <w:tc>
          <w:tcPr>
            <w:tcW w:type="dxa" w:w="6408"/>
          </w:tcPr>
          <w:p>
            <w:pPr>
              <w:spacing w:after="20"/>
            </w:pPr>
            <w:r>
              <w:rPr>
                <w:color w:val="1C3A36"/>
                <w:sz w:val="18"/>
              </w:rPr>
              <w:t>Production, 2025</w:t>
            </w:r>
          </w:p>
        </w:tc>
        <w:tc>
          <w:tcPr>
            <w:tcW w:type="dxa" w:w="3312"/>
          </w:tcPr>
          <w:p>
            <w:pPr>
              <w:spacing w:after="20"/>
              <w:jc w:val="right"/>
            </w:pPr>
            <w:r>
              <w:rPr>
                <w:color w:val="1C3A36"/>
                <w:sz w:val="18"/>
              </w:rPr>
              <w:t>65.0</w:t>
            </w:r>
          </w:p>
        </w:tc>
      </w:tr>
      <w:tr>
        <w:tc>
          <w:tcPr>
            <w:tcW w:type="dxa" w:w="6408"/>
          </w:tcPr>
          <w:p>
            <w:pPr>
              <w:spacing w:after="20"/>
            </w:pPr>
            <w:r>
              <w:rPr>
                <w:color w:val="1C3A36"/>
                <w:sz w:val="18"/>
              </w:rPr>
              <w:t>Domestic consumption, 2025</w:t>
            </w:r>
          </w:p>
        </w:tc>
        <w:tc>
          <w:tcPr>
            <w:tcW w:type="dxa" w:w="3312"/>
          </w:tcPr>
          <w:p>
            <w:pPr>
              <w:spacing w:after="20"/>
              <w:jc w:val="right"/>
            </w:pPr>
            <w:r>
              <w:rPr>
                <w:color w:val="1C3A36"/>
                <w:sz w:val="18"/>
              </w:rPr>
              <w:t>54.0</w:t>
            </w:r>
          </w:p>
        </w:tc>
      </w:tr>
      <w:tr>
        <w:tc>
          <w:tcPr>
            <w:tcW w:type="dxa" w:w="6408"/>
          </w:tcPr>
          <w:p>
            <w:pPr>
              <w:spacing w:after="20"/>
            </w:pPr>
            <w:r>
              <w:rPr>
                <w:color w:val="1C3A36"/>
                <w:sz w:val="18"/>
              </w:rPr>
              <w:t>Exports, 2025</w:t>
            </w:r>
          </w:p>
        </w:tc>
        <w:tc>
          <w:tcPr>
            <w:tcW w:type="dxa" w:w="3312"/>
          </w:tcPr>
          <w:p>
            <w:pPr>
              <w:spacing w:after="20"/>
              <w:jc w:val="right"/>
            </w:pPr>
            <w:r>
              <w:rPr>
                <w:color w:val="1C3A36"/>
                <w:sz w:val="18"/>
              </w:rPr>
              <w:t>18.5</w:t>
            </w:r>
          </w:p>
        </w:tc>
      </w:tr>
      <w:tr>
        <w:tc>
          <w:tcPr>
            <w:tcW w:type="dxa" w:w="6408"/>
          </w:tcPr>
          <w:p>
            <w:pPr>
              <w:spacing w:after="20"/>
            </w:pPr>
            <w:r>
              <w:rPr>
                <w:color w:val="1C3A36"/>
                <w:sz w:val="18"/>
              </w:rPr>
              <w:t>Dormant capacity under revival from 2H-2026</w:t>
            </w:r>
          </w:p>
        </w:tc>
        <w:tc>
          <w:tcPr>
            <w:tcW w:type="dxa" w:w="3312"/>
          </w:tcPr>
          <w:p>
            <w:pPr>
              <w:spacing w:after="20"/>
              <w:jc w:val="right"/>
            </w:pPr>
            <w:r>
              <w:rPr>
                <w:color w:val="1C3A36"/>
                <w:sz w:val="18"/>
              </w:rPr>
              <w:t>12.6</w:t>
            </w:r>
          </w:p>
        </w:tc>
      </w:tr>
      <w:tr>
        <w:tc>
          <w:tcPr>
            <w:tcW w:type="dxa" w:w="6408"/>
          </w:tcPr>
          <w:p>
            <w:pPr>
              <w:spacing w:after="20"/>
            </w:pPr>
            <w:r>
              <w:rPr>
                <w:color w:val="1C3A36"/>
                <w:sz w:val="18"/>
              </w:rPr>
              <w:t>Sinai Cement capacity</w:t>
            </w:r>
          </w:p>
        </w:tc>
        <w:tc>
          <w:tcPr>
            <w:tcW w:type="dxa" w:w="3312"/>
          </w:tcPr>
          <w:p>
            <w:pPr>
              <w:spacing w:after="20"/>
              <w:jc w:val="right"/>
            </w:pPr>
            <w:r>
              <w:rPr>
                <w:color w:val="1C3A36"/>
                <w:sz w:val="18"/>
              </w:rPr>
              <w:t>3.8</w:t>
            </w:r>
          </w:p>
        </w:tc>
      </w:tr>
      <w:tr>
        <w:tc>
          <w:tcPr>
            <w:tcW w:type="dxa" w:w="6408"/>
          </w:tcPr>
          <w:p>
            <w:pPr>
              <w:spacing w:after="20"/>
            </w:pPr>
            <w:r>
              <w:rPr>
                <w:color w:val="1C3A36"/>
                <w:sz w:val="18"/>
              </w:rPr>
              <w:t>Sinai Cement share of Egyptian capacity</w:t>
            </w:r>
          </w:p>
        </w:tc>
        <w:tc>
          <w:tcPr>
            <w:tcW w:type="dxa" w:w="3312"/>
          </w:tcPr>
          <w:p>
            <w:pPr>
              <w:spacing w:after="20"/>
              <w:jc w:val="right"/>
            </w:pPr>
            <w:r>
              <w:rPr>
                <w:color w:val="1C3A36"/>
                <w:sz w:val="18"/>
              </w:rPr>
              <w:t>5.0%</w:t>
            </w:r>
          </w:p>
        </w:tc>
      </w:tr>
      <w:tr>
        <w:tc>
          <w:tcPr>
            <w:tcW w:type="dxa" w:w="6408"/>
          </w:tcPr>
          <w:p>
            <w:pPr>
              <w:spacing w:after="20"/>
            </w:pPr>
            <w:r>
              <w:rPr>
                <w:color w:val="1C3A36"/>
                <w:sz w:val="18"/>
              </w:rPr>
              <w:t>Revival capacity as a share of consumption</w:t>
            </w:r>
          </w:p>
        </w:tc>
        <w:tc>
          <w:tcPr>
            <w:tcW w:type="dxa" w:w="3312"/>
          </w:tcPr>
          <w:p>
            <w:pPr>
              <w:spacing w:after="20"/>
              <w:jc w:val="right"/>
            </w:pPr>
            <w:r>
              <w:rPr>
                <w:color w:val="1C3A36"/>
                <w:sz w:val="18"/>
              </w:rPr>
              <w:t>23.3%</w:t>
            </w:r>
          </w:p>
        </w:tc>
      </w:tr>
    </w:tbl>
    <w:p>
      <w:pPr>
        <w:spacing w:after="40"/>
      </w:pPr>
    </w:p>
    <w:p>
      <w:pPr>
        <w:spacing w:after="200" w:before="0"/>
      </w:pPr>
      <w:r>
        <w:rPr>
          <w:b w:val="0"/>
          <w:i/>
          <w:color w:val="6E7B77"/>
          <w:sz w:val="17"/>
        </w:rPr>
        <w:t>Table B2 — Sector structure. The surplus between capacity and consumption is the sector case in one number.</w:t>
      </w:r>
    </w:p>
    <w:p>
      <w:pPr>
        <w:spacing w:after="80" w:before="200"/>
      </w:pPr>
      <w:r>
        <w:rPr>
          <w:b/>
          <w:i w:val="0"/>
          <w:color w:val="1C3A36"/>
          <w:sz w:val="24"/>
        </w:rPr>
        <w:t>Principal risks</w:t>
      </w:r>
    </w:p>
    <w:p>
      <w:pPr>
        <w:pStyle w:val="ListBullet"/>
        <w:spacing w:after="60"/>
      </w:pPr>
      <w:r>
        <w:rPr>
          <w:b/>
          <w:color w:val="1C3A36"/>
          <w:sz w:val="21"/>
        </w:rPr>
        <w:t xml:space="preserve">Supply. </w:t>
      </w:r>
      <w:r>
        <w:rPr>
          <w:color w:val="1C3A36"/>
          <w:sz w:val="21"/>
        </w:rPr>
        <w:t>A structural surplus of capacity over domestic consumption, with a large block of dormant capacity able to restart cheaply.</w:t>
      </w:r>
    </w:p>
    <w:p>
      <w:pPr>
        <w:pStyle w:val="ListBullet"/>
        <w:spacing w:after="60"/>
      </w:pPr>
      <w:r>
        <w:rPr>
          <w:b/>
          <w:color w:val="1C3A36"/>
          <w:sz w:val="21"/>
        </w:rPr>
        <w:t xml:space="preserve">Concentration. </w:t>
      </w:r>
      <w:r>
        <w:rPr>
          <w:color w:val="1C3A36"/>
          <w:sz w:val="21"/>
        </w:rPr>
        <w:t>One plant, one country, one product. There is no diversification anywhere in this business.</w:t>
      </w:r>
    </w:p>
    <w:p>
      <w:pPr>
        <w:pStyle w:val="ListBullet"/>
        <w:spacing w:after="60"/>
      </w:pPr>
      <w:r>
        <w:rPr>
          <w:b/>
          <w:color w:val="1C3A36"/>
          <w:sz w:val="21"/>
        </w:rPr>
        <w:t xml:space="preserve">Location. </w:t>
      </w:r>
      <w:r>
        <w:rPr>
          <w:color w:val="1C3A36"/>
          <w:sz w:val="21"/>
        </w:rPr>
        <w:t>North Sinai carries a security and logistics profile that most Egyptian industrial assets do not, and the plant is distant from the main demand centres.</w:t>
      </w:r>
    </w:p>
    <w:p>
      <w:pPr>
        <w:pStyle w:val="ListBullet"/>
        <w:spacing w:after="60"/>
      </w:pPr>
      <w:r>
        <w:rPr>
          <w:b/>
          <w:color w:val="1C3A36"/>
          <w:sz w:val="21"/>
        </w:rPr>
        <w:t xml:space="preserve">Energy. </w:t>
      </w:r>
      <w:r>
        <w:rPr>
          <w:color w:val="1C3A36"/>
          <w:sz w:val="21"/>
        </w:rPr>
        <w:t>Phased subsidy reform raises the cash cost of production independently of global fuel prices.</w:t>
      </w:r>
    </w:p>
    <w:p>
      <w:pPr>
        <w:pStyle w:val="ListBullet"/>
        <w:spacing w:after="60"/>
      </w:pPr>
      <w:r>
        <w:rPr>
          <w:b/>
          <w:color w:val="1C3A36"/>
          <w:sz w:val="21"/>
        </w:rPr>
        <w:t xml:space="preserve">Currency. </w:t>
      </w:r>
      <w:r>
        <w:rPr>
          <w:color w:val="1C3A36"/>
          <w:sz w:val="21"/>
        </w:rPr>
        <w:t>Revenue and costs are overwhelmingly in Egyptian pounds, but equipment, spares and any future capacity are priced in hard currency.</w:t>
      </w:r>
    </w:p>
    <w:p>
      <w:pPr>
        <w:pStyle w:val="ListBullet"/>
        <w:spacing w:after="60"/>
      </w:pPr>
      <w:r>
        <w:rPr>
          <w:b/>
          <w:color w:val="1C3A36"/>
          <w:sz w:val="21"/>
        </w:rPr>
        <w:t xml:space="preserve">Minority position. </w:t>
      </w:r>
      <w:r>
        <w:rPr>
          <w:color w:val="1C3A36"/>
          <w:sz w:val="21"/>
        </w:rPr>
        <w:t>A 22.4% float under a 77.6% controlling shareholder, in a security that does not trade on nearly a third of sessions.</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83.24 to EGP 105.21, central EGP 94.23 (-6.2% against the market price of EGP 100.50).</w:t>
      </w:r>
    </w:p>
    <w:p>
      <w:pPr>
        <w:spacing w:after="120" w:before="0"/>
      </w:pPr>
      <w:r>
        <w:rPr>
          <w:b w:val="0"/>
          <w:i w:val="0"/>
          <w:color w:val="1C3A36"/>
          <w:sz w:val="21"/>
        </w:rPr>
        <w:t>Values the plant, not the earnings stream. A 3.8Mt grey-cement plant costs about USD 130 per annual tonne to build; nobody pays replacement cost for capacity in a market carrying 76Mt against 54Mt of consumption. The market pays USD 103/t.</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restarting a mothballed line costs a fraction of building one, which is why this lens is a ceiling and not a floor — and why it now carries 8% of the weight rather than 15%.</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63.93 to EGP 77.02, central EGP 70.48 (-29.9% against the market price of EGP 100.50).</w:t>
      </w:r>
    </w:p>
    <w:p>
      <w:pPr>
        <w:spacing w:after="120" w:before="0"/>
      </w:pPr>
      <w:r>
        <w:rPr>
          <w:b w:val="0"/>
          <w:i w:val="0"/>
          <w:color w:val="1C3A36"/>
          <w:sz w:val="21"/>
        </w:rPr>
        <w:t>Refuses to capitalise a peak, and now refuses it on BOTH legs: the margin is normalised to 27.8% and the revenue base is cut 8% because FY2025 embeds the post-quota price spike.</w:t>
      </w:r>
    </w:p>
    <w:p>
      <w:pPr>
        <w:spacing w:after="120" w:before="0"/>
      </w:pPr>
      <w:r>
        <w:rPr>
          <w:b/>
          <w:i w:val="0"/>
          <w:color w:val="896F36"/>
          <w:sz w:val="21"/>
        </w:rPr>
        <w:t xml:space="preserve">What would prove this wrong: </w:t>
      </w:r>
      <w:r>
        <w:rPr>
          <w:b w:val="0"/>
          <w:i w:val="0"/>
          <w:color w:val="1C3A36"/>
          <w:sz w:val="21"/>
        </w:rPr>
        <w:t>Two consecutive years of realised prices above EGP 3,900/t WITH the revival proceeding would prove the mid-cycle base too low.</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72.30 to EGP 99.52, central EGP 82.89 (-17.5% against the market price of EGP 100.50).</w:t>
      </w:r>
    </w:p>
    <w:p>
      <w:pPr>
        <w:spacing w:after="120" w:before="0"/>
      </w:pPr>
      <w:r>
        <w:rPr>
          <w:b w:val="0"/>
          <w:i w:val="0"/>
          <w:color w:val="1C3A36"/>
          <w:sz w:val="21"/>
        </w:rPr>
        <w:t>Starts from the balance sheet. Net cash of EGP 6.6bn is 25% of the market capitalisation and 20% of fair equity value. Terminal return on capital of 20.1% sits below the 19.0% cost of capital, so growth destroys value and the right policy is to harvest and distribute.</w:t>
      </w:r>
    </w:p>
    <w:p>
      <w:pPr>
        <w:spacing w:after="120" w:before="0"/>
      </w:pPr>
      <w:r>
        <w:rPr>
          <w:b/>
          <w:i w:val="0"/>
          <w:color w:val="896F36"/>
          <w:sz w:val="21"/>
        </w:rPr>
        <w:t xml:space="preserve">What would prove this wrong: </w:t>
      </w:r>
      <w:r>
        <w:rPr>
          <w:b w:val="0"/>
          <w:i w:val="0"/>
          <w:color w:val="1C3A36"/>
          <w:sz w:val="21"/>
        </w:rPr>
        <w:t>The lens rests on the cash being distributable. Vicat holds 77.6% and a minority cannot force a dividend. If none is declared on FY2026 profits, or the cash funds expansion into a glut, it is worth less than face.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83.24</w:t>
            </w:r>
          </w:p>
        </w:tc>
        <w:tc>
          <w:tcPr>
            <w:tcW w:type="dxa" w:w="1656"/>
          </w:tcPr>
          <w:p>
            <w:pPr>
              <w:spacing w:after="20"/>
              <w:jc w:val="right"/>
            </w:pPr>
            <w:r>
              <w:rPr>
                <w:color w:val="1C3A36"/>
                <w:sz w:val="18"/>
              </w:rPr>
              <w:t>94.23</w:t>
            </w:r>
          </w:p>
        </w:tc>
        <w:tc>
          <w:tcPr>
            <w:tcW w:type="dxa" w:w="1469"/>
          </w:tcPr>
          <w:p>
            <w:pPr>
              <w:spacing w:after="20"/>
              <w:jc w:val="right"/>
            </w:pPr>
            <w:r>
              <w:rPr>
                <w:color w:val="1C3A36"/>
                <w:sz w:val="18"/>
              </w:rPr>
              <w:t>105.21</w:t>
            </w:r>
          </w:p>
        </w:tc>
        <w:tc>
          <w:tcPr>
            <w:tcW w:type="dxa" w:w="1354"/>
          </w:tcPr>
          <w:p>
            <w:pPr>
              <w:spacing w:after="20"/>
              <w:jc w:val="right"/>
            </w:pPr>
            <w:r>
              <w:rPr>
                <w:color w:val="1C3A36"/>
                <w:sz w:val="18"/>
              </w:rPr>
              <w:t>-6.2%</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63.93</w:t>
            </w:r>
          </w:p>
        </w:tc>
        <w:tc>
          <w:tcPr>
            <w:tcW w:type="dxa" w:w="1656"/>
          </w:tcPr>
          <w:p>
            <w:pPr>
              <w:spacing w:after="20"/>
              <w:jc w:val="right"/>
            </w:pPr>
            <w:r>
              <w:rPr>
                <w:color w:val="1C3A36"/>
                <w:sz w:val="18"/>
              </w:rPr>
              <w:t>70.48</w:t>
            </w:r>
          </w:p>
        </w:tc>
        <w:tc>
          <w:tcPr>
            <w:tcW w:type="dxa" w:w="1469"/>
          </w:tcPr>
          <w:p>
            <w:pPr>
              <w:spacing w:after="20"/>
              <w:jc w:val="right"/>
            </w:pPr>
            <w:r>
              <w:rPr>
                <w:color w:val="1C3A36"/>
                <w:sz w:val="18"/>
              </w:rPr>
              <w:t>77.02</w:t>
            </w:r>
          </w:p>
        </w:tc>
        <w:tc>
          <w:tcPr>
            <w:tcW w:type="dxa" w:w="1354"/>
          </w:tcPr>
          <w:p>
            <w:pPr>
              <w:spacing w:after="20"/>
              <w:jc w:val="right"/>
            </w:pPr>
            <w:r>
              <w:rPr>
                <w:color w:val="1C3A36"/>
                <w:sz w:val="18"/>
              </w:rPr>
              <w:t>-29.9%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72.30</w:t>
            </w:r>
          </w:p>
        </w:tc>
        <w:tc>
          <w:tcPr>
            <w:tcW w:type="dxa" w:w="1656"/>
          </w:tcPr>
          <w:p>
            <w:pPr>
              <w:spacing w:after="20"/>
              <w:jc w:val="right"/>
            </w:pPr>
            <w:r>
              <w:rPr>
                <w:color w:val="1C3A36"/>
                <w:sz w:val="18"/>
              </w:rPr>
              <w:t>82.89</w:t>
            </w:r>
          </w:p>
        </w:tc>
        <w:tc>
          <w:tcPr>
            <w:tcW w:type="dxa" w:w="1469"/>
          </w:tcPr>
          <w:p>
            <w:pPr>
              <w:spacing w:after="20"/>
              <w:jc w:val="right"/>
            </w:pPr>
            <w:r>
              <w:rPr>
                <w:color w:val="1C3A36"/>
                <w:sz w:val="18"/>
              </w:rPr>
              <w:t>99.52</w:t>
            </w:r>
          </w:p>
        </w:tc>
        <w:tc>
          <w:tcPr>
            <w:tcW w:type="dxa" w:w="1354"/>
          </w:tcPr>
          <w:p>
            <w:pPr>
              <w:spacing w:after="20"/>
              <w:jc w:val="right"/>
            </w:pPr>
            <w:r>
              <w:rPr>
                <w:color w:val="1C3A36"/>
                <w:sz w:val="18"/>
              </w:rPr>
              <w:t>-17.5%</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82.89</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-17.5%</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