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2.71 and AED 5.17 a share. Because the contested judgement below is carried BOTH ways and the two are never averaged, this study publishes TWO weighted centres: AED 4.41 a share on the normalising reading of inventory movements and AED 4.58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4.73 a share against a traded price of AED 4.07. So the disagreement is not about the windfall. It is about the long run, where 75%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-0.26%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2.71 and AED 5.17, with weighted centres of AED 4.41 and AED 4.58 on the two framings of the inventory judgement. A fifth reading — capitalising the fixed policy dividend — lands at AED 2.71, 34% BELOW the traded price. So the price sits between the two readings that matter most: above what the fixed dividend promise alone is worth at this cost of equity, and below what the cash the business generates is worth. Section 4 takes that gap apart.</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4.78</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74.9%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5.10</w:t>
            </w:r>
          </w:p>
        </w:tc>
        <w:tc>
          <w:tcPr>
            <w:tcW w:type="dxa" w:w="1224"/>
          </w:tcPr>
          <w:p>
            <w:pPr>
              <w:spacing w:after="20"/>
              <w:jc w:val="right"/>
            </w:pPr>
            <w:r>
              <w:rPr>
                <w:color w:val="1C3A36"/>
                <w:sz w:val="17"/>
              </w:rPr>
              <w:t>25%</w:t>
            </w:r>
          </w:p>
        </w:tc>
        <w:tc>
          <w:tcPr>
            <w:tcW w:type="dxa" w:w="3960"/>
          </w:tcPr>
          <w:p>
            <w:pPr>
              <w:spacing w:after="20"/>
              <w:jc w:val="right"/>
            </w:pPr>
            <w:r>
              <w:rPr>
                <w:color w:val="1C3A36"/>
                <w:sz w:val="17"/>
              </w:rPr>
              <w:t>terminal value 74.9%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4.01</w:t>
            </w:r>
          </w:p>
        </w:tc>
        <w:tc>
          <w:tcPr>
            <w:tcW w:type="dxa" w:w="1224"/>
          </w:tcPr>
          <w:p>
            <w:pPr>
              <w:spacing w:after="20"/>
              <w:jc w:val="right"/>
            </w:pPr>
            <w:r>
              <w:rPr>
                <w:color w:val="1C3A36"/>
                <w:sz w:val="17"/>
              </w:rPr>
              <w:t>-1%</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4.95</w:t>
            </w:r>
          </w:p>
        </w:tc>
        <w:tc>
          <w:tcPr>
            <w:tcW w:type="dxa" w:w="1224"/>
          </w:tcPr>
          <w:p>
            <w:pPr>
              <w:spacing w:after="20"/>
              <w:jc w:val="right"/>
            </w:pPr>
            <w:r>
              <w:rPr>
                <w:color w:val="1C3A36"/>
                <w:sz w:val="17"/>
              </w:rPr>
              <w:t>22%</w:t>
            </w:r>
          </w:p>
        </w:tc>
        <w:tc>
          <w:tcPr>
            <w:tcW w:type="dxa" w:w="3960"/>
          </w:tcPr>
          <w:p>
            <w:pPr>
              <w:spacing w:after="20"/>
              <w:jc w:val="right"/>
            </w:pPr>
            <w:r>
              <w:rPr>
                <w:color w:val="1C3A36"/>
                <w:sz w:val="17"/>
              </w:rPr>
              <w:t>16.3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5.17</w:t>
            </w:r>
          </w:p>
        </w:tc>
        <w:tc>
          <w:tcPr>
            <w:tcW w:type="dxa" w:w="1224"/>
          </w:tcPr>
          <w:p>
            <w:pPr>
              <w:spacing w:after="20"/>
              <w:jc w:val="right"/>
            </w:pPr>
            <w:r>
              <w:rPr>
                <w:color w:val="1C3A36"/>
                <w:sz w:val="17"/>
              </w:rPr>
              <w:t>27%</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3.36</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justified 13.0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2.71</w:t>
            </w:r>
          </w:p>
        </w:tc>
        <w:tc>
          <w:tcPr>
            <w:tcW w:type="dxa" w:w="1224"/>
          </w:tcPr>
          <w:p>
            <w:pPr>
              <w:spacing w:after="20"/>
              <w:jc w:val="right"/>
            </w:pPr>
            <w:r>
              <w:rPr>
                <w:color w:val="1C3A36"/>
                <w:sz w:val="17"/>
              </w:rPr>
              <w:t>-34%</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4.41</w:t>
            </w:r>
          </w:p>
        </w:tc>
        <w:tc>
          <w:tcPr>
            <w:tcW w:type="dxa" w:w="1224"/>
            <w:shd w:val="clear" w:color="auto" w:fill="F6F1E6"/>
          </w:tcPr>
          <w:p>
            <w:pPr>
              <w:spacing w:after="20"/>
              <w:jc w:val="right"/>
            </w:pPr>
            <w:r>
              <w:rPr>
                <w:b/>
                <w:color w:val="1C3A36"/>
                <w:sz w:val="17"/>
              </w:rPr>
              <w:t>8%</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4.58</w:t>
            </w:r>
          </w:p>
        </w:tc>
        <w:tc>
          <w:tcPr>
            <w:tcW w:type="dxa" w:w="1224"/>
            <w:shd w:val="clear" w:color="auto" w:fill="F6F1E6"/>
          </w:tcPr>
          <w:p>
            <w:pPr>
              <w:spacing w:after="20"/>
              <w:jc w:val="right"/>
            </w:pPr>
            <w:r>
              <w:rPr>
                <w:b/>
                <w:color w:val="1C3A36"/>
                <w:sz w:val="17"/>
              </w:rPr>
              <w:t>13%</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2.71 – 5.17</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74.9% of enterprise value on Frame A and 74.9%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7.60%</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7.44%</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7.44%</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43,836</w:t>
            </w:r>
          </w:p>
        </w:tc>
        <w:tc>
          <w:tcPr>
            <w:tcW w:type="dxa" w:w="1325"/>
          </w:tcPr>
          <w:p>
            <w:pPr>
              <w:spacing w:after="20"/>
              <w:jc w:val="right"/>
            </w:pPr>
            <w:r>
              <w:rPr>
                <w:color w:val="1C3A36"/>
                <w:sz w:val="17"/>
              </w:rPr>
              <w:t>43,215</w:t>
            </w:r>
          </w:p>
        </w:tc>
        <w:tc>
          <w:tcPr>
            <w:tcW w:type="dxa" w:w="1325"/>
          </w:tcPr>
          <w:p>
            <w:pPr>
              <w:spacing w:after="20"/>
              <w:jc w:val="right"/>
            </w:pPr>
            <w:r>
              <w:rPr>
                <w:color w:val="1C3A36"/>
                <w:sz w:val="17"/>
              </w:rPr>
              <w:t>44,450</w:t>
            </w:r>
          </w:p>
        </w:tc>
        <w:tc>
          <w:tcPr>
            <w:tcW w:type="dxa" w:w="1325"/>
          </w:tcPr>
          <w:p>
            <w:pPr>
              <w:spacing w:after="20"/>
              <w:jc w:val="right"/>
            </w:pPr>
            <w:r>
              <w:rPr>
                <w:color w:val="1C3A36"/>
                <w:sz w:val="17"/>
              </w:rPr>
              <w:t>45,876</w:t>
            </w:r>
          </w:p>
        </w:tc>
        <w:tc>
          <w:tcPr>
            <w:tcW w:type="dxa" w:w="1325"/>
          </w:tcPr>
          <w:p>
            <w:pPr>
              <w:spacing w:after="20"/>
              <w:jc w:val="right"/>
            </w:pPr>
            <w:r>
              <w:rPr>
                <w:color w:val="1C3A36"/>
                <w:sz w:val="17"/>
              </w:rPr>
              <w:t>47,321</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8,247</w:t>
            </w:r>
          </w:p>
        </w:tc>
        <w:tc>
          <w:tcPr>
            <w:tcW w:type="dxa" w:w="1325"/>
          </w:tcPr>
          <w:p>
            <w:pPr>
              <w:spacing w:after="20"/>
              <w:jc w:val="right"/>
            </w:pPr>
            <w:r>
              <w:rPr>
                <w:color w:val="1C3A36"/>
                <w:sz w:val="17"/>
              </w:rPr>
              <w:t>7,769</w:t>
            </w:r>
          </w:p>
        </w:tc>
        <w:tc>
          <w:tcPr>
            <w:tcW w:type="dxa" w:w="1325"/>
          </w:tcPr>
          <w:p>
            <w:pPr>
              <w:spacing w:after="20"/>
              <w:jc w:val="right"/>
            </w:pPr>
            <w:r>
              <w:rPr>
                <w:color w:val="1C3A36"/>
                <w:sz w:val="17"/>
              </w:rPr>
              <w:t>8,076</w:t>
            </w:r>
          </w:p>
        </w:tc>
        <w:tc>
          <w:tcPr>
            <w:tcW w:type="dxa" w:w="1325"/>
          </w:tcPr>
          <w:p>
            <w:pPr>
              <w:spacing w:after="20"/>
              <w:jc w:val="right"/>
            </w:pPr>
            <w:r>
              <w:rPr>
                <w:color w:val="1C3A36"/>
                <w:sz w:val="17"/>
              </w:rPr>
              <w:t>8,421</w:t>
            </w:r>
          </w:p>
        </w:tc>
        <w:tc>
          <w:tcPr>
            <w:tcW w:type="dxa" w:w="1325"/>
          </w:tcPr>
          <w:p>
            <w:pPr>
              <w:spacing w:after="20"/>
              <w:jc w:val="right"/>
            </w:pPr>
            <w:r>
              <w:rPr>
                <w:color w:val="1C3A36"/>
                <w:sz w:val="17"/>
              </w:rPr>
              <w:t>8,777</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5,410</w:t>
            </w:r>
          </w:p>
        </w:tc>
        <w:tc>
          <w:tcPr>
            <w:tcW w:type="dxa" w:w="1325"/>
            <w:shd w:val="clear" w:color="auto" w:fill="F6F1E6"/>
          </w:tcPr>
          <w:p>
            <w:pPr>
              <w:spacing w:after="20"/>
              <w:jc w:val="right"/>
            </w:pPr>
            <w:r>
              <w:rPr>
                <w:b/>
                <w:color w:val="1C3A36"/>
                <w:sz w:val="17"/>
              </w:rPr>
              <w:t>4,972</w:t>
            </w:r>
          </w:p>
        </w:tc>
        <w:tc>
          <w:tcPr>
            <w:tcW w:type="dxa" w:w="1325"/>
            <w:shd w:val="clear" w:color="auto" w:fill="F6F1E6"/>
          </w:tcPr>
          <w:p>
            <w:pPr>
              <w:spacing w:after="20"/>
              <w:jc w:val="right"/>
            </w:pPr>
            <w:r>
              <w:rPr>
                <w:b/>
                <w:color w:val="1C3A36"/>
                <w:sz w:val="17"/>
              </w:rPr>
              <w:t>5,168</w:t>
            </w:r>
          </w:p>
        </w:tc>
        <w:tc>
          <w:tcPr>
            <w:tcW w:type="dxa" w:w="1325"/>
            <w:shd w:val="clear" w:color="auto" w:fill="F6F1E6"/>
          </w:tcPr>
          <w:p>
            <w:pPr>
              <w:spacing w:after="20"/>
              <w:jc w:val="right"/>
            </w:pPr>
            <w:r>
              <w:rPr>
                <w:b/>
                <w:color w:val="1C3A36"/>
                <w:sz w:val="17"/>
              </w:rPr>
              <w:t>5,399</w:t>
            </w:r>
          </w:p>
        </w:tc>
        <w:tc>
          <w:tcPr>
            <w:tcW w:type="dxa" w:w="1325"/>
            <w:shd w:val="clear" w:color="auto" w:fill="F6F1E6"/>
          </w:tcPr>
          <w:p>
            <w:pPr>
              <w:spacing w:after="20"/>
              <w:jc w:val="right"/>
            </w:pPr>
            <w:r>
              <w:rPr>
                <w:b/>
                <w:color w:val="1C3A36"/>
                <w:sz w:val="17"/>
              </w:rPr>
              <w:t>5,637</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12.3%</w:t>
            </w:r>
          </w:p>
        </w:tc>
        <w:tc>
          <w:tcPr>
            <w:tcW w:type="dxa" w:w="1325"/>
          </w:tcPr>
          <w:p>
            <w:pPr>
              <w:spacing w:after="20"/>
              <w:jc w:val="right"/>
            </w:pPr>
            <w:r>
              <w:rPr>
                <w:color w:val="1C3A36"/>
                <w:sz w:val="17"/>
              </w:rPr>
              <w:t>11.5%</w:t>
            </w:r>
          </w:p>
        </w:tc>
        <w:tc>
          <w:tcPr>
            <w:tcW w:type="dxa" w:w="1325"/>
          </w:tcPr>
          <w:p>
            <w:pPr>
              <w:spacing w:after="20"/>
              <w:jc w:val="right"/>
            </w:pPr>
            <w:r>
              <w:rPr>
                <w:color w:val="1C3A36"/>
                <w:sz w:val="17"/>
              </w:rPr>
              <w:t>11.6%</w:t>
            </w:r>
          </w:p>
        </w:tc>
        <w:tc>
          <w:tcPr>
            <w:tcW w:type="dxa" w:w="1325"/>
          </w:tcPr>
          <w:p>
            <w:pPr>
              <w:spacing w:after="20"/>
              <w:jc w:val="right"/>
            </w:pPr>
            <w:r>
              <w:rPr>
                <w:color w:val="1C3A36"/>
                <w:sz w:val="17"/>
              </w:rPr>
              <w:t>11.8%</w:t>
            </w:r>
          </w:p>
        </w:tc>
        <w:tc>
          <w:tcPr>
            <w:tcW w:type="dxa" w:w="1325"/>
          </w:tcPr>
          <w:p>
            <w:pPr>
              <w:spacing w:after="20"/>
              <w:jc w:val="right"/>
            </w:pPr>
            <w:r>
              <w:rPr>
                <w:color w:val="1C3A36"/>
                <w:sz w:val="17"/>
              </w:rPr>
              <w:t>11.9%</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(792)</w:t>
            </w:r>
          </w:p>
        </w:tc>
        <w:tc>
          <w:tcPr>
            <w:tcW w:type="dxa" w:w="1325"/>
          </w:tcPr>
          <w:p>
            <w:pPr>
              <w:spacing w:after="20"/>
              <w:jc w:val="right"/>
            </w:pPr>
            <w:r>
              <w:rPr>
                <w:color w:val="1C3A36"/>
                <w:sz w:val="17"/>
              </w:rPr>
              <w:t>(811)</w:t>
            </w:r>
          </w:p>
        </w:tc>
        <w:tc>
          <w:tcPr>
            <w:tcW w:type="dxa" w:w="1325"/>
          </w:tcPr>
          <w:p>
            <w:pPr>
              <w:spacing w:after="20"/>
              <w:jc w:val="right"/>
            </w:pPr>
            <w:r>
              <w:rPr>
                <w:color w:val="1C3A36"/>
                <w:sz w:val="17"/>
              </w:rPr>
              <w:t>(825)</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(851)</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4,618</w:t>
            </w:r>
          </w:p>
        </w:tc>
        <w:tc>
          <w:tcPr>
            <w:tcW w:type="dxa" w:w="1325"/>
          </w:tcPr>
          <w:p>
            <w:pPr>
              <w:spacing w:after="20"/>
              <w:jc w:val="right"/>
            </w:pPr>
            <w:r>
              <w:rPr>
                <w:color w:val="1C3A36"/>
                <w:sz w:val="17"/>
              </w:rPr>
              <w:t>4,161</w:t>
            </w:r>
          </w:p>
        </w:tc>
        <w:tc>
          <w:tcPr>
            <w:tcW w:type="dxa" w:w="1325"/>
          </w:tcPr>
          <w:p>
            <w:pPr>
              <w:spacing w:after="20"/>
              <w:jc w:val="right"/>
            </w:pPr>
            <w:r>
              <w:rPr>
                <w:color w:val="1C3A36"/>
                <w:sz w:val="17"/>
              </w:rPr>
              <w:t>4,343</w:t>
            </w:r>
          </w:p>
        </w:tc>
        <w:tc>
          <w:tcPr>
            <w:tcW w:type="dxa" w:w="1325"/>
          </w:tcPr>
          <w:p>
            <w:pPr>
              <w:spacing w:after="20"/>
              <w:jc w:val="right"/>
            </w:pPr>
            <w:r>
              <w:rPr>
                <w:color w:val="1C3A36"/>
                <w:sz w:val="17"/>
              </w:rPr>
              <w:t>4,560</w:t>
            </w:r>
          </w:p>
        </w:tc>
        <w:tc>
          <w:tcPr>
            <w:tcW w:type="dxa" w:w="1325"/>
          </w:tcPr>
          <w:p>
            <w:pPr>
              <w:spacing w:after="20"/>
              <w:jc w:val="right"/>
            </w:pPr>
            <w:r>
              <w:rPr>
                <w:color w:val="1C3A36"/>
                <w:sz w:val="17"/>
              </w:rPr>
              <w:t>4,786</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4,148</w:t>
            </w:r>
          </w:p>
        </w:tc>
        <w:tc>
          <w:tcPr>
            <w:tcW w:type="dxa" w:w="1325"/>
            <w:shd w:val="clear" w:color="auto" w:fill="F6F1E6"/>
          </w:tcPr>
          <w:p>
            <w:pPr>
              <w:spacing w:after="20"/>
              <w:jc w:val="right"/>
            </w:pPr>
            <w:r>
              <w:rPr>
                <w:b/>
                <w:color w:val="1C3A36"/>
                <w:sz w:val="17"/>
              </w:rPr>
              <w:t>3,738</w:t>
            </w:r>
          </w:p>
        </w:tc>
        <w:tc>
          <w:tcPr>
            <w:tcW w:type="dxa" w:w="1325"/>
            <w:shd w:val="clear" w:color="auto" w:fill="F6F1E6"/>
          </w:tcPr>
          <w:p>
            <w:pPr>
              <w:spacing w:after="20"/>
              <w:jc w:val="right"/>
            </w:pPr>
            <w:r>
              <w:rPr>
                <w:b/>
                <w:color w:val="1C3A36"/>
                <w:sz w:val="17"/>
              </w:rPr>
              <w:t>3,901</w:t>
            </w:r>
          </w:p>
        </w:tc>
        <w:tc>
          <w:tcPr>
            <w:tcW w:type="dxa" w:w="1325"/>
            <w:shd w:val="clear" w:color="auto" w:fill="F6F1E6"/>
          </w:tcPr>
          <w:p>
            <w:pPr>
              <w:spacing w:after="20"/>
              <w:jc w:val="right"/>
            </w:pPr>
            <w:r>
              <w:rPr>
                <w:b/>
                <w:color w:val="1C3A36"/>
                <w:sz w:val="17"/>
              </w:rPr>
              <w:t>4,096</w:t>
            </w:r>
          </w:p>
        </w:tc>
        <w:tc>
          <w:tcPr>
            <w:tcW w:type="dxa" w:w="1325"/>
            <w:shd w:val="clear" w:color="auto" w:fill="F6F1E6"/>
          </w:tcPr>
          <w:p>
            <w:pPr>
              <w:spacing w:after="20"/>
              <w:jc w:val="right"/>
            </w:pPr>
            <w:r>
              <w:rPr>
                <w:b/>
                <w:color w:val="1C3A36"/>
                <w:sz w:val="17"/>
              </w:rPr>
              <w:t>4,299</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792</w:t>
            </w:r>
          </w:p>
        </w:tc>
        <w:tc>
          <w:tcPr>
            <w:tcW w:type="dxa" w:w="1325"/>
          </w:tcPr>
          <w:p>
            <w:pPr>
              <w:spacing w:after="20"/>
              <w:jc w:val="right"/>
            </w:pPr>
            <w:r>
              <w:rPr>
                <w:color w:val="1C3A36"/>
                <w:sz w:val="17"/>
              </w:rPr>
              <w:t>811</w:t>
            </w:r>
          </w:p>
        </w:tc>
        <w:tc>
          <w:tcPr>
            <w:tcW w:type="dxa" w:w="1325"/>
          </w:tcPr>
          <w:p>
            <w:pPr>
              <w:spacing w:after="20"/>
              <w:jc w:val="right"/>
            </w:pPr>
            <w:r>
              <w:rPr>
                <w:color w:val="1C3A36"/>
                <w:sz w:val="17"/>
              </w:rPr>
              <w:t>825</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851</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(984)</w:t>
            </w:r>
          </w:p>
        </w:tc>
        <w:tc>
          <w:tcPr>
            <w:tcW w:type="dxa" w:w="1325"/>
          </w:tcPr>
          <w:p>
            <w:pPr>
              <w:spacing w:after="20"/>
              <w:jc w:val="right"/>
            </w:pPr>
            <w:r>
              <w:rPr>
                <w:color w:val="1C3A36"/>
                <w:sz w:val="17"/>
              </w:rPr>
              <w:t>(986)</w:t>
            </w:r>
          </w:p>
        </w:tc>
        <w:tc>
          <w:tcPr>
            <w:tcW w:type="dxa" w:w="1325"/>
          </w:tcPr>
          <w:p>
            <w:pPr>
              <w:spacing w:after="20"/>
              <w:jc w:val="right"/>
            </w:pPr>
            <w:r>
              <w:rPr>
                <w:color w:val="1C3A36"/>
                <w:sz w:val="17"/>
              </w:rPr>
              <w:t>(985)</w:t>
            </w:r>
          </w:p>
        </w:tc>
        <w:tc>
          <w:tcPr>
            <w:tcW w:type="dxa" w:w="1325"/>
          </w:tcPr>
          <w:p>
            <w:pPr>
              <w:spacing w:after="20"/>
              <w:jc w:val="right"/>
            </w:pPr>
            <w:r>
              <w:rPr>
                <w:color w:val="1C3A36"/>
                <w:sz w:val="17"/>
              </w:rPr>
              <w:t>(981)</w:t>
            </w:r>
          </w:p>
        </w:tc>
      </w:tr>
      <w:tr>
        <w:trPr>
          <w:cantSplit/>
        </w:trPr>
        <w:tc>
          <w:tcPr>
            <w:tcW w:type="dxa" w:w="3384"/>
          </w:tcPr>
          <w:p>
            <w:pPr>
              <w:spacing w:after="20"/>
            </w:pPr>
            <w:r>
              <w:rPr>
                <w:color w:val="1C3A36"/>
                <w:sz w:val="17"/>
              </w:rPr>
              <w:t>Movement in working capital — a release adds, a build subtracts</w:t>
            </w:r>
          </w:p>
        </w:tc>
        <w:tc>
          <w:tcPr>
            <w:tcW w:type="dxa" w:w="1325"/>
          </w:tcPr>
          <w:p>
            <w:pPr>
              <w:spacing w:after="20"/>
              <w:jc w:val="right"/>
            </w:pPr>
            <w:r>
              <w:rPr>
                <w:color w:val="1C3A36"/>
                <w:sz w:val="17"/>
              </w:rPr>
              <w:t>440</w:t>
            </w:r>
          </w:p>
        </w:tc>
        <w:tc>
          <w:tcPr>
            <w:tcW w:type="dxa" w:w="1325"/>
          </w:tcPr>
          <w:p>
            <w:pPr>
              <w:spacing w:after="20"/>
              <w:jc w:val="right"/>
            </w:pPr>
            <w:r>
              <w:rPr>
                <w:color w:val="1C3A36"/>
                <w:sz w:val="17"/>
              </w:rPr>
              <w:t>33</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59</w:t>
            </w:r>
          </w:p>
        </w:tc>
        <w:tc>
          <w:tcPr>
            <w:tcW w:type="dxa" w:w="1325"/>
          </w:tcPr>
          <w:p>
            <w:pPr>
              <w:spacing w:after="20"/>
              <w:jc w:val="right"/>
            </w:pPr>
            <w:r>
              <w:rPr>
                <w:color w:val="1C3A36"/>
                <w:sz w:val="17"/>
              </w:rPr>
              <w:t>59</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4,368</w:t>
            </w:r>
          </w:p>
        </w:tc>
        <w:tc>
          <w:tcPr>
            <w:tcW w:type="dxa" w:w="1325"/>
            <w:shd w:val="clear" w:color="auto" w:fill="F6F1E6"/>
          </w:tcPr>
          <w:p>
            <w:pPr>
              <w:spacing w:after="20"/>
              <w:jc w:val="right"/>
            </w:pPr>
            <w:r>
              <w:rPr>
                <w:b/>
                <w:color w:val="1C3A36"/>
                <w:sz w:val="17"/>
              </w:rPr>
              <w:t>3,598</w:t>
            </w:r>
          </w:p>
        </w:tc>
        <w:tc>
          <w:tcPr>
            <w:tcW w:type="dxa" w:w="1325"/>
            <w:shd w:val="clear" w:color="auto" w:fill="F6F1E6"/>
          </w:tcPr>
          <w:p>
            <w:pPr>
              <w:spacing w:after="20"/>
              <w:jc w:val="right"/>
            </w:pPr>
            <w:r>
              <w:rPr>
                <w:b/>
                <w:color w:val="1C3A36"/>
                <w:sz w:val="17"/>
              </w:rPr>
              <w:t>3,790</w:t>
            </w:r>
          </w:p>
        </w:tc>
        <w:tc>
          <w:tcPr>
            <w:tcW w:type="dxa" w:w="1325"/>
            <w:shd w:val="clear" w:color="auto" w:fill="F6F1E6"/>
          </w:tcPr>
          <w:p>
            <w:pPr>
              <w:spacing w:after="20"/>
              <w:jc w:val="right"/>
            </w:pPr>
            <w:r>
              <w:rPr>
                <w:b/>
                <w:color w:val="1C3A36"/>
                <w:sz w:val="17"/>
              </w:rPr>
              <w:t>4,009</w:t>
            </w:r>
          </w:p>
        </w:tc>
        <w:tc>
          <w:tcPr>
            <w:tcW w:type="dxa" w:w="1325"/>
            <w:shd w:val="clear" w:color="auto" w:fill="F6F1E6"/>
          </w:tcPr>
          <w:p>
            <w:pPr>
              <w:spacing w:after="20"/>
              <w:jc w:val="right"/>
            </w:pPr>
            <w:r>
              <w:rPr>
                <w:b/>
                <w:color w:val="1C3A36"/>
                <w:sz w:val="17"/>
              </w:rPr>
              <w:t>4,228</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0.93</w:t>
            </w:r>
          </w:p>
        </w:tc>
        <w:tc>
          <w:tcPr>
            <w:tcW w:type="dxa" w:w="1325"/>
          </w:tcPr>
          <w:p>
            <w:pPr>
              <w:spacing w:after="20"/>
              <w:jc w:val="right"/>
            </w:pPr>
            <w:r>
              <w:rPr>
                <w:color w:val="1C3A36"/>
                <w:sz w:val="17"/>
              </w:rPr>
              <w:t>0.87</w:t>
            </w:r>
          </w:p>
        </w:tc>
        <w:tc>
          <w:tcPr>
            <w:tcW w:type="dxa" w:w="1325"/>
          </w:tcPr>
          <w:p>
            <w:pPr>
              <w:spacing w:after="20"/>
              <w:jc w:val="right"/>
            </w:pPr>
            <w:r>
              <w:rPr>
                <w:color w:val="1C3A36"/>
                <w:sz w:val="17"/>
              </w:rPr>
              <w:t>0.81</w:t>
            </w:r>
          </w:p>
        </w:tc>
        <w:tc>
          <w:tcPr>
            <w:tcW w:type="dxa" w:w="1325"/>
          </w:tcPr>
          <w:p>
            <w:pPr>
              <w:spacing w:after="20"/>
              <w:jc w:val="right"/>
            </w:pPr>
            <w:r>
              <w:rPr>
                <w:color w:val="1C3A36"/>
                <w:sz w:val="17"/>
              </w:rPr>
              <w:t>0.75</w:t>
            </w:r>
          </w:p>
        </w:tc>
        <w:tc>
          <w:tcPr>
            <w:tcW w:type="dxa" w:w="1325"/>
          </w:tcPr>
          <w:p>
            <w:pPr>
              <w:spacing w:after="20"/>
              <w:jc w:val="right"/>
            </w:pPr>
            <w:r>
              <w:rPr>
                <w:color w:val="1C3A36"/>
                <w:sz w:val="17"/>
              </w:rPr>
              <w:t>0.70</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4,066</w:t>
            </w:r>
          </w:p>
        </w:tc>
        <w:tc>
          <w:tcPr>
            <w:tcW w:type="dxa" w:w="1325"/>
            <w:shd w:val="clear" w:color="auto" w:fill="F6F1E6"/>
          </w:tcPr>
          <w:p>
            <w:pPr>
              <w:spacing w:after="20"/>
              <w:jc w:val="right"/>
            </w:pPr>
            <w:r>
              <w:rPr>
                <w:b/>
                <w:color w:val="1C3A36"/>
                <w:sz w:val="17"/>
              </w:rPr>
              <w:t>3,117</w:t>
            </w:r>
          </w:p>
        </w:tc>
        <w:tc>
          <w:tcPr>
            <w:tcW w:type="dxa" w:w="1325"/>
            <w:shd w:val="clear" w:color="auto" w:fill="F6F1E6"/>
          </w:tcPr>
          <w:p>
            <w:pPr>
              <w:spacing w:after="20"/>
              <w:jc w:val="right"/>
            </w:pPr>
            <w:r>
              <w:rPr>
                <w:b/>
                <w:color w:val="1C3A36"/>
                <w:sz w:val="17"/>
              </w:rPr>
              <w:t>3,056</w:t>
            </w:r>
          </w:p>
        </w:tc>
        <w:tc>
          <w:tcPr>
            <w:tcW w:type="dxa" w:w="1325"/>
            <w:shd w:val="clear" w:color="auto" w:fill="F6F1E6"/>
          </w:tcPr>
          <w:p>
            <w:pPr>
              <w:spacing w:after="20"/>
              <w:jc w:val="right"/>
            </w:pPr>
            <w:r>
              <w:rPr>
                <w:b/>
                <w:color w:val="1C3A36"/>
                <w:sz w:val="17"/>
              </w:rPr>
              <w:t>3,009</w:t>
            </w:r>
          </w:p>
        </w:tc>
        <w:tc>
          <w:tcPr>
            <w:tcW w:type="dxa" w:w="1325"/>
            <w:shd w:val="clear" w:color="auto" w:fill="F6F1E6"/>
          </w:tcPr>
          <w:p>
            <w:pPr>
              <w:spacing w:after="20"/>
              <w:jc w:val="right"/>
            </w:pPr>
            <w:r>
              <w:rPr>
                <w:b/>
                <w:color w:val="1C3A36"/>
                <w:sz w:val="17"/>
              </w:rPr>
              <w:t>2,953</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16,201</w:t>
            </w:r>
          </w:p>
        </w:tc>
        <w:tc>
          <w:tcPr>
            <w:tcW w:type="dxa" w:w="2232"/>
          </w:tcPr>
          <w:p>
            <w:pPr>
              <w:spacing w:after="20"/>
              <w:jc w:val="right"/>
            </w:pPr>
            <w:r>
              <w:rPr>
                <w:color w:val="1C3A36"/>
                <w:sz w:val="18"/>
              </w:rPr>
              <w:t>1.30</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4,102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7.44% − 1.5%</w:t>
            </w:r>
          </w:p>
        </w:tc>
        <w:tc>
          <w:tcPr>
            <w:tcW w:type="dxa" w:w="2304"/>
          </w:tcPr>
          <w:p>
            <w:pPr>
              <w:spacing w:after="20"/>
              <w:jc w:val="right"/>
            </w:pPr>
            <w:r>
              <w:rPr>
                <w:color w:val="1C3A36"/>
                <w:sz w:val="18"/>
              </w:rPr>
              <w:t>5.94%</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69,082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48,260</w:t>
            </w:r>
          </w:p>
        </w:tc>
        <w:tc>
          <w:tcPr>
            <w:tcW w:type="dxa" w:w="2232"/>
          </w:tcPr>
          <w:p>
            <w:pPr>
              <w:spacing w:after="20"/>
              <w:jc w:val="right"/>
            </w:pPr>
            <w:r>
              <w:rPr>
                <w:color w:val="1C3A36"/>
                <w:sz w:val="18"/>
              </w:rPr>
              <w:t>3.86</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64,461</w:t>
            </w:r>
          </w:p>
        </w:tc>
        <w:tc>
          <w:tcPr>
            <w:tcW w:type="dxa" w:w="2232"/>
            <w:shd w:val="clear" w:color="auto" w:fill="F6F1E6"/>
          </w:tcPr>
          <w:p>
            <w:pPr>
              <w:spacing w:after="20"/>
              <w:jc w:val="right"/>
            </w:pPr>
            <w:r>
              <w:rPr>
                <w:b/>
                <w:color w:val="1C3A36"/>
                <w:sz w:val="18"/>
              </w:rPr>
              <w:t>5.16</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74.9%</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59,799</w:t>
            </w:r>
          </w:p>
        </w:tc>
        <w:tc>
          <w:tcPr>
            <w:tcW w:type="dxa" w:w="2232"/>
            <w:shd w:val="clear" w:color="auto" w:fill="F6F1E6"/>
          </w:tcPr>
          <w:p>
            <w:pPr>
              <w:spacing w:after="20"/>
              <w:jc w:val="right"/>
            </w:pPr>
            <w:r>
              <w:rPr>
                <w:b/>
                <w:color w:val="1C3A36"/>
                <w:sz w:val="18"/>
              </w:rPr>
              <w:t>4.78</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63,759</w:t>
            </w:r>
          </w:p>
        </w:tc>
        <w:tc>
          <w:tcPr>
            <w:tcW w:type="dxa" w:w="2232"/>
            <w:shd w:val="clear" w:color="auto" w:fill="F6F1E6"/>
          </w:tcPr>
          <w:p>
            <w:pPr>
              <w:spacing w:after="20"/>
              <w:jc w:val="right"/>
            </w:pPr>
            <w:r>
              <w:rPr>
                <w:b/>
                <w:color w:val="1C3A36"/>
                <w:sz w:val="18"/>
              </w:rPr>
              <w:t>5.10</w:t>
            </w:r>
          </w:p>
        </w:tc>
      </w:tr>
    </w:tbl>
    <w:p>
      <w:pPr>
        <w:spacing w:after="40"/>
      </w:pPr>
    </w:p>
    <w:p>
      <w:pPr>
        <w:spacing w:after="200" w:before="0"/>
      </w:pPr>
      <w:r>
        <w:rPr>
          <w:b w:val="0"/>
          <w:i/>
          <w:color w:val="6E7B77"/>
          <w:sz w:val="17"/>
        </w:rPr>
        <w:t>Table 6 — the enterprise-to-equity bridge. The terminal share is a LINE of the bridge rather than a footnote: 74.9%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5,410</w:t>
            </w:r>
          </w:p>
        </w:tc>
        <w:tc>
          <w:tcPr>
            <w:tcW w:type="dxa" w:w="1872"/>
          </w:tcPr>
          <w:p>
            <w:pPr>
              <w:spacing w:after="20"/>
              <w:jc w:val="right"/>
            </w:pPr>
            <w:r>
              <w:rPr>
                <w:color w:val="1C3A36"/>
                <w:sz w:val="17"/>
              </w:rPr>
              <w:t>5,598</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5,637</w:t>
            </w:r>
          </w:p>
        </w:tc>
        <w:tc>
          <w:tcPr>
            <w:tcW w:type="dxa" w:w="1872"/>
          </w:tcPr>
          <w:p>
            <w:pPr>
              <w:spacing w:after="20"/>
              <w:jc w:val="right"/>
            </w:pPr>
            <w:r>
              <w:rPr>
                <w:color w:val="1C3A36"/>
                <w:sz w:val="17"/>
              </w:rPr>
              <w:t>5,932</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16,201</w:t>
            </w:r>
          </w:p>
        </w:tc>
        <w:tc>
          <w:tcPr>
            <w:tcW w:type="dxa" w:w="1872"/>
          </w:tcPr>
          <w:p>
            <w:pPr>
              <w:spacing w:after="20"/>
              <w:jc w:val="right"/>
            </w:pPr>
            <w:r>
              <w:rPr>
                <w:color w:val="1C3A36"/>
                <w:sz w:val="17"/>
              </w:rPr>
              <w:t>17,186</w:t>
            </w:r>
          </w:p>
        </w:tc>
        <w:tc>
          <w:tcPr>
            <w:tcW w:type="dxa" w:w="1800"/>
          </w:tcPr>
          <w:p>
            <w:pPr>
              <w:spacing w:after="20"/>
              <w:jc w:val="right"/>
            </w:pPr>
            <w:r>
              <w:rPr>
                <w:color w:val="1C3A36"/>
                <w:sz w:val="17"/>
              </w:rPr>
              <w:t>984</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48,260</w:t>
            </w:r>
          </w:p>
        </w:tc>
        <w:tc>
          <w:tcPr>
            <w:tcW w:type="dxa" w:w="1872"/>
          </w:tcPr>
          <w:p>
            <w:pPr>
              <w:spacing w:after="20"/>
              <w:jc w:val="right"/>
            </w:pPr>
            <w:r>
              <w:rPr>
                <w:color w:val="1C3A36"/>
                <w:sz w:val="17"/>
              </w:rPr>
              <w:t>51,235</w:t>
            </w:r>
          </w:p>
        </w:tc>
        <w:tc>
          <w:tcPr>
            <w:tcW w:type="dxa" w:w="1800"/>
          </w:tcPr>
          <w:p>
            <w:pPr>
              <w:spacing w:after="20"/>
              <w:jc w:val="right"/>
            </w:pPr>
            <w:r>
              <w:rPr>
                <w:color w:val="1C3A36"/>
                <w:sz w:val="17"/>
              </w:rPr>
              <w:t>2,975</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74.9%</w:t>
            </w:r>
          </w:p>
        </w:tc>
        <w:tc>
          <w:tcPr>
            <w:tcW w:type="dxa" w:w="1872"/>
          </w:tcPr>
          <w:p>
            <w:pPr>
              <w:spacing w:after="20"/>
              <w:jc w:val="right"/>
            </w:pPr>
            <w:r>
              <w:rPr>
                <w:color w:val="1C3A36"/>
                <w:sz w:val="17"/>
              </w:rPr>
              <w:t>74.9%</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4.78</w:t>
            </w:r>
          </w:p>
        </w:tc>
        <w:tc>
          <w:tcPr>
            <w:tcW w:type="dxa" w:w="1872"/>
            <w:shd w:val="clear" w:color="auto" w:fill="F6F1E6"/>
          </w:tcPr>
          <w:p>
            <w:pPr>
              <w:spacing w:after="20"/>
              <w:jc w:val="right"/>
            </w:pPr>
            <w:r>
              <w:rPr>
                <w:b/>
                <w:color w:val="1C3A36"/>
                <w:sz w:val="17"/>
              </w:rPr>
              <w:t>5.10</w:t>
            </w:r>
          </w:p>
        </w:tc>
        <w:tc>
          <w:tcPr>
            <w:tcW w:type="dxa" w:w="1800"/>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7 — the contested judgement isolated. Everything else in the two models is identical, so the AED 0.32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7.60% is worth a large multiple of its book. The multiple that relationship justifies is (return less growth) divided by (cost of equity less growth): (80.8% − 1.5%) ÷ (7.60% − 1.5%) = 13.0 times book, or AED 3.36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7.60%</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13.0x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3.36</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16.3 times forward earnings. On the model's own FY2026 earnings of AED 0.30 a share on Frame A and AED 0.32 on Frame B, that gives AED 4.95 and AED 5.17.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16.3x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toward the upper end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4,648 million and EBIT of AED 3,856 million. Taxed at the statutory 9% it is AED 3,464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7,485</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4,648</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(792)</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3,856</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(392)</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3,464</w:t>
            </w:r>
          </w:p>
        </w:tc>
      </w:tr>
      <w:tr>
        <w:trPr>
          <w:cantSplit/>
        </w:trPr>
        <w:tc>
          <w:tcPr>
            <w:tcW w:type="dxa" w:w="7416"/>
          </w:tcPr>
          <w:p>
            <w:pPr>
              <w:spacing w:after="20"/>
            </w:pPr>
            <w:r>
              <w:rPr>
                <w:color w:val="1C3A36"/>
                <w:sz w:val="17"/>
              </w:rPr>
              <w:t>Capitalised at 7.44% less 1.5% growth</w:t>
            </w:r>
          </w:p>
        </w:tc>
        <w:tc>
          <w:tcPr>
            <w:tcW w:type="dxa" w:w="1656"/>
          </w:tcPr>
          <w:p>
            <w:pPr>
              <w:spacing w:after="20"/>
              <w:jc w:val="right"/>
            </w:pPr>
            <w:r>
              <w:rPr>
                <w:color w:val="1C3A36"/>
                <w:sz w:val="17"/>
              </w:rPr>
              <w:t>54,836</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50,174</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4.01</w:t>
            </w:r>
          </w:p>
        </w:tc>
      </w:tr>
    </w:tbl>
    <w:p>
      <w:pPr>
        <w:spacing w:after="40"/>
      </w:pPr>
    </w:p>
    <w:p>
      <w:pPr>
        <w:spacing w:after="200" w:before="0"/>
      </w:pPr>
      <w:r>
        <w:rPr>
          <w:b w:val="0"/>
          <w:i/>
          <w:color w:val="6E7B77"/>
          <w:sz w:val="17"/>
        </w:rPr>
        <w:t>Table 10 — normalised earnings power. This reading is capitalised at TODAY's cost of capital of 7.44% rather than the terminal 7.44% the cash-flow model glides to, which is why it lands above the Frame A cash-flow reading even though it charges the same reinvestment for growth that the cash-flow model does.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4.78</w:t>
            </w:r>
          </w:p>
        </w:tc>
        <w:tc>
          <w:tcPr>
            <w:tcW w:type="dxa" w:w="1440"/>
          </w:tcPr>
          <w:p>
            <w:pPr>
              <w:spacing w:after="20"/>
              <w:jc w:val="right"/>
            </w:pPr>
            <w:r>
              <w:rPr>
                <w:color w:val="1C3A36"/>
                <w:sz w:val="17"/>
              </w:rPr>
              <w:t>5.10</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4.01</w:t>
            </w:r>
          </w:p>
        </w:tc>
        <w:tc>
          <w:tcPr>
            <w:tcW w:type="dxa" w:w="1440"/>
          </w:tcPr>
          <w:p>
            <w:pPr>
              <w:spacing w:after="20"/>
              <w:jc w:val="right"/>
            </w:pPr>
            <w:r>
              <w:rPr>
                <w:color w:val="1C3A36"/>
                <w:sz w:val="17"/>
              </w:rPr>
              <w:t>4.01</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on structural earnings with growth paid for</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4.95</w:t>
            </w:r>
          </w:p>
        </w:tc>
        <w:tc>
          <w:tcPr>
            <w:tcW w:type="dxa" w:w="1440"/>
          </w:tcPr>
          <w:p>
            <w:pPr>
              <w:spacing w:after="20"/>
              <w:jc w:val="right"/>
            </w:pPr>
            <w:r>
              <w:rPr>
                <w:color w:val="1C3A36"/>
                <w:sz w:val="17"/>
              </w:rPr>
              <w:t>5.17</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3.36</w:t>
            </w:r>
          </w:p>
        </w:tc>
        <w:tc>
          <w:tcPr>
            <w:tcW w:type="dxa" w:w="1440"/>
          </w:tcPr>
          <w:p>
            <w:pPr>
              <w:spacing w:after="20"/>
              <w:jc w:val="right"/>
            </w:pPr>
            <w:r>
              <w:rPr>
                <w:color w:val="1C3A36"/>
                <w:sz w:val="17"/>
              </w:rPr>
              <w:t>3.36</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4.41</w:t>
            </w:r>
          </w:p>
        </w:tc>
        <w:tc>
          <w:tcPr>
            <w:tcW w:type="dxa" w:w="1440"/>
            <w:shd w:val="clear" w:color="auto" w:fill="F6F1E6"/>
          </w:tcPr>
          <w:p>
            <w:pPr>
              <w:spacing w:after="20"/>
              <w:jc w:val="right"/>
            </w:pPr>
            <w:r>
              <w:rPr>
                <w:b/>
                <w:color w:val="1C3A36"/>
                <w:sz w:val="17"/>
              </w:rPr>
              <w:t>4.58</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2.71</w:t>
            </w:r>
          </w:p>
        </w:tc>
        <w:tc>
          <w:tcPr>
            <w:tcW w:type="dxa" w:w="1440"/>
          </w:tcPr>
          <w:p>
            <w:pPr>
              <w:spacing w:after="20"/>
              <w:jc w:val="right"/>
            </w:pPr>
            <w:r>
              <w:rPr>
                <w:color w:val="1C3A36"/>
                <w:sz w:val="17"/>
              </w:rPr>
              <w:t>2.71</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3.36 to AED 5.17 across the individual readings; the published low and high are the actual minimum and maximum of the readings, AED 2.71 to AED 5.17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outputs of volume and margin per litre, and where a step in a margin per litre is carried it is disclosed and priced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10,911</w:t>
            </w:r>
          </w:p>
        </w:tc>
        <w:tc>
          <w:tcPr>
            <w:tcW w:type="dxa" w:w="1138"/>
          </w:tcPr>
          <w:p>
            <w:pPr>
              <w:spacing w:after="20"/>
              <w:jc w:val="right"/>
            </w:pPr>
            <w:r>
              <w:rPr>
                <w:color w:val="1C3A36"/>
                <w:sz w:val="16"/>
              </w:rPr>
              <w:t>11,117</w:t>
            </w:r>
          </w:p>
        </w:tc>
        <w:tc>
          <w:tcPr>
            <w:tcW w:type="dxa" w:w="1138"/>
          </w:tcPr>
          <w:p>
            <w:pPr>
              <w:spacing w:after="20"/>
              <w:jc w:val="right"/>
            </w:pPr>
            <w:r>
              <w:rPr>
                <w:color w:val="1C3A36"/>
                <w:sz w:val="16"/>
              </w:rPr>
              <w:t>11,330</w:t>
            </w:r>
          </w:p>
        </w:tc>
        <w:tc>
          <w:tcPr>
            <w:tcW w:type="dxa" w:w="1138"/>
          </w:tcPr>
          <w:p>
            <w:pPr>
              <w:spacing w:after="20"/>
              <w:jc w:val="right"/>
            </w:pPr>
            <w:r>
              <w:rPr>
                <w:color w:val="1C3A36"/>
                <w:sz w:val="16"/>
              </w:rPr>
              <w:t>11,609</w:t>
            </w:r>
          </w:p>
        </w:tc>
        <w:tc>
          <w:tcPr>
            <w:tcW w:type="dxa" w:w="1138"/>
          </w:tcPr>
          <w:p>
            <w:pPr>
              <w:spacing w:after="20"/>
              <w:jc w:val="right"/>
            </w:pPr>
            <w:r>
              <w:rPr>
                <w:color w:val="1C3A36"/>
                <w:sz w:val="16"/>
              </w:rPr>
              <w:t>11,898</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4,744</w:t>
            </w:r>
          </w:p>
        </w:tc>
        <w:tc>
          <w:tcPr>
            <w:tcW w:type="dxa" w:w="1138"/>
          </w:tcPr>
          <w:p>
            <w:pPr>
              <w:spacing w:after="20"/>
              <w:jc w:val="right"/>
            </w:pPr>
            <w:r>
              <w:rPr>
                <w:color w:val="1C3A36"/>
                <w:sz w:val="16"/>
              </w:rPr>
              <w:t>4,793</w:t>
            </w:r>
          </w:p>
        </w:tc>
        <w:tc>
          <w:tcPr>
            <w:tcW w:type="dxa" w:w="1138"/>
          </w:tcPr>
          <w:p>
            <w:pPr>
              <w:spacing w:after="20"/>
              <w:jc w:val="right"/>
            </w:pPr>
            <w:r>
              <w:rPr>
                <w:color w:val="1C3A36"/>
                <w:sz w:val="16"/>
              </w:rPr>
              <w:t>4,855</w:t>
            </w:r>
          </w:p>
        </w:tc>
        <w:tc>
          <w:tcPr>
            <w:tcW w:type="dxa" w:w="1138"/>
          </w:tcPr>
          <w:p>
            <w:pPr>
              <w:spacing w:after="20"/>
              <w:jc w:val="right"/>
            </w:pPr>
            <w:r>
              <w:rPr>
                <w:color w:val="1C3A36"/>
                <w:sz w:val="16"/>
              </w:rPr>
              <w:t>4,916</w:t>
            </w:r>
          </w:p>
        </w:tc>
        <w:tc>
          <w:tcPr>
            <w:tcW w:type="dxa" w:w="1138"/>
          </w:tcPr>
          <w:p>
            <w:pPr>
              <w:spacing w:after="20"/>
              <w:jc w:val="right"/>
            </w:pPr>
            <w:r>
              <w:rPr>
                <w:color w:val="1C3A36"/>
                <w:sz w:val="16"/>
              </w:rPr>
              <w:t>4,973</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36.0</w:t>
            </w:r>
          </w:p>
        </w:tc>
        <w:tc>
          <w:tcPr>
            <w:tcW w:type="dxa" w:w="1138"/>
          </w:tcPr>
          <w:p>
            <w:pPr>
              <w:spacing w:after="20"/>
              <w:jc w:val="right"/>
            </w:pPr>
            <w:r>
              <w:rPr>
                <w:color w:val="1C3A36"/>
                <w:sz w:val="16"/>
              </w:rPr>
              <w:t>366.9</w:t>
            </w:r>
          </w:p>
        </w:tc>
        <w:tc>
          <w:tcPr>
            <w:tcW w:type="dxa" w:w="1138"/>
          </w:tcPr>
          <w:p>
            <w:pPr>
              <w:spacing w:after="20"/>
              <w:jc w:val="right"/>
            </w:pPr>
            <w:r>
              <w:rPr>
                <w:color w:val="1C3A36"/>
                <w:sz w:val="16"/>
              </w:rPr>
              <w:t>374.3</w:t>
            </w:r>
          </w:p>
        </w:tc>
        <w:tc>
          <w:tcPr>
            <w:tcW w:type="dxa" w:w="1138"/>
          </w:tcPr>
          <w:p>
            <w:pPr>
              <w:spacing w:after="20"/>
              <w:jc w:val="right"/>
            </w:pPr>
            <w:r>
              <w:rPr>
                <w:color w:val="1C3A36"/>
                <w:sz w:val="16"/>
              </w:rPr>
              <w:t>381.8</w:t>
            </w:r>
          </w:p>
        </w:tc>
        <w:tc>
          <w:tcPr>
            <w:tcW w:type="dxa" w:w="1138"/>
          </w:tcPr>
          <w:p>
            <w:pPr>
              <w:spacing w:after="20"/>
              <w:jc w:val="right"/>
            </w:pPr>
            <w:r>
              <w:rPr>
                <w:color w:val="1C3A36"/>
                <w:sz w:val="16"/>
              </w:rPr>
              <w:t>389.4</w:t>
            </w:r>
          </w:p>
        </w:tc>
        <w:tc>
          <w:tcPr>
            <w:tcW w:type="dxa" w:w="1138"/>
          </w:tcPr>
          <w:p>
            <w:pPr>
              <w:spacing w:after="20"/>
              <w:jc w:val="right"/>
            </w:pPr>
            <w:r>
              <w:rPr>
                <w:color w:val="1C3A36"/>
                <w:sz w:val="16"/>
              </w:rPr>
              <w:t>397.2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43.6</w:t>
            </w:r>
          </w:p>
        </w:tc>
        <w:tc>
          <w:tcPr>
            <w:tcW w:type="dxa" w:w="1138"/>
          </w:tcPr>
          <w:p>
            <w:pPr>
              <w:spacing w:after="20"/>
              <w:jc w:val="right"/>
            </w:pPr>
            <w:r>
              <w:rPr>
                <w:color w:val="1C3A36"/>
                <w:sz w:val="16"/>
              </w:rPr>
              <w:t>510.5</w:t>
            </w:r>
          </w:p>
        </w:tc>
        <w:tc>
          <w:tcPr>
            <w:tcW w:type="dxa" w:w="1138"/>
          </w:tcPr>
          <w:p>
            <w:pPr>
              <w:spacing w:after="20"/>
              <w:jc w:val="right"/>
            </w:pPr>
            <w:r>
              <w:rPr>
                <w:color w:val="1C3A36"/>
                <w:sz w:val="16"/>
              </w:rPr>
              <w:t>520.7</w:t>
            </w:r>
          </w:p>
        </w:tc>
        <w:tc>
          <w:tcPr>
            <w:tcW w:type="dxa" w:w="1138"/>
          </w:tcPr>
          <w:p>
            <w:pPr>
              <w:spacing w:after="20"/>
              <w:jc w:val="right"/>
            </w:pPr>
            <w:r>
              <w:rPr>
                <w:color w:val="1C3A36"/>
                <w:sz w:val="16"/>
              </w:rPr>
              <w:t>531.1</w:t>
            </w:r>
          </w:p>
        </w:tc>
        <w:tc>
          <w:tcPr>
            <w:tcW w:type="dxa" w:w="1138"/>
          </w:tcPr>
          <w:p>
            <w:pPr>
              <w:spacing w:after="20"/>
              <w:jc w:val="right"/>
            </w:pPr>
            <w:r>
              <w:rPr>
                <w:color w:val="1C3A36"/>
                <w:sz w:val="16"/>
              </w:rPr>
              <w:t>541.8</w:t>
            </w:r>
          </w:p>
        </w:tc>
        <w:tc>
          <w:tcPr>
            <w:tcW w:type="dxa" w:w="1138"/>
          </w:tcPr>
          <w:p>
            <w:pPr>
              <w:spacing w:after="20"/>
              <w:jc w:val="right"/>
            </w:pPr>
            <w:r>
              <w:rPr>
                <w:color w:val="1C3A36"/>
                <w:sz w:val="16"/>
              </w:rPr>
              <w:t>552.6</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3.28</w:t>
            </w:r>
          </w:p>
        </w:tc>
        <w:tc>
          <w:tcPr>
            <w:tcW w:type="dxa" w:w="1138"/>
          </w:tcPr>
          <w:p>
            <w:pPr>
              <w:spacing w:after="20"/>
              <w:jc w:val="right"/>
            </w:pPr>
            <w:r>
              <w:rPr>
                <w:color w:val="1C3A36"/>
                <w:sz w:val="16"/>
              </w:rPr>
              <w:t>3.17</w:t>
            </w:r>
          </w:p>
        </w:tc>
        <w:tc>
          <w:tcPr>
            <w:tcW w:type="dxa" w:w="1138"/>
          </w:tcPr>
          <w:p>
            <w:pPr>
              <w:spacing w:after="20"/>
              <w:jc w:val="right"/>
            </w:pPr>
            <w:r>
              <w:rPr>
                <w:color w:val="1C3A36"/>
                <w:sz w:val="16"/>
              </w:rPr>
              <w:t>3.21</w:t>
            </w:r>
          </w:p>
        </w:tc>
        <w:tc>
          <w:tcPr>
            <w:tcW w:type="dxa" w:w="1138"/>
          </w:tcPr>
          <w:p>
            <w:pPr>
              <w:spacing w:after="20"/>
              <w:jc w:val="right"/>
            </w:pPr>
            <w:r>
              <w:rPr>
                <w:color w:val="1C3A36"/>
                <w:sz w:val="16"/>
              </w:rPr>
              <w:t>3.25</w:t>
            </w:r>
          </w:p>
        </w:tc>
        <w:tc>
          <w:tcPr>
            <w:tcW w:type="dxa" w:w="1138"/>
          </w:tcPr>
          <w:p>
            <w:pPr>
              <w:spacing w:after="20"/>
              <w:jc w:val="right"/>
            </w:pPr>
            <w:r>
              <w:rPr>
                <w:color w:val="1C3A36"/>
                <w:sz w:val="16"/>
              </w:rPr>
              <w:t>3.28</w:t>
            </w:r>
          </w:p>
        </w:tc>
      </w:tr>
    </w:tbl>
    <w:p>
      <w:pPr>
        <w:spacing w:after="40"/>
      </w:pPr>
    </w:p>
    <w:p>
      <w:pPr>
        <w:spacing w:after="200" w:before="0"/>
      </w:pPr>
      <w:r>
        <w:rPr>
          <w:b w:val="0"/>
          <w:i/>
          <w:color w:val="6E7B77"/>
          <w:sz w:val="17"/>
        </w:rPr>
        <w:t>Table 12 — the physical build. Retail margin per litre begins at 36.0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4,004</w:t>
            </w:r>
          </w:p>
        </w:tc>
        <w:tc>
          <w:tcPr>
            <w:tcW w:type="dxa" w:w="1224"/>
          </w:tcPr>
          <w:p>
            <w:pPr>
              <w:spacing w:after="20"/>
              <w:jc w:val="right"/>
            </w:pPr>
            <w:r>
              <w:rPr>
                <w:color w:val="1C3A36"/>
                <w:sz w:val="16"/>
              </w:rPr>
              <w:t>4,161</w:t>
            </w:r>
          </w:p>
        </w:tc>
        <w:tc>
          <w:tcPr>
            <w:tcW w:type="dxa" w:w="1224"/>
          </w:tcPr>
          <w:p>
            <w:pPr>
              <w:spacing w:after="20"/>
              <w:jc w:val="right"/>
            </w:pPr>
            <w:r>
              <w:rPr>
                <w:color w:val="1C3A36"/>
                <w:sz w:val="16"/>
              </w:rPr>
              <w:t>4,325</w:t>
            </w:r>
          </w:p>
        </w:tc>
        <w:tc>
          <w:tcPr>
            <w:tcW w:type="dxa" w:w="1224"/>
          </w:tcPr>
          <w:p>
            <w:pPr>
              <w:spacing w:after="20"/>
              <w:jc w:val="right"/>
            </w:pPr>
            <w:r>
              <w:rPr>
                <w:color w:val="1C3A36"/>
                <w:sz w:val="16"/>
              </w:rPr>
              <w:t>4,521</w:t>
            </w:r>
          </w:p>
        </w:tc>
        <w:tc>
          <w:tcPr>
            <w:tcW w:type="dxa" w:w="1224"/>
          </w:tcPr>
          <w:p>
            <w:pPr>
              <w:spacing w:after="20"/>
              <w:jc w:val="right"/>
            </w:pPr>
            <w:r>
              <w:rPr>
                <w:color w:val="1C3A36"/>
                <w:sz w:val="16"/>
              </w:rPr>
              <w:t>4,726</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2,422</w:t>
            </w:r>
          </w:p>
        </w:tc>
        <w:tc>
          <w:tcPr>
            <w:tcW w:type="dxa" w:w="1224"/>
          </w:tcPr>
          <w:p>
            <w:pPr>
              <w:spacing w:after="20"/>
              <w:jc w:val="right"/>
            </w:pPr>
            <w:r>
              <w:rPr>
                <w:color w:val="1C3A36"/>
                <w:sz w:val="16"/>
              </w:rPr>
              <w:t>2,496</w:t>
            </w:r>
          </w:p>
        </w:tc>
        <w:tc>
          <w:tcPr>
            <w:tcW w:type="dxa" w:w="1224"/>
          </w:tcPr>
          <w:p>
            <w:pPr>
              <w:spacing w:after="20"/>
              <w:jc w:val="right"/>
            </w:pPr>
            <w:r>
              <w:rPr>
                <w:color w:val="1C3A36"/>
                <w:sz w:val="16"/>
              </w:rPr>
              <w:t>2,579</w:t>
            </w:r>
          </w:p>
        </w:tc>
        <w:tc>
          <w:tcPr>
            <w:tcW w:type="dxa" w:w="1224"/>
          </w:tcPr>
          <w:p>
            <w:pPr>
              <w:spacing w:after="20"/>
              <w:jc w:val="right"/>
            </w:pPr>
            <w:r>
              <w:rPr>
                <w:color w:val="1C3A36"/>
                <w:sz w:val="16"/>
              </w:rPr>
              <w:t>2,663</w:t>
            </w:r>
          </w:p>
        </w:tc>
        <w:tc>
          <w:tcPr>
            <w:tcW w:type="dxa" w:w="1224"/>
          </w:tcPr>
          <w:p>
            <w:pPr>
              <w:spacing w:after="20"/>
              <w:jc w:val="right"/>
            </w:pPr>
            <w:r>
              <w:rPr>
                <w:color w:val="1C3A36"/>
                <w:sz w:val="16"/>
              </w:rPr>
              <w:t>2,748</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1,060</w:t>
            </w:r>
          </w:p>
        </w:tc>
        <w:tc>
          <w:tcPr>
            <w:tcW w:type="dxa" w:w="1224"/>
          </w:tcPr>
          <w:p>
            <w:pPr>
              <w:spacing w:after="20"/>
              <w:jc w:val="right"/>
            </w:pPr>
            <w:r>
              <w:rPr>
                <w:color w:val="1C3A36"/>
                <w:sz w:val="16"/>
              </w:rPr>
              <w:t>1,113</w:t>
            </w:r>
          </w:p>
        </w:tc>
        <w:tc>
          <w:tcPr>
            <w:tcW w:type="dxa" w:w="1224"/>
          </w:tcPr>
          <w:p>
            <w:pPr>
              <w:spacing w:after="20"/>
              <w:jc w:val="right"/>
            </w:pPr>
            <w:r>
              <w:rPr>
                <w:color w:val="1C3A36"/>
                <w:sz w:val="16"/>
              </w:rPr>
              <w:t>1,171</w:t>
            </w:r>
          </w:p>
        </w:tc>
        <w:tc>
          <w:tcPr>
            <w:tcW w:type="dxa" w:w="1224"/>
          </w:tcPr>
          <w:p>
            <w:pPr>
              <w:spacing w:after="20"/>
              <w:jc w:val="right"/>
            </w:pPr>
            <w:r>
              <w:rPr>
                <w:color w:val="1C3A36"/>
                <w:sz w:val="16"/>
              </w:rPr>
              <w:t>1,237</w:t>
            </w:r>
          </w:p>
        </w:tc>
        <w:tc>
          <w:tcPr>
            <w:tcW w:type="dxa" w:w="1224"/>
          </w:tcPr>
          <w:p>
            <w:pPr>
              <w:spacing w:after="20"/>
              <w:jc w:val="right"/>
            </w:pPr>
            <w:r>
              <w:rPr>
                <w:color w:val="1C3A36"/>
                <w:sz w:val="16"/>
              </w:rPr>
              <w:t>1,303</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7,485</w:t>
            </w:r>
          </w:p>
        </w:tc>
        <w:tc>
          <w:tcPr>
            <w:tcW w:type="dxa" w:w="1224"/>
            <w:shd w:val="clear" w:color="auto" w:fill="F6F1E6"/>
          </w:tcPr>
          <w:p>
            <w:pPr>
              <w:spacing w:after="20"/>
              <w:jc w:val="right"/>
            </w:pPr>
            <w:r>
              <w:rPr>
                <w:b/>
                <w:color w:val="1C3A36"/>
                <w:sz w:val="16"/>
              </w:rPr>
              <w:t>7,769</w:t>
            </w:r>
          </w:p>
        </w:tc>
        <w:tc>
          <w:tcPr>
            <w:tcW w:type="dxa" w:w="1224"/>
            <w:shd w:val="clear" w:color="auto" w:fill="F6F1E6"/>
          </w:tcPr>
          <w:p>
            <w:pPr>
              <w:spacing w:after="20"/>
              <w:jc w:val="right"/>
            </w:pPr>
            <w:r>
              <w:rPr>
                <w:b/>
                <w:color w:val="1C3A36"/>
                <w:sz w:val="16"/>
              </w:rPr>
              <w:t>8,076</w:t>
            </w:r>
          </w:p>
        </w:tc>
        <w:tc>
          <w:tcPr>
            <w:tcW w:type="dxa" w:w="1224"/>
            <w:shd w:val="clear" w:color="auto" w:fill="F6F1E6"/>
          </w:tcPr>
          <w:p>
            <w:pPr>
              <w:spacing w:after="20"/>
              <w:jc w:val="right"/>
            </w:pPr>
            <w:r>
              <w:rPr>
                <w:b/>
                <w:color w:val="1C3A36"/>
                <w:sz w:val="16"/>
              </w:rPr>
              <w:t>8,421</w:t>
            </w:r>
          </w:p>
        </w:tc>
        <w:tc>
          <w:tcPr>
            <w:tcW w:type="dxa" w:w="1224"/>
            <w:shd w:val="clear" w:color="auto" w:fill="F6F1E6"/>
          </w:tcPr>
          <w:p>
            <w:pPr>
              <w:spacing w:after="20"/>
              <w:jc w:val="right"/>
            </w:pPr>
            <w:r>
              <w:rPr>
                <w:b/>
                <w:color w:val="1C3A36"/>
                <w:sz w:val="16"/>
              </w:rPr>
              <w:t>8,777</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8,247</w:t>
            </w:r>
          </w:p>
        </w:tc>
        <w:tc>
          <w:tcPr>
            <w:tcW w:type="dxa" w:w="1224"/>
          </w:tcPr>
          <w:p>
            <w:pPr>
              <w:spacing w:after="20"/>
              <w:jc w:val="right"/>
            </w:pPr>
            <w:r>
              <w:rPr>
                <w:color w:val="1C3A36"/>
                <w:sz w:val="16"/>
              </w:rPr>
              <w:t>7,769</w:t>
            </w:r>
          </w:p>
        </w:tc>
        <w:tc>
          <w:tcPr>
            <w:tcW w:type="dxa" w:w="1224"/>
          </w:tcPr>
          <w:p>
            <w:pPr>
              <w:spacing w:after="20"/>
              <w:jc w:val="right"/>
            </w:pPr>
            <w:r>
              <w:rPr>
                <w:color w:val="1C3A36"/>
                <w:sz w:val="16"/>
              </w:rPr>
              <w:t>8,076</w:t>
            </w:r>
          </w:p>
        </w:tc>
        <w:tc>
          <w:tcPr>
            <w:tcW w:type="dxa" w:w="1224"/>
          </w:tcPr>
          <w:p>
            <w:pPr>
              <w:spacing w:after="20"/>
              <w:jc w:val="right"/>
            </w:pPr>
            <w:r>
              <w:rPr>
                <w:color w:val="1C3A36"/>
                <w:sz w:val="16"/>
              </w:rPr>
              <w:t>8,421</w:t>
            </w:r>
          </w:p>
        </w:tc>
        <w:tc>
          <w:tcPr>
            <w:tcW w:type="dxa" w:w="1224"/>
          </w:tcPr>
          <w:p>
            <w:pPr>
              <w:spacing w:after="20"/>
              <w:jc w:val="right"/>
            </w:pPr>
            <w:r>
              <w:rPr>
                <w:color w:val="1C3A36"/>
                <w:sz w:val="16"/>
              </w:rPr>
              <w:t>8,777</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18.8%</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18.5%</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8,435</w:t>
            </w:r>
          </w:p>
        </w:tc>
        <w:tc>
          <w:tcPr>
            <w:tcW w:type="dxa" w:w="1224"/>
          </w:tcPr>
          <w:p>
            <w:pPr>
              <w:spacing w:after="20"/>
              <w:jc w:val="right"/>
            </w:pPr>
            <w:r>
              <w:rPr>
                <w:color w:val="1C3A36"/>
                <w:sz w:val="16"/>
              </w:rPr>
              <w:t>8,064</w:t>
            </w:r>
          </w:p>
        </w:tc>
        <w:tc>
          <w:tcPr>
            <w:tcW w:type="dxa" w:w="1224"/>
          </w:tcPr>
          <w:p>
            <w:pPr>
              <w:spacing w:after="20"/>
              <w:jc w:val="right"/>
            </w:pPr>
            <w:r>
              <w:rPr>
                <w:color w:val="1C3A36"/>
                <w:sz w:val="16"/>
              </w:rPr>
              <w:t>8,371</w:t>
            </w:r>
          </w:p>
        </w:tc>
        <w:tc>
          <w:tcPr>
            <w:tcW w:type="dxa" w:w="1224"/>
          </w:tcPr>
          <w:p>
            <w:pPr>
              <w:spacing w:after="20"/>
              <w:jc w:val="right"/>
            </w:pPr>
            <w:r>
              <w:rPr>
                <w:color w:val="1C3A36"/>
                <w:sz w:val="16"/>
              </w:rPr>
              <w:t>8,716</w:t>
            </w:r>
          </w:p>
        </w:tc>
        <w:tc>
          <w:tcPr>
            <w:tcW w:type="dxa" w:w="1224"/>
          </w:tcPr>
          <w:p>
            <w:pPr>
              <w:spacing w:after="20"/>
              <w:jc w:val="right"/>
            </w:pPr>
            <w:r>
              <w:rPr>
                <w:color w:val="1C3A36"/>
                <w:sz w:val="16"/>
              </w:rPr>
              <w:t>9,072</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19.2%</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18.8%</w:t>
            </w:r>
          </w:p>
        </w:tc>
        <w:tc>
          <w:tcPr>
            <w:tcW w:type="dxa" w:w="1224"/>
          </w:tcPr>
          <w:p>
            <w:pPr>
              <w:spacing w:after="20"/>
              <w:jc w:val="right"/>
            </w:pPr>
            <w:r>
              <w:rPr>
                <w:color w:val="1C3A36"/>
                <w:sz w:val="16"/>
              </w:rPr>
              <w:t>19.0%</w:t>
            </w:r>
          </w:p>
        </w:tc>
        <w:tc>
          <w:tcPr>
            <w:tcW w:type="dxa" w:w="1224"/>
          </w:tcPr>
          <w:p>
            <w:pPr>
              <w:spacing w:after="20"/>
              <w:jc w:val="right"/>
            </w:pPr>
            <w:r>
              <w:rPr>
                <w:color w:val="1C3A36"/>
                <w:sz w:val="16"/>
              </w:rPr>
              <w:t>19.2%</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82.9% of the cost base and is a globally traded input: it escalates on its own crude-linked realised-price path through the committee's formula, never on a domestic inflation series. Staff, utilities, repairs and marketing are 6.0%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r>
        <w:trPr>
          <w:cantSplit/>
        </w:trPr>
        <w:tc>
          <w:tcPr>
            <w:tcW w:type="dxa" w:w="2664"/>
          </w:tcPr>
          <w:p>
            <w:pPr>
              <w:spacing w:after="20"/>
            </w:pPr>
            <w:r>
              <w:rPr>
                <w:color w:val="1C3A36"/>
                <w:sz w:val="15"/>
              </w:rPr>
              <w:t>FTSE ADX General Index — the published index of the…</w:t>
            </w:r>
          </w:p>
        </w:tc>
        <w:tc>
          <w:tcPr>
            <w:tcW w:type="dxa" w:w="1656"/>
          </w:tcPr>
          <w:p>
            <w:pPr>
              <w:spacing w:after="20"/>
              <w:jc w:val="right"/>
            </w:pPr>
            <w:r>
              <w:rPr>
                <w:color w:val="1C3A36"/>
                <w:sz w:val="15"/>
              </w:rPr>
              <w:t>0.6 beta against the…</w:t>
            </w:r>
          </w:p>
        </w:tc>
        <w:tc>
          <w:tcPr>
            <w:tcW w:type="dxa" w:w="2880"/>
          </w:tcPr>
          <w:p>
            <w:pPr>
              <w:spacing w:after="20"/>
              <w:jc w:val="right"/>
            </w:pPr>
            <w:r>
              <w:rPr>
                <w:color w:val="1C3A36"/>
                <w:sz w:val="15"/>
              </w:rPr>
              <w:t>Sets the beta, and through it the cost of equity, the cost of capital and the terminal…</w:t>
            </w:r>
          </w:p>
        </w:tc>
        <w:tc>
          <w:tcPr>
            <w:tcW w:type="dxa" w:w="2736"/>
          </w:tcPr>
          <w:p>
            <w:pPr>
              <w:spacing w:after="20"/>
              <w:jc w:val="right"/>
            </w:pPr>
            <w:r>
              <w:rPr>
                <w:color w:val="1C3A36"/>
                <w:sz w:val="15"/>
              </w:rPr>
              <w:t>FTSE ADX General Index daily history</w:t>
            </w:r>
          </w:p>
        </w:tc>
      </w:tr>
    </w:tbl>
    <w:p>
      <w:pPr>
        <w:spacing w:after="40"/>
      </w:pPr>
    </w:p>
    <w:p>
      <w:pPr>
        <w:spacing w:after="200" w:before="0"/>
      </w:pPr>
      <w:r>
        <w:rPr>
          <w:b w:val="0"/>
          <w:i/>
          <w:color w:val="6E7B77"/>
          <w:sz w:val="17"/>
        </w:rPr>
        <w:t>Table 14 — every external driver in the model, with the evidence behind it and the place it enters. 24 of the 56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-0.26% — a NEGATIVE number. Against the model's 1.5%, the market is not pricing a slower-growing fuel retailer. It is pricing a business whose volume base is in permanent, if gentle, decline.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-0.26%</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7.44%</w:t>
            </w:r>
          </w:p>
        </w:tc>
        <w:tc>
          <w:tcPr>
            <w:tcW w:type="dxa" w:w="2664"/>
          </w:tcPr>
          <w:p>
            <w:pPr>
              <w:spacing w:after="20"/>
              <w:jc w:val="right"/>
            </w:pPr>
            <w:r>
              <w:rPr>
                <w:color w:val="1C3A36"/>
                <w:sz w:val="18"/>
              </w:rPr>
              <w:t>8.53%</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0.65</w:t>
            </w:r>
          </w:p>
        </w:tc>
        <w:tc>
          <w:tcPr>
            <w:tcW w:type="dxa" w:w="2664"/>
          </w:tcPr>
          <w:p>
            <w:pPr>
              <w:spacing w:after="20"/>
              <w:jc w:val="right"/>
            </w:pPr>
            <w:r>
              <w:rPr>
                <w:color w:val="1C3A36"/>
                <w:sz w:val="18"/>
              </w:rPr>
              <w:t>0.86</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4.78</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0.86 — close to the market average — is the right one has a complete and internally consistent case for the traded price without needing the growth story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Real-terms shortfall against a 4% cost escalator, in litres</w:t>
            </w:r>
          </w:p>
        </w:tc>
        <w:tc>
          <w:tcPr>
            <w:tcW w:type="dxa" w:w="1656"/>
          </w:tcPr>
          <w:p>
            <w:pPr>
              <w:spacing w:after="20"/>
              <w:jc w:val="right"/>
            </w:pPr>
            <w:r>
              <w:rPr>
                <w:color w:val="1C3A36"/>
                <w:sz w:val="17"/>
              </w:rPr>
              <w:t>470m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Equivalent fuel transactions given up, per year</w:t>
            </w:r>
          </w:p>
        </w:tc>
        <w:tc>
          <w:tcPr>
            <w:tcW w:type="dxa" w:w="1656"/>
          </w:tcPr>
          <w:p>
            <w:pPr>
              <w:spacing w:after="20"/>
              <w:jc w:val="right"/>
            </w:pPr>
            <w:r>
              <w:rPr>
                <w:color w:val="1C3A36"/>
                <w:sz w:val="17"/>
              </w:rPr>
              <w:t>8.8m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8.74%</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give up roughly 8.8 million fuel transactions a year in real terms,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4.86 to AED 4.50, which does NOT reach the traded price. Volume alone cannot explain the gap inside the explicit window — it has to be the terminal. Second, sensitivity to margin per litre: a 10% cut to the margin growth path across both fuel legs takes it to AED 3.98.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3.62</w:t>
            </w:r>
          </w:p>
        </w:tc>
        <w:tc>
          <w:tcPr>
            <w:tcW w:type="dxa" w:w="2304"/>
          </w:tcPr>
          <w:p>
            <w:pPr>
              <w:spacing w:after="20"/>
              <w:jc w:val="right"/>
            </w:pPr>
            <w:r>
              <w:rPr>
                <w:color w:val="1C3A36"/>
                <w:sz w:val="17"/>
              </w:rPr>
              <w:t>-11%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3.85</w:t>
            </w:r>
          </w:p>
        </w:tc>
        <w:tc>
          <w:tcPr>
            <w:tcW w:type="dxa" w:w="2304"/>
          </w:tcPr>
          <w:p>
            <w:pPr>
              <w:spacing w:after="20"/>
              <w:jc w:val="right"/>
            </w:pPr>
            <w:r>
              <w:rPr>
                <w:color w:val="1C3A36"/>
                <w:sz w:val="17"/>
              </w:rPr>
              <w:t>-5%</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4.15</w:t>
            </w:r>
          </w:p>
        </w:tc>
        <w:tc>
          <w:tcPr>
            <w:tcW w:type="dxa" w:w="2304"/>
          </w:tcPr>
          <w:p>
            <w:pPr>
              <w:spacing w:after="20"/>
              <w:jc w:val="right"/>
            </w:pPr>
            <w:r>
              <w:rPr>
                <w:color w:val="1C3A36"/>
                <w:sz w:val="17"/>
              </w:rPr>
              <w:t>2%</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4.54</w:t>
            </w:r>
          </w:p>
        </w:tc>
        <w:tc>
          <w:tcPr>
            <w:tcW w:type="dxa" w:w="2304"/>
          </w:tcPr>
          <w:p>
            <w:pPr>
              <w:spacing w:after="20"/>
              <w:jc w:val="right"/>
            </w:pPr>
            <w:r>
              <w:rPr>
                <w:color w:val="1C3A36"/>
                <w:sz w:val="17"/>
              </w:rPr>
              <w:t>12%</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4.78</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0.30 a share. Carrying the first-half 2026 rate of AED 762 million in perpetuity — which nobody should believe, and which is shown only to bound the question — is worth AED 0.79 a share. Setting them to zero in every year including FY2026 gives AED 4.73,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4.78</w:t>
            </w:r>
          </w:p>
        </w:tc>
        <w:tc>
          <w:tcPr>
            <w:tcW w:type="dxa" w:w="2016"/>
          </w:tcPr>
          <w:p>
            <w:pPr>
              <w:spacing w:after="20"/>
              <w:jc w:val="right"/>
            </w:pPr>
            <w:r>
              <w:rPr>
                <w:color w:val="1C3A36"/>
                <w:sz w:val="17"/>
              </w:rPr>
              <w:t>18%</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4.94</w:t>
            </w:r>
          </w:p>
        </w:tc>
        <w:tc>
          <w:tcPr>
            <w:tcW w:type="dxa" w:w="2016"/>
          </w:tcPr>
          <w:p>
            <w:pPr>
              <w:spacing w:after="20"/>
              <w:jc w:val="right"/>
            </w:pPr>
            <w:r>
              <w:rPr>
                <w:color w:val="1C3A36"/>
                <w:sz w:val="17"/>
              </w:rPr>
              <w:t>21%</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5.09</w:t>
            </w:r>
          </w:p>
        </w:tc>
        <w:tc>
          <w:tcPr>
            <w:tcW w:type="dxa" w:w="2016"/>
          </w:tcPr>
          <w:p>
            <w:pPr>
              <w:spacing w:after="20"/>
              <w:jc w:val="right"/>
            </w:pPr>
            <w:r>
              <w:rPr>
                <w:color w:val="1C3A36"/>
                <w:sz w:val="17"/>
              </w:rPr>
              <w:t>25%</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5.30</w:t>
            </w:r>
          </w:p>
        </w:tc>
        <w:tc>
          <w:tcPr>
            <w:tcW w:type="dxa" w:w="2016"/>
          </w:tcPr>
          <w:p>
            <w:pPr>
              <w:spacing w:after="20"/>
              <w:jc w:val="right"/>
            </w:pPr>
            <w:r>
              <w:rPr>
                <w:color w:val="1C3A36"/>
                <w:sz w:val="17"/>
              </w:rPr>
              <w:t>30%</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5.57</w:t>
            </w:r>
          </w:p>
        </w:tc>
        <w:tc>
          <w:tcPr>
            <w:tcW w:type="dxa" w:w="2016"/>
          </w:tcPr>
          <w:p>
            <w:pPr>
              <w:spacing w:after="20"/>
              <w:jc w:val="right"/>
            </w:pPr>
            <w:r>
              <w:rPr>
                <w:color w:val="1C3A36"/>
                <w:sz w:val="17"/>
              </w:rPr>
              <w:t>37%</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0.04% to 4.44%,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(0.04%)</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4.44%</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7.60%</w:t>
            </w:r>
          </w:p>
        </w:tc>
        <w:tc>
          <w:tcPr>
            <w:tcW w:type="dxa" w:w="4320"/>
            <w:shd w:val="clear" w:color="auto" w:fill="F6F1E6"/>
          </w:tcPr>
          <w:p>
            <w:pPr>
              <w:spacing w:after="20"/>
              <w:jc w:val="right"/>
            </w:pPr>
            <w:r>
              <w:rPr>
                <w:b/>
                <w:color w:val="1C3A36"/>
                <w:sz w:val="16"/>
              </w:rPr>
              <w:t>4.44% + 0.65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7.44%</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6%</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7.44%</w:t>
            </w:r>
          </w:p>
        </w:tc>
        <w:tc>
          <w:tcPr>
            <w:tcW w:type="dxa" w:w="4320"/>
            <w:shd w:val="clear" w:color="auto" w:fill="F6F1E6"/>
          </w:tcPr>
          <w:p>
            <w:pPr>
              <w:spacing w:after="20"/>
              <w:jc w:val="right"/>
            </w:pPr>
            <w:r>
              <w:rPr>
                <w:b/>
                <w:color w:val="1C3A36"/>
                <w:sz w:val="16"/>
              </w:rPr>
              <w:t>the rate that discounts 74.9% of the value</w:t>
            </w:r>
          </w:p>
        </w:tc>
      </w:tr>
    </w:tbl>
    <w:p>
      <w:pPr>
        <w:spacing w:after="40"/>
      </w:pPr>
    </w:p>
    <w:p>
      <w:pPr>
        <w:spacing w:after="200" w:before="0"/>
      </w:pPr>
      <w:r>
        <w:rPr>
          <w:b w:val="0"/>
          <w:i/>
          <w:color w:val="6E7B77"/>
          <w:sz w:val="17"/>
        </w:rPr>
        <w:t>Table 19 — the cost of capital. The discount rate is not held at 7.44%: it glides linearly to 7.44% across the five explicit years, because today's reading rests on a beta of 0.65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FTSE ADX General Index (published, includes the subject), it is 0.65 with a standard error of 0.09 and an r-squared of 17.9% over 257 observations — a 90% interval of 0.51 to 0.79. The regression EXCLUDES the subject from the index, because a large constituent regressed against an index containing itself is mechanically pulled toward one. Including it gives 0.65; regressing against the broader all-UAE composite gives 0.51. All three are published. A beta of 0.65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4.78 to AED 4.51.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0.80 — arithmetically the same effect as a premium about forty per cent higher — gives AED 4.25</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0.45 → 5.72</w:t>
            </w:r>
          </w:p>
        </w:tc>
        <w:tc>
          <w:tcPr>
            <w:tcW w:type="dxa" w:w="1224"/>
          </w:tcPr>
          <w:p>
            <w:pPr>
              <w:spacing w:after="20"/>
              <w:jc w:val="right"/>
            </w:pPr>
            <w:r>
              <w:rPr>
                <w:color w:val="1C3A36"/>
                <w:sz w:val="17"/>
              </w:rPr>
              <w:t>0.65</w:t>
            </w:r>
          </w:p>
        </w:tc>
        <w:tc>
          <w:tcPr>
            <w:tcW w:type="dxa" w:w="1944"/>
          </w:tcPr>
          <w:p>
            <w:pPr>
              <w:spacing w:after="20"/>
              <w:jc w:val="right"/>
            </w:pPr>
            <w:r>
              <w:rPr>
                <w:color w:val="1C3A36"/>
                <w:sz w:val="17"/>
              </w:rPr>
              <w:t>1.00 → 3.69</w:t>
            </w:r>
          </w:p>
        </w:tc>
        <w:tc>
          <w:tcPr>
            <w:tcW w:type="dxa" w:w="1800"/>
          </w:tcPr>
          <w:p>
            <w:pPr>
              <w:spacing w:after="20"/>
              <w:jc w:val="right"/>
            </w:pPr>
            <w:r>
              <w:rPr>
                <w:color w:val="1C3A36"/>
                <w:sz w:val="17"/>
              </w:rPr>
              <w:t>2.03</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3.98</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5.59</w:t>
            </w:r>
          </w:p>
        </w:tc>
        <w:tc>
          <w:tcPr>
            <w:tcW w:type="dxa" w:w="1800"/>
          </w:tcPr>
          <w:p>
            <w:pPr>
              <w:spacing w:after="20"/>
              <w:jc w:val="right"/>
            </w:pPr>
            <w:r>
              <w:rPr>
                <w:color w:val="1C3A36"/>
                <w:sz w:val="17"/>
              </w:rPr>
              <w:t>1.61</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6.44% → 5.71</w:t>
            </w:r>
          </w:p>
        </w:tc>
        <w:tc>
          <w:tcPr>
            <w:tcW w:type="dxa" w:w="1224"/>
          </w:tcPr>
          <w:p>
            <w:pPr>
              <w:spacing w:after="20"/>
              <w:jc w:val="right"/>
            </w:pPr>
            <w:r>
              <w:rPr>
                <w:color w:val="1C3A36"/>
                <w:sz w:val="17"/>
              </w:rPr>
              <w:t>7.44%</w:t>
            </w:r>
          </w:p>
        </w:tc>
        <w:tc>
          <w:tcPr>
            <w:tcW w:type="dxa" w:w="1944"/>
          </w:tcPr>
          <w:p>
            <w:pPr>
              <w:spacing w:after="20"/>
              <w:jc w:val="right"/>
            </w:pPr>
            <w:r>
              <w:rPr>
                <w:color w:val="1C3A36"/>
                <w:sz w:val="17"/>
              </w:rPr>
              <w:t>8.44% → 4.12</w:t>
            </w:r>
          </w:p>
        </w:tc>
        <w:tc>
          <w:tcPr>
            <w:tcW w:type="dxa" w:w="1800"/>
          </w:tcPr>
          <w:p>
            <w:pPr>
              <w:spacing w:after="20"/>
              <w:jc w:val="right"/>
            </w:pPr>
            <w:r>
              <w:rPr>
                <w:color w:val="1C3A36"/>
                <w:sz w:val="17"/>
              </w:rPr>
              <w:t>1.59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4.33</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5.41</w:t>
            </w:r>
          </w:p>
        </w:tc>
        <w:tc>
          <w:tcPr>
            <w:tcW w:type="dxa" w:w="1800"/>
          </w:tcPr>
          <w:p>
            <w:pPr>
              <w:spacing w:after="20"/>
              <w:jc w:val="right"/>
            </w:pPr>
            <w:r>
              <w:rPr>
                <w:color w:val="1C3A36"/>
                <w:sz w:val="17"/>
              </w:rPr>
              <w:t>1.08</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4.50</w:t>
            </w:r>
          </w:p>
        </w:tc>
        <w:tc>
          <w:tcPr>
            <w:tcW w:type="dxa" w:w="1224"/>
          </w:tcPr>
          <w:p>
            <w:pPr>
              <w:spacing w:after="20"/>
              <w:jc w:val="right"/>
            </w:pPr>
            <w:r>
              <w:rPr>
                <w:color w:val="1C3A36"/>
                <w:sz w:val="17"/>
              </w:rPr>
              <w:t>—</w:t>
            </w:r>
          </w:p>
        </w:tc>
        <w:tc>
          <w:tcPr>
            <w:tcW w:type="dxa" w:w="1944"/>
          </w:tcPr>
          <w:p>
            <w:pPr>
              <w:spacing w:after="20"/>
              <w:jc w:val="right"/>
            </w:pPr>
            <w:r>
              <w:rPr>
                <w:color w:val="1C3A36"/>
                <w:sz w:val="17"/>
              </w:rPr>
              <w:t>1.0% → 5.24</w:t>
            </w:r>
          </w:p>
        </w:tc>
        <w:tc>
          <w:tcPr>
            <w:tcW w:type="dxa" w:w="1800"/>
          </w:tcPr>
          <w:p>
            <w:pPr>
              <w:spacing w:after="20"/>
              <w:jc w:val="right"/>
            </w:pPr>
            <w:r>
              <w:rPr>
                <w:color w:val="1C3A36"/>
                <w:sz w:val="17"/>
              </w:rPr>
              <w:t>0.73</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4.78</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5.40</w:t>
            </w:r>
          </w:p>
        </w:tc>
        <w:tc>
          <w:tcPr>
            <w:tcW w:type="dxa" w:w="1800"/>
          </w:tcPr>
          <w:p>
            <w:pPr>
              <w:spacing w:after="20"/>
              <w:jc w:val="right"/>
            </w:pPr>
            <w:r>
              <w:rPr>
                <w:color w:val="1C3A36"/>
                <w:sz w:val="17"/>
              </w:rPr>
              <w:t>0.62</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4.85</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4.33</w:t>
            </w:r>
          </w:p>
        </w:tc>
        <w:tc>
          <w:tcPr>
            <w:tcW w:type="dxa" w:w="1800"/>
          </w:tcPr>
          <w:p>
            <w:pPr>
              <w:spacing w:after="20"/>
              <w:jc w:val="right"/>
            </w:pPr>
            <w:r>
              <w:rPr>
                <w:color w:val="1C3A36"/>
                <w:sz w:val="17"/>
              </w:rPr>
              <w:t>0.52</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4.85</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0.13</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74.9%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6.44%</w:t>
            </w:r>
          </w:p>
        </w:tc>
        <w:tc>
          <w:tcPr>
            <w:tcW w:type="dxa" w:w="1469"/>
          </w:tcPr>
          <w:p>
            <w:pPr>
              <w:spacing w:after="20"/>
              <w:jc w:val="right"/>
            </w:pPr>
            <w:r>
              <w:rPr>
                <w:color w:val="1C3A36"/>
                <w:sz w:val="17"/>
              </w:rPr>
              <w:t>5.04</w:t>
            </w:r>
          </w:p>
        </w:tc>
        <w:tc>
          <w:tcPr>
            <w:tcW w:type="dxa" w:w="1469"/>
          </w:tcPr>
          <w:p>
            <w:pPr>
              <w:spacing w:after="20"/>
              <w:jc w:val="right"/>
            </w:pPr>
            <w:r>
              <w:rPr>
                <w:color w:val="1C3A36"/>
                <w:sz w:val="17"/>
              </w:rPr>
              <w:t>5.35</w:t>
            </w:r>
          </w:p>
        </w:tc>
        <w:tc>
          <w:tcPr>
            <w:tcW w:type="dxa" w:w="1469"/>
          </w:tcPr>
          <w:p>
            <w:pPr>
              <w:spacing w:after="20"/>
              <w:jc w:val="right"/>
            </w:pPr>
            <w:r>
              <w:rPr>
                <w:color w:val="1C3A36"/>
                <w:sz w:val="17"/>
              </w:rPr>
              <w:t>5.71</w:t>
            </w:r>
          </w:p>
        </w:tc>
        <w:tc>
          <w:tcPr>
            <w:tcW w:type="dxa" w:w="1469"/>
          </w:tcPr>
          <w:p>
            <w:pPr>
              <w:spacing w:after="20"/>
              <w:jc w:val="right"/>
            </w:pPr>
            <w:r>
              <w:rPr>
                <w:color w:val="1C3A36"/>
                <w:sz w:val="17"/>
              </w:rPr>
              <w:t>6.16</w:t>
            </w:r>
          </w:p>
        </w:tc>
        <w:tc>
          <w:tcPr>
            <w:tcW w:type="dxa" w:w="1469"/>
          </w:tcPr>
          <w:p>
            <w:pPr>
              <w:spacing w:after="20"/>
              <w:jc w:val="right"/>
            </w:pPr>
            <w:r>
              <w:rPr>
                <w:color w:val="1C3A36"/>
                <w:sz w:val="17"/>
              </w:rPr>
              <w:t>6.73</w:t>
            </w:r>
          </w:p>
        </w:tc>
      </w:tr>
      <w:tr>
        <w:trPr>
          <w:cantSplit/>
        </w:trPr>
        <w:tc>
          <w:tcPr>
            <w:tcW w:type="dxa" w:w="2592"/>
          </w:tcPr>
          <w:p>
            <w:pPr>
              <w:spacing w:after="20"/>
            </w:pPr>
            <w:r>
              <w:rPr>
                <w:color w:val="1C3A36"/>
                <w:sz w:val="17"/>
              </w:rPr>
              <w:t>6.94%</w:t>
            </w:r>
          </w:p>
        </w:tc>
        <w:tc>
          <w:tcPr>
            <w:tcW w:type="dxa" w:w="1469"/>
          </w:tcPr>
          <w:p>
            <w:pPr>
              <w:spacing w:after="20"/>
              <w:jc w:val="right"/>
            </w:pPr>
            <w:r>
              <w:rPr>
                <w:color w:val="1C3A36"/>
                <w:sz w:val="17"/>
              </w:rPr>
              <w:t>4.66</w:t>
            </w:r>
          </w:p>
        </w:tc>
        <w:tc>
          <w:tcPr>
            <w:tcW w:type="dxa" w:w="1469"/>
          </w:tcPr>
          <w:p>
            <w:pPr>
              <w:spacing w:after="20"/>
              <w:jc w:val="right"/>
            </w:pPr>
            <w:r>
              <w:rPr>
                <w:color w:val="1C3A36"/>
                <w:sz w:val="17"/>
              </w:rPr>
              <w:t>4.91</w:t>
            </w:r>
          </w:p>
        </w:tc>
        <w:tc>
          <w:tcPr>
            <w:tcW w:type="dxa" w:w="1469"/>
          </w:tcPr>
          <w:p>
            <w:pPr>
              <w:spacing w:after="20"/>
              <w:jc w:val="right"/>
            </w:pPr>
            <w:r>
              <w:rPr>
                <w:color w:val="1C3A36"/>
                <w:sz w:val="17"/>
              </w:rPr>
              <w:t>5.21</w:t>
            </w:r>
          </w:p>
        </w:tc>
        <w:tc>
          <w:tcPr>
            <w:tcW w:type="dxa" w:w="1469"/>
          </w:tcPr>
          <w:p>
            <w:pPr>
              <w:spacing w:after="20"/>
              <w:jc w:val="right"/>
            </w:pPr>
            <w:r>
              <w:rPr>
                <w:color w:val="1C3A36"/>
                <w:sz w:val="17"/>
              </w:rPr>
              <w:t>5.56</w:t>
            </w:r>
          </w:p>
        </w:tc>
        <w:tc>
          <w:tcPr>
            <w:tcW w:type="dxa" w:w="1469"/>
          </w:tcPr>
          <w:p>
            <w:pPr>
              <w:spacing w:after="20"/>
              <w:jc w:val="right"/>
            </w:pPr>
            <w:r>
              <w:rPr>
                <w:color w:val="1C3A36"/>
                <w:sz w:val="17"/>
              </w:rPr>
              <w:t>6.00</w:t>
            </w:r>
          </w:p>
        </w:tc>
      </w:tr>
      <w:tr>
        <w:trPr>
          <w:cantSplit/>
        </w:trPr>
        <w:tc>
          <w:tcPr>
            <w:tcW w:type="dxa" w:w="2592"/>
          </w:tcPr>
          <w:p>
            <w:pPr>
              <w:spacing w:after="20"/>
            </w:pPr>
            <w:r>
              <w:rPr>
                <w:color w:val="1C3A36"/>
                <w:sz w:val="17"/>
              </w:rPr>
              <w:t>7.44%</w:t>
            </w:r>
          </w:p>
        </w:tc>
        <w:tc>
          <w:tcPr>
            <w:tcW w:type="dxa" w:w="1469"/>
          </w:tcPr>
          <w:p>
            <w:pPr>
              <w:spacing w:after="20"/>
              <w:jc w:val="right"/>
            </w:pPr>
            <w:r>
              <w:rPr>
                <w:color w:val="1C3A36"/>
                <w:sz w:val="17"/>
              </w:rPr>
              <w:t>4.33</w:t>
            </w:r>
          </w:p>
        </w:tc>
        <w:tc>
          <w:tcPr>
            <w:tcW w:type="dxa" w:w="1469"/>
          </w:tcPr>
          <w:p>
            <w:pPr>
              <w:spacing w:after="20"/>
              <w:jc w:val="right"/>
            </w:pPr>
            <w:r>
              <w:rPr>
                <w:color w:val="1C3A36"/>
                <w:sz w:val="17"/>
              </w:rPr>
              <w:t>4.54</w:t>
            </w:r>
          </w:p>
        </w:tc>
        <w:tc>
          <w:tcPr>
            <w:tcW w:type="dxa" w:w="1469"/>
          </w:tcPr>
          <w:p>
            <w:pPr>
              <w:spacing w:after="20"/>
              <w:jc w:val="right"/>
            </w:pPr>
            <w:r>
              <w:rPr>
                <w:color w:val="1C3A36"/>
                <w:sz w:val="17"/>
              </w:rPr>
              <w:t>4.78</w:t>
            </w:r>
          </w:p>
        </w:tc>
        <w:tc>
          <w:tcPr>
            <w:tcW w:type="dxa" w:w="1469"/>
          </w:tcPr>
          <w:p>
            <w:pPr>
              <w:spacing w:after="20"/>
              <w:jc w:val="right"/>
            </w:pPr>
            <w:r>
              <w:rPr>
                <w:color w:val="1C3A36"/>
                <w:sz w:val="17"/>
              </w:rPr>
              <w:t>5.07</w:t>
            </w:r>
          </w:p>
        </w:tc>
        <w:tc>
          <w:tcPr>
            <w:tcW w:type="dxa" w:w="1469"/>
          </w:tcPr>
          <w:p>
            <w:pPr>
              <w:spacing w:after="20"/>
              <w:jc w:val="right"/>
            </w:pPr>
            <w:r>
              <w:rPr>
                <w:color w:val="1C3A36"/>
                <w:sz w:val="17"/>
              </w:rPr>
              <w:t>5.41</w:t>
            </w:r>
          </w:p>
        </w:tc>
      </w:tr>
      <w:tr>
        <w:trPr>
          <w:cantSplit/>
        </w:trPr>
        <w:tc>
          <w:tcPr>
            <w:tcW w:type="dxa" w:w="2592"/>
          </w:tcPr>
          <w:p>
            <w:pPr>
              <w:spacing w:after="20"/>
            </w:pPr>
            <w:r>
              <w:rPr>
                <w:color w:val="1C3A36"/>
                <w:sz w:val="17"/>
              </w:rPr>
              <w:t>7.94%</w:t>
            </w:r>
          </w:p>
        </w:tc>
        <w:tc>
          <w:tcPr>
            <w:tcW w:type="dxa" w:w="1469"/>
          </w:tcPr>
          <w:p>
            <w:pPr>
              <w:spacing w:after="20"/>
              <w:jc w:val="right"/>
            </w:pPr>
            <w:r>
              <w:rPr>
                <w:color w:val="1C3A36"/>
                <w:sz w:val="17"/>
              </w:rPr>
              <w:t>4.05</w:t>
            </w:r>
          </w:p>
        </w:tc>
        <w:tc>
          <w:tcPr>
            <w:tcW w:type="dxa" w:w="1469"/>
          </w:tcPr>
          <w:p>
            <w:pPr>
              <w:spacing w:after="20"/>
              <w:jc w:val="right"/>
            </w:pPr>
            <w:r>
              <w:rPr>
                <w:color w:val="1C3A36"/>
                <w:sz w:val="17"/>
              </w:rPr>
              <w:t>4.23</w:t>
            </w:r>
          </w:p>
        </w:tc>
        <w:tc>
          <w:tcPr>
            <w:tcW w:type="dxa" w:w="1469"/>
          </w:tcPr>
          <w:p>
            <w:pPr>
              <w:spacing w:after="20"/>
              <w:jc w:val="right"/>
            </w:pPr>
            <w:r>
              <w:rPr>
                <w:color w:val="1C3A36"/>
                <w:sz w:val="17"/>
              </w:rPr>
              <w:t>4.43</w:t>
            </w:r>
          </w:p>
        </w:tc>
        <w:tc>
          <w:tcPr>
            <w:tcW w:type="dxa" w:w="1469"/>
          </w:tcPr>
          <w:p>
            <w:pPr>
              <w:spacing w:after="20"/>
              <w:jc w:val="right"/>
            </w:pPr>
            <w:r>
              <w:rPr>
                <w:color w:val="1C3A36"/>
                <w:sz w:val="17"/>
              </w:rPr>
              <w:t>4.66</w:t>
            </w:r>
          </w:p>
        </w:tc>
        <w:tc>
          <w:tcPr>
            <w:tcW w:type="dxa" w:w="1469"/>
          </w:tcPr>
          <w:p>
            <w:pPr>
              <w:spacing w:after="20"/>
              <w:jc w:val="right"/>
            </w:pPr>
            <w:r>
              <w:rPr>
                <w:color w:val="1C3A36"/>
                <w:sz w:val="17"/>
              </w:rPr>
              <w:t>4.94</w:t>
            </w:r>
          </w:p>
        </w:tc>
      </w:tr>
      <w:tr>
        <w:trPr>
          <w:cantSplit/>
        </w:trPr>
        <w:tc>
          <w:tcPr>
            <w:tcW w:type="dxa" w:w="2592"/>
          </w:tcPr>
          <w:p>
            <w:pPr>
              <w:spacing w:after="20"/>
            </w:pPr>
            <w:r>
              <w:rPr>
                <w:color w:val="1C3A36"/>
                <w:sz w:val="17"/>
              </w:rPr>
              <w:t>8.44%</w:t>
            </w:r>
          </w:p>
        </w:tc>
        <w:tc>
          <w:tcPr>
            <w:tcW w:type="dxa" w:w="1469"/>
          </w:tcPr>
          <w:p>
            <w:pPr>
              <w:spacing w:after="20"/>
              <w:jc w:val="right"/>
            </w:pPr>
            <w:r>
              <w:rPr>
                <w:color w:val="1C3A36"/>
                <w:sz w:val="17"/>
              </w:rPr>
              <w:t>3.81</w:t>
            </w:r>
          </w:p>
        </w:tc>
        <w:tc>
          <w:tcPr>
            <w:tcW w:type="dxa" w:w="1469"/>
          </w:tcPr>
          <w:p>
            <w:pPr>
              <w:spacing w:after="20"/>
              <w:jc w:val="right"/>
            </w:pPr>
            <w:r>
              <w:rPr>
                <w:color w:val="1C3A36"/>
                <w:sz w:val="17"/>
              </w:rPr>
              <w:t>3.95</w:t>
            </w:r>
          </w:p>
        </w:tc>
        <w:tc>
          <w:tcPr>
            <w:tcW w:type="dxa" w:w="1469"/>
          </w:tcPr>
          <w:p>
            <w:pPr>
              <w:spacing w:after="20"/>
              <w:jc w:val="right"/>
            </w:pPr>
            <w:r>
              <w:rPr>
                <w:color w:val="1C3A36"/>
                <w:sz w:val="17"/>
              </w:rPr>
              <w:t>4.12</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3.81 to AED 6.73 — and the WHOLE of it is published, including the corner that sits below the traded price. The model's own combination, 7.44%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4.78</w:t>
            </w:r>
          </w:p>
        </w:tc>
        <w:tc>
          <w:tcPr>
            <w:tcW w:type="dxa" w:w="2736"/>
          </w:tcPr>
          <w:p>
            <w:pPr>
              <w:spacing w:after="20"/>
              <w:jc w:val="right"/>
            </w:pPr>
            <w:r>
              <w:rPr>
                <w:color w:val="1C3A36"/>
                <w:sz w:val="16"/>
              </w:rPr>
              <w:t>the terminal discount rate and growth — 74.9%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5.10</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4.01</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4.95</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3.36</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2.71</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2.71, AED 1.36 below the traded price of AED 4.07. The cash-flow model lands at AED 4.78, AED 0.71 above it. The traded price sits between them, and the gap between those two readings — AED 2.08 a share —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4,368 million to AED 4,228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4.01 sits ABOVE the Frame A cash-flow reading despite crediting no growth whatever, because it capitalises at today's 7.44% instead of gliding to 7.44%. The relative reading at AED 4.95 and the book reading at AED 3.36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74.9%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3.81 to AED 6.73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0.65 with an r-squared of 17.9% produces a cost of equity of 7.60%. The 90% interval on that regression runs 0.51 to 0.79</w:t>
            </w:r>
          </w:p>
        </w:tc>
        <w:tc>
          <w:tcPr>
            <w:tcW w:type="dxa" w:w="3672"/>
          </w:tcPr>
          <w:p>
            <w:pPr>
              <w:spacing w:after="20"/>
              <w:jc w:val="right"/>
            </w:pPr>
            <w:r>
              <w:rPr>
                <w:color w:val="1C3A36"/>
                <w:sz w:val="16"/>
              </w:rPr>
              <w:t>a beta at the top of its own confidence interval. The model already glides to 0.65 in the terminal; at 0.80 throughout, the value is AED 4.25</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43,836</w:t>
            </w:r>
          </w:p>
        </w:tc>
        <w:tc>
          <w:tcPr>
            <w:tcW w:type="dxa" w:w="1037"/>
          </w:tcPr>
          <w:p>
            <w:pPr>
              <w:spacing w:after="20"/>
              <w:jc w:val="right"/>
            </w:pPr>
            <w:r>
              <w:rPr>
                <w:color w:val="1C3A36"/>
                <w:sz w:val="16"/>
              </w:rPr>
              <w:t>43,215</w:t>
            </w:r>
          </w:p>
        </w:tc>
        <w:tc>
          <w:tcPr>
            <w:tcW w:type="dxa" w:w="1037"/>
          </w:tcPr>
          <w:p>
            <w:pPr>
              <w:spacing w:after="20"/>
              <w:jc w:val="right"/>
            </w:pPr>
            <w:r>
              <w:rPr>
                <w:color w:val="1C3A36"/>
                <w:sz w:val="16"/>
              </w:rPr>
              <w:t>44,450</w:t>
            </w:r>
          </w:p>
        </w:tc>
        <w:tc>
          <w:tcPr>
            <w:tcW w:type="dxa" w:w="1037"/>
          </w:tcPr>
          <w:p>
            <w:pPr>
              <w:spacing w:after="20"/>
              <w:jc w:val="right"/>
            </w:pPr>
            <w:r>
              <w:rPr>
                <w:color w:val="1C3A36"/>
                <w:sz w:val="16"/>
              </w:rPr>
              <w:t>45,876</w:t>
            </w:r>
          </w:p>
        </w:tc>
        <w:tc>
          <w:tcPr>
            <w:tcW w:type="dxa" w:w="1037"/>
          </w:tcPr>
          <w:p>
            <w:pPr>
              <w:spacing w:after="20"/>
              <w:jc w:val="right"/>
            </w:pPr>
            <w:r>
              <w:rPr>
                <w:color w:val="1C3A36"/>
                <w:sz w:val="16"/>
              </w:rPr>
              <w:t>47,321</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35,589</w:t>
            </w:r>
          </w:p>
        </w:tc>
        <w:tc>
          <w:tcPr>
            <w:tcW w:type="dxa" w:w="1037"/>
          </w:tcPr>
          <w:p>
            <w:pPr>
              <w:spacing w:after="20"/>
              <w:jc w:val="right"/>
            </w:pPr>
            <w:r>
              <w:rPr>
                <w:color w:val="1C3A36"/>
                <w:sz w:val="16"/>
              </w:rPr>
              <w:t>35,446</w:t>
            </w:r>
          </w:p>
        </w:tc>
        <w:tc>
          <w:tcPr>
            <w:tcW w:type="dxa" w:w="1037"/>
          </w:tcPr>
          <w:p>
            <w:pPr>
              <w:spacing w:after="20"/>
              <w:jc w:val="right"/>
            </w:pPr>
            <w:r>
              <w:rPr>
                <w:color w:val="1C3A36"/>
                <w:sz w:val="16"/>
              </w:rPr>
              <w:t>36,375</w:t>
            </w:r>
          </w:p>
        </w:tc>
        <w:tc>
          <w:tcPr>
            <w:tcW w:type="dxa" w:w="1037"/>
          </w:tcPr>
          <w:p>
            <w:pPr>
              <w:spacing w:after="20"/>
              <w:jc w:val="right"/>
            </w:pPr>
            <w:r>
              <w:rPr>
                <w:color w:val="1C3A36"/>
                <w:sz w:val="16"/>
              </w:rPr>
              <w:t>37,455</w:t>
            </w:r>
          </w:p>
        </w:tc>
        <w:tc>
          <w:tcPr>
            <w:tcW w:type="dxa" w:w="1037"/>
          </w:tcPr>
          <w:p>
            <w:pPr>
              <w:spacing w:after="20"/>
              <w:jc w:val="right"/>
            </w:pPr>
            <w:r>
              <w:rPr>
                <w:color w:val="1C3A36"/>
                <w:sz w:val="16"/>
              </w:rPr>
              <w:t>38,544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8,247</w:t>
            </w:r>
          </w:p>
        </w:tc>
        <w:tc>
          <w:tcPr>
            <w:tcW w:type="dxa" w:w="1037"/>
            <w:shd w:val="clear" w:color="auto" w:fill="F6F1E6"/>
          </w:tcPr>
          <w:p>
            <w:pPr>
              <w:spacing w:after="20"/>
              <w:jc w:val="right"/>
            </w:pPr>
            <w:r>
              <w:rPr>
                <w:b/>
                <w:color w:val="1C3A36"/>
                <w:sz w:val="16"/>
              </w:rPr>
              <w:t>7,769</w:t>
            </w:r>
          </w:p>
        </w:tc>
        <w:tc>
          <w:tcPr>
            <w:tcW w:type="dxa" w:w="1037"/>
            <w:shd w:val="clear" w:color="auto" w:fill="F6F1E6"/>
          </w:tcPr>
          <w:p>
            <w:pPr>
              <w:spacing w:after="20"/>
              <w:jc w:val="right"/>
            </w:pPr>
            <w:r>
              <w:rPr>
                <w:b/>
                <w:color w:val="1C3A36"/>
                <w:sz w:val="16"/>
              </w:rPr>
              <w:t>8,076</w:t>
            </w:r>
          </w:p>
        </w:tc>
        <w:tc>
          <w:tcPr>
            <w:tcW w:type="dxa" w:w="1037"/>
            <w:shd w:val="clear" w:color="auto" w:fill="F6F1E6"/>
          </w:tcPr>
          <w:p>
            <w:pPr>
              <w:spacing w:after="20"/>
              <w:jc w:val="right"/>
            </w:pPr>
            <w:r>
              <w:rPr>
                <w:b/>
                <w:color w:val="1C3A36"/>
                <w:sz w:val="16"/>
              </w:rPr>
              <w:t>8,421</w:t>
            </w:r>
          </w:p>
        </w:tc>
        <w:tc>
          <w:tcPr>
            <w:tcW w:type="dxa" w:w="1037"/>
            <w:shd w:val="clear" w:color="auto" w:fill="F6F1E6"/>
          </w:tcPr>
          <w:p>
            <w:pPr>
              <w:spacing w:after="20"/>
              <w:jc w:val="right"/>
            </w:pPr>
            <w:r>
              <w:rPr>
                <w:b/>
                <w:color w:val="1C3A36"/>
                <w:sz w:val="16"/>
              </w:rPr>
              <w:t>8,777</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18.8%</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18.4%</w:t>
            </w:r>
          </w:p>
        </w:tc>
        <w:tc>
          <w:tcPr>
            <w:tcW w:type="dxa" w:w="1037"/>
          </w:tcPr>
          <w:p>
            <w:pPr>
              <w:spacing w:after="20"/>
              <w:jc w:val="right"/>
            </w:pPr>
            <w:r>
              <w:rPr>
                <w:color w:val="1C3A36"/>
                <w:sz w:val="16"/>
              </w:rPr>
              <w:t>18.5%</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5,410</w:t>
            </w:r>
          </w:p>
        </w:tc>
        <w:tc>
          <w:tcPr>
            <w:tcW w:type="dxa" w:w="1037"/>
            <w:shd w:val="clear" w:color="auto" w:fill="F6F1E6"/>
          </w:tcPr>
          <w:p>
            <w:pPr>
              <w:spacing w:after="20"/>
              <w:jc w:val="right"/>
            </w:pPr>
            <w:r>
              <w:rPr>
                <w:b/>
                <w:color w:val="1C3A36"/>
                <w:sz w:val="16"/>
              </w:rPr>
              <w:t>4,972</w:t>
            </w:r>
          </w:p>
        </w:tc>
        <w:tc>
          <w:tcPr>
            <w:tcW w:type="dxa" w:w="1037"/>
            <w:shd w:val="clear" w:color="auto" w:fill="F6F1E6"/>
          </w:tcPr>
          <w:p>
            <w:pPr>
              <w:spacing w:after="20"/>
              <w:jc w:val="right"/>
            </w:pPr>
            <w:r>
              <w:rPr>
                <w:b/>
                <w:color w:val="1C3A36"/>
                <w:sz w:val="16"/>
              </w:rPr>
              <w:t>5,168</w:t>
            </w:r>
          </w:p>
        </w:tc>
        <w:tc>
          <w:tcPr>
            <w:tcW w:type="dxa" w:w="1037"/>
            <w:shd w:val="clear" w:color="auto" w:fill="F6F1E6"/>
          </w:tcPr>
          <w:p>
            <w:pPr>
              <w:spacing w:after="20"/>
              <w:jc w:val="right"/>
            </w:pPr>
            <w:r>
              <w:rPr>
                <w:b/>
                <w:color w:val="1C3A36"/>
                <w:sz w:val="16"/>
              </w:rPr>
              <w:t>5,399</w:t>
            </w:r>
          </w:p>
        </w:tc>
        <w:tc>
          <w:tcPr>
            <w:tcW w:type="dxa" w:w="1037"/>
            <w:shd w:val="clear" w:color="auto" w:fill="F6F1E6"/>
          </w:tcPr>
          <w:p>
            <w:pPr>
              <w:spacing w:after="20"/>
              <w:jc w:val="right"/>
            </w:pPr>
            <w:r>
              <w:rPr>
                <w:b/>
                <w:color w:val="1C3A36"/>
                <w:sz w:val="16"/>
              </w:rPr>
              <w:t>5,637</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12.3%</w:t>
            </w:r>
          </w:p>
        </w:tc>
        <w:tc>
          <w:tcPr>
            <w:tcW w:type="dxa" w:w="1037"/>
          </w:tcPr>
          <w:p>
            <w:pPr>
              <w:spacing w:after="20"/>
              <w:jc w:val="right"/>
            </w:pPr>
            <w:r>
              <w:rPr>
                <w:color w:val="1C3A36"/>
                <w:sz w:val="16"/>
              </w:rPr>
              <w:t>11.5%</w:t>
            </w:r>
          </w:p>
        </w:tc>
        <w:tc>
          <w:tcPr>
            <w:tcW w:type="dxa" w:w="1037"/>
          </w:tcPr>
          <w:p>
            <w:pPr>
              <w:spacing w:after="20"/>
              <w:jc w:val="right"/>
            </w:pPr>
            <w:r>
              <w:rPr>
                <w:color w:val="1C3A36"/>
                <w:sz w:val="16"/>
              </w:rPr>
              <w:t>11.6%</w:t>
            </w:r>
          </w:p>
        </w:tc>
        <w:tc>
          <w:tcPr>
            <w:tcW w:type="dxa" w:w="1037"/>
          </w:tcPr>
          <w:p>
            <w:pPr>
              <w:spacing w:after="20"/>
              <w:jc w:val="right"/>
            </w:pPr>
            <w:r>
              <w:rPr>
                <w:color w:val="1C3A36"/>
                <w:sz w:val="16"/>
              </w:rPr>
              <w:t>11.8%</w:t>
            </w:r>
          </w:p>
        </w:tc>
        <w:tc>
          <w:tcPr>
            <w:tcW w:type="dxa" w:w="1037"/>
          </w:tcPr>
          <w:p>
            <w:pPr>
              <w:spacing w:after="20"/>
              <w:jc w:val="right"/>
            </w:pPr>
            <w:r>
              <w:rPr>
                <w:color w:val="1C3A36"/>
                <w:sz w:val="16"/>
              </w:rPr>
              <w:t>11.9%</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792</w:t>
            </w:r>
          </w:p>
        </w:tc>
        <w:tc>
          <w:tcPr>
            <w:tcW w:type="dxa" w:w="1037"/>
          </w:tcPr>
          <w:p>
            <w:pPr>
              <w:spacing w:after="20"/>
              <w:jc w:val="right"/>
            </w:pPr>
            <w:r>
              <w:rPr>
                <w:color w:val="1C3A36"/>
                <w:sz w:val="16"/>
              </w:rPr>
              <w:t>811</w:t>
            </w:r>
          </w:p>
        </w:tc>
        <w:tc>
          <w:tcPr>
            <w:tcW w:type="dxa" w:w="1037"/>
          </w:tcPr>
          <w:p>
            <w:pPr>
              <w:spacing w:after="20"/>
              <w:jc w:val="right"/>
            </w:pPr>
            <w:r>
              <w:rPr>
                <w:color w:val="1C3A36"/>
                <w:sz w:val="16"/>
              </w:rPr>
              <w:t>825</w:t>
            </w:r>
          </w:p>
        </w:tc>
        <w:tc>
          <w:tcPr>
            <w:tcW w:type="dxa" w:w="1037"/>
          </w:tcPr>
          <w:p>
            <w:pPr>
              <w:spacing w:after="20"/>
              <w:jc w:val="right"/>
            </w:pPr>
            <w:r>
              <w:rPr>
                <w:color w:val="1C3A36"/>
                <w:sz w:val="16"/>
              </w:rPr>
              <w:t>839</w:t>
            </w:r>
          </w:p>
        </w:tc>
        <w:tc>
          <w:tcPr>
            <w:tcW w:type="dxa" w:w="1037"/>
          </w:tcPr>
          <w:p>
            <w:pPr>
              <w:spacing w:after="20"/>
              <w:jc w:val="right"/>
            </w:pPr>
            <w:r>
              <w:rPr>
                <w:color w:val="1C3A36"/>
                <w:sz w:val="16"/>
              </w:rPr>
              <w:t>851</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4,618</w:t>
            </w:r>
          </w:p>
        </w:tc>
        <w:tc>
          <w:tcPr>
            <w:tcW w:type="dxa" w:w="1037"/>
            <w:shd w:val="clear" w:color="auto" w:fill="F6F1E6"/>
          </w:tcPr>
          <w:p>
            <w:pPr>
              <w:spacing w:after="20"/>
              <w:jc w:val="right"/>
            </w:pPr>
            <w:r>
              <w:rPr>
                <w:b/>
                <w:color w:val="1C3A36"/>
                <w:sz w:val="16"/>
              </w:rPr>
              <w:t>4,161</w:t>
            </w:r>
          </w:p>
        </w:tc>
        <w:tc>
          <w:tcPr>
            <w:tcW w:type="dxa" w:w="1037"/>
            <w:shd w:val="clear" w:color="auto" w:fill="F6F1E6"/>
          </w:tcPr>
          <w:p>
            <w:pPr>
              <w:spacing w:after="20"/>
              <w:jc w:val="right"/>
            </w:pPr>
            <w:r>
              <w:rPr>
                <w:b/>
                <w:color w:val="1C3A36"/>
                <w:sz w:val="16"/>
              </w:rPr>
              <w:t>4,343</w:t>
            </w:r>
          </w:p>
        </w:tc>
        <w:tc>
          <w:tcPr>
            <w:tcW w:type="dxa" w:w="1037"/>
            <w:shd w:val="clear" w:color="auto" w:fill="F6F1E6"/>
          </w:tcPr>
          <w:p>
            <w:pPr>
              <w:spacing w:after="20"/>
              <w:jc w:val="right"/>
            </w:pPr>
            <w:r>
              <w:rPr>
                <w:b/>
                <w:color w:val="1C3A36"/>
                <w:sz w:val="16"/>
              </w:rPr>
              <w:t>4,560</w:t>
            </w:r>
          </w:p>
        </w:tc>
        <w:tc>
          <w:tcPr>
            <w:tcW w:type="dxa" w:w="1037"/>
            <w:shd w:val="clear" w:color="auto" w:fill="F6F1E6"/>
          </w:tcPr>
          <w:p>
            <w:pPr>
              <w:spacing w:after="20"/>
              <w:jc w:val="right"/>
            </w:pPr>
            <w:r>
              <w:rPr>
                <w:b/>
                <w:color w:val="1C3A36"/>
                <w:sz w:val="16"/>
              </w:rPr>
              <w:t>4,786</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4,286</w:t>
            </w:r>
          </w:p>
        </w:tc>
        <w:tc>
          <w:tcPr>
            <w:tcW w:type="dxa" w:w="1037"/>
          </w:tcPr>
          <w:p>
            <w:pPr>
              <w:spacing w:after="20"/>
              <w:jc w:val="right"/>
            </w:pPr>
            <w:r>
              <w:rPr>
                <w:color w:val="1C3A36"/>
                <w:sz w:val="16"/>
              </w:rPr>
              <w:t>3,829</w:t>
            </w:r>
          </w:p>
        </w:tc>
        <w:tc>
          <w:tcPr>
            <w:tcW w:type="dxa" w:w="1037"/>
          </w:tcPr>
          <w:p>
            <w:pPr>
              <w:spacing w:after="20"/>
              <w:jc w:val="right"/>
            </w:pPr>
            <w:r>
              <w:rPr>
                <w:color w:val="1C3A36"/>
                <w:sz w:val="16"/>
              </w:rPr>
              <w:t>4,011</w:t>
            </w:r>
          </w:p>
        </w:tc>
        <w:tc>
          <w:tcPr>
            <w:tcW w:type="dxa" w:w="1037"/>
          </w:tcPr>
          <w:p>
            <w:pPr>
              <w:spacing w:after="20"/>
              <w:jc w:val="right"/>
            </w:pPr>
            <w:r>
              <w:rPr>
                <w:color w:val="1C3A36"/>
                <w:sz w:val="16"/>
              </w:rPr>
              <w:t>4,229</w:t>
            </w:r>
          </w:p>
        </w:tc>
        <w:tc>
          <w:tcPr>
            <w:tcW w:type="dxa" w:w="1037"/>
          </w:tcPr>
          <w:p>
            <w:pPr>
              <w:spacing w:after="20"/>
              <w:jc w:val="right"/>
            </w:pPr>
            <w:r>
              <w:rPr>
                <w:color w:val="1C3A36"/>
                <w:sz w:val="16"/>
              </w:rPr>
              <w:t>4,454</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436</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408</w:t>
            </w:r>
          </w:p>
        </w:tc>
        <w:tc>
          <w:tcPr>
            <w:tcW w:type="dxa" w:w="1037"/>
          </w:tcPr>
          <w:p>
            <w:pPr>
              <w:spacing w:after="20"/>
              <w:jc w:val="right"/>
            </w:pPr>
            <w:r>
              <w:rPr>
                <w:color w:val="1C3A36"/>
                <w:sz w:val="16"/>
              </w:rPr>
              <w:t>430</w:t>
            </w:r>
          </w:p>
        </w:tc>
        <w:tc>
          <w:tcPr>
            <w:tcW w:type="dxa" w:w="1037"/>
          </w:tcPr>
          <w:p>
            <w:pPr>
              <w:spacing w:after="20"/>
              <w:jc w:val="right"/>
            </w:pPr>
            <w:r>
              <w:rPr>
                <w:color w:val="1C3A36"/>
                <w:sz w:val="16"/>
              </w:rPr>
              <w:t>453</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3,850</w:t>
            </w:r>
          </w:p>
        </w:tc>
        <w:tc>
          <w:tcPr>
            <w:tcW w:type="dxa" w:w="1037"/>
          </w:tcPr>
          <w:p>
            <w:pPr>
              <w:spacing w:after="20"/>
              <w:jc w:val="right"/>
            </w:pPr>
            <w:r>
              <w:rPr>
                <w:color w:val="1C3A36"/>
                <w:sz w:val="16"/>
              </w:rPr>
              <w:t>3,440</w:t>
            </w:r>
          </w:p>
        </w:tc>
        <w:tc>
          <w:tcPr>
            <w:tcW w:type="dxa" w:w="1037"/>
          </w:tcPr>
          <w:p>
            <w:pPr>
              <w:spacing w:after="20"/>
              <w:jc w:val="right"/>
            </w:pPr>
            <w:r>
              <w:rPr>
                <w:color w:val="1C3A36"/>
                <w:sz w:val="16"/>
              </w:rPr>
              <w:t>3,603</w:t>
            </w:r>
          </w:p>
        </w:tc>
        <w:tc>
          <w:tcPr>
            <w:tcW w:type="dxa" w:w="1037"/>
          </w:tcPr>
          <w:p>
            <w:pPr>
              <w:spacing w:after="20"/>
              <w:jc w:val="right"/>
            </w:pPr>
            <w:r>
              <w:rPr>
                <w:color w:val="1C3A36"/>
                <w:sz w:val="16"/>
              </w:rPr>
              <w:t>3,799</w:t>
            </w:r>
          </w:p>
        </w:tc>
        <w:tc>
          <w:tcPr>
            <w:tcW w:type="dxa" w:w="1037"/>
          </w:tcPr>
          <w:p>
            <w:pPr>
              <w:spacing w:after="20"/>
              <w:jc w:val="right"/>
            </w:pPr>
            <w:r>
              <w:rPr>
                <w:color w:val="1C3A36"/>
                <w:sz w:val="16"/>
              </w:rPr>
              <w:t>4,001</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3,793</w:t>
            </w:r>
          </w:p>
        </w:tc>
        <w:tc>
          <w:tcPr>
            <w:tcW w:type="dxa" w:w="1037"/>
            <w:shd w:val="clear" w:color="auto" w:fill="F6F1E6"/>
          </w:tcPr>
          <w:p>
            <w:pPr>
              <w:spacing w:after="20"/>
              <w:jc w:val="right"/>
            </w:pPr>
            <w:r>
              <w:rPr>
                <w:b/>
                <w:color w:val="1C3A36"/>
                <w:sz w:val="16"/>
              </w:rPr>
              <w:t>3,383</w:t>
            </w:r>
          </w:p>
        </w:tc>
        <w:tc>
          <w:tcPr>
            <w:tcW w:type="dxa" w:w="1037"/>
            <w:shd w:val="clear" w:color="auto" w:fill="F6F1E6"/>
          </w:tcPr>
          <w:p>
            <w:pPr>
              <w:spacing w:after="20"/>
              <w:jc w:val="right"/>
            </w:pPr>
            <w:r>
              <w:rPr>
                <w:b/>
                <w:color w:val="1C3A36"/>
                <w:sz w:val="16"/>
              </w:rPr>
              <w:t>3,546</w:t>
            </w:r>
          </w:p>
        </w:tc>
        <w:tc>
          <w:tcPr>
            <w:tcW w:type="dxa" w:w="1037"/>
            <w:shd w:val="clear" w:color="auto" w:fill="F6F1E6"/>
          </w:tcPr>
          <w:p>
            <w:pPr>
              <w:spacing w:after="20"/>
              <w:jc w:val="right"/>
            </w:pPr>
            <w:r>
              <w:rPr>
                <w:b/>
                <w:color w:val="1C3A36"/>
                <w:sz w:val="16"/>
              </w:rPr>
              <w:t>3,741</w:t>
            </w:r>
          </w:p>
        </w:tc>
        <w:tc>
          <w:tcPr>
            <w:tcW w:type="dxa" w:w="1037"/>
            <w:shd w:val="clear" w:color="auto" w:fill="F6F1E6"/>
          </w:tcPr>
          <w:p>
            <w:pPr>
              <w:spacing w:after="20"/>
              <w:jc w:val="right"/>
            </w:pPr>
            <w:r>
              <w:rPr>
                <w:b/>
                <w:color w:val="1C3A36"/>
                <w:sz w:val="16"/>
              </w:rPr>
              <w:t>3,944</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0.30</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c>
          <w:tcPr>
            <w:tcW w:type="dxa" w:w="1037"/>
          </w:tcPr>
          <w:p>
            <w:pPr>
              <w:spacing w:after="20"/>
              <w:jc w:val="right"/>
            </w:pPr>
            <w:r>
              <w:rPr>
                <w:color w:val="1C3A36"/>
                <w:sz w:val="16"/>
              </w:rPr>
              <w:t>0.32</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10,369</w:t>
            </w:r>
          </w:p>
        </w:tc>
        <w:tc>
          <w:tcPr>
            <w:tcW w:type="dxa" w:w="1037"/>
          </w:tcPr>
          <w:p>
            <w:pPr>
              <w:spacing w:after="20"/>
              <w:jc w:val="right"/>
            </w:pPr>
            <w:r>
              <w:rPr>
                <w:color w:val="1C3A36"/>
                <w:sz w:val="16"/>
              </w:rPr>
              <w:t>10,542</w:t>
            </w:r>
          </w:p>
        </w:tc>
        <w:tc>
          <w:tcPr>
            <w:tcW w:type="dxa" w:w="1037"/>
          </w:tcPr>
          <w:p>
            <w:pPr>
              <w:spacing w:after="20"/>
              <w:jc w:val="right"/>
            </w:pPr>
            <w:r>
              <w:rPr>
                <w:color w:val="1C3A36"/>
                <w:sz w:val="16"/>
              </w:rPr>
              <w:t>10,703</w:t>
            </w:r>
          </w:p>
        </w:tc>
        <w:tc>
          <w:tcPr>
            <w:tcW w:type="dxa" w:w="1037"/>
          </w:tcPr>
          <w:p>
            <w:pPr>
              <w:spacing w:after="20"/>
              <w:jc w:val="right"/>
            </w:pPr>
            <w:r>
              <w:rPr>
                <w:color w:val="1C3A36"/>
                <w:sz w:val="16"/>
              </w:rPr>
              <w:t>10,849</w:t>
            </w:r>
          </w:p>
        </w:tc>
        <w:tc>
          <w:tcPr>
            <w:tcW w:type="dxa" w:w="1037"/>
          </w:tcPr>
          <w:p>
            <w:pPr>
              <w:spacing w:after="20"/>
              <w:jc w:val="right"/>
            </w:pPr>
            <w:r>
              <w:rPr>
                <w:color w:val="1C3A36"/>
                <w:sz w:val="16"/>
              </w:rPr>
              <w:t>10,979</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1,935</w:t>
            </w:r>
          </w:p>
        </w:tc>
        <w:tc>
          <w:tcPr>
            <w:tcW w:type="dxa" w:w="1037"/>
          </w:tcPr>
          <w:p>
            <w:pPr>
              <w:spacing w:after="20"/>
              <w:jc w:val="right"/>
            </w:pPr>
            <w:r>
              <w:rPr>
                <w:color w:val="1C3A36"/>
                <w:sz w:val="16"/>
              </w:rPr>
              <w:t>1,927</w:t>
            </w:r>
          </w:p>
        </w:tc>
        <w:tc>
          <w:tcPr>
            <w:tcW w:type="dxa" w:w="1037"/>
          </w:tcPr>
          <w:p>
            <w:pPr>
              <w:spacing w:after="20"/>
              <w:jc w:val="right"/>
            </w:pPr>
            <w:r>
              <w:rPr>
                <w:color w:val="1C3A36"/>
                <w:sz w:val="16"/>
              </w:rPr>
              <w:t>1,978</w:t>
            </w:r>
          </w:p>
        </w:tc>
        <w:tc>
          <w:tcPr>
            <w:tcW w:type="dxa" w:w="1037"/>
          </w:tcPr>
          <w:p>
            <w:pPr>
              <w:spacing w:after="20"/>
              <w:jc w:val="right"/>
            </w:pPr>
            <w:r>
              <w:rPr>
                <w:color w:val="1C3A36"/>
                <w:sz w:val="16"/>
              </w:rPr>
              <w:t>2,037</w:t>
            </w:r>
          </w:p>
        </w:tc>
        <w:tc>
          <w:tcPr>
            <w:tcW w:type="dxa" w:w="1037"/>
          </w:tcPr>
          <w:p>
            <w:pPr>
              <w:spacing w:after="20"/>
              <w:jc w:val="right"/>
            </w:pPr>
            <w:r>
              <w:rPr>
                <w:color w:val="1C3A36"/>
                <w:sz w:val="16"/>
              </w:rPr>
              <w:t>2,096</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4,141</w:t>
            </w:r>
          </w:p>
        </w:tc>
        <w:tc>
          <w:tcPr>
            <w:tcW w:type="dxa" w:w="1037"/>
          </w:tcPr>
          <w:p>
            <w:pPr>
              <w:spacing w:after="20"/>
              <w:jc w:val="right"/>
            </w:pPr>
            <w:r>
              <w:rPr>
                <w:color w:val="1C3A36"/>
                <w:sz w:val="16"/>
              </w:rPr>
              <w:t>4,082</w:t>
            </w:r>
          </w:p>
        </w:tc>
        <w:tc>
          <w:tcPr>
            <w:tcW w:type="dxa" w:w="1037"/>
          </w:tcPr>
          <w:p>
            <w:pPr>
              <w:spacing w:after="20"/>
              <w:jc w:val="right"/>
            </w:pPr>
            <w:r>
              <w:rPr>
                <w:color w:val="1C3A36"/>
                <w:sz w:val="16"/>
              </w:rPr>
              <w:t>4,199</w:t>
            </w:r>
          </w:p>
        </w:tc>
        <w:tc>
          <w:tcPr>
            <w:tcW w:type="dxa" w:w="1037"/>
          </w:tcPr>
          <w:p>
            <w:pPr>
              <w:spacing w:after="20"/>
              <w:jc w:val="right"/>
            </w:pPr>
            <w:r>
              <w:rPr>
                <w:color w:val="1C3A36"/>
                <w:sz w:val="16"/>
              </w:rPr>
              <w:t>4,334</w:t>
            </w:r>
          </w:p>
        </w:tc>
        <w:tc>
          <w:tcPr>
            <w:tcW w:type="dxa" w:w="1037"/>
          </w:tcPr>
          <w:p>
            <w:pPr>
              <w:spacing w:after="20"/>
              <w:jc w:val="right"/>
            </w:pPr>
            <w:r>
              <w:rPr>
                <w:color w:val="1C3A36"/>
                <w:sz w:val="16"/>
              </w:rPr>
              <w:t>4,470</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4,003</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5,538</w:t>
            </w:r>
          </w:p>
        </w:tc>
        <w:tc>
          <w:tcPr>
            <w:tcW w:type="dxa" w:w="1037"/>
          </w:tcPr>
          <w:p>
            <w:pPr>
              <w:spacing w:after="20"/>
              <w:jc w:val="right"/>
            </w:pPr>
            <w:r>
              <w:rPr>
                <w:color w:val="1C3A36"/>
                <w:sz w:val="16"/>
              </w:rPr>
              <w:t>6,621</w:t>
            </w:r>
          </w:p>
        </w:tc>
        <w:tc>
          <w:tcPr>
            <w:tcW w:type="dxa" w:w="1037"/>
          </w:tcPr>
          <w:p>
            <w:pPr>
              <w:spacing w:after="20"/>
              <w:jc w:val="right"/>
            </w:pPr>
            <w:r>
              <w:rPr>
                <w:color w:val="1C3A36"/>
                <w:sz w:val="16"/>
              </w:rPr>
              <w:t>7,922</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20,448</w:t>
            </w:r>
          </w:p>
        </w:tc>
        <w:tc>
          <w:tcPr>
            <w:tcW w:type="dxa" w:w="1037"/>
            <w:shd w:val="clear" w:color="auto" w:fill="F6F1E6"/>
          </w:tcPr>
          <w:p>
            <w:pPr>
              <w:spacing w:after="20"/>
              <w:jc w:val="right"/>
            </w:pPr>
            <w:r>
              <w:rPr>
                <w:b/>
                <w:color w:val="1C3A36"/>
                <w:sz w:val="16"/>
              </w:rPr>
              <w:t>21,226</w:t>
            </w:r>
          </w:p>
        </w:tc>
        <w:tc>
          <w:tcPr>
            <w:tcW w:type="dxa" w:w="1037"/>
            <w:shd w:val="clear" w:color="auto" w:fill="F6F1E6"/>
          </w:tcPr>
          <w:p>
            <w:pPr>
              <w:spacing w:after="20"/>
              <w:jc w:val="right"/>
            </w:pPr>
            <w:r>
              <w:rPr>
                <w:b/>
                <w:color w:val="1C3A36"/>
                <w:sz w:val="16"/>
              </w:rPr>
              <w:t>22,418</w:t>
            </w:r>
          </w:p>
        </w:tc>
        <w:tc>
          <w:tcPr>
            <w:tcW w:type="dxa" w:w="1037"/>
            <w:shd w:val="clear" w:color="auto" w:fill="F6F1E6"/>
          </w:tcPr>
          <w:p>
            <w:pPr>
              <w:spacing w:after="20"/>
              <w:jc w:val="right"/>
            </w:pPr>
            <w:r>
              <w:rPr>
                <w:b/>
                <w:color w:val="1C3A36"/>
                <w:sz w:val="16"/>
              </w:rPr>
              <w:t>23,841</w:t>
            </w:r>
          </w:p>
        </w:tc>
        <w:tc>
          <w:tcPr>
            <w:tcW w:type="dxa" w:w="1037"/>
            <w:shd w:val="clear" w:color="auto" w:fill="F6F1E6"/>
          </w:tcPr>
          <w:p>
            <w:pPr>
              <w:spacing w:after="20"/>
              <w:jc w:val="right"/>
            </w:pPr>
            <w:r>
              <w:rPr>
                <w:b/>
                <w:color w:val="1C3A36"/>
                <w:sz w:val="16"/>
              </w:rPr>
              <w:t>25,468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8,313</w:t>
            </w:r>
          </w:p>
        </w:tc>
        <w:tc>
          <w:tcPr>
            <w:tcW w:type="dxa" w:w="1037"/>
          </w:tcPr>
          <w:p>
            <w:pPr>
              <w:spacing w:after="20"/>
              <w:jc w:val="right"/>
            </w:pPr>
            <w:r>
              <w:rPr>
                <w:color w:val="1C3A36"/>
                <w:sz w:val="16"/>
              </w:rPr>
              <w:t>8,279</w:t>
            </w:r>
          </w:p>
        </w:tc>
        <w:tc>
          <w:tcPr>
            <w:tcW w:type="dxa" w:w="1037"/>
          </w:tcPr>
          <w:p>
            <w:pPr>
              <w:spacing w:after="20"/>
              <w:jc w:val="right"/>
            </w:pPr>
            <w:r>
              <w:rPr>
                <w:color w:val="1C3A36"/>
                <w:sz w:val="16"/>
              </w:rPr>
              <w:t>8,496</w:t>
            </w:r>
          </w:p>
        </w:tc>
        <w:tc>
          <w:tcPr>
            <w:tcW w:type="dxa" w:w="1037"/>
          </w:tcPr>
          <w:p>
            <w:pPr>
              <w:spacing w:after="20"/>
              <w:jc w:val="right"/>
            </w:pPr>
            <w:r>
              <w:rPr>
                <w:color w:val="1C3A36"/>
                <w:sz w:val="16"/>
              </w:rPr>
              <w:t>8,749</w:t>
            </w:r>
          </w:p>
        </w:tc>
        <w:tc>
          <w:tcPr>
            <w:tcW w:type="dxa" w:w="1037"/>
          </w:tcPr>
          <w:p>
            <w:pPr>
              <w:spacing w:after="20"/>
              <w:jc w:val="right"/>
            </w:pPr>
            <w:r>
              <w:rPr>
                <w:color w:val="1C3A36"/>
                <w:sz w:val="16"/>
              </w:rPr>
              <w:t>9,003</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15,765</w:t>
            </w:r>
          </w:p>
        </w:tc>
        <w:tc>
          <w:tcPr>
            <w:tcW w:type="dxa" w:w="1037"/>
          </w:tcPr>
          <w:p>
            <w:pPr>
              <w:spacing w:after="20"/>
              <w:jc w:val="right"/>
            </w:pPr>
            <w:r>
              <w:rPr>
                <w:color w:val="1C3A36"/>
                <w:sz w:val="16"/>
              </w:rPr>
              <w:t>15,732</w:t>
            </w:r>
          </w:p>
        </w:tc>
        <w:tc>
          <w:tcPr>
            <w:tcW w:type="dxa" w:w="1037"/>
          </w:tcPr>
          <w:p>
            <w:pPr>
              <w:spacing w:after="20"/>
              <w:jc w:val="right"/>
            </w:pPr>
            <w:r>
              <w:rPr>
                <w:color w:val="1C3A36"/>
                <w:sz w:val="16"/>
              </w:rPr>
              <w:t>15,949</w:t>
            </w:r>
          </w:p>
        </w:tc>
        <w:tc>
          <w:tcPr>
            <w:tcW w:type="dxa" w:w="1037"/>
          </w:tcPr>
          <w:p>
            <w:pPr>
              <w:spacing w:after="20"/>
              <w:jc w:val="right"/>
            </w:pPr>
            <w:r>
              <w:rPr>
                <w:color w:val="1C3A36"/>
                <w:sz w:val="16"/>
              </w:rPr>
              <w:t>16,201</w:t>
            </w:r>
          </w:p>
        </w:tc>
        <w:tc>
          <w:tcPr>
            <w:tcW w:type="dxa" w:w="1037"/>
          </w:tcPr>
          <w:p>
            <w:pPr>
              <w:spacing w:after="20"/>
              <w:jc w:val="right"/>
            </w:pPr>
            <w:r>
              <w:rPr>
                <w:color w:val="1C3A36"/>
                <w:sz w:val="16"/>
              </w:rPr>
              <w:t>16,455</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4,452</w:t>
            </w:r>
          </w:p>
        </w:tc>
        <w:tc>
          <w:tcPr>
            <w:tcW w:type="dxa" w:w="1037"/>
          </w:tcPr>
          <w:p>
            <w:pPr>
              <w:spacing w:after="20"/>
              <w:jc w:val="right"/>
            </w:pPr>
            <w:r>
              <w:rPr>
                <w:color w:val="1C3A36"/>
                <w:sz w:val="16"/>
              </w:rPr>
              <w:t>5,264</w:t>
            </w:r>
          </w:p>
        </w:tc>
        <w:tc>
          <w:tcPr>
            <w:tcW w:type="dxa" w:w="1037"/>
          </w:tcPr>
          <w:p>
            <w:pPr>
              <w:spacing w:after="20"/>
              <w:jc w:val="right"/>
            </w:pPr>
            <w:r>
              <w:rPr>
                <w:color w:val="1C3A36"/>
                <w:sz w:val="16"/>
              </w:rPr>
              <w:t>6,239</w:t>
            </w:r>
          </w:p>
        </w:tc>
        <w:tc>
          <w:tcPr>
            <w:tcW w:type="dxa" w:w="1037"/>
          </w:tcPr>
          <w:p>
            <w:pPr>
              <w:spacing w:after="20"/>
              <w:jc w:val="right"/>
            </w:pPr>
            <w:r>
              <w:rPr>
                <w:color w:val="1C3A36"/>
                <w:sz w:val="16"/>
              </w:rPr>
              <w:t>7,409</w:t>
            </w:r>
          </w:p>
        </w:tc>
        <w:tc>
          <w:tcPr>
            <w:tcW w:type="dxa" w:w="1037"/>
          </w:tcPr>
          <w:p>
            <w:pPr>
              <w:spacing w:after="20"/>
              <w:jc w:val="right"/>
            </w:pPr>
            <w:r>
              <w:rPr>
                <w:color w:val="1C3A36"/>
                <w:sz w:val="16"/>
              </w:rPr>
              <w:t>8,782</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20,448</w:t>
            </w:r>
          </w:p>
        </w:tc>
        <w:tc>
          <w:tcPr>
            <w:tcW w:type="dxa" w:w="1037"/>
            <w:shd w:val="clear" w:color="auto" w:fill="F6F1E6"/>
          </w:tcPr>
          <w:p>
            <w:pPr>
              <w:spacing w:after="20"/>
              <w:jc w:val="right"/>
            </w:pPr>
            <w:r>
              <w:rPr>
                <w:b/>
                <w:color w:val="1C3A36"/>
                <w:sz w:val="16"/>
              </w:rPr>
              <w:t>21,226</w:t>
            </w:r>
          </w:p>
        </w:tc>
        <w:tc>
          <w:tcPr>
            <w:tcW w:type="dxa" w:w="1037"/>
            <w:shd w:val="clear" w:color="auto" w:fill="F6F1E6"/>
          </w:tcPr>
          <w:p>
            <w:pPr>
              <w:spacing w:after="20"/>
              <w:jc w:val="right"/>
            </w:pPr>
            <w:r>
              <w:rPr>
                <w:b/>
                <w:color w:val="1C3A36"/>
                <w:sz w:val="16"/>
              </w:rPr>
              <w:t>22,418</w:t>
            </w:r>
          </w:p>
        </w:tc>
        <w:tc>
          <w:tcPr>
            <w:tcW w:type="dxa" w:w="1037"/>
            <w:shd w:val="clear" w:color="auto" w:fill="F6F1E6"/>
          </w:tcPr>
          <w:p>
            <w:pPr>
              <w:spacing w:after="20"/>
              <w:jc w:val="right"/>
            </w:pPr>
            <w:r>
              <w:rPr>
                <w:b/>
                <w:color w:val="1C3A36"/>
                <w:sz w:val="16"/>
              </w:rPr>
              <w:t>23,841</w:t>
            </w:r>
          </w:p>
        </w:tc>
        <w:tc>
          <w:tcPr>
            <w:tcW w:type="dxa" w:w="1037"/>
            <w:shd w:val="clear" w:color="auto" w:fill="F6F1E6"/>
          </w:tcPr>
          <w:p>
            <w:pPr>
              <w:spacing w:after="20"/>
              <w:jc w:val="right"/>
            </w:pPr>
            <w:r>
              <w:rPr>
                <w:b/>
                <w:color w:val="1C3A36"/>
                <w:sz w:val="16"/>
              </w:rPr>
              <w:t>25,468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2,990</w:t>
            </w:r>
          </w:p>
        </w:tc>
        <w:tc>
          <w:tcPr>
            <w:tcW w:type="dxa" w:w="1037"/>
          </w:tcPr>
          <w:p>
            <w:pPr>
              <w:spacing w:after="20"/>
              <w:jc w:val="right"/>
            </w:pPr>
            <w:r>
              <w:rPr>
                <w:color w:val="1C3A36"/>
                <w:sz w:val="16"/>
              </w:rPr>
              <w:t>2,318</w:t>
            </w:r>
          </w:p>
        </w:tc>
        <w:tc>
          <w:tcPr>
            <w:tcW w:type="dxa" w:w="1037"/>
          </w:tcPr>
          <w:p>
            <w:pPr>
              <w:spacing w:after="20"/>
              <w:jc w:val="right"/>
            </w:pPr>
            <w:r>
              <w:rPr>
                <w:color w:val="1C3A36"/>
                <w:sz w:val="16"/>
              </w:rPr>
              <w:t>1,454</w:t>
            </w:r>
          </w:p>
        </w:tc>
        <w:tc>
          <w:tcPr>
            <w:tcW w:type="dxa" w:w="1037"/>
          </w:tcPr>
          <w:p>
            <w:pPr>
              <w:spacing w:after="20"/>
              <w:jc w:val="right"/>
            </w:pPr>
            <w:r>
              <w:rPr>
                <w:color w:val="1C3A36"/>
                <w:sz w:val="16"/>
              </w:rPr>
              <w:t>371</w:t>
            </w:r>
          </w:p>
        </w:tc>
        <w:tc>
          <w:tcPr>
            <w:tcW w:type="dxa" w:w="1037"/>
          </w:tcPr>
          <w:p>
            <w:pPr>
              <w:spacing w:after="20"/>
              <w:jc w:val="right"/>
            </w:pPr>
            <w:r>
              <w:rPr>
                <w:color w:val="1C3A36"/>
                <w:sz w:val="16"/>
              </w:rPr>
              <w:t>-930</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0.36</w:t>
            </w:r>
          </w:p>
        </w:tc>
        <w:tc>
          <w:tcPr>
            <w:tcW w:type="dxa" w:w="1037"/>
          </w:tcPr>
          <w:p>
            <w:pPr>
              <w:spacing w:after="20"/>
              <w:jc w:val="right"/>
            </w:pPr>
            <w:r>
              <w:rPr>
                <w:color w:val="1C3A36"/>
                <w:sz w:val="16"/>
              </w:rPr>
              <w:t>0.42</w:t>
            </w:r>
          </w:p>
        </w:tc>
        <w:tc>
          <w:tcPr>
            <w:tcW w:type="dxa" w:w="1037"/>
          </w:tcPr>
          <w:p>
            <w:pPr>
              <w:spacing w:after="20"/>
              <w:jc w:val="right"/>
            </w:pPr>
            <w:r>
              <w:rPr>
                <w:color w:val="1C3A36"/>
                <w:sz w:val="16"/>
              </w:rPr>
              <w:t>0.50</w:t>
            </w:r>
          </w:p>
        </w:tc>
        <w:tc>
          <w:tcPr>
            <w:tcW w:type="dxa" w:w="1037"/>
          </w:tcPr>
          <w:p>
            <w:pPr>
              <w:spacing w:after="20"/>
              <w:jc w:val="right"/>
            </w:pPr>
            <w:r>
              <w:rPr>
                <w:color w:val="1C3A36"/>
                <w:sz w:val="16"/>
              </w:rPr>
              <w:t>0.59</w:t>
            </w:r>
          </w:p>
        </w:tc>
        <w:tc>
          <w:tcPr>
            <w:tcW w:type="dxa" w:w="1037"/>
          </w:tcPr>
          <w:p>
            <w:pPr>
              <w:spacing w:after="20"/>
              <w:jc w:val="right"/>
            </w:pPr>
            <w:r>
              <w:rPr>
                <w:color w:val="1C3A36"/>
                <w:sz w:val="16"/>
              </w:rPr>
              <w:t>0.70</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-2,236</w:t>
            </w:r>
          </w:p>
        </w:tc>
        <w:tc>
          <w:tcPr>
            <w:tcW w:type="dxa" w:w="950"/>
          </w:tcPr>
          <w:p>
            <w:pPr>
              <w:spacing w:after="20"/>
              <w:jc w:val="right"/>
            </w:pPr>
            <w:r>
              <w:rPr>
                <w:color w:val="1C3A36"/>
                <w:sz w:val="16"/>
              </w:rPr>
              <w:t>-2,269</w:t>
            </w:r>
          </w:p>
        </w:tc>
        <w:tc>
          <w:tcPr>
            <w:tcW w:type="dxa" w:w="950"/>
          </w:tcPr>
          <w:p>
            <w:pPr>
              <w:spacing w:after="20"/>
              <w:jc w:val="right"/>
            </w:pPr>
            <w:r>
              <w:rPr>
                <w:color w:val="1C3A36"/>
                <w:sz w:val="16"/>
              </w:rPr>
              <w:t>-2,319</w:t>
            </w:r>
          </w:p>
        </w:tc>
        <w:tc>
          <w:tcPr>
            <w:tcW w:type="dxa" w:w="950"/>
          </w:tcPr>
          <w:p>
            <w:pPr>
              <w:spacing w:after="20"/>
              <w:jc w:val="right"/>
            </w:pPr>
            <w:r>
              <w:rPr>
                <w:color w:val="1C3A36"/>
                <w:sz w:val="16"/>
              </w:rPr>
              <w:t>-2,378</w:t>
            </w:r>
          </w:p>
        </w:tc>
        <w:tc>
          <w:tcPr>
            <w:tcW w:type="dxa" w:w="950"/>
          </w:tcPr>
          <w:p>
            <w:pPr>
              <w:spacing w:after="20"/>
              <w:jc w:val="right"/>
            </w:pPr>
            <w:r>
              <w:rPr>
                <w:color w:val="1C3A36"/>
                <w:sz w:val="16"/>
              </w:rPr>
              <w:t>-2,437</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-440</w:t>
            </w:r>
          </w:p>
        </w:tc>
        <w:tc>
          <w:tcPr>
            <w:tcW w:type="dxa" w:w="950"/>
          </w:tcPr>
          <w:p>
            <w:pPr>
              <w:spacing w:after="20"/>
              <w:jc w:val="right"/>
            </w:pPr>
            <w:r>
              <w:rPr>
                <w:color w:val="1C3A36"/>
                <w:sz w:val="16"/>
              </w:rPr>
              <w:t>-33</w:t>
            </w:r>
          </w:p>
        </w:tc>
        <w:tc>
          <w:tcPr>
            <w:tcW w:type="dxa" w:w="950"/>
          </w:tcPr>
          <w:p>
            <w:pPr>
              <w:spacing w:after="20"/>
              <w:jc w:val="right"/>
            </w:pPr>
            <w:r>
              <w:rPr>
                <w:color w:val="1C3A36"/>
                <w:sz w:val="16"/>
              </w:rPr>
              <w:t>-50</w:t>
            </w:r>
          </w:p>
        </w:tc>
        <w:tc>
          <w:tcPr>
            <w:tcW w:type="dxa" w:w="950"/>
          </w:tcPr>
          <w:p>
            <w:pPr>
              <w:spacing w:after="20"/>
              <w:jc w:val="right"/>
            </w:pPr>
            <w:r>
              <w:rPr>
                <w:color w:val="1C3A36"/>
                <w:sz w:val="16"/>
              </w:rPr>
              <w:t>-59</w:t>
            </w:r>
          </w:p>
        </w:tc>
        <w:tc>
          <w:tcPr>
            <w:tcW w:type="dxa" w:w="950"/>
          </w:tcPr>
          <w:p>
            <w:pPr>
              <w:spacing w:after="20"/>
              <w:jc w:val="right"/>
            </w:pPr>
            <w:r>
              <w:rPr>
                <w:color w:val="1C3A36"/>
                <w:sz w:val="16"/>
              </w:rPr>
              <w:t>-59</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5,082</w:t>
            </w:r>
          </w:p>
        </w:tc>
        <w:tc>
          <w:tcPr>
            <w:tcW w:type="dxa" w:w="1037"/>
          </w:tcPr>
          <w:p>
            <w:pPr>
              <w:spacing w:after="20"/>
              <w:jc w:val="right"/>
            </w:pPr>
            <w:r>
              <w:rPr>
                <w:color w:val="1C3A36"/>
                <w:sz w:val="16"/>
              </w:rPr>
              <w:t>4,283</w:t>
            </w:r>
          </w:p>
        </w:tc>
        <w:tc>
          <w:tcPr>
            <w:tcW w:type="dxa" w:w="1037"/>
          </w:tcPr>
          <w:p>
            <w:pPr>
              <w:spacing w:after="20"/>
              <w:jc w:val="right"/>
            </w:pPr>
            <w:r>
              <w:rPr>
                <w:color w:val="1C3A36"/>
                <w:sz w:val="16"/>
              </w:rPr>
              <w:t>4,478</w:t>
            </w:r>
          </w:p>
        </w:tc>
        <w:tc>
          <w:tcPr>
            <w:tcW w:type="dxa" w:w="1037"/>
          </w:tcPr>
          <w:p>
            <w:pPr>
              <w:spacing w:after="20"/>
              <w:jc w:val="right"/>
            </w:pPr>
            <w:r>
              <w:rPr>
                <w:color w:val="1C3A36"/>
                <w:sz w:val="16"/>
              </w:rPr>
              <w:t>4,696</w:t>
            </w:r>
          </w:p>
        </w:tc>
        <w:tc>
          <w:tcPr>
            <w:tcW w:type="dxa" w:w="1037"/>
          </w:tcPr>
          <w:p>
            <w:pPr>
              <w:spacing w:after="20"/>
              <w:jc w:val="right"/>
            </w:pPr>
            <w:r>
              <w:rPr>
                <w:color w:val="1C3A36"/>
                <w:sz w:val="16"/>
              </w:rPr>
              <w:t>4,911</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(1,012)</w:t>
            </w:r>
          </w:p>
        </w:tc>
        <w:tc>
          <w:tcPr>
            <w:tcW w:type="dxa" w:w="1037"/>
          </w:tcPr>
          <w:p>
            <w:pPr>
              <w:spacing w:after="20"/>
              <w:jc w:val="right"/>
            </w:pPr>
            <w:r>
              <w:rPr>
                <w:color w:val="1C3A36"/>
                <w:sz w:val="16"/>
              </w:rPr>
              <w:t>(984)</w:t>
            </w:r>
          </w:p>
        </w:tc>
        <w:tc>
          <w:tcPr>
            <w:tcW w:type="dxa" w:w="1037"/>
          </w:tcPr>
          <w:p>
            <w:pPr>
              <w:spacing w:after="20"/>
              <w:jc w:val="right"/>
            </w:pPr>
            <w:r>
              <w:rPr>
                <w:color w:val="1C3A36"/>
                <w:sz w:val="16"/>
              </w:rPr>
              <w:t>(986)</w:t>
            </w:r>
          </w:p>
        </w:tc>
        <w:tc>
          <w:tcPr>
            <w:tcW w:type="dxa" w:w="1037"/>
          </w:tcPr>
          <w:p>
            <w:pPr>
              <w:spacing w:after="20"/>
              <w:jc w:val="right"/>
            </w:pPr>
            <w:r>
              <w:rPr>
                <w:color w:val="1C3A36"/>
                <w:sz w:val="16"/>
              </w:rPr>
              <w:t>(985)</w:t>
            </w:r>
          </w:p>
        </w:tc>
        <w:tc>
          <w:tcPr>
            <w:tcW w:type="dxa" w:w="1037"/>
          </w:tcPr>
          <w:p>
            <w:pPr>
              <w:spacing w:after="20"/>
              <w:jc w:val="right"/>
            </w:pPr>
            <w:r>
              <w:rPr>
                <w:color w:val="1C3A36"/>
                <w:sz w:val="16"/>
              </w:rPr>
              <w:t>(981)</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4,070</w:t>
            </w:r>
          </w:p>
        </w:tc>
        <w:tc>
          <w:tcPr>
            <w:tcW w:type="dxa" w:w="1037"/>
          </w:tcPr>
          <w:p>
            <w:pPr>
              <w:spacing w:after="20"/>
              <w:jc w:val="right"/>
            </w:pPr>
            <w:r>
              <w:rPr>
                <w:color w:val="1C3A36"/>
                <w:sz w:val="16"/>
              </w:rPr>
              <w:t>3,300</w:t>
            </w:r>
          </w:p>
        </w:tc>
        <w:tc>
          <w:tcPr>
            <w:tcW w:type="dxa" w:w="1037"/>
          </w:tcPr>
          <w:p>
            <w:pPr>
              <w:spacing w:after="20"/>
              <w:jc w:val="right"/>
            </w:pPr>
            <w:r>
              <w:rPr>
                <w:color w:val="1C3A36"/>
                <w:sz w:val="16"/>
              </w:rPr>
              <w:t>3,492</w:t>
            </w:r>
          </w:p>
        </w:tc>
        <w:tc>
          <w:tcPr>
            <w:tcW w:type="dxa" w:w="1037"/>
          </w:tcPr>
          <w:p>
            <w:pPr>
              <w:spacing w:after="20"/>
              <w:jc w:val="right"/>
            </w:pPr>
            <w:r>
              <w:rPr>
                <w:color w:val="1C3A36"/>
                <w:sz w:val="16"/>
              </w:rPr>
              <w:t>3,711</w:t>
            </w:r>
          </w:p>
        </w:tc>
        <w:tc>
          <w:tcPr>
            <w:tcW w:type="dxa" w:w="1037"/>
          </w:tcPr>
          <w:p>
            <w:pPr>
              <w:spacing w:after="20"/>
              <w:jc w:val="right"/>
            </w:pPr>
            <w:r>
              <w:rPr>
                <w:color w:val="1C3A36"/>
                <w:sz w:val="16"/>
              </w:rPr>
              <w:t>3,930</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4,368</w:t>
            </w:r>
          </w:p>
        </w:tc>
        <w:tc>
          <w:tcPr>
            <w:tcW w:type="dxa" w:w="1037"/>
            <w:shd w:val="clear" w:color="auto" w:fill="F6F1E6"/>
          </w:tcPr>
          <w:p>
            <w:pPr>
              <w:spacing w:after="20"/>
              <w:jc w:val="right"/>
            </w:pPr>
            <w:r>
              <w:rPr>
                <w:b/>
                <w:color w:val="1C3A36"/>
                <w:sz w:val="16"/>
              </w:rPr>
              <w:t>3,598</w:t>
            </w:r>
          </w:p>
        </w:tc>
        <w:tc>
          <w:tcPr>
            <w:tcW w:type="dxa" w:w="1037"/>
            <w:shd w:val="clear" w:color="auto" w:fill="F6F1E6"/>
          </w:tcPr>
          <w:p>
            <w:pPr>
              <w:spacing w:after="20"/>
              <w:jc w:val="right"/>
            </w:pPr>
            <w:r>
              <w:rPr>
                <w:b/>
                <w:color w:val="1C3A36"/>
                <w:sz w:val="16"/>
              </w:rPr>
              <w:t>3,790</w:t>
            </w:r>
          </w:p>
        </w:tc>
        <w:tc>
          <w:tcPr>
            <w:tcW w:type="dxa" w:w="1037"/>
            <w:shd w:val="clear" w:color="auto" w:fill="F6F1E6"/>
          </w:tcPr>
          <w:p>
            <w:pPr>
              <w:spacing w:after="20"/>
              <w:jc w:val="right"/>
            </w:pPr>
            <w:r>
              <w:rPr>
                <w:b/>
                <w:color w:val="1C3A36"/>
                <w:sz w:val="16"/>
              </w:rPr>
              <w:t>4,009</w:t>
            </w:r>
          </w:p>
        </w:tc>
        <w:tc>
          <w:tcPr>
            <w:tcW w:type="dxa" w:w="1037"/>
            <w:shd w:val="clear" w:color="auto" w:fill="F6F1E6"/>
          </w:tcPr>
          <w:p>
            <w:pPr>
              <w:spacing w:after="20"/>
              <w:jc w:val="right"/>
            </w:pPr>
            <w:r>
              <w:rPr>
                <w:b/>
                <w:color w:val="1C3A36"/>
                <w:sz w:val="16"/>
              </w:rPr>
              <w:t>4,228</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-0.26% terminal growth against a cost stack escalating at 4%</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56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1224"/>
        <w:gridCol w:w="3859"/>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1224"/>
            <w:shd w:val="clear" w:color="auto" w:fill="EAF0EE"/>
          </w:tcPr>
          <w:p>
            <w:pPr>
              <w:spacing w:after="20"/>
            </w:pPr>
            <w:r>
              <w:rPr>
                <w:b/>
                <w:color w:val="1C3A36"/>
                <w:sz w:val="14"/>
              </w:rPr>
              <w:t>Use</w:t>
            </w:r>
          </w:p>
        </w:tc>
        <w:tc>
          <w:tcPr>
            <w:tcW w:type="dxa" w:w="3859"/>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C-21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FTSE ADX General Index — the published index of the subject's own exchange — Daily index history for the FTSE ADX General Index, the headline capitalisation-weighted index…</w:t>
            </w:r>
          </w:p>
        </w:tc>
        <w:tc>
          <w:tcPr>
            <w:tcW w:type="dxa" w:w="2160"/>
          </w:tcPr>
          <w:p>
            <w:pPr>
              <w:spacing w:after="20"/>
              <w:jc w:val="right"/>
            </w:pPr>
            <w:r>
              <w:rPr>
                <w:color w:val="1C3A36"/>
                <w:sz w:val="14"/>
              </w:rPr>
              <w:t>FTSE ADX General Index daily history</w:t>
            </w:r>
          </w:p>
        </w:tc>
        <w:tc>
          <w:tcPr>
            <w:tcW w:type="dxa" w:w="1037"/>
          </w:tcPr>
          <w:p>
            <w:pPr>
              <w:spacing w:after="20"/>
              <w:jc w:val="right"/>
            </w:pPr>
            <w:r>
              <w:rPr>
                <w:color w:val="1C3A36"/>
                <w:sz w:val="14"/>
              </w:rPr>
              <w:t>2026-07-24</w:t>
            </w:r>
          </w:p>
        </w:tc>
      </w:tr>
    </w:tbl>
    <w:p>
      <w:pPr>
        <w:spacing w:after="40"/>
      </w:pPr>
    </w:p>
    <w:p>
      <w:pPr>
        <w:spacing w:after="200" w:before="0"/>
      </w:pPr>
      <w:r>
        <w:rPr>
          <w:b w:val="0"/>
          <w:i/>
          <w:color w:val="6E7B77"/>
          <w:sz w:val="17"/>
        </w:rPr>
        <w:t>Table 37 — the full external research record: 56 items, of which 24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74.9%,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4,368</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3,598</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3,790</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4,009</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4,228</w:t>
            </w:r>
          </w:p>
        </w:tc>
      </w:tr>
      <w:tr>
        <w:trPr>
          <w:cantSplit/>
        </w:trPr>
        <w:tc>
          <w:tcPr>
            <w:tcW w:type="dxa" w:w="7416"/>
          </w:tcPr>
          <w:p>
            <w:pPr>
              <w:spacing w:after="20"/>
            </w:pPr>
            <w:r>
              <w:rPr>
                <w:color w:val="1C3A36"/>
                <w:sz w:val="17"/>
              </w:rPr>
              <w:t>Present value of the five years at 7.44% rising to 7.44%</w:t>
            </w:r>
          </w:p>
        </w:tc>
        <w:tc>
          <w:tcPr>
            <w:tcW w:type="dxa" w:w="1656"/>
          </w:tcPr>
          <w:p>
            <w:pPr>
              <w:spacing w:after="20"/>
              <w:jc w:val="right"/>
            </w:pPr>
            <w:r>
              <w:rPr>
                <w:color w:val="1C3A36"/>
                <w:sz w:val="17"/>
              </w:rPr>
              <w:t>16,201</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4,364</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(262)</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4,102</w:t>
            </w:r>
          </w:p>
        </w:tc>
      </w:tr>
      <w:tr>
        <w:trPr>
          <w:cantSplit/>
        </w:trPr>
        <w:tc>
          <w:tcPr>
            <w:tcW w:type="dxa" w:w="7416"/>
            <w:shd w:val="clear" w:color="auto" w:fill="F6F1E6"/>
          </w:tcPr>
          <w:p>
            <w:pPr>
              <w:spacing w:after="20"/>
            </w:pPr>
            <w:r>
              <w:rPr>
                <w:b/>
                <w:color w:val="1C3A36"/>
                <w:sz w:val="17"/>
              </w:rPr>
              <w:t>Divided by (7.44% − 1.5%) = 5.94%</w:t>
            </w:r>
          </w:p>
        </w:tc>
        <w:tc>
          <w:tcPr>
            <w:tcW w:type="dxa" w:w="1656"/>
            <w:shd w:val="clear" w:color="auto" w:fill="F6F1E6"/>
          </w:tcPr>
          <w:p>
            <w:pPr>
              <w:spacing w:after="20"/>
              <w:jc w:val="right"/>
            </w:pPr>
            <w:r>
              <w:rPr>
                <w:b/>
                <w:color w:val="1C3A36"/>
                <w:sz w:val="17"/>
              </w:rPr>
              <w:t>69,082</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48,260</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64,461</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59,799</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4.78</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5.10</w:t>
            </w:r>
          </w:p>
        </w:tc>
      </w:tr>
    </w:tbl>
    <w:p>
      <w:pPr>
        <w:spacing w:after="40"/>
      </w:pPr>
    </w:p>
    <w:p>
      <w:pPr>
        <w:spacing w:after="120" w:before="0"/>
      </w:pPr>
      <w:r>
        <w:rPr>
          <w:b w:val="0"/>
          <w:i w:val="0"/>
          <w:color w:val="1C3A36"/>
          <w:sz w:val="21"/>
        </w:rPr>
        <w:t>Named sensitivity: the terminal discount rate, and it is not close. Every fifty basis points on it is worth roughly AED 0.36 a share — moving from 7.44% to 8.44% takes the answer from AED 4.78 to AED 4.12, below the traded price. At 74.9% terminal weight this expert is mostly forecasting one number, and says so.</w:t>
      </w:r>
    </w:p>
    <w:p>
      <w:pPr>
        <w:spacing w:after="120" w:before="0"/>
      </w:pPr>
      <w:r>
        <w:rPr>
          <w:b w:val="0"/>
          <w:i w:val="0"/>
          <w:color w:val="1C3A36"/>
          <w:sz w:val="21"/>
        </w:rPr>
        <w:t>Falsifier, stated in advance: "If total fuel volume in FY2027 comes in below 15,432 million litres — three per cent below my forecast of 15,909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7.60%</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6.10%</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13.0x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3.36</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13.0 to 12.0 times and the value from AED 3.36 to AED 3.11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7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74.9%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4.78</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0.71</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8,924</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-0.26%</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28m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0.5m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7.44%</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8.53%</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0.65</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0.86</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0.79</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0.86 sits ABOVE the 90% upper bound of the regression, 0.79, so on the evidence available it is the least likely of the three. The implied terminal discount rate of 8.53%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volume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74.9% terminal weight makes this mostly a terminal valuation and points to the published grid as the only honest response: across the plausible combinations of terminal cost of capital and growth the answer runs AED 3.81 to AED 6.73,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0.5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0.32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4.78 from Expert 1 on Frame A, AED 5.10 on Frame B, AED 3.36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-0.26%, a permanently shrinking volume base, which in observable units is roughly 0.5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1.43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-0.32</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0.71</w:t>
            </w:r>
          </w:p>
        </w:tc>
        <w:tc>
          <w:tcPr>
            <w:tcW w:type="dxa" w:w="4824"/>
          </w:tcPr>
          <w:p>
            <w:pPr>
              <w:spacing w:after="20"/>
              <w:jc w:val="right"/>
            </w:pPr>
            <w:r>
              <w:rPr>
                <w:color w:val="1C3A36"/>
                <w:sz w:val="16"/>
              </w:rPr>
              <w:t>terminal growth: 1.50% against the -0.26% the price implies. The explicit five years contribute only 25.1%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-0.71</w:t>
            </w:r>
          </w:p>
        </w:tc>
        <w:tc>
          <w:tcPr>
            <w:tcW w:type="dxa" w:w="4824"/>
          </w:tcPr>
          <w:p>
            <w:pPr>
              <w:spacing w:after="20"/>
              <w:jc w:val="right"/>
            </w:pPr>
            <w:r>
              <w:rPr>
                <w:color w:val="1C3A36"/>
                <w:sz w:val="16"/>
              </w:rPr>
              <w:t>the sustainable return on equity of 80.8% against the cost of equity of 7.60%.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-0.77</w:t>
            </w:r>
          </w:p>
        </w:tc>
        <w:tc>
          <w:tcPr>
            <w:tcW w:type="dxa" w:w="4824"/>
          </w:tcPr>
          <w:p>
            <w:pPr>
              <w:spacing w:after="20"/>
              <w:jc w:val="right"/>
            </w:pPr>
            <w:r>
              <w:rPr>
                <w:color w:val="1C3A36"/>
                <w:sz w:val="16"/>
              </w:rPr>
              <w:t>the discount rate and nothing else: 7.44% held flat against a glide to 7.44%.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-2.08</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-0.17</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