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0.690.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5.61 a share; on the composite, AED 8.02.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lenses centre at AED 5.61 against a market price of 6.16 — 9% below the market price. The cash-flow lens on its own lands at AED 5.61, 9% below the market price, and the three notional experts in Appendix C, who price mid-cycle earnings rather than a terminal value, centre at AED 6.06, 2% below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0.690 and lifts the cash-flow lens to AED 8.02. That construction is published beside the adopted one throughout, because a gap of AED 2.41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3.04 to AED 10.18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8.5% on the share's own beta of 1.103 against the published index of its own exchange and on all three kinds of capital the company uses — ordinary equity 80.0%, debt 7.2%, perpetual capital securities 12.8% at their own coupon; terminal growth 2%; 73% of enterprise value comes from the terminal value</w:t>
            </w:r>
          </w:p>
        </w:tc>
        <w:tc>
          <w:tcPr>
            <w:tcW w:type="dxa" w:w="1526"/>
          </w:tcPr>
          <w:p>
            <w:pPr>
              <w:spacing w:after="20"/>
              <w:jc w:val="right"/>
            </w:pPr>
            <w:r>
              <w:rPr>
                <w:color w:val="1C3A36"/>
                <w:sz w:val="16"/>
              </w:rPr>
              <w:t>3.04 – 10.18</w:t>
            </w:r>
          </w:p>
        </w:tc>
        <w:tc>
          <w:tcPr>
            <w:tcW w:type="dxa" w:w="1181"/>
          </w:tcPr>
          <w:p>
            <w:pPr>
              <w:spacing w:after="20"/>
              <w:jc w:val="right"/>
            </w:pPr>
            <w:r>
              <w:rPr>
                <w:color w:val="1C3A36"/>
                <w:sz w:val="16"/>
              </w:rPr>
              <w:t>5.61</w:t>
            </w:r>
          </w:p>
        </w:tc>
        <w:tc>
          <w:tcPr>
            <w:tcW w:type="dxa" w:w="1210"/>
          </w:tcPr>
          <w:p>
            <w:pPr>
              <w:spacing w:after="20"/>
              <w:jc w:val="right"/>
            </w:pPr>
            <w:r>
              <w:rPr>
                <w:color w:val="1C3A36"/>
                <w:sz w:val="16"/>
              </w:rPr>
              <w:t>-9%</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7.81 – 12.03</w:t>
            </w:r>
          </w:p>
        </w:tc>
        <w:tc>
          <w:tcPr>
            <w:tcW w:type="dxa" w:w="1181"/>
          </w:tcPr>
          <w:p>
            <w:pPr>
              <w:spacing w:after="20"/>
              <w:jc w:val="right"/>
            </w:pPr>
            <w:r>
              <w:rPr>
                <w:color w:val="1C3A36"/>
                <w:sz w:val="16"/>
              </w:rPr>
              <w:t>8.92</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9.43% on that book, discounted, plus a remainder that fades at 10% a year — worth 1.45× the book it starts from</w:t>
            </w:r>
          </w:p>
        </w:tc>
        <w:tc>
          <w:tcPr>
            <w:tcW w:type="dxa" w:w="1526"/>
          </w:tcPr>
          <w:p>
            <w:pPr>
              <w:spacing w:after="20"/>
              <w:jc w:val="right"/>
            </w:pPr>
            <w:r>
              <w:rPr>
                <w:color w:val="1C3A36"/>
                <w:sz w:val="16"/>
              </w:rPr>
              <w:t>2.41 – 5.41</w:t>
            </w:r>
          </w:p>
        </w:tc>
        <w:tc>
          <w:tcPr>
            <w:tcW w:type="dxa" w:w="1181"/>
          </w:tcPr>
          <w:p>
            <w:pPr>
              <w:spacing w:after="20"/>
              <w:jc w:val="right"/>
            </w:pPr>
            <w:r>
              <w:rPr>
                <w:color w:val="1C3A36"/>
                <w:sz w:val="16"/>
              </w:rPr>
              <w:t>3.66</w:t>
            </w:r>
          </w:p>
        </w:tc>
        <w:tc>
          <w:tcPr>
            <w:tcW w:type="dxa" w:w="1210"/>
          </w:tcPr>
          <w:p>
            <w:pPr>
              <w:spacing w:after="20"/>
              <w:jc w:val="right"/>
            </w:pPr>
            <w:r>
              <w:rPr>
                <w:color w:val="1C3A36"/>
                <w:sz w:val="16"/>
              </w:rPr>
              <w:t>-41%</w:t>
            </w:r>
          </w:p>
        </w:tc>
      </w:tr>
      <w:tr>
        <w:trPr>
          <w:cantSplit/>
        </w:trPr>
        <w:tc>
          <w:tcPr>
            <w:tcW w:type="dxa" w:w="2045"/>
            <w:shd w:val="clear" w:color="auto" w:fill="F6F1E6"/>
          </w:tcPr>
          <w:p>
            <w:pPr>
              <w:spacing w:after="20"/>
            </w:pPr>
            <w:r>
              <w:rPr>
                <w:b/>
                <w:color w:val="1C3A36"/>
                <w:sz w:val="16"/>
              </w:rPr>
              <w:t>Central</w:t>
            </w:r>
          </w:p>
        </w:tc>
        <w:tc>
          <w:tcPr>
            <w:tcW w:type="dxa" w:w="4118"/>
            <w:shd w:val="clear" w:color="auto" w:fill="F6F1E6"/>
          </w:tcPr>
          <w:p>
            <w:pPr>
              <w:spacing w:after="20"/>
              <w:jc w:val="left"/>
            </w:pPr>
            <w:r>
              <w:rPr>
                <w:b/>
                <w:color w:val="1C3A36"/>
                <w:sz w:val="16"/>
              </w:rPr>
              <w:t>THE CASH-FLOW LENS, on the beta measured against the published index of its own exchange. It is the answer rather than a share of one: the reads below are cross-checks published beside it and are not averaged into it</w:t>
            </w:r>
          </w:p>
        </w:tc>
        <w:tc>
          <w:tcPr>
            <w:tcW w:type="dxa" w:w="1526"/>
            <w:shd w:val="clear" w:color="auto" w:fill="F6F1E6"/>
          </w:tcPr>
          <w:p>
            <w:pPr>
              <w:spacing w:after="20"/>
              <w:jc w:val="right"/>
            </w:pPr>
            <w:r>
              <w:rPr>
                <w:b/>
                <w:color w:val="1C3A36"/>
                <w:sz w:val="16"/>
              </w:rPr>
              <w:t>3.04 – 10.18</w:t>
            </w:r>
          </w:p>
        </w:tc>
        <w:tc>
          <w:tcPr>
            <w:tcW w:type="dxa" w:w="1181"/>
            <w:shd w:val="clear" w:color="auto" w:fill="F6F1E6"/>
          </w:tcPr>
          <w:p>
            <w:pPr>
              <w:spacing w:after="20"/>
              <w:jc w:val="right"/>
            </w:pPr>
            <w:r>
              <w:rPr>
                <w:b/>
                <w:color w:val="1C3A36"/>
                <w:sz w:val="16"/>
              </w:rPr>
              <w:t>5.61</w:t>
            </w:r>
          </w:p>
        </w:tc>
        <w:tc>
          <w:tcPr>
            <w:tcW w:type="dxa" w:w="1210"/>
            <w:shd w:val="clear" w:color="auto" w:fill="F6F1E6"/>
          </w:tcPr>
          <w:p>
            <w:pPr>
              <w:spacing w:after="20"/>
              <w:jc w:val="right"/>
            </w:pPr>
            <w:r>
              <w:rPr>
                <w:b/>
                <w:color w:val="1C3A36"/>
                <w:sz w:val="16"/>
              </w:rPr>
              <w:t>-9%</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0.690 instead of 1.103, cost of capital gliding 6.9% to 6.9%, and 78% of enterprise value from the terminal value. The published index is the yardstick this study adopts; the composite is shown because the gap turns on index weighting rather than on the company (section 1.8). The central on this construction is AED 8.02</w:t>
            </w:r>
          </w:p>
        </w:tc>
        <w:tc>
          <w:tcPr>
            <w:tcW w:type="dxa" w:w="1526"/>
          </w:tcPr>
          <w:p>
            <w:pPr>
              <w:spacing w:after="20"/>
              <w:jc w:val="right"/>
            </w:pPr>
            <w:r>
              <w:rPr>
                <w:color w:val="1C3A36"/>
                <w:sz w:val="16"/>
              </w:rPr>
              <w:t>—</w:t>
            </w:r>
          </w:p>
        </w:tc>
        <w:tc>
          <w:tcPr>
            <w:tcW w:type="dxa" w:w="1181"/>
          </w:tcPr>
          <w:p>
            <w:pPr>
              <w:spacing w:after="20"/>
              <w:jc w:val="right"/>
            </w:pPr>
            <w:r>
              <w:rPr>
                <w:color w:val="1C3A36"/>
                <w:sz w:val="16"/>
              </w:rPr>
              <w:t>8.02</w:t>
            </w:r>
          </w:p>
        </w:tc>
        <w:tc>
          <w:tcPr>
            <w:tcW w:type="dxa" w:w="1210"/>
          </w:tcPr>
          <w:p>
            <w:pPr>
              <w:spacing w:after="20"/>
              <w:jc w:val="right"/>
            </w:pPr>
            <w:r>
              <w:rPr>
                <w:color w:val="1C3A36"/>
                <w:sz w:val="16"/>
              </w:rPr>
              <w:t>+30%</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6.97</w:t>
            </w:r>
          </w:p>
        </w:tc>
        <w:tc>
          <w:tcPr>
            <w:tcW w:type="dxa" w:w="1210"/>
          </w:tcPr>
          <w:p>
            <w:pPr>
              <w:spacing w:after="20"/>
              <w:jc w:val="right"/>
            </w:pPr>
            <w:r>
              <w:rPr>
                <w:color w:val="1C3A36"/>
                <w:sz w:val="16"/>
              </w:rPr>
              <w:t>+13%</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1,138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6.02</w:t>
            </w:r>
          </w:p>
        </w:tc>
        <w:tc>
          <w:tcPr>
            <w:tcW w:type="dxa" w:w="1210"/>
          </w:tcPr>
          <w:p>
            <w:pPr>
              <w:spacing w:after="20"/>
              <w:jc w:val="right"/>
            </w:pPr>
            <w:r>
              <w:rPr>
                <w:color w:val="1C3A36"/>
                <w:sz w:val="16"/>
              </w:rPr>
              <w:t>-2%</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3.86 against a published bear of 3.04, so roughly AED 0.82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2.41 a share separates the two constructions on the cash-flow lens and AED 2.41 on the central, and both are carried at full size through section 1.1, section 1.8, the comparison in section 4 and the expert panel. Terminal value is 73%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5,004</w:t>
            </w:r>
          </w:p>
        </w:tc>
        <w:tc>
          <w:tcPr>
            <w:tcW w:type="dxa" w:w="1382"/>
          </w:tcPr>
          <w:p>
            <w:pPr>
              <w:spacing w:after="20"/>
              <w:jc w:val="right"/>
            </w:pPr>
            <w:r>
              <w:rPr>
                <w:color w:val="1C3A36"/>
                <w:sz w:val="16"/>
              </w:rPr>
              <w:t>5,721</w:t>
            </w:r>
          </w:p>
        </w:tc>
        <w:tc>
          <w:tcPr>
            <w:tcW w:type="dxa" w:w="1382"/>
          </w:tcPr>
          <w:p>
            <w:pPr>
              <w:spacing w:after="20"/>
              <w:jc w:val="right"/>
            </w:pPr>
            <w:r>
              <w:rPr>
                <w:color w:val="1C3A36"/>
                <w:sz w:val="16"/>
              </w:rPr>
              <w:t>5,745</w:t>
            </w:r>
          </w:p>
        </w:tc>
        <w:tc>
          <w:tcPr>
            <w:tcW w:type="dxa" w:w="1382"/>
          </w:tcPr>
          <w:p>
            <w:pPr>
              <w:spacing w:after="20"/>
              <w:jc w:val="right"/>
            </w:pPr>
            <w:r>
              <w:rPr>
                <w:color w:val="1C3A36"/>
                <w:sz w:val="16"/>
              </w:rPr>
              <w:t>5,500</w:t>
            </w:r>
          </w:p>
        </w:tc>
        <w:tc>
          <w:tcPr>
            <w:tcW w:type="dxa" w:w="1382"/>
          </w:tcPr>
          <w:p>
            <w:pPr>
              <w:spacing w:after="20"/>
              <w:jc w:val="right"/>
            </w:pPr>
            <w:r>
              <w:rPr>
                <w:color w:val="1C3A36"/>
                <w:sz w:val="16"/>
              </w:rPr>
              <w:t>5,175</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(2,918)</w:t>
            </w:r>
          </w:p>
        </w:tc>
        <w:tc>
          <w:tcPr>
            <w:tcW w:type="dxa" w:w="1382"/>
          </w:tcPr>
          <w:p>
            <w:pPr>
              <w:spacing w:after="20"/>
              <w:jc w:val="right"/>
            </w:pPr>
            <w:r>
              <w:rPr>
                <w:color w:val="1C3A36"/>
                <w:sz w:val="16"/>
              </w:rPr>
              <w:t>(3,203)</w:t>
            </w:r>
          </w:p>
        </w:tc>
        <w:tc>
          <w:tcPr>
            <w:tcW w:type="dxa" w:w="1382"/>
          </w:tcPr>
          <w:p>
            <w:pPr>
              <w:spacing w:after="20"/>
              <w:jc w:val="right"/>
            </w:pPr>
            <w:r>
              <w:rPr>
                <w:color w:val="1C3A36"/>
                <w:sz w:val="16"/>
              </w:rPr>
              <w:t>(3,238)</w:t>
            </w:r>
          </w:p>
        </w:tc>
        <w:tc>
          <w:tcPr>
            <w:tcW w:type="dxa" w:w="1382"/>
          </w:tcPr>
          <w:p>
            <w:pPr>
              <w:spacing w:after="20"/>
              <w:jc w:val="right"/>
            </w:pPr>
            <w:r>
              <w:rPr>
                <w:color w:val="1C3A36"/>
                <w:sz w:val="16"/>
              </w:rPr>
              <w:t>(3,188)</w:t>
            </w:r>
          </w:p>
        </w:tc>
        <w:tc>
          <w:tcPr>
            <w:tcW w:type="dxa" w:w="1382"/>
          </w:tcPr>
          <w:p>
            <w:pPr>
              <w:spacing w:after="20"/>
              <w:jc w:val="right"/>
            </w:pPr>
            <w:r>
              <w:rPr>
                <w:color w:val="1C3A36"/>
                <w:sz w:val="16"/>
              </w:rPr>
              <w:t>(3,116)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2,507</w:t>
            </w:r>
          </w:p>
        </w:tc>
        <w:tc>
          <w:tcPr>
            <w:tcW w:type="dxa" w:w="1382"/>
          </w:tcPr>
          <w:p>
            <w:pPr>
              <w:spacing w:after="20"/>
              <w:jc w:val="right"/>
            </w:pPr>
            <w:r>
              <w:rPr>
                <w:color w:val="1C3A36"/>
                <w:sz w:val="16"/>
              </w:rPr>
              <w:t>2,312</w:t>
            </w:r>
          </w:p>
        </w:tc>
        <w:tc>
          <w:tcPr>
            <w:tcW w:type="dxa" w:w="1382"/>
          </w:tcPr>
          <w:p>
            <w:pPr>
              <w:spacing w:after="20"/>
              <w:jc w:val="right"/>
            </w:pPr>
            <w:r>
              <w:rPr>
                <w:color w:val="1C3A36"/>
                <w:sz w:val="16"/>
              </w:rPr>
              <w:t>2,059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1,510</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1,803</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1,325</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1,799</w:t>
            </w:r>
          </w:p>
        </w:tc>
        <w:tc>
          <w:tcPr>
            <w:tcW w:type="dxa" w:w="1382"/>
          </w:tcPr>
          <w:p>
            <w:pPr>
              <w:spacing w:after="20"/>
              <w:jc w:val="right"/>
            </w:pPr>
            <w:r>
              <w:rPr>
                <w:color w:val="1C3A36"/>
                <w:sz w:val="16"/>
              </w:rPr>
              <w:t>1,744</w:t>
            </w:r>
          </w:p>
        </w:tc>
        <w:tc>
          <w:tcPr>
            <w:tcW w:type="dxa" w:w="1382"/>
          </w:tcPr>
          <w:p>
            <w:pPr>
              <w:spacing w:after="20"/>
              <w:jc w:val="right"/>
            </w:pPr>
            <w:r>
              <w:rPr>
                <w:color w:val="1C3A36"/>
                <w:sz w:val="16"/>
              </w:rPr>
              <w:t>1,525</w:t>
            </w:r>
          </w:p>
        </w:tc>
        <w:tc>
          <w:tcPr>
            <w:tcW w:type="dxa" w:w="1382"/>
          </w:tcPr>
          <w:p>
            <w:pPr>
              <w:spacing w:after="20"/>
              <w:jc w:val="right"/>
            </w:pPr>
            <w:r>
              <w:rPr>
                <w:color w:val="1C3A36"/>
                <w:sz w:val="16"/>
              </w:rPr>
              <w:t>1,265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1,206</w:t>
            </w:r>
          </w:p>
        </w:tc>
        <w:tc>
          <w:tcPr>
            <w:tcW w:type="dxa" w:w="1382"/>
          </w:tcPr>
          <w:p>
            <w:pPr>
              <w:spacing w:after="20"/>
              <w:jc w:val="right"/>
            </w:pPr>
            <w:r>
              <w:rPr>
                <w:color w:val="1C3A36"/>
                <w:sz w:val="16"/>
              </w:rPr>
              <w:t>1,622</w:t>
            </w:r>
          </w:p>
        </w:tc>
        <w:tc>
          <w:tcPr>
            <w:tcW w:type="dxa" w:w="1382"/>
          </w:tcPr>
          <w:p>
            <w:pPr>
              <w:spacing w:after="20"/>
              <w:jc w:val="right"/>
            </w:pPr>
            <w:r>
              <w:rPr>
                <w:color w:val="1C3A36"/>
                <w:sz w:val="16"/>
              </w:rPr>
              <w:t>1,439</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0.9404</w:t>
            </w:r>
          </w:p>
        </w:tc>
        <w:tc>
          <w:tcPr>
            <w:tcW w:type="dxa" w:w="1382"/>
          </w:tcPr>
          <w:p>
            <w:pPr>
              <w:spacing w:after="20"/>
              <w:jc w:val="right"/>
            </w:pPr>
            <w:r>
              <w:rPr>
                <w:color w:val="1C3A36"/>
                <w:sz w:val="16"/>
              </w:rPr>
              <w:t>0.8664</w:t>
            </w:r>
          </w:p>
        </w:tc>
        <w:tc>
          <w:tcPr>
            <w:tcW w:type="dxa" w:w="1382"/>
          </w:tcPr>
          <w:p>
            <w:pPr>
              <w:spacing w:after="20"/>
              <w:jc w:val="right"/>
            </w:pPr>
            <w:r>
              <w:rPr>
                <w:color w:val="1C3A36"/>
                <w:sz w:val="16"/>
              </w:rPr>
              <w:t>0.7983</w:t>
            </w:r>
          </w:p>
        </w:tc>
        <w:tc>
          <w:tcPr>
            <w:tcW w:type="dxa" w:w="1382"/>
          </w:tcPr>
          <w:p>
            <w:pPr>
              <w:spacing w:after="20"/>
              <w:jc w:val="right"/>
            </w:pPr>
            <w:r>
              <w:rPr>
                <w:color w:val="1C3A36"/>
                <w:sz w:val="16"/>
              </w:rPr>
              <w:t>0.7356</w:t>
            </w:r>
          </w:p>
        </w:tc>
        <w:tc>
          <w:tcPr>
            <w:tcW w:type="dxa" w:w="1382"/>
          </w:tcPr>
          <w:p>
            <w:pPr>
              <w:spacing w:after="20"/>
              <w:jc w:val="right"/>
            </w:pPr>
            <w:r>
              <w:rPr>
                <w:color w:val="1C3A36"/>
                <w:sz w:val="16"/>
              </w:rPr>
              <w:t>0.6779</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918</w:t>
            </w:r>
          </w:p>
        </w:tc>
        <w:tc>
          <w:tcPr>
            <w:tcW w:type="dxa" w:w="1382"/>
            <w:shd w:val="clear" w:color="auto" w:fill="F6F1E6"/>
          </w:tcPr>
          <w:p>
            <w:pPr>
              <w:spacing w:after="20"/>
              <w:jc w:val="right"/>
            </w:pPr>
            <w:r>
              <w:rPr>
                <w:b/>
                <w:color w:val="1C3A36"/>
                <w:sz w:val="16"/>
              </w:rPr>
              <w:t>962</w:t>
            </w:r>
          </w:p>
        </w:tc>
        <w:tc>
          <w:tcPr>
            <w:tcW w:type="dxa" w:w="1382"/>
            <w:shd w:val="clear" w:color="auto" w:fill="F6F1E6"/>
          </w:tcPr>
          <w:p>
            <w:pPr>
              <w:spacing w:after="20"/>
              <w:jc w:val="right"/>
            </w:pPr>
            <w:r>
              <w:rPr>
                <w:b/>
                <w:color w:val="1C3A36"/>
                <w:sz w:val="16"/>
              </w:rPr>
              <w:t>1,193</w:t>
            </w:r>
          </w:p>
        </w:tc>
        <w:tc>
          <w:tcPr>
            <w:tcW w:type="dxa" w:w="1382"/>
            <w:shd w:val="clear" w:color="auto" w:fill="F6F1E6"/>
          </w:tcPr>
          <w:p>
            <w:pPr>
              <w:spacing w:after="20"/>
              <w:jc w:val="right"/>
            </w:pPr>
            <w:r>
              <w:rPr>
                <w:b/>
                <w:color w:val="1C3A36"/>
                <w:sz w:val="16"/>
              </w:rPr>
              <w:t>975</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4,129</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1,057</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10,998</w:t>
            </w:r>
          </w:p>
        </w:tc>
        <w:tc>
          <w:tcPr>
            <w:tcW w:type="dxa" w:w="5040"/>
          </w:tcPr>
          <w:p>
            <w:pPr>
              <w:spacing w:after="20"/>
              <w:jc w:val="left"/>
            </w:pPr>
            <w:r>
              <w:rPr>
                <w:color w:val="1C3A36"/>
                <w:sz w:val="16"/>
              </w:rPr>
              <w:t>the terminal cash flow capitalised at 8.5% less 2% = USD 16,223 million, discounted at the same year-five factor of 0.6779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15,127</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72.7%</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15,620</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(328)</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0.37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11,292</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1.53</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5.61</w:t>
            </w:r>
          </w:p>
        </w:tc>
        <w:tc>
          <w:tcPr>
            <w:tcW w:type="dxa" w:w="5040"/>
            <w:shd w:val="clear" w:color="auto" w:fill="F6F1E6"/>
          </w:tcPr>
          <w:p>
            <w:pPr>
              <w:spacing w:after="20"/>
              <w:jc w:val="left"/>
            </w:pPr>
            <w:r>
              <w:rPr>
                <w:b/>
                <w:color w:val="1C3A36"/>
                <w:sz w:val="16"/>
              </w:rPr>
              <w:t>against a market price of AED 6.16 (-9%)</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6.02</w:t>
            </w:r>
          </w:p>
        </w:tc>
        <w:tc>
          <w:tcPr>
            <w:tcW w:type="dxa" w:w="5040"/>
            <w:shd w:val="clear" w:color="auto" w:fill="F6F1E6"/>
          </w:tcPr>
          <w:p>
            <w:pPr>
              <w:spacing w:after="20"/>
              <w:jc w:val="left"/>
            </w:pPr>
            <w:r>
              <w:rPr>
                <w:b/>
                <w:color w:val="1C3A36"/>
                <w:sz w:val="16"/>
              </w:rPr>
              <w:t>deducting USD 1,138 million, the coupon capitalised at the terminal cost of capital, instead of the USD 1,979 million carrying value. Worth AED 0.42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362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0.690 instead. Two qualifications before the explanation. The first is that the runs are not quite the identical regression: the published-index run pairs 159 weekly observations and the composite run pairs 165, because the index series obtained stops earlier than the exchange's own price history does and because the two series are screened and aligned to the exchange's trading week before they are paired. The samples differ by 6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0.690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7.42%</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8.55%</w:t>
            </w:r>
          </w:p>
        </w:tc>
        <w:tc>
          <w:tcPr>
            <w:tcW w:type="dxa" w:w="2808"/>
          </w:tcPr>
          <w:p>
            <w:pPr>
              <w:spacing w:after="20"/>
              <w:jc w:val="right"/>
            </w:pPr>
            <w:r>
              <w:rPr>
                <w:color w:val="1C3A36"/>
                <w:sz w:val="17"/>
              </w:rPr>
              <w:t>6.94%</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8.52%</w:t>
            </w:r>
          </w:p>
        </w:tc>
        <w:tc>
          <w:tcPr>
            <w:tcW w:type="dxa" w:w="2808"/>
          </w:tcPr>
          <w:p>
            <w:pPr>
              <w:spacing w:after="20"/>
              <w:jc w:val="right"/>
            </w:pPr>
            <w:r>
              <w:rPr>
                <w:color w:val="1C3A36"/>
                <w:sz w:val="17"/>
              </w:rPr>
              <w:t>6.91%</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4,129</w:t>
            </w:r>
          </w:p>
        </w:tc>
        <w:tc>
          <w:tcPr>
            <w:tcW w:type="dxa" w:w="2808"/>
          </w:tcPr>
          <w:p>
            <w:pPr>
              <w:spacing w:after="20"/>
              <w:jc w:val="right"/>
            </w:pPr>
            <w:r>
              <w:rPr>
                <w:color w:val="1C3A36"/>
                <w:sz w:val="17"/>
              </w:rPr>
              <w:t>4,336</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10,998</w:t>
            </w:r>
          </w:p>
        </w:tc>
        <w:tc>
          <w:tcPr>
            <w:tcW w:type="dxa" w:w="2808"/>
          </w:tcPr>
          <w:p>
            <w:pPr>
              <w:spacing w:after="20"/>
              <w:jc w:val="right"/>
            </w:pPr>
            <w:r>
              <w:rPr>
                <w:color w:val="1C3A36"/>
                <w:sz w:val="17"/>
              </w:rPr>
              <w:t>15,684</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72.7%</w:t>
            </w:r>
          </w:p>
        </w:tc>
        <w:tc>
          <w:tcPr>
            <w:tcW w:type="dxa" w:w="2808"/>
          </w:tcPr>
          <w:p>
            <w:pPr>
              <w:spacing w:after="20"/>
              <w:jc w:val="right"/>
            </w:pPr>
            <w:r>
              <w:rPr>
                <w:color w:val="1C3A36"/>
                <w:sz w:val="17"/>
              </w:rPr>
              <w:t>78.3%</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15,620</w:t>
            </w:r>
          </w:p>
        </w:tc>
        <w:tc>
          <w:tcPr>
            <w:tcW w:type="dxa" w:w="2808"/>
          </w:tcPr>
          <w:p>
            <w:pPr>
              <w:spacing w:after="20"/>
              <w:jc w:val="right"/>
            </w:pPr>
            <w:r>
              <w:rPr>
                <w:color w:val="1C3A36"/>
                <w:sz w:val="17"/>
              </w:rPr>
              <w:t>20,513</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11,292</w:t>
            </w:r>
          </w:p>
        </w:tc>
        <w:tc>
          <w:tcPr>
            <w:tcW w:type="dxa" w:w="2808"/>
          </w:tcPr>
          <w:p>
            <w:pPr>
              <w:spacing w:after="20"/>
              <w:jc w:val="right"/>
            </w:pPr>
            <w:r>
              <w:rPr>
                <w:color w:val="1C3A36"/>
                <w:sz w:val="17"/>
              </w:rPr>
              <w:t>16,153</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5.61</w:t>
            </w:r>
          </w:p>
        </w:tc>
        <w:tc>
          <w:tcPr>
            <w:tcW w:type="dxa" w:w="2808"/>
            <w:shd w:val="clear" w:color="auto" w:fill="F6F1E6"/>
          </w:tcPr>
          <w:p>
            <w:pPr>
              <w:spacing w:after="20"/>
              <w:jc w:val="right"/>
            </w:pPr>
            <w:r>
              <w:rPr>
                <w:b/>
                <w:color w:val="1C3A36"/>
                <w:sz w:val="17"/>
              </w:rPr>
              <w:t>8.02</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-9%</w:t>
            </w:r>
          </w:p>
        </w:tc>
        <w:tc>
          <w:tcPr>
            <w:tcW w:type="dxa" w:w="2808"/>
            <w:shd w:val="clear" w:color="auto" w:fill="F6F1E6"/>
          </w:tcPr>
          <w:p>
            <w:pPr>
              <w:spacing w:after="20"/>
              <w:jc w:val="right"/>
            </w:pPr>
            <w:r>
              <w:rPr>
                <w:b/>
                <w:color w:val="1C3A36"/>
                <w:sz w:val="17"/>
              </w:rPr>
              <w:t>+30%</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2.41 between the two columns is the beta, and most of it lands in the terminal value: a 161 basis point difference in the terminal cost of capital changes the capitalisation factor on a perpetuity by roughly a quarter, which is also why the terminal value falls from 78% of enterprise value to 73%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30% above the market price to 9%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19.2%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21.9%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23.7%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551 million of the USD 7,377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19.2%</w:t>
            </w:r>
          </w:p>
        </w:tc>
        <w:tc>
          <w:tcPr>
            <w:tcW w:type="dxa" w:w="1354"/>
          </w:tcPr>
          <w:p>
            <w:pPr>
              <w:spacing w:after="20"/>
              <w:jc w:val="right"/>
            </w:pPr>
            <w:r>
              <w:rPr>
                <w:color w:val="1C3A36"/>
                <w:sz w:val="16"/>
              </w:rPr>
              <w:t>+9.72pp</w:t>
            </w:r>
          </w:p>
        </w:tc>
        <w:tc>
          <w:tcPr>
            <w:tcW w:type="dxa" w:w="1584"/>
          </w:tcPr>
          <w:p>
            <w:pPr>
              <w:spacing w:after="20"/>
              <w:jc w:val="right"/>
            </w:pPr>
            <w:r>
              <w:rPr>
                <w:color w:val="1C3A36"/>
                <w:sz w:val="16"/>
              </w:rPr>
              <w:t>493</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451</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5,854</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+11.02pp</w:t>
            </w:r>
          </w:p>
        </w:tc>
        <w:tc>
          <w:tcPr>
            <w:tcW w:type="dxa" w:w="1584"/>
          </w:tcPr>
          <w:p>
            <w:pPr>
              <w:spacing w:after="20"/>
              <w:jc w:val="right"/>
            </w:pPr>
            <w:r>
              <w:rPr>
                <w:color w:val="1C3A36"/>
                <w:sz w:val="16"/>
              </w:rPr>
              <w:t>645</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538</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6,909</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+8.07pp</w:t>
            </w:r>
          </w:p>
        </w:tc>
        <w:tc>
          <w:tcPr>
            <w:tcW w:type="dxa" w:w="1584"/>
          </w:tcPr>
          <w:p>
            <w:pPr>
              <w:spacing w:after="20"/>
              <w:jc w:val="right"/>
            </w:pPr>
            <w:r>
              <w:rPr>
                <w:color w:val="1C3A36"/>
                <w:sz w:val="16"/>
              </w:rPr>
              <w:t>557</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425</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7,918</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+4.50pp</w:t>
            </w:r>
          </w:p>
        </w:tc>
        <w:tc>
          <w:tcPr>
            <w:tcW w:type="dxa" w:w="1584"/>
          </w:tcPr>
          <w:p>
            <w:pPr>
              <w:spacing w:after="20"/>
              <w:jc w:val="right"/>
            </w:pPr>
            <w:r>
              <w:rPr>
                <w:color w:val="1C3A36"/>
                <w:sz w:val="16"/>
              </w:rPr>
              <w:t>356</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248</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8,742</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+1.61pp</w:t>
            </w:r>
          </w:p>
        </w:tc>
        <w:tc>
          <w:tcPr>
            <w:tcW w:type="dxa" w:w="1584"/>
          </w:tcPr>
          <w:p>
            <w:pPr>
              <w:spacing w:after="20"/>
              <w:jc w:val="right"/>
            </w:pPr>
            <w:r>
              <w:rPr>
                <w:color w:val="1C3A36"/>
                <w:sz w:val="16"/>
              </w:rPr>
              <w:t>141</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90</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1,753</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1,753</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551</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7,377</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3.66</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2.41 – 5.41</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1.45×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2.41 takes a cost of equity of 11.95%, built on the upper end 1.621 of the beta's own 90% confidence interval, together with a proportionally lower return on that book; the bull bound of AED 5.41 takes 6.91% on the lower end 0.586 of the same interval with the same proportion applied upward. Only the cost of equity in those bounds comes from the estimate's own statistical uncertainty; the return stress beside it is a judgement, as it is in the cash-flow lens. THIS READ IS A DISCLOSED FLOOR AND CARRIES NO WEIGHT IN THE ANSWER AT ALL, which is a change from an earlier edition where it carried 15% of a blend. It inherits the same cost of equity as the cash-flow model rather than testing it independently, and carrying value is a poor description of what a fleet is worth; a floor is what it is good for.</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11.07×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1,121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11.07×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6.48</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669</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23,998</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20,219</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10.49×</w:t>
            </w:r>
          </w:p>
        </w:tc>
        <w:tc>
          <w:tcPr>
            <w:tcW w:type="dxa" w:w="1598"/>
          </w:tcPr>
          <w:p>
            <w:pPr>
              <w:spacing w:after="20"/>
              <w:jc w:val="right"/>
            </w:pPr>
            <w:r>
              <w:rPr>
                <w:color w:val="1C3A36"/>
                <w:sz w:val="16"/>
              </w:rPr>
              <w:t>23,162</w:t>
            </w:r>
          </w:p>
        </w:tc>
        <w:tc>
          <w:tcPr>
            <w:tcW w:type="dxa" w:w="3456"/>
          </w:tcPr>
          <w:p>
            <w:pPr>
              <w:spacing w:after="20"/>
              <w:jc w:val="left"/>
            </w:pPr>
            <w:r>
              <w:rPr>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central, which rests on the cash-flow model and the three lenses beside it. On the exposure share re-based to the leg it is applied to — the memorandum row above, and the more defensible construction of the two — the cross-check reads AED 9.62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1,234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1,234</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0.1668</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7.13</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8.92</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7.81 – 12.03</w:t>
            </w:r>
          </w:p>
        </w:tc>
      </w:tr>
    </w:tbl>
    <w:p>
      <w:pPr>
        <w:spacing w:after="40"/>
      </w:pPr>
    </w:p>
    <w:p>
      <w:pPr>
        <w:spacing w:after="200" w:before="0"/>
      </w:pPr>
      <w:r>
        <w:rPr>
          <w:b w:val="0"/>
          <w:i/>
          <w:color w:val="6E7B77"/>
          <w:sz w:val="17"/>
        </w:rPr>
        <w:t>The two constructions disagree by a wide margin — AED 10.72 against AED 7.13 — and the gap is depreciation and the perpetual coupon. This is a young fleet: depreciation runs from 26.3% of earnings before interest, tax, depreciation and amortisation in the lightest forecast year to 35.7%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THIS READ IS RETIRED AS A LENS FOR THIS COMPANY accordingly — it carried 20% of an earlier edition's blend and carries none of the answer now.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centrals, against the market price of AED 6.16. Each central is the CASH-FLOW LENS on its own regressor rather than an average of the bars beside it.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Role in this study</w:t>
            </w:r>
          </w:p>
        </w:tc>
        <w:tc>
          <w:tcPr>
            <w:tcW w:type="dxa" w:w="1642"/>
            <w:shd w:val="clear" w:color="auto" w:fill="EAF0EE"/>
          </w:tcPr>
          <w:p>
            <w:pPr>
              <w:spacing w:after="20"/>
            </w:pPr>
            <w:r>
              <w:rPr>
                <w:b/>
                <w:color w:val="1C3A36"/>
                <w:sz w:val="17"/>
              </w:rPr>
              <w:t>Weight in the RETIRED blend</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3.04</w:t>
            </w:r>
          </w:p>
        </w:tc>
        <w:tc>
          <w:tcPr>
            <w:tcW w:type="dxa" w:w="1238"/>
          </w:tcPr>
          <w:p>
            <w:pPr>
              <w:spacing w:after="20"/>
              <w:jc w:val="right"/>
            </w:pPr>
            <w:r>
              <w:rPr>
                <w:color w:val="1C3A36"/>
                <w:sz w:val="17"/>
              </w:rPr>
              <w:t>5.61</w:t>
            </w:r>
          </w:p>
        </w:tc>
        <w:tc>
          <w:tcPr>
            <w:tcW w:type="dxa" w:w="1238"/>
          </w:tcPr>
          <w:p>
            <w:pPr>
              <w:spacing w:after="20"/>
              <w:jc w:val="right"/>
            </w:pPr>
            <w:r>
              <w:rPr>
                <w:color w:val="1C3A36"/>
                <w:sz w:val="17"/>
              </w:rPr>
              <w:t>10.18</w:t>
            </w:r>
          </w:p>
        </w:tc>
        <w:tc>
          <w:tcPr>
            <w:tcW w:type="dxa" w:w="1238"/>
          </w:tcPr>
          <w:p>
            <w:pPr>
              <w:spacing w:after="20"/>
              <w:jc w:val="right"/>
            </w:pPr>
            <w:r>
              <w:rPr>
                <w:color w:val="1C3A36"/>
                <w:sz w:val="17"/>
              </w:rPr>
              <w:t>PRIMARY — this is the central</w:t>
            </w:r>
          </w:p>
        </w:tc>
        <w:tc>
          <w:tcPr>
            <w:tcW w:type="dxa" w:w="1642"/>
          </w:tcPr>
          <w:p>
            <w:pPr>
              <w:spacing w:after="20"/>
              <w:jc w:val="right"/>
            </w:pPr>
            <w:r>
              <w:rPr>
                <w:color w:val="1C3A36"/>
                <w:sz w:val="17"/>
              </w:rPr>
              <w:t>40%</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cross-check</w:t>
            </w:r>
          </w:p>
        </w:tc>
        <w:tc>
          <w:tcPr>
            <w:tcW w:type="dxa" w:w="1642"/>
          </w:tcPr>
          <w:p>
            <w:pPr>
              <w:spacing w:after="20"/>
              <w:jc w:val="right"/>
            </w:pPr>
            <w:r>
              <w:rPr>
                <w:color w:val="1C3A36"/>
                <w:sz w:val="17"/>
              </w:rPr>
              <w:t>25%</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7.81</w:t>
            </w:r>
          </w:p>
        </w:tc>
        <w:tc>
          <w:tcPr>
            <w:tcW w:type="dxa" w:w="1238"/>
          </w:tcPr>
          <w:p>
            <w:pPr>
              <w:spacing w:after="20"/>
              <w:jc w:val="right"/>
            </w:pPr>
            <w:r>
              <w:rPr>
                <w:color w:val="1C3A36"/>
                <w:sz w:val="17"/>
              </w:rPr>
              <w:t>8.92</w:t>
            </w:r>
          </w:p>
        </w:tc>
        <w:tc>
          <w:tcPr>
            <w:tcW w:type="dxa" w:w="1238"/>
          </w:tcPr>
          <w:p>
            <w:pPr>
              <w:spacing w:after="20"/>
              <w:jc w:val="right"/>
            </w:pPr>
            <w:r>
              <w:rPr>
                <w:color w:val="1C3A36"/>
                <w:sz w:val="17"/>
              </w:rPr>
              <w:t>12.03</w:t>
            </w:r>
          </w:p>
        </w:tc>
        <w:tc>
          <w:tcPr>
            <w:tcW w:type="dxa" w:w="1238"/>
          </w:tcPr>
          <w:p>
            <w:pPr>
              <w:spacing w:after="20"/>
              <w:jc w:val="right"/>
            </w:pPr>
            <w:r>
              <w:rPr>
                <w:color w:val="1C3A36"/>
                <w:sz w:val="17"/>
              </w:rPr>
              <w:t>RETIRED for this class</w:t>
            </w:r>
          </w:p>
        </w:tc>
        <w:tc>
          <w:tcPr>
            <w:tcW w:type="dxa" w:w="1642"/>
          </w:tcPr>
          <w:p>
            <w:pPr>
              <w:spacing w:after="20"/>
              <w:jc w:val="right"/>
            </w:pPr>
            <w:r>
              <w:rPr>
                <w:color w:val="1C3A36"/>
                <w:sz w:val="17"/>
              </w:rPr>
              <w:t>20%</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2.41</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5.41</w:t>
            </w:r>
          </w:p>
        </w:tc>
        <w:tc>
          <w:tcPr>
            <w:tcW w:type="dxa" w:w="1238"/>
          </w:tcPr>
          <w:p>
            <w:pPr>
              <w:spacing w:after="20"/>
              <w:jc w:val="right"/>
            </w:pPr>
            <w:r>
              <w:rPr>
                <w:color w:val="1C3A36"/>
                <w:sz w:val="17"/>
              </w:rPr>
              <w:t>disclosed floor, never weighted</w:t>
            </w:r>
          </w:p>
        </w:tc>
        <w:tc>
          <w:tcPr>
            <w:tcW w:type="dxa" w:w="1642"/>
          </w:tcPr>
          <w:p>
            <w:pPr>
              <w:spacing w:after="20"/>
              <w:jc w:val="right"/>
            </w:pPr>
            <w:r>
              <w:rPr>
                <w:color w:val="1C3A36"/>
                <w:sz w:val="17"/>
              </w:rPr>
              <w:t>15%</w:t>
            </w:r>
          </w:p>
        </w:tc>
      </w:tr>
      <w:tr>
        <w:trPr>
          <w:cantSplit/>
        </w:trPr>
        <w:tc>
          <w:tcPr>
            <w:tcW w:type="dxa" w:w="3485"/>
            <w:shd w:val="clear" w:color="auto" w:fill="F6F1E6"/>
          </w:tcPr>
          <w:p>
            <w:pPr>
              <w:spacing w:after="20"/>
            </w:pPr>
            <w:r>
              <w:rPr>
                <w:b/>
                <w:color w:val="1C3A36"/>
                <w:sz w:val="17"/>
              </w:rPr>
              <w:t>Central — published index</w:t>
            </w:r>
          </w:p>
        </w:tc>
        <w:tc>
          <w:tcPr>
            <w:tcW w:type="dxa" w:w="1238"/>
            <w:shd w:val="clear" w:color="auto" w:fill="F6F1E6"/>
          </w:tcPr>
          <w:p>
            <w:pPr>
              <w:spacing w:after="20"/>
              <w:jc w:val="right"/>
            </w:pPr>
            <w:r>
              <w:rPr>
                <w:b/>
                <w:color w:val="1C3A36"/>
                <w:sz w:val="17"/>
              </w:rPr>
              <w:t>3.04</w:t>
            </w:r>
          </w:p>
        </w:tc>
        <w:tc>
          <w:tcPr>
            <w:tcW w:type="dxa" w:w="1238"/>
            <w:shd w:val="clear" w:color="auto" w:fill="F6F1E6"/>
          </w:tcPr>
          <w:p>
            <w:pPr>
              <w:spacing w:after="20"/>
              <w:jc w:val="right"/>
            </w:pPr>
            <w:r>
              <w:rPr>
                <w:b/>
                <w:color w:val="1C3A36"/>
                <w:sz w:val="17"/>
              </w:rPr>
              <w:t>5.61</w:t>
            </w:r>
          </w:p>
        </w:tc>
        <w:tc>
          <w:tcPr>
            <w:tcW w:type="dxa" w:w="1238"/>
            <w:shd w:val="clear" w:color="auto" w:fill="F6F1E6"/>
          </w:tcPr>
          <w:p>
            <w:pPr>
              <w:spacing w:after="20"/>
              <w:jc w:val="right"/>
            </w:pPr>
            <w:r>
              <w:rPr>
                <w:b/>
                <w:color w:val="1C3A36"/>
                <w:sz w:val="17"/>
              </w:rPr>
              <w:t>10.18</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8.02</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the same lens on the other regressor</w:t>
            </w:r>
          </w:p>
        </w:tc>
        <w:tc>
          <w:tcPr>
            <w:tcW w:type="dxa" w:w="1642"/>
          </w:tcPr>
          <w:p>
            <w:pPr>
              <w:spacing w:after="20"/>
              <w:jc w:val="right"/>
            </w:pPr>
            <w:r>
              <w:rPr>
                <w:color w:val="1C3A36"/>
                <w:sz w:val="17"/>
              </w:rPr>
              <w:t>—</w:t>
            </w:r>
          </w:p>
        </w:tc>
      </w:tr>
      <w:tr>
        <w:trPr>
          <w:cantSplit/>
        </w:trPr>
        <w:tc>
          <w:tcPr>
            <w:tcW w:type="dxa" w:w="3485"/>
            <w:shd w:val="clear" w:color="auto" w:fill="F6F1E6"/>
          </w:tcPr>
          <w:p>
            <w:pPr>
              <w:spacing w:after="20"/>
            </w:pPr>
            <w:r>
              <w:rPr>
                <w:b/>
                <w:color w:val="1C3A36"/>
                <w:sz w:val="17"/>
              </w:rPr>
              <w:t>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8.02</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MEMO — the retired blend at its typed weights</w:t>
            </w:r>
          </w:p>
        </w:tc>
        <w:tc>
          <w:tcPr>
            <w:tcW w:type="dxa" w:w="1238"/>
          </w:tcPr>
          <w:p>
            <w:pPr>
              <w:spacing w:after="20"/>
              <w:jc w:val="right"/>
            </w:pPr>
            <w:r>
              <w:rPr>
                <w:color w:val="1C3A36"/>
                <w:sz w:val="17"/>
              </w:rPr>
              <w:t>—</w:t>
            </w:r>
          </w:p>
        </w:tc>
        <w:tc>
          <w:tcPr>
            <w:tcW w:type="dxa" w:w="1238"/>
          </w:tcPr>
          <w:p>
            <w:pPr>
              <w:spacing w:after="20"/>
              <w:jc w:val="right"/>
            </w:pPr>
            <w:r>
              <w:rPr>
                <w:color w:val="1C3A36"/>
                <w:sz w:val="17"/>
              </w:rPr>
              <w:t>6.74</w:t>
            </w:r>
          </w:p>
        </w:tc>
        <w:tc>
          <w:tcPr>
            <w:tcW w:type="dxa" w:w="1238"/>
          </w:tcPr>
          <w:p>
            <w:pPr>
              <w:spacing w:after="20"/>
              <w:jc w:val="right"/>
            </w:pPr>
            <w:r>
              <w:rPr>
                <w:color w:val="1C3A36"/>
                <w:sz w:val="17"/>
              </w:rPr>
              <w:t>—</w:t>
            </w:r>
          </w:p>
        </w:tc>
        <w:tc>
          <w:tcPr>
            <w:tcW w:type="dxa" w:w="1238"/>
          </w:tcPr>
          <w:p>
            <w:pPr>
              <w:spacing w:after="20"/>
              <w:jc w:val="right"/>
            </w:pPr>
            <w:r>
              <w:rPr>
                <w:color w:val="1C3A36"/>
                <w:sz w:val="17"/>
              </w:rPr>
              <w:t>RETIRED: two of its four weights are forbidden outright</w:t>
            </w:r>
          </w:p>
        </w:tc>
        <w:tc>
          <w:tcPr>
            <w:tcW w:type="dxa" w:w="1642"/>
          </w:tcPr>
          <w:p>
            <w:pPr>
              <w:spacing w:after="20"/>
              <w:jc w:val="right"/>
            </w:pPr>
            <w:r>
              <w:rPr>
                <w:color w:val="1C3A36"/>
                <w:sz w:val="17"/>
              </w:rPr>
              <w:t>100%</w:t>
            </w:r>
          </w:p>
        </w:tc>
      </w:tr>
    </w:tbl>
    <w:p>
      <w:pPr>
        <w:spacing w:after="40"/>
      </w:pPr>
    </w:p>
    <w:p>
      <w:pPr>
        <w:spacing w:after="200" w:before="0"/>
      </w:pPr>
      <w:r>
        <w:rPr>
          <w:b w:val="0"/>
          <w:i/>
          <w:color w:val="6E7B77"/>
          <w:sz w:val="17"/>
        </w:rPr>
        <w:t>THE LAST COLUMN DOES NOT BUILD THE CENTRAL AND IS PRINTED SO THAT A READER CAN SEE WHAT WAS RETIRED. The central is the cash-flow lens on its own; the other three reads are cross-checks published beside it, and the memo row at the foot shows where the retired blend of those weights would have landed. Two of its four weights were forbidden outright rather than merely unevidenced — book value is a disclosed floor that is never weighted, and normalised earnings is not a lens for a fleet whose day rates are this cyclical.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0.690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8.92, the furthest above the market of the four. The two that state a cost of equity rather than importing one land lower: the cash-flow model at AED 5.61, close to the screen, and the book lens at AED 3.66,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5.61, 9% below the market price. Measuring the market as an equal-weight composite instead lifts that to AED 8.02, 30% above the market price. Neither figure supports a claim that this share is materially mispriced: on the adopted construction the centre of the evidence sits about 9%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2,613</w:t>
            </w:r>
          </w:p>
        </w:tc>
        <w:tc>
          <w:tcPr>
            <w:tcW w:type="dxa" w:w="1382"/>
          </w:tcPr>
          <w:p>
            <w:pPr>
              <w:spacing w:after="20"/>
              <w:jc w:val="right"/>
            </w:pPr>
            <w:r>
              <w:rPr>
                <w:color w:val="1C3A36"/>
                <w:sz w:val="16"/>
              </w:rPr>
              <w:t>3,157</w:t>
            </w:r>
          </w:p>
        </w:tc>
        <w:tc>
          <w:tcPr>
            <w:tcW w:type="dxa" w:w="1382"/>
          </w:tcPr>
          <w:p>
            <w:pPr>
              <w:spacing w:after="20"/>
              <w:jc w:val="right"/>
            </w:pPr>
            <w:r>
              <w:rPr>
                <w:color w:val="1C3A36"/>
                <w:sz w:val="16"/>
              </w:rPr>
              <w:t>3,029</w:t>
            </w:r>
          </w:p>
        </w:tc>
        <w:tc>
          <w:tcPr>
            <w:tcW w:type="dxa" w:w="1382"/>
          </w:tcPr>
          <w:p>
            <w:pPr>
              <w:spacing w:after="20"/>
              <w:jc w:val="right"/>
            </w:pPr>
            <w:r>
              <w:rPr>
                <w:color w:val="1C3A36"/>
                <w:sz w:val="16"/>
              </w:rPr>
              <w:t>2,654</w:t>
            </w:r>
          </w:p>
        </w:tc>
        <w:tc>
          <w:tcPr>
            <w:tcW w:type="dxa" w:w="1382"/>
          </w:tcPr>
          <w:p>
            <w:pPr>
              <w:spacing w:after="20"/>
              <w:jc w:val="right"/>
            </w:pPr>
            <w:r>
              <w:rPr>
                <w:color w:val="1C3A36"/>
                <w:sz w:val="16"/>
              </w:rPr>
              <w:t>2,193</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5,004</w:t>
            </w:r>
          </w:p>
        </w:tc>
        <w:tc>
          <w:tcPr>
            <w:tcW w:type="dxa" w:w="1382"/>
            <w:shd w:val="clear" w:color="auto" w:fill="F6F1E6"/>
          </w:tcPr>
          <w:p>
            <w:pPr>
              <w:spacing w:after="20"/>
              <w:jc w:val="right"/>
            </w:pPr>
            <w:r>
              <w:rPr>
                <w:b/>
                <w:color w:val="1C3A36"/>
                <w:sz w:val="16"/>
              </w:rPr>
              <w:t>5,721</w:t>
            </w:r>
          </w:p>
        </w:tc>
        <w:tc>
          <w:tcPr>
            <w:tcW w:type="dxa" w:w="1382"/>
            <w:shd w:val="clear" w:color="auto" w:fill="F6F1E6"/>
          </w:tcPr>
          <w:p>
            <w:pPr>
              <w:spacing w:after="20"/>
              <w:jc w:val="right"/>
            </w:pPr>
            <w:r>
              <w:rPr>
                <w:b/>
                <w:color w:val="1C3A36"/>
                <w:sz w:val="16"/>
              </w:rPr>
              <w:t>5,745</w:t>
            </w:r>
          </w:p>
        </w:tc>
        <w:tc>
          <w:tcPr>
            <w:tcW w:type="dxa" w:w="1382"/>
            <w:shd w:val="clear" w:color="auto" w:fill="F6F1E6"/>
          </w:tcPr>
          <w:p>
            <w:pPr>
              <w:spacing w:after="20"/>
              <w:jc w:val="right"/>
            </w:pPr>
            <w:r>
              <w:rPr>
                <w:b/>
                <w:color w:val="1C3A36"/>
                <w:sz w:val="16"/>
              </w:rPr>
              <w:t>5,500</w:t>
            </w:r>
          </w:p>
        </w:tc>
        <w:tc>
          <w:tcPr>
            <w:tcW w:type="dxa" w:w="1382"/>
            <w:shd w:val="clear" w:color="auto" w:fill="F6F1E6"/>
          </w:tcPr>
          <w:p>
            <w:pPr>
              <w:spacing w:after="20"/>
              <w:jc w:val="right"/>
            </w:pPr>
            <w:r>
              <w:rPr>
                <w:b/>
                <w:color w:val="1C3A36"/>
                <w:sz w:val="16"/>
              </w:rPr>
              <w:t>5,175</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2,507</w:t>
            </w:r>
          </w:p>
        </w:tc>
        <w:tc>
          <w:tcPr>
            <w:tcW w:type="dxa" w:w="1382"/>
            <w:shd w:val="clear" w:color="auto" w:fill="F6F1E6"/>
          </w:tcPr>
          <w:p>
            <w:pPr>
              <w:spacing w:after="20"/>
              <w:jc w:val="right"/>
            </w:pPr>
            <w:r>
              <w:rPr>
                <w:b/>
                <w:color w:val="1C3A36"/>
                <w:sz w:val="16"/>
              </w:rPr>
              <w:t>2,312</w:t>
            </w:r>
          </w:p>
        </w:tc>
        <w:tc>
          <w:tcPr>
            <w:tcW w:type="dxa" w:w="1382"/>
            <w:shd w:val="clear" w:color="auto" w:fill="F6F1E6"/>
          </w:tcPr>
          <w:p>
            <w:pPr>
              <w:spacing w:after="20"/>
              <w:jc w:val="right"/>
            </w:pPr>
            <w:r>
              <w:rPr>
                <w:b/>
                <w:color w:val="1C3A36"/>
                <w:sz w:val="16"/>
              </w:rPr>
              <w:t>2,059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1,627</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1,613</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2,613</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6.97 a share against the base case's AED 5.61.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1.82 a share — and that range is wide enough to carry fair value across the market price, which it reaches between the 110% and 120% anchors. Widening the beta across the 0.690-to-1.621 range tested in section 1.9 moves it by AED 4.16, which is 2.3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3.98%</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0.690</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9.35%</w:t>
            </w:r>
          </w:p>
        </w:tc>
        <w:tc>
          <w:tcPr>
            <w:tcW w:type="dxa" w:w="5371"/>
            <w:shd w:val="clear" w:color="auto" w:fill="F6F1E6"/>
          </w:tcPr>
          <w:p>
            <w:pPr>
              <w:spacing w:after="20"/>
              <w:jc w:val="left"/>
            </w:pPr>
            <w:r>
              <w:rPr>
                <w:b/>
                <w:color w:val="1C3A36"/>
                <w:sz w:val="16"/>
              </w:rPr>
              <w:t>adjusted risk-free rate plus beta times the premium. On the equal-weight composite's 0.690 it would be 7.42%;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5.69%</w:t>
            </w:r>
          </w:p>
        </w:tc>
        <w:tc>
          <w:tcPr>
            <w:tcW w:type="dxa" w:w="1037"/>
          </w:tcPr>
          <w:p>
            <w:pPr>
              <w:spacing w:after="20"/>
              <w:jc w:val="right"/>
            </w:pPr>
            <w:r>
              <w:rPr>
                <w:color w:val="1C3A36"/>
                <w:sz w:val="16"/>
              </w:rPr>
              <w:t>5.61%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5.18%</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5.23%</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9.08% to 8.55% and the terminal rate from 9.00% to 8.52%</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8.55%</w:t>
            </w:r>
          </w:p>
        </w:tc>
        <w:tc>
          <w:tcPr>
            <w:tcW w:type="dxa" w:w="1037"/>
          </w:tcPr>
          <w:p>
            <w:pPr>
              <w:spacing w:after="20"/>
              <w:jc w:val="right"/>
            </w:pPr>
            <w:r>
              <w:rPr>
                <w:color w:val="1C3A36"/>
                <w:sz w:val="16"/>
              </w:rPr>
              <w:t>8.52%</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8.54% · 8.54% · 8.53% · 8.52% · 8.52%</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0.690</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0.167 on 165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0.802</w:t>
            </w:r>
          </w:p>
        </w:tc>
        <w:tc>
          <w:tcPr>
            <w:tcW w:type="dxa" w:w="6019"/>
          </w:tcPr>
          <w:p>
            <w:pPr>
              <w:spacing w:after="20"/>
              <w:jc w:val="left"/>
            </w:pPr>
            <w:r>
              <w:rPr>
                <w:color w:val="1C3A36"/>
                <w:sz w:val="16"/>
              </w:rPr>
              <w:t>ADX + DFM equal-weight composite; disclosed, not adopted. R-squared 0.196 across 27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0.413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0.202,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5.69%</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0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0.690 — cost of equity 7.42% instead of 9.43%</w:t>
            </w:r>
          </w:p>
        </w:tc>
        <w:tc>
          <w:tcPr>
            <w:tcW w:type="dxa" w:w="1843"/>
          </w:tcPr>
          <w:p>
            <w:pPr>
              <w:spacing w:after="20"/>
            </w:pPr>
            <w:r>
              <w:rPr>
                <w:color w:val="1C3A36"/>
                <w:sz w:val="15"/>
              </w:rPr>
              <w:t>AED 8.02 against 5.61</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6.02, +0.42 against 5.61</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3.98% long-run anchor used</w:t>
            </w:r>
          </w:p>
        </w:tc>
        <w:tc>
          <w:tcPr>
            <w:tcW w:type="dxa" w:w="1843"/>
          </w:tcPr>
          <w:p>
            <w:pPr>
              <w:spacing w:after="20"/>
            </w:pPr>
            <w:r>
              <w:rPr>
                <w:color w:val="1C3A36"/>
                <w:sz w:val="15"/>
              </w:rPr>
              <w:t>raises the terminal risk-free rate by 8 basis points and the value with it. It has no row of its own in the grid overleaf, so the closest read-across is the beta: a step of 0.203 in the beta moves the cost of equity by about the same amount and is worth AED 1.02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4.51 against 5.61</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0.900 and 1.103 rows, and in the rate-anchor range between the 110% and 120%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0.690</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7.35</w:t>
            </w:r>
          </w:p>
        </w:tc>
        <w:tc>
          <w:tcPr>
            <w:tcW w:type="dxa" w:w="1555"/>
          </w:tcPr>
          <w:p>
            <w:pPr>
              <w:spacing w:after="20"/>
              <w:jc w:val="right"/>
            </w:pPr>
            <w:r>
              <w:rPr>
                <w:color w:val="1C3A36"/>
                <w:sz w:val="16"/>
              </w:rPr>
              <w:t>6.21</w:t>
            </w:r>
          </w:p>
        </w:tc>
        <w:tc>
          <w:tcPr>
            <w:tcW w:type="dxa" w:w="1555"/>
          </w:tcPr>
          <w:p>
            <w:pPr>
              <w:spacing w:after="20"/>
              <w:jc w:val="right"/>
            </w:pPr>
            <w:r>
              <w:rPr>
                <w:color w:val="1C3A36"/>
                <w:sz w:val="16"/>
              </w:rPr>
              <w:t>5.35</w:t>
            </w:r>
          </w:p>
        </w:tc>
        <w:tc>
          <w:tcPr>
            <w:tcW w:type="dxa" w:w="1555"/>
          </w:tcPr>
          <w:p>
            <w:pPr>
              <w:spacing w:after="20"/>
              <w:jc w:val="right"/>
            </w:pPr>
            <w:r>
              <w:rPr>
                <w:color w:val="1C3A36"/>
                <w:sz w:val="16"/>
              </w:rPr>
              <w:t>4.52</w:t>
            </w:r>
          </w:p>
        </w:tc>
        <w:tc>
          <w:tcPr>
            <w:tcW w:type="dxa" w:w="1555"/>
          </w:tcPr>
          <w:p>
            <w:pPr>
              <w:spacing w:after="20"/>
              <w:jc w:val="right"/>
            </w:pPr>
            <w:r>
              <w:rPr>
                <w:color w:val="1C3A36"/>
                <w:sz w:val="16"/>
              </w:rPr>
              <w:t>3.80</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7.65</w:t>
            </w:r>
          </w:p>
        </w:tc>
        <w:tc>
          <w:tcPr>
            <w:tcW w:type="dxa" w:w="1555"/>
          </w:tcPr>
          <w:p>
            <w:pPr>
              <w:spacing w:after="20"/>
              <w:jc w:val="right"/>
            </w:pPr>
            <w:r>
              <w:rPr>
                <w:color w:val="1C3A36"/>
                <w:sz w:val="16"/>
              </w:rPr>
              <w:t>6.40</w:t>
            </w:r>
          </w:p>
        </w:tc>
        <w:tc>
          <w:tcPr>
            <w:tcW w:type="dxa" w:w="1555"/>
          </w:tcPr>
          <w:p>
            <w:pPr>
              <w:spacing w:after="20"/>
              <w:jc w:val="right"/>
            </w:pPr>
            <w:r>
              <w:rPr>
                <w:color w:val="1C3A36"/>
                <w:sz w:val="16"/>
              </w:rPr>
              <w:t>5.47</w:t>
            </w:r>
          </w:p>
        </w:tc>
        <w:tc>
          <w:tcPr>
            <w:tcW w:type="dxa" w:w="1555"/>
          </w:tcPr>
          <w:p>
            <w:pPr>
              <w:spacing w:after="20"/>
              <w:jc w:val="right"/>
            </w:pPr>
            <w:r>
              <w:rPr>
                <w:color w:val="1C3A36"/>
                <w:sz w:val="16"/>
              </w:rPr>
              <w:t>4.58</w:t>
            </w:r>
          </w:p>
        </w:tc>
        <w:tc>
          <w:tcPr>
            <w:tcW w:type="dxa" w:w="1555"/>
          </w:tcPr>
          <w:p>
            <w:pPr>
              <w:spacing w:after="20"/>
              <w:jc w:val="right"/>
            </w:pPr>
            <w:r>
              <w:rPr>
                <w:color w:val="1C3A36"/>
                <w:sz w:val="16"/>
              </w:rPr>
              <w:t>3.83</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8.02</w:t>
            </w:r>
          </w:p>
        </w:tc>
        <w:tc>
          <w:tcPr>
            <w:tcW w:type="dxa" w:w="1555"/>
          </w:tcPr>
          <w:p>
            <w:pPr>
              <w:spacing w:after="20"/>
              <w:jc w:val="right"/>
            </w:pPr>
            <w:r>
              <w:rPr>
                <w:color w:val="1C3A36"/>
                <w:sz w:val="16"/>
              </w:rPr>
              <w:t>6.62</w:t>
            </w:r>
          </w:p>
        </w:tc>
        <w:tc>
          <w:tcPr>
            <w:tcW w:type="dxa" w:w="1555"/>
          </w:tcPr>
          <w:p>
            <w:pPr>
              <w:spacing w:after="20"/>
              <w:jc w:val="right"/>
            </w:pPr>
            <w:r>
              <w:rPr>
                <w:color w:val="1C3A36"/>
                <w:sz w:val="16"/>
              </w:rPr>
              <w:t>5.61</w:t>
            </w:r>
          </w:p>
        </w:tc>
        <w:tc>
          <w:tcPr>
            <w:tcW w:type="dxa" w:w="1555"/>
          </w:tcPr>
          <w:p>
            <w:pPr>
              <w:spacing w:after="20"/>
              <w:jc w:val="right"/>
            </w:pPr>
            <w:r>
              <w:rPr>
                <w:color w:val="1C3A36"/>
                <w:sz w:val="16"/>
              </w:rPr>
              <w:t>4.66</w:t>
            </w:r>
          </w:p>
        </w:tc>
        <w:tc>
          <w:tcPr>
            <w:tcW w:type="dxa" w:w="1555"/>
          </w:tcPr>
          <w:p>
            <w:pPr>
              <w:spacing w:after="20"/>
              <w:jc w:val="right"/>
            </w:pPr>
            <w:r>
              <w:rPr>
                <w:color w:val="1C3A36"/>
                <w:sz w:val="16"/>
              </w:rPr>
              <w:t>3.86</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8.46</w:t>
            </w:r>
          </w:p>
        </w:tc>
        <w:tc>
          <w:tcPr>
            <w:tcW w:type="dxa" w:w="1555"/>
          </w:tcPr>
          <w:p>
            <w:pPr>
              <w:spacing w:after="20"/>
              <w:jc w:val="right"/>
            </w:pPr>
            <w:r>
              <w:rPr>
                <w:color w:val="1C3A36"/>
                <w:sz w:val="16"/>
              </w:rPr>
              <w:t>6.88</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4.74</w:t>
            </w:r>
          </w:p>
        </w:tc>
        <w:tc>
          <w:tcPr>
            <w:tcW w:type="dxa" w:w="1555"/>
          </w:tcPr>
          <w:p>
            <w:pPr>
              <w:spacing w:after="20"/>
              <w:jc w:val="right"/>
            </w:pPr>
            <w:r>
              <w:rPr>
                <w:color w:val="1C3A36"/>
                <w:sz w:val="16"/>
              </w:rPr>
              <w:t>3.89</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5.61 exactly. The bear case is struck at 1.621, the top of the regression's own 90% confidence interval and the right-hand column here; the bull case is struck at the bottom of that interval, 0.586, which falls outside the grid, below its left-hand 0.690 column. The equal-weight composite alternative is the 0.690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3.04 and 10.18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0.690 – 1.621</w:t>
            </w:r>
          </w:p>
        </w:tc>
        <w:tc>
          <w:tcPr>
            <w:tcW w:type="dxa" w:w="2304"/>
          </w:tcPr>
          <w:p>
            <w:pPr>
              <w:spacing w:after="20"/>
              <w:jc w:val="left"/>
            </w:pPr>
            <w:r>
              <w:rPr>
                <w:color w:val="1C3A36"/>
                <w:sz w:val="16"/>
              </w:rPr>
              <w:t>3.86 – 8.02</w:t>
            </w:r>
          </w:p>
        </w:tc>
        <w:tc>
          <w:tcPr>
            <w:tcW w:type="dxa" w:w="1944"/>
          </w:tcPr>
          <w:p>
            <w:pPr>
              <w:spacing w:after="20"/>
              <w:jc w:val="right"/>
            </w:pPr>
            <w:r>
              <w:rPr>
                <w:color w:val="1C3A36"/>
                <w:sz w:val="16"/>
              </w:rPr>
              <w:t>4.16</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4.70 – 6.51</w:t>
            </w:r>
          </w:p>
        </w:tc>
        <w:tc>
          <w:tcPr>
            <w:tcW w:type="dxa" w:w="1944"/>
          </w:tcPr>
          <w:p>
            <w:pPr>
              <w:spacing w:after="20"/>
              <w:jc w:val="right"/>
            </w:pPr>
            <w:r>
              <w:rPr>
                <w:color w:val="1C3A36"/>
                <w:sz w:val="16"/>
              </w:rPr>
              <w:t>1.82</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4.84 – 5.99</w:t>
            </w:r>
          </w:p>
        </w:tc>
        <w:tc>
          <w:tcPr>
            <w:tcW w:type="dxa" w:w="1944"/>
          </w:tcPr>
          <w:p>
            <w:pPr>
              <w:spacing w:after="20"/>
              <w:jc w:val="right"/>
            </w:pPr>
            <w:r>
              <w:rPr>
                <w:color w:val="1C3A36"/>
                <w:sz w:val="16"/>
              </w:rPr>
              <w:t>1.14</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4.51 – 5.52</w:t>
            </w:r>
          </w:p>
        </w:tc>
        <w:tc>
          <w:tcPr>
            <w:tcW w:type="dxa" w:w="1944"/>
          </w:tcPr>
          <w:p>
            <w:pPr>
              <w:spacing w:after="20"/>
              <w:jc w:val="right"/>
            </w:pPr>
            <w:r>
              <w:rPr>
                <w:color w:val="1C3A36"/>
                <w:sz w:val="16"/>
              </w:rPr>
              <w:t>1.02</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5.35 – 5.76</w:t>
            </w:r>
          </w:p>
        </w:tc>
        <w:tc>
          <w:tcPr>
            <w:tcW w:type="dxa" w:w="1944"/>
          </w:tcPr>
          <w:p>
            <w:pPr>
              <w:spacing w:after="20"/>
              <w:jc w:val="right"/>
            </w:pPr>
            <w:r>
              <w:rPr>
                <w:color w:val="1C3A36"/>
                <w:sz w:val="16"/>
              </w:rPr>
              <w:t>0.41</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3.04 – 10.18</w:t>
            </w:r>
          </w:p>
        </w:tc>
        <w:tc>
          <w:tcPr>
            <w:tcW w:type="dxa" w:w="1944"/>
          </w:tcPr>
          <w:p>
            <w:pPr>
              <w:spacing w:after="20"/>
              <w:jc w:val="right"/>
            </w:pPr>
            <w:r>
              <w:rPr>
                <w:color w:val="1C3A36"/>
                <w:sz w:val="16"/>
              </w:rPr>
              <w:t>7.14</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3.86 against a published bear of 3.04</w:t>
            </w:r>
          </w:p>
        </w:tc>
        <w:tc>
          <w:tcPr>
            <w:tcW w:type="dxa" w:w="1944"/>
          </w:tcPr>
          <w:p>
            <w:pPr>
              <w:spacing w:after="20"/>
              <w:jc w:val="right"/>
            </w:pPr>
            <w:r>
              <w:rPr>
                <w:color w:val="1C3A36"/>
                <w:sz w:val="16"/>
              </w:rPr>
              <w:t>0.82</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0.690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4.51, a loss of AED 1.10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central of AED 5.61 sits between the computed levels of 5.56 and 5.93, the cash-flow lens on its own, at AED 5.61, sits between the computed levels of 5.56 and 5.93, the equal-weight composite reading of AED 8.02 sits above every computed level, the highest of which is 6.60, and the asset lens at AED 3.66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5.61 on the beta measured against the published index, and AED 8.02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5.61, -9%</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8.02, +30%</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5.61, -9%</w:t>
            </w:r>
          </w:p>
        </w:tc>
        <w:tc>
          <w:tcPr>
            <w:tcW w:type="dxa" w:w="4464"/>
          </w:tcPr>
          <w:p>
            <w:pPr>
              <w:spacing w:after="20"/>
            </w:pPr>
            <w:r>
              <w:rPr>
                <w:color w:val="1C3A36"/>
                <w:sz w:val="16"/>
              </w:rPr>
              <w:t>a cost of capital gliding 8.55% to 8.5%</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8.02, +30%</w:t>
            </w:r>
          </w:p>
        </w:tc>
        <w:tc>
          <w:tcPr>
            <w:tcW w:type="dxa" w:w="4464"/>
          </w:tcPr>
          <w:p>
            <w:pPr>
              <w:spacing w:after="20"/>
            </w:pPr>
            <w:r>
              <w:rPr>
                <w:color w:val="1C3A36"/>
                <w:sz w:val="16"/>
              </w:rPr>
              <w:t>the same, gliding 6.94% to 6.9%</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6.97, +13%</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5.61, 9% below the market price; the expert panel in Appendix C, which prices mid-cycle earnings and capitalises no terminal value at all, centres at AED 6.06, 2% below the market price. Two constructions that share no machinery land within AED 0.45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0.690 and the central rises to AED 8.02 — a difference of AED 2.41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0.690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1.82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1.10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0.42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central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6.06</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8.02</w:t>
            </w:r>
          </w:p>
        </w:tc>
        <w:tc>
          <w:tcPr>
            <w:tcW w:type="dxa" w:w="5040"/>
          </w:tcPr>
          <w:p>
            <w:pPr>
              <w:spacing w:after="20"/>
              <w:jc w:val="left"/>
            </w:pPr>
            <w:r>
              <w:rPr>
                <w:color w:val="1C3A36"/>
                <w:sz w:val="16"/>
              </w:rPr>
              <w:t>above the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3.66</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0.690, worth AED 2.41 a share on the cash-flow lens. Across the beta range tested in section 1.9 the swing is AED 4.16,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73% of the cash-flow model's enterprise value is the terminal value on the adopted construction, 78%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684 million by 2030E, against a stated medium-term target of 2.0× to 2.5×. At the low end of that target the 2030E balance sheet would carry about USD 4,117 million of net debt, so the modelled path leaves roughly USD 4,801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read stands in for them AS A DISCLOSED FLOOR rather than as a weighted lens — an earlier edition gave it 15% of a blend.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551 million of the USD 7,377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READ CARRIES NO WEIGHT IN THE ANSWER, which is partly for this reason; an earlier edition gave it 15%.</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cross-checks are less independent of one another than four separate reads sound. </w:t>
      </w:r>
      <w:r>
        <w:rPr>
          <w:color w:val="1C3A36"/>
          <w:sz w:val="21"/>
        </w:rPr>
        <w:t>The relative lens and the normalised lens apply the SAME three multiples to two different earnings denominators — the first forecast year in one, the five-year average of the same forecast in the other. An earlier edition weighted them 45% of its blended central, SO THAT MUCH OF THE HEADLINE RESTED ON ONE METHOD PRESENTED AS TWO READS. Neither carries any of the answer now, which removes the overlap from the central without removing the reads from the page.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4.51.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Central (AED)</w:t>
            </w:r>
          </w:p>
        </w:tc>
        <w:tc>
          <w:tcPr>
            <w:tcW w:type="dxa" w:w="2232"/>
            <w:shd w:val="clear" w:color="auto" w:fill="EAF0EE"/>
          </w:tcPr>
          <w:p>
            <w:pPr>
              <w:spacing w:after="20"/>
            </w:pPr>
            <w:r>
              <w:rPr>
                <w:b/>
                <w:color w:val="1C3A36"/>
                <w:sz w:val="17"/>
              </w:rPr>
              <w:t>Against the market price of 6.16</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+7%</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+7%</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5.61</w:t>
            </w:r>
          </w:p>
        </w:tc>
        <w:tc>
          <w:tcPr>
            <w:tcW w:type="dxa" w:w="2304"/>
            <w:shd w:val="clear" w:color="auto" w:fill="F6F1E6"/>
          </w:tcPr>
          <w:p>
            <w:pPr>
              <w:spacing w:after="20"/>
              <w:jc w:val="right"/>
            </w:pPr>
            <w:r>
              <w:rPr>
                <w:b/>
                <w:color w:val="1C3A36"/>
                <w:sz w:val="17"/>
              </w:rPr>
              <w:t>5.61</w:t>
            </w:r>
          </w:p>
        </w:tc>
        <w:tc>
          <w:tcPr>
            <w:tcW w:type="dxa" w:w="2232"/>
            <w:shd w:val="clear" w:color="auto" w:fill="F6F1E6"/>
          </w:tcPr>
          <w:p>
            <w:pPr>
              <w:spacing w:after="20"/>
              <w:jc w:val="right"/>
            </w:pPr>
            <w:r>
              <w:rPr>
                <w:b/>
                <w:color w:val="1C3A36"/>
                <w:sz w:val="17"/>
              </w:rPr>
              <w:t>-9%</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-0.97,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9.08% to 8.55% and the terminal rate from 9.00% to 8.52%.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89% of earnings. It pays out 24% to 37%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2.27× book, or AED 5.71 a share; residual income gives AED 3.66. The difference no longer reaches the answer at all — at the 15% weight an earlier edition gave this read it was worth about AED 0.31 of the published figure.</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8.0%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328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0.37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2.74× gross-up over the owned fleet's own charter-equivalent revenue, and then applied to a forecast revenue line built at 1.60×. Two conventions on the two sides of one ratio.</w:t>
            </w:r>
          </w:p>
        </w:tc>
        <w:tc>
          <w:tcPr>
            <w:tcW w:type="dxa" w:w="2966"/>
          </w:tcPr>
          <w:p>
            <w:pPr>
              <w:spacing w:after="20"/>
            </w:pPr>
            <w:r>
              <w:rPr>
                <w:color w:val="1C3A36"/>
                <w:sz w:val="15"/>
              </w:rPr>
              <w:t>Re-based onto the basis the forecast uses: 108.4 days becomes 126.4.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5.69%, with the genuinely balance-weighted construction shown beside it at 5.69%. Section 1.8.</w:t>
            </w:r>
          </w:p>
        </w:tc>
        <w:tc>
          <w:tcPr>
            <w:tcW w:type="dxa" w:w="2218"/>
          </w:tcPr>
          <w:p>
            <w:pPr>
              <w:spacing w:after="20"/>
            </w:pPr>
            <w:r>
              <w:rPr>
                <w:color w:val="1C3A36"/>
                <w:sz w:val="15"/>
              </w:rPr>
              <w:t>NO MOVEMENT — the figure did not change, only the description of it. The two constructions are 0 basis points apart on a tranche that is 7.2%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5.80%,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11.07× forward beside 15.97×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5.61 and the central with it — they are the same number, the central being that lens rather than a blend of several — because a higher beta discounts harder. And the bear and bull cases widen, because they are taken from that interval directly rather than chosen: the published range on the cash-flow lens is now AED 3.04 to AED 10.18. An interval that widens on re-measurement is information about how much a three-year price history can settle, and the answer is: less than the previous edition implied. The equal-weight composite reading of 0.690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An earlier edition weighted them 45% of a blended central, so that much of the headline rested on one method presented as two reads. THE ARCHITECTURE RATHER THAN THE READS IS WHAT CHANGED: neither carries any of the answer now, and both are published beside it, so the overlap is visible instead of compounded. Both denominators remain legitimate questions and neither read is redundant on its own terms. It is not neutral in direction — those are the two reads that sit highest — and that is now something a reader can see rather than something buried in a weight.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5,004</w:t>
            </w:r>
          </w:p>
        </w:tc>
        <w:tc>
          <w:tcPr>
            <w:tcW w:type="dxa" w:w="950"/>
          </w:tcPr>
          <w:p>
            <w:pPr>
              <w:spacing w:after="20"/>
              <w:jc w:val="right"/>
            </w:pPr>
            <w:r>
              <w:rPr>
                <w:color w:val="1C3A36"/>
                <w:sz w:val="15"/>
              </w:rPr>
              <w:t>5,721</w:t>
            </w:r>
          </w:p>
        </w:tc>
        <w:tc>
          <w:tcPr>
            <w:tcW w:type="dxa" w:w="950"/>
          </w:tcPr>
          <w:p>
            <w:pPr>
              <w:spacing w:after="20"/>
              <w:jc w:val="right"/>
            </w:pPr>
            <w:r>
              <w:rPr>
                <w:color w:val="1C3A36"/>
                <w:sz w:val="15"/>
              </w:rPr>
              <w:t>5,745</w:t>
            </w:r>
          </w:p>
        </w:tc>
        <w:tc>
          <w:tcPr>
            <w:tcW w:type="dxa" w:w="950"/>
          </w:tcPr>
          <w:p>
            <w:pPr>
              <w:spacing w:after="20"/>
              <w:jc w:val="right"/>
            </w:pPr>
            <w:r>
              <w:rPr>
                <w:color w:val="1C3A36"/>
                <w:sz w:val="15"/>
              </w:rPr>
              <w:t>5,500</w:t>
            </w:r>
          </w:p>
        </w:tc>
        <w:tc>
          <w:tcPr>
            <w:tcW w:type="dxa" w:w="950"/>
          </w:tcPr>
          <w:p>
            <w:pPr>
              <w:spacing w:after="20"/>
              <w:jc w:val="right"/>
            </w:pPr>
            <w:r>
              <w:rPr>
                <w:color w:val="1C3A36"/>
                <w:sz w:val="15"/>
              </w:rPr>
              <w:t>5,175</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(2,918)</w:t>
            </w:r>
          </w:p>
        </w:tc>
        <w:tc>
          <w:tcPr>
            <w:tcW w:type="dxa" w:w="950"/>
          </w:tcPr>
          <w:p>
            <w:pPr>
              <w:spacing w:after="20"/>
              <w:jc w:val="right"/>
            </w:pPr>
            <w:r>
              <w:rPr>
                <w:color w:val="1C3A36"/>
                <w:sz w:val="15"/>
              </w:rPr>
              <w:t>(3,203)</w:t>
            </w:r>
          </w:p>
        </w:tc>
        <w:tc>
          <w:tcPr>
            <w:tcW w:type="dxa" w:w="950"/>
          </w:tcPr>
          <w:p>
            <w:pPr>
              <w:spacing w:after="20"/>
              <w:jc w:val="right"/>
            </w:pPr>
            <w:r>
              <w:rPr>
                <w:color w:val="1C3A36"/>
                <w:sz w:val="15"/>
              </w:rPr>
              <w:t>(3,238)</w:t>
            </w:r>
          </w:p>
        </w:tc>
        <w:tc>
          <w:tcPr>
            <w:tcW w:type="dxa" w:w="950"/>
          </w:tcPr>
          <w:p>
            <w:pPr>
              <w:spacing w:after="20"/>
              <w:jc w:val="right"/>
            </w:pPr>
            <w:r>
              <w:rPr>
                <w:color w:val="1C3A36"/>
                <w:sz w:val="15"/>
              </w:rPr>
              <w:t>(3,188)</w:t>
            </w:r>
          </w:p>
        </w:tc>
        <w:tc>
          <w:tcPr>
            <w:tcW w:type="dxa" w:w="950"/>
          </w:tcPr>
          <w:p>
            <w:pPr>
              <w:spacing w:after="20"/>
              <w:jc w:val="right"/>
            </w:pPr>
            <w:r>
              <w:rPr>
                <w:color w:val="1C3A36"/>
                <w:sz w:val="15"/>
              </w:rPr>
              <w:t>(3,116)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2,507</w:t>
            </w:r>
          </w:p>
        </w:tc>
        <w:tc>
          <w:tcPr>
            <w:tcW w:type="dxa" w:w="950"/>
            <w:shd w:val="clear" w:color="auto" w:fill="F6F1E6"/>
          </w:tcPr>
          <w:p>
            <w:pPr>
              <w:spacing w:after="20"/>
              <w:jc w:val="right"/>
            </w:pPr>
            <w:r>
              <w:rPr>
                <w:b/>
                <w:color w:val="1C3A36"/>
                <w:sz w:val="15"/>
              </w:rPr>
              <w:t>2,312</w:t>
            </w:r>
          </w:p>
        </w:tc>
        <w:tc>
          <w:tcPr>
            <w:tcW w:type="dxa" w:w="950"/>
            <w:shd w:val="clear" w:color="auto" w:fill="F6F1E6"/>
          </w:tcPr>
          <w:p>
            <w:pPr>
              <w:spacing w:after="20"/>
              <w:jc w:val="right"/>
            </w:pPr>
            <w:r>
              <w:rPr>
                <w:b/>
                <w:color w:val="1C3A36"/>
                <w:sz w:val="15"/>
              </w:rPr>
              <w:t>2,059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(576)</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(704)</w:t>
            </w:r>
          </w:p>
        </w:tc>
        <w:tc>
          <w:tcPr>
            <w:tcW w:type="dxa" w:w="950"/>
          </w:tcPr>
          <w:p>
            <w:pPr>
              <w:spacing w:after="20"/>
              <w:jc w:val="right"/>
            </w:pPr>
            <w:r>
              <w:rPr>
                <w:color w:val="1C3A36"/>
                <w:sz w:val="15"/>
              </w:rPr>
              <w:t>(728)</w:t>
            </w:r>
          </w:p>
        </w:tc>
        <w:tc>
          <w:tcPr>
            <w:tcW w:type="dxa" w:w="950"/>
          </w:tcPr>
          <w:p>
            <w:pPr>
              <w:spacing w:after="20"/>
              <w:jc w:val="right"/>
            </w:pPr>
            <w:r>
              <w:rPr>
                <w:color w:val="1C3A36"/>
                <w:sz w:val="15"/>
              </w:rPr>
              <w:t>(734)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1,510</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1,803</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1,325</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(129)</w:t>
            </w:r>
          </w:p>
        </w:tc>
        <w:tc>
          <w:tcPr>
            <w:tcW w:type="dxa" w:w="950"/>
          </w:tcPr>
          <w:p>
            <w:pPr>
              <w:spacing w:after="20"/>
              <w:jc w:val="right"/>
            </w:pPr>
            <w:r>
              <w:rPr>
                <w:color w:val="1C3A36"/>
                <w:sz w:val="15"/>
              </w:rPr>
              <w:t>(149)</w:t>
            </w:r>
          </w:p>
        </w:tc>
        <w:tc>
          <w:tcPr>
            <w:tcW w:type="dxa" w:w="950"/>
          </w:tcPr>
          <w:p>
            <w:pPr>
              <w:spacing w:after="20"/>
              <w:jc w:val="right"/>
            </w:pPr>
            <w:r>
              <w:rPr>
                <w:color w:val="1C3A36"/>
                <w:sz w:val="15"/>
              </w:rPr>
              <w:t>(122)</w:t>
            </w:r>
          </w:p>
        </w:tc>
        <w:tc>
          <w:tcPr>
            <w:tcW w:type="dxa" w:w="950"/>
          </w:tcPr>
          <w:p>
            <w:pPr>
              <w:spacing w:after="20"/>
              <w:jc w:val="right"/>
            </w:pPr>
            <w:r>
              <w:rPr>
                <w:color w:val="1C3A36"/>
                <w:sz w:val="15"/>
              </w:rPr>
              <w:t>(87)</w:t>
            </w:r>
          </w:p>
        </w:tc>
        <w:tc>
          <w:tcPr>
            <w:tcW w:type="dxa" w:w="950"/>
          </w:tcPr>
          <w:p>
            <w:pPr>
              <w:spacing w:after="20"/>
              <w:jc w:val="right"/>
            </w:pPr>
            <w:r>
              <w:rPr>
                <w:color w:val="1C3A36"/>
                <w:sz w:val="15"/>
              </w:rPr>
              <w:t>(27)</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1,381</w:t>
            </w:r>
          </w:p>
        </w:tc>
        <w:tc>
          <w:tcPr>
            <w:tcW w:type="dxa" w:w="950"/>
          </w:tcPr>
          <w:p>
            <w:pPr>
              <w:spacing w:after="20"/>
              <w:jc w:val="right"/>
            </w:pPr>
            <w:r>
              <w:rPr>
                <w:color w:val="1C3A36"/>
                <w:sz w:val="15"/>
              </w:rPr>
              <w:t>1,708</w:t>
            </w:r>
          </w:p>
        </w:tc>
        <w:tc>
          <w:tcPr>
            <w:tcW w:type="dxa" w:w="950"/>
          </w:tcPr>
          <w:p>
            <w:pPr>
              <w:spacing w:after="20"/>
              <w:jc w:val="right"/>
            </w:pPr>
            <w:r>
              <w:rPr>
                <w:color w:val="1C3A36"/>
                <w:sz w:val="15"/>
              </w:rPr>
              <w:t>1,681</w:t>
            </w:r>
          </w:p>
        </w:tc>
        <w:tc>
          <w:tcPr>
            <w:tcW w:type="dxa" w:w="950"/>
          </w:tcPr>
          <w:p>
            <w:pPr>
              <w:spacing w:after="20"/>
              <w:jc w:val="right"/>
            </w:pPr>
            <w:r>
              <w:rPr>
                <w:color w:val="1C3A36"/>
                <w:sz w:val="15"/>
              </w:rPr>
              <w:t>1,498</w:t>
            </w:r>
          </w:p>
        </w:tc>
        <w:tc>
          <w:tcPr>
            <w:tcW w:type="dxa" w:w="950"/>
          </w:tcPr>
          <w:p>
            <w:pPr>
              <w:spacing w:after="20"/>
              <w:jc w:val="right"/>
            </w:pPr>
            <w:r>
              <w:rPr>
                <w:color w:val="1C3A36"/>
                <w:sz w:val="15"/>
              </w:rPr>
              <w:t>1,298</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1,336</w:t>
            </w:r>
          </w:p>
        </w:tc>
        <w:tc>
          <w:tcPr>
            <w:tcW w:type="dxa" w:w="950"/>
          </w:tcPr>
          <w:p>
            <w:pPr>
              <w:spacing w:after="20"/>
              <w:jc w:val="right"/>
            </w:pPr>
            <w:r>
              <w:rPr>
                <w:color w:val="1C3A36"/>
                <w:sz w:val="15"/>
              </w:rPr>
              <w:t>1,655</w:t>
            </w:r>
          </w:p>
        </w:tc>
        <w:tc>
          <w:tcPr>
            <w:tcW w:type="dxa" w:w="950"/>
          </w:tcPr>
          <w:p>
            <w:pPr>
              <w:spacing w:after="20"/>
              <w:jc w:val="right"/>
            </w:pPr>
            <w:r>
              <w:rPr>
                <w:color w:val="1C3A36"/>
                <w:sz w:val="15"/>
              </w:rPr>
              <w:t>1,626</w:t>
            </w:r>
          </w:p>
        </w:tc>
        <w:tc>
          <w:tcPr>
            <w:tcW w:type="dxa" w:w="950"/>
          </w:tcPr>
          <w:p>
            <w:pPr>
              <w:spacing w:after="20"/>
              <w:jc w:val="right"/>
            </w:pPr>
            <w:r>
              <w:rPr>
                <w:color w:val="1C3A36"/>
                <w:sz w:val="15"/>
              </w:rPr>
              <w:t>1,442</w:t>
            </w:r>
          </w:p>
        </w:tc>
        <w:tc>
          <w:tcPr>
            <w:tcW w:type="dxa" w:w="950"/>
          </w:tcPr>
          <w:p>
            <w:pPr>
              <w:spacing w:after="20"/>
              <w:jc w:val="right"/>
            </w:pPr>
            <w:r>
              <w:rPr>
                <w:color w:val="1C3A36"/>
                <w:sz w:val="15"/>
              </w:rPr>
              <w:t>1,240</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(118)</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1,218</w:t>
            </w:r>
          </w:p>
        </w:tc>
        <w:tc>
          <w:tcPr>
            <w:tcW w:type="dxa" w:w="950"/>
            <w:shd w:val="clear" w:color="auto" w:fill="F6F1E6"/>
          </w:tcPr>
          <w:p>
            <w:pPr>
              <w:spacing w:after="20"/>
              <w:jc w:val="right"/>
            </w:pPr>
            <w:r>
              <w:rPr>
                <w:b/>
                <w:color w:val="1C3A36"/>
                <w:sz w:val="15"/>
              </w:rPr>
              <w:t>1,510</w:t>
            </w:r>
          </w:p>
        </w:tc>
        <w:tc>
          <w:tcPr>
            <w:tcW w:type="dxa" w:w="950"/>
            <w:shd w:val="clear" w:color="auto" w:fill="F6F1E6"/>
          </w:tcPr>
          <w:p>
            <w:pPr>
              <w:spacing w:after="20"/>
              <w:jc w:val="right"/>
            </w:pPr>
            <w:r>
              <w:rPr>
                <w:b/>
                <w:color w:val="1C3A36"/>
                <w:sz w:val="15"/>
              </w:rPr>
              <w:t>1,483</w:t>
            </w:r>
          </w:p>
        </w:tc>
        <w:tc>
          <w:tcPr>
            <w:tcW w:type="dxa" w:w="950"/>
            <w:shd w:val="clear" w:color="auto" w:fill="F6F1E6"/>
          </w:tcPr>
          <w:p>
            <w:pPr>
              <w:spacing w:after="20"/>
              <w:jc w:val="right"/>
            </w:pPr>
            <w:r>
              <w:rPr>
                <w:b/>
                <w:color w:val="1C3A36"/>
                <w:sz w:val="15"/>
              </w:rPr>
              <w:t>1,315</w:t>
            </w:r>
          </w:p>
        </w:tc>
        <w:tc>
          <w:tcPr>
            <w:tcW w:type="dxa" w:w="950"/>
            <w:shd w:val="clear" w:color="auto" w:fill="F6F1E6"/>
          </w:tcPr>
          <w:p>
            <w:pPr>
              <w:spacing w:after="20"/>
              <w:jc w:val="right"/>
            </w:pPr>
            <w:r>
              <w:rPr>
                <w:b/>
                <w:color w:val="1C3A36"/>
                <w:sz w:val="15"/>
              </w:rPr>
              <w:t>1,131</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1,121</w:t>
            </w:r>
          </w:p>
        </w:tc>
        <w:tc>
          <w:tcPr>
            <w:tcW w:type="dxa" w:w="950"/>
          </w:tcPr>
          <w:p>
            <w:pPr>
              <w:spacing w:after="20"/>
              <w:jc w:val="right"/>
            </w:pPr>
            <w:r>
              <w:rPr>
                <w:color w:val="1C3A36"/>
                <w:sz w:val="15"/>
              </w:rPr>
              <w:t>1,413</w:t>
            </w:r>
          </w:p>
        </w:tc>
        <w:tc>
          <w:tcPr>
            <w:tcW w:type="dxa" w:w="950"/>
          </w:tcPr>
          <w:p>
            <w:pPr>
              <w:spacing w:after="20"/>
              <w:jc w:val="right"/>
            </w:pPr>
            <w:r>
              <w:rPr>
                <w:color w:val="1C3A36"/>
                <w:sz w:val="15"/>
              </w:rPr>
              <w:t>1,386</w:t>
            </w:r>
          </w:p>
        </w:tc>
        <w:tc>
          <w:tcPr>
            <w:tcW w:type="dxa" w:w="950"/>
          </w:tcPr>
          <w:p>
            <w:pPr>
              <w:spacing w:after="20"/>
              <w:jc w:val="right"/>
            </w:pPr>
            <w:r>
              <w:rPr>
                <w:color w:val="1C3A36"/>
                <w:sz w:val="15"/>
              </w:rPr>
              <w:t>1,218</w:t>
            </w:r>
          </w:p>
        </w:tc>
        <w:tc>
          <w:tcPr>
            <w:tcW w:type="dxa" w:w="950"/>
          </w:tcPr>
          <w:p>
            <w:pPr>
              <w:spacing w:after="20"/>
              <w:jc w:val="right"/>
            </w:pPr>
            <w:r>
              <w:rPr>
                <w:color w:val="1C3A36"/>
                <w:sz w:val="15"/>
              </w:rPr>
              <w:t>1,034</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0.191</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0.165</w:t>
            </w:r>
          </w:p>
        </w:tc>
        <w:tc>
          <w:tcPr>
            <w:tcW w:type="dxa" w:w="950"/>
            <w:shd w:val="clear" w:color="auto" w:fill="F6F1E6"/>
          </w:tcPr>
          <w:p>
            <w:pPr>
              <w:spacing w:after="20"/>
              <w:jc w:val="right"/>
            </w:pPr>
            <w:r>
              <w:rPr>
                <w:b/>
                <w:color w:val="1C3A36"/>
                <w:sz w:val="15"/>
              </w:rPr>
              <w:t>0.140</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0.165</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0.178</w:t>
            </w:r>
          </w:p>
        </w:tc>
        <w:tc>
          <w:tcPr>
            <w:tcW w:type="dxa" w:w="950"/>
          </w:tcPr>
          <w:p>
            <w:pPr>
              <w:spacing w:after="20"/>
              <w:jc w:val="right"/>
            </w:pPr>
            <w:r>
              <w:rPr>
                <w:color w:val="1C3A36"/>
                <w:sz w:val="15"/>
              </w:rPr>
              <w:t>0.153</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8.6%;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946</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788</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3,057</w:t>
            </w:r>
          </w:p>
        </w:tc>
        <w:tc>
          <w:tcPr>
            <w:tcW w:type="dxa" w:w="950"/>
          </w:tcPr>
          <w:p>
            <w:pPr>
              <w:spacing w:after="20"/>
              <w:jc w:val="right"/>
            </w:pPr>
            <w:r>
              <w:rPr>
                <w:color w:val="1C3A36"/>
                <w:sz w:val="15"/>
              </w:rPr>
              <w:t>2,587</w:t>
            </w:r>
          </w:p>
        </w:tc>
        <w:tc>
          <w:tcPr>
            <w:tcW w:type="dxa" w:w="950"/>
          </w:tcPr>
          <w:p>
            <w:pPr>
              <w:spacing w:after="20"/>
              <w:jc w:val="right"/>
            </w:pPr>
            <w:r>
              <w:rPr>
                <w:color w:val="1C3A36"/>
                <w:sz w:val="15"/>
              </w:rPr>
              <w:t>1,966</w:t>
            </w:r>
          </w:p>
        </w:tc>
        <w:tc>
          <w:tcPr>
            <w:tcW w:type="dxa" w:w="950"/>
          </w:tcPr>
          <w:p>
            <w:pPr>
              <w:spacing w:after="20"/>
              <w:jc w:val="right"/>
            </w:pPr>
            <w:r>
              <w:rPr>
                <w:color w:val="1C3A36"/>
                <w:sz w:val="15"/>
              </w:rPr>
              <w:t>914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2,362</w:t>
            </w:r>
          </w:p>
        </w:tc>
        <w:tc>
          <w:tcPr>
            <w:tcW w:type="dxa" w:w="950"/>
          </w:tcPr>
          <w:p>
            <w:pPr>
              <w:spacing w:after="20"/>
              <w:jc w:val="right"/>
            </w:pPr>
            <w:r>
              <w:rPr>
                <w:color w:val="1C3A36"/>
                <w:sz w:val="15"/>
              </w:rPr>
              <w:t>1,892</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219</w:t>
            </w:r>
          </w:p>
        </w:tc>
        <w:tc>
          <w:tcPr>
            <w:tcW w:type="dxa" w:w="950"/>
          </w:tcPr>
          <w:p>
            <w:pPr>
              <w:spacing w:after="20"/>
              <w:jc w:val="right"/>
            </w:pPr>
            <w:r>
              <w:rPr>
                <w:color w:val="1C3A36"/>
                <w:sz w:val="15"/>
              </w:rPr>
              <w:t>(684)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5,854</w:t>
            </w:r>
          </w:p>
        </w:tc>
        <w:tc>
          <w:tcPr>
            <w:tcW w:type="dxa" w:w="950"/>
            <w:shd w:val="clear" w:color="auto" w:fill="F6F1E6"/>
          </w:tcPr>
          <w:p>
            <w:pPr>
              <w:spacing w:after="20"/>
              <w:jc w:val="right"/>
            </w:pPr>
            <w:r>
              <w:rPr>
                <w:b/>
                <w:color w:val="1C3A36"/>
                <w:sz w:val="15"/>
              </w:rPr>
              <w:t>6,909</w:t>
            </w:r>
          </w:p>
        </w:tc>
        <w:tc>
          <w:tcPr>
            <w:tcW w:type="dxa" w:w="950"/>
            <w:shd w:val="clear" w:color="auto" w:fill="F6F1E6"/>
          </w:tcPr>
          <w:p>
            <w:pPr>
              <w:spacing w:after="20"/>
              <w:jc w:val="right"/>
            </w:pPr>
            <w:r>
              <w:rPr>
                <w:b/>
                <w:color w:val="1C3A36"/>
                <w:sz w:val="15"/>
              </w:rPr>
              <w:t>7,918</w:t>
            </w:r>
          </w:p>
        </w:tc>
        <w:tc>
          <w:tcPr>
            <w:tcW w:type="dxa" w:w="950"/>
            <w:shd w:val="clear" w:color="auto" w:fill="F6F1E6"/>
          </w:tcPr>
          <w:p>
            <w:pPr>
              <w:spacing w:after="20"/>
              <w:jc w:val="right"/>
            </w:pPr>
            <w:r>
              <w:rPr>
                <w:b/>
                <w:color w:val="1C3A36"/>
                <w:sz w:val="15"/>
              </w:rPr>
              <w:t>8,742</w:t>
            </w:r>
          </w:p>
        </w:tc>
        <w:tc>
          <w:tcPr>
            <w:tcW w:type="dxa" w:w="950"/>
            <w:shd w:val="clear" w:color="auto" w:fill="F6F1E6"/>
          </w:tcPr>
          <w:p>
            <w:pPr>
              <w:spacing w:after="20"/>
              <w:jc w:val="right"/>
            </w:pPr>
            <w:r>
              <w:rPr>
                <w:b/>
                <w:color w:val="1C3A36"/>
                <w:sz w:val="15"/>
              </w:rPr>
              <w:t>9,361</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0.7912</w:t>
            </w:r>
          </w:p>
        </w:tc>
        <w:tc>
          <w:tcPr>
            <w:tcW w:type="dxa" w:w="950"/>
          </w:tcPr>
          <w:p>
            <w:pPr>
              <w:spacing w:after="20"/>
              <w:jc w:val="right"/>
            </w:pPr>
            <w:r>
              <w:rPr>
                <w:color w:val="1C3A36"/>
                <w:sz w:val="15"/>
              </w:rPr>
              <w:t>0.9338</w:t>
            </w:r>
          </w:p>
        </w:tc>
        <w:tc>
          <w:tcPr>
            <w:tcW w:type="dxa" w:w="950"/>
          </w:tcPr>
          <w:p>
            <w:pPr>
              <w:spacing w:after="20"/>
              <w:jc w:val="right"/>
            </w:pPr>
            <w:r>
              <w:rPr>
                <w:color w:val="1C3A36"/>
                <w:sz w:val="15"/>
              </w:rPr>
              <w:t>1.0703</w:t>
            </w:r>
          </w:p>
        </w:tc>
        <w:tc>
          <w:tcPr>
            <w:tcW w:type="dxa" w:w="950"/>
          </w:tcPr>
          <w:p>
            <w:pPr>
              <w:spacing w:after="20"/>
              <w:jc w:val="right"/>
            </w:pPr>
            <w:r>
              <w:rPr>
                <w:color w:val="1C3A36"/>
                <w:sz w:val="15"/>
              </w:rPr>
              <w:t>1.1815</w:t>
            </w:r>
          </w:p>
        </w:tc>
        <w:tc>
          <w:tcPr>
            <w:tcW w:type="dxa" w:w="950"/>
          </w:tcPr>
          <w:p>
            <w:pPr>
              <w:spacing w:after="20"/>
              <w:jc w:val="right"/>
            </w:pPr>
            <w:r>
              <w:rPr>
                <w:color w:val="1C3A36"/>
                <w:sz w:val="15"/>
              </w:rPr>
              <w:t>1.2652</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-0.33×</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21.9%</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23.7%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(155)</w:t>
            </w:r>
          </w:p>
        </w:tc>
        <w:tc>
          <w:tcPr>
            <w:tcW w:type="dxa" w:w="1382"/>
          </w:tcPr>
          <w:p>
            <w:pPr>
              <w:spacing w:after="20"/>
              <w:jc w:val="right"/>
            </w:pPr>
            <w:r>
              <w:rPr>
                <w:color w:val="1C3A36"/>
                <w:sz w:val="16"/>
              </w:rPr>
              <w:t>(174)</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(112)</w:t>
            </w:r>
          </w:p>
        </w:tc>
        <w:tc>
          <w:tcPr>
            <w:tcW w:type="dxa" w:w="1382"/>
          </w:tcPr>
          <w:p>
            <w:pPr>
              <w:spacing w:after="20"/>
              <w:jc w:val="right"/>
            </w:pPr>
            <w:r>
              <w:rPr>
                <w:color w:val="1C3A36"/>
                <w:sz w:val="16"/>
              </w:rPr>
              <w:t>(52)</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3,057</w:t>
            </w:r>
          </w:p>
        </w:tc>
        <w:tc>
          <w:tcPr>
            <w:tcW w:type="dxa" w:w="1382"/>
          </w:tcPr>
          <w:p>
            <w:pPr>
              <w:spacing w:after="20"/>
              <w:jc w:val="right"/>
            </w:pPr>
            <w:r>
              <w:rPr>
                <w:color w:val="1C3A36"/>
                <w:sz w:val="16"/>
              </w:rPr>
              <w:t>2,587</w:t>
            </w:r>
          </w:p>
        </w:tc>
        <w:tc>
          <w:tcPr>
            <w:tcW w:type="dxa" w:w="1382"/>
          </w:tcPr>
          <w:p>
            <w:pPr>
              <w:spacing w:after="20"/>
              <w:jc w:val="right"/>
            </w:pPr>
            <w:r>
              <w:rPr>
                <w:color w:val="1C3A36"/>
                <w:sz w:val="16"/>
              </w:rPr>
              <w:t>1,966</w:t>
            </w:r>
          </w:p>
        </w:tc>
        <w:tc>
          <w:tcPr>
            <w:tcW w:type="dxa" w:w="1382"/>
          </w:tcPr>
          <w:p>
            <w:pPr>
              <w:spacing w:after="20"/>
              <w:jc w:val="right"/>
            </w:pPr>
            <w:r>
              <w:rPr>
                <w:color w:val="1C3A36"/>
                <w:sz w:val="16"/>
              </w:rPr>
              <w:t>914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2,362</w:t>
            </w:r>
          </w:p>
        </w:tc>
        <w:tc>
          <w:tcPr>
            <w:tcW w:type="dxa" w:w="1382"/>
          </w:tcPr>
          <w:p>
            <w:pPr>
              <w:spacing w:after="20"/>
              <w:jc w:val="right"/>
            </w:pPr>
            <w:r>
              <w:rPr>
                <w:color w:val="1C3A36"/>
                <w:sz w:val="16"/>
              </w:rPr>
              <w:t>1,892</w:t>
            </w:r>
          </w:p>
        </w:tc>
        <w:tc>
          <w:tcPr>
            <w:tcW w:type="dxa" w:w="1382"/>
          </w:tcPr>
          <w:p>
            <w:pPr>
              <w:spacing w:after="20"/>
              <w:jc w:val="right"/>
            </w:pPr>
            <w:r>
              <w:rPr>
                <w:color w:val="1C3A36"/>
                <w:sz w:val="16"/>
              </w:rPr>
              <w:t>1,270</w:t>
            </w:r>
          </w:p>
        </w:tc>
        <w:tc>
          <w:tcPr>
            <w:tcW w:type="dxa" w:w="1382"/>
          </w:tcPr>
          <w:p>
            <w:pPr>
              <w:spacing w:after="20"/>
              <w:jc w:val="right"/>
            </w:pPr>
            <w:r>
              <w:rPr>
                <w:color w:val="1C3A36"/>
                <w:sz w:val="16"/>
              </w:rPr>
              <w:t>219</w:t>
            </w:r>
          </w:p>
        </w:tc>
        <w:tc>
          <w:tcPr>
            <w:tcW w:type="dxa" w:w="1382"/>
          </w:tcPr>
          <w:p>
            <w:pPr>
              <w:spacing w:after="20"/>
              <w:jc w:val="right"/>
            </w:pPr>
            <w:r>
              <w:rPr>
                <w:color w:val="1C3A36"/>
                <w:sz w:val="16"/>
              </w:rPr>
              <w:t>(684)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0.09×</w:t>
            </w:r>
          </w:p>
        </w:tc>
        <w:tc>
          <w:tcPr>
            <w:tcW w:type="dxa" w:w="1382"/>
            <w:shd w:val="clear" w:color="auto" w:fill="F6F1E6"/>
          </w:tcPr>
          <w:p>
            <w:pPr>
              <w:spacing w:after="20"/>
              <w:jc w:val="right"/>
            </w:pPr>
            <w:r>
              <w:rPr>
                <w:b/>
                <w:color w:val="1C3A36"/>
                <w:sz w:val="16"/>
              </w:rPr>
              <w:t>-0.33×</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10,814</w:t>
            </w:r>
          </w:p>
        </w:tc>
        <w:tc>
          <w:tcPr>
            <w:tcW w:type="dxa" w:w="1382"/>
          </w:tcPr>
          <w:p>
            <w:pPr>
              <w:spacing w:after="20"/>
              <w:jc w:val="right"/>
            </w:pPr>
            <w:r>
              <w:rPr>
                <w:color w:val="1C3A36"/>
                <w:sz w:val="16"/>
              </w:rPr>
              <w:t>11,469</w:t>
            </w:r>
          </w:p>
        </w:tc>
        <w:tc>
          <w:tcPr>
            <w:tcW w:type="dxa" w:w="1382"/>
          </w:tcPr>
          <w:p>
            <w:pPr>
              <w:spacing w:after="20"/>
              <w:jc w:val="right"/>
            </w:pPr>
            <w:r>
              <w:rPr>
                <w:color w:val="1C3A36"/>
                <w:sz w:val="16"/>
              </w:rPr>
              <w:t>11,492</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+6.1 percentage points to +2.5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1.82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2.41 a share between the two published constructions, and AED 4.16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7,111 million</w:t>
            </w:r>
          </w:p>
        </w:tc>
        <w:tc>
          <w:tcPr>
            <w:tcW w:type="dxa" w:w="3528"/>
          </w:tcPr>
          <w:p>
            <w:pPr>
              <w:spacing w:after="20"/>
            </w:pPr>
            <w:r>
              <w:rPr>
                <w:color w:val="1C3A36"/>
                <w:sz w:val="16"/>
              </w:rPr>
              <w:t>the capital-expenditure row spans AED 1.14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1.10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0.42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reads that rest on it are cross-checks rather than parts of the answer, where an earlier edition gave them 45% of a blend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(681)</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1,616</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1,455</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1,230</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0.1663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7.33</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5.50 – 9.16</w:t>
            </w:r>
          </w:p>
        </w:tc>
      </w:tr>
    </w:tbl>
    <w:p>
      <w:pPr>
        <w:spacing w:after="40"/>
      </w:pPr>
    </w:p>
    <w:p>
      <w:pPr>
        <w:spacing w:after="120" w:before="0"/>
      </w:pPr>
      <w:r>
        <w:rPr>
          <w:b w:val="0"/>
          <w:i w:val="0"/>
          <w:color w:val="1C3A36"/>
          <w:sz w:val="21"/>
        </w:rPr>
        <w:t>Named sensitivity: each single turn of the multiple is worth AED 0.61 a share, so the 9×-to-15× range above spans AED 3.66.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(116)</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918</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12,596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6.25</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4.20 – 10.59</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5.95 rather than AED 6.25, a move of AED -0.31.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6.25, below the study's own central of AED 5.61, and the reason is specific: the five-year average free cash flow of USD 1,108 million is dragged down by the investment years. Free cash flow to the firm is USD 215 million in 2026E and USD 1,622 million in 2029E; averaging a business across a period when it is building the assets that produce the later number is a real charge against it. That is the method doing what it says it does, and it is why the range extends as high as AED 10.59.</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7.42% instead of 9.43% — and the answer is roughly AED 8.57 a share, a rise of about 37%.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6.39.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2,535</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3,048</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13,015</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9,236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4.58</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3.32 – 5.57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875</w:t>
            </w:r>
          </w:p>
        </w:tc>
        <w:tc>
          <w:tcPr>
            <w:tcW w:type="dxa" w:w="1382"/>
          </w:tcPr>
          <w:p>
            <w:pPr>
              <w:spacing w:after="20"/>
              <w:jc w:val="right"/>
            </w:pPr>
            <w:r>
              <w:rPr>
                <w:color w:val="1C3A36"/>
                <w:sz w:val="16"/>
              </w:rPr>
              <w:t>763</w:t>
            </w:r>
          </w:p>
        </w:tc>
        <w:tc>
          <w:tcPr>
            <w:tcW w:type="dxa" w:w="1382"/>
          </w:tcPr>
          <w:p>
            <w:pPr>
              <w:spacing w:after="20"/>
              <w:jc w:val="right"/>
            </w:pPr>
            <w:r>
              <w:rPr>
                <w:color w:val="1C3A36"/>
                <w:sz w:val="16"/>
              </w:rPr>
              <w:t>543</w:t>
            </w:r>
          </w:p>
        </w:tc>
        <w:tc>
          <w:tcPr>
            <w:tcW w:type="dxa" w:w="1382"/>
          </w:tcPr>
          <w:p>
            <w:pPr>
              <w:spacing w:after="20"/>
              <w:jc w:val="right"/>
            </w:pPr>
            <w:r>
              <w:rPr>
                <w:color w:val="1C3A36"/>
                <w:sz w:val="16"/>
              </w:rPr>
              <w:t>287</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8.55% held flat across all five years rather than the declining schedule the cash-flow model discounts at, so the spread row is exactly the return row less 8.55% and the economic-profit row is exactly that spread on the same closing capital. Appendix A.3 shows the spread on the declining schedule instead, which is why the two tables give different spreads from the same returns. Note also that this leg's enterprise value of USD 13,015 million differs from the cash-flow model's USD 15,620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4.58 that already sits 26% below the market price, and takes the fifth-year spread of +2.5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1,622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6.39,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6.06, the vertical line the market price of AED 6.16.</w:t>
      </w:r>
    </w:p>
    <w:p>
      <w:pPr>
        <w:spacing w:after="120" w:before="0"/>
      </w:pPr>
      <w:r>
        <w:rPr>
          <w:b w:val="0"/>
          <w:i w:val="0"/>
          <w:color w:val="1C3A36"/>
          <w:sz w:val="21"/>
        </w:rPr>
        <w:t>The panel spans AED 4.58 to 7.33 — a factor of 1.60 between the most and least generous base case, which is a narrow disagreement by the standards of this series. That narrowness is itself informative: three methods that share almost nothing methodologically land within AED 2.74 of one another. The market price of AED 6.16 falls inside that span, and so does this study's own cash-flow lens; the central of AED 5.61 sits inside it as well.</w:t>
      </w:r>
    </w:p>
    <w:p>
      <w:pPr>
        <w:spacing w:after="120" w:before="0"/>
      </w:pPr>
      <w:r>
        <w:rPr>
          <w:b w:val="0"/>
          <w:i w:val="0"/>
          <w:color w:val="1C3A36"/>
          <w:sz w:val="21"/>
        </w:rPr>
        <w:t>The panel centre of AED 6.06 sits 2% below the market price and +8% against this study's central. That gap is real and it has a single explanation: every one of the three experts works from mid-cycle or five-year-average earnings, and none of them capitalises a terminal value the way the cash-flow model does. The cash-flow model puts 73%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1.08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73%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0.42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-0.31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8.02 appears throughout this document beside the adopted AED 5.61.</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