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1C3A36"/>
          <w:left w:val="single" w:sz="4" w:space="0" w:color="1C3A36"/>
          <w:bottom w:val="single" w:sz="4" w:space="0" w:color="1C3A36"/>
          <w:right w:val="single" w:sz="4" w:space="0" w:color="1C3A36"/>
          <w:insideH w:val="single" w:sz="4" w:space="0" w:color="1C3A36"/>
          <w:insideV w:val="single" w:sz="4" w:space="0" w:color="1C3A36"/>
        </w:tblBorders>
      </w:tblPr>
      <w:tblGrid>
        <w:gridCol w:w="10224"/>
      </w:tblGrid>
      <w:tr>
        <w:tc>
          <w:tcPr>
            <w:tcW w:type="dxa" w:w="10224"/>
            <w:shd w:val="clear" w:color="auto" w:fill="1C3A36"/>
          </w:tcPr>
          <w:p>
            <w:r>
              <w:rPr>
                <w:b/>
                <w:color w:val="FFFFFF"/>
                <w:sz w:val="24"/>
              </w:rPr>
              <w:t>TESTAHIL</w:t>
            </w:r>
          </w:p>
        </w:tc>
      </w:tr>
    </w:tbl>
    <w:p>
      <w:pPr>
        <w:spacing w:after="40" w:before="160"/>
      </w:pPr>
      <w:r>
        <w:rPr>
          <w:b/>
          <w:i w:val="0"/>
          <w:color w:val="1C3A36"/>
          <w:sz w:val="30"/>
        </w:rPr>
        <w:t>Electro Cable Egypt (EGX: ELEC) — Source Register</w:t>
      </w:r>
    </w:p>
    <w:p>
      <w:pPr>
        <w:spacing w:after="160" w:before="0"/>
      </w:pPr>
      <w:r>
        <w:rPr>
          <w:b w:val="0"/>
          <w:i/>
          <w:color w:val="6E7B77"/>
          <w:sz w:val="20"/>
        </w:rPr>
        <w:t>Companion to the Valuation Study dated 5 August 2026. Every figure that enters the model, with its source, its date, and the research ring it came from.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C0A45F"/>
          <w:left w:val="single" w:sz="6" w:space="0" w:color="C0A45F"/>
          <w:bottom w:val="single" w:sz="6" w:space="0" w:color="C0A45F"/>
          <w:right w:val="single" w:sz="6" w:space="0" w:color="C0A45F"/>
          <w:insideH w:val="single" w:sz="6" w:space="0" w:color="C0A45F"/>
          <w:insideV w:val="single" w:sz="6" w:space="0" w:color="C0A45F"/>
        </w:tblBorders>
      </w:tblPr>
      <w:tblGrid>
        <w:gridCol w:w="10224"/>
      </w:tblGrid>
      <w:tr>
        <w:tc>
          <w:tcPr>
            <w:tcW w:type="dxa" w:w="10224"/>
            <w:shd w:val="clear" w:color="auto" w:fill="F6F1E6"/>
          </w:tcPr>
          <w:p>
            <w:r>
              <w:rPr>
                <w:b/>
                <w:sz w:val="19"/>
              </w:rPr>
              <w:t xml:space="preserve">READ FIRST. </w:t>
            </w:r>
            <w:r>
              <w:rPr>
                <w:sz w:val="19"/>
              </w:rPr>
              <w:t>This register exists so that no number in the study is unfalsifiable. Every input below is a four-field record — value, source, date, ring — emitted directly by the compute script that built the study (compute.py), not transcribed by hand afterwards. A bare numeral cannot enter the model: the build fails. Where a figure is a house judgment rather than an observable, the source field says so in those words. SPECIFIC TO THIS COMPANY: Electro Cable Egypt’s audited financial-statement PDFs (Mubasher file store, the company’s own site, and several data aggregators) were unreachable through the channels available for this study — headline figures are therefore multiply-sourced from bourse-disclosure reporting services, and several line items are DERIVED, each labelled as such. The one fully-triangulated year (FY2024) closes to the reported net profit within 0.8% using the derived lines. Testahil is not licensed by the FRA and publishes no ratings and no price targets.</w:t>
            </w:r>
          </w:p>
        </w:tc>
      </w:tr>
    </w:tbl>
    <w:p>
      <w:pPr>
        <w:spacing w:after="40"/>
      </w:pPr>
    </w:p>
    <w:p>
      <w:pPr>
        <w:spacing w:after="80" w:before="240"/>
      </w:pPr>
      <w:r>
        <w:rPr>
          <w:b/>
          <w:i w:val="0"/>
          <w:color w:val="1C3A36"/>
          <w:sz w:val="26"/>
        </w:rPr>
        <w:t>A.  How to read the ring column</w:t>
      </w:r>
    </w:p>
    <w:p>
      <w:pPr>
        <w:spacing w:after="100" w:before="0"/>
      </w:pPr>
      <w:r>
        <w:rPr>
          <w:b w:val="0"/>
          <w:i w:val="0"/>
          <w:color w:val="1C3A36"/>
          <w:sz w:val="20"/>
        </w:rPr>
        <w:t>Research runs outward-in — world, country, industry, company — before any forecast driver is set, and every driver must trace to a ring finding or be declared a house judgment.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3408"/>
        <w:gridCol w:w="3408"/>
        <w:gridCol w:w="3408"/>
      </w:tblGrid>
      <w:tr>
        <w:tc>
          <w:tcPr>
            <w:tcW w:type="dxa" w:w="144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8"/>
              </w:rPr>
              <w:t>Ring</w:t>
            </w:r>
          </w:p>
        </w:tc>
        <w:tc>
          <w:tcPr>
            <w:tcW w:type="dxa" w:w="633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8"/>
              </w:rPr>
              <w:t>What it means</w:t>
            </w:r>
          </w:p>
        </w:tc>
        <w:tc>
          <w:tcPr>
            <w:tcW w:type="dxa" w:w="230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8"/>
              </w:rPr>
              <w:t>Count in this register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Market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Prices and quotes observable on a screen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1 records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Global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World-level facts that reach the company through prices (copper, rates)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2 records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Country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Egypt macro: policy rate, inflation, FX, sovereign risk, tax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8 records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Industry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Cable-sector structure, demand programs, pass-through economics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—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Company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ELEC’s own disclosed figures and events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31 records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House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The preparer’s argued judgments — the rows a reader should attack first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28 records</w:t>
            </w:r>
          </w:p>
        </w:tc>
      </w:tr>
    </w:tbl>
    <w:p>
      <w:pPr>
        <w:spacing w:after="40"/>
      </w:pPr>
    </w:p>
    <w:p>
      <w:pPr>
        <w:spacing w:after="80" w:before="240"/>
      </w:pPr>
      <w:r>
        <w:rPr>
          <w:b/>
          <w:i w:val="0"/>
          <w:color w:val="1C3A36"/>
          <w:sz w:val="26"/>
        </w:rPr>
        <w:t>B.  Primary documents and channels relied on</w:t>
      </w:r>
    </w:p>
    <w:p>
      <w:pPr>
        <w:spacing w:after="100" w:before="0"/>
      </w:pPr>
      <w:r>
        <w:rPr>
          <w:b w:val="0"/>
          <w:i w:val="0"/>
          <w:color w:val="1C3A36"/>
          <w:sz w:val="20"/>
        </w:rPr>
        <w:t>Two channels deliberately NOT used: no figure is taken from the single InvestingPro "fair value" flag (model output, not disclosure), and the July-2026 "Damodaran 14.87%" figure circulating in secondary reproductions was not adopted (the identical figure was previously caught as a misquote of the original file; the house-cached January-2026 original-file figures are used and the difference is sensitized).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73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Document / channel</w:t>
            </w:r>
          </w:p>
        </w:tc>
        <w:tc>
          <w:tcPr>
            <w:tcW w:type="dxa" w:w="273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Publisher / provenance</w:t>
            </w:r>
          </w:p>
        </w:tc>
        <w:tc>
          <w:tcPr>
            <w:tcW w:type="dxa" w:w="122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Date</w:t>
            </w:r>
          </w:p>
        </w:tc>
        <w:tc>
          <w:tcPr>
            <w:tcW w:type="dxa" w:w="3528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Used for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FY2024 consolidated results reporting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Mubasher / MarketScreener (of the EGX filing)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Mar-2025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FY24 revenue, net profit, EPS; FY23 comparatives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FY2025 consolidated results reporting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Arab Finance / Zawya / Decypha / Reuters flash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Mar-2026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FY25 revenue, NP, EPS, total assets; standalone NP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1Q-2026 results reporting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Zawya / Arab Finance (of the EGX filing)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May-2026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Q1-26 loss, sales; Q1-25 restated comparatives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9M/H1-2025 results reporting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Zawya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Aug/Nov-2025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Interim trajectory; 9M-25 total assets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Company profile (capital, shares, ISIN)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Mubasher ELEC page; EGX listing PDFs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mid-2026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Shares 3,313,540,373; paid-in capital; par 0.20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Balance-sheet health snapshot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Simply Wall St (FY24 vintage, 22-May-2025)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May-2025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Debt ~9,000 · cash 828 · equity 3,600 · EBIT 3,400 · coverage 2.0×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Ownership &amp; block-trade disclosures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Zawya / Arab Finance / Amwal Al Ghad / Alborsa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2023–Jul-2026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Gadwa group ~81%; 2026 block sales at 2.00–2.21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CBE MPC &amp; CPI releases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Central Bank of Egypt (via FocusEconomics / DNE)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Jul-2026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Corridor 19.00/20.00%; inflation 14.3%; targets 7%/5% ±2pp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Egypt 10Y yield / 5Y CDS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investing.com; MoF via DNE; MacroMicro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May–Jul-2026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rf 22.31% (21-Jul-26 print); CDS 270–330bp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Damodaran country-risk file (house cache)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ctryprem, "Last updated January 5, 2026"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Jan-2026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ERP 9.41% (CDS) / 13.94% (rating); default spreads 3.40% / 6.37%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Copper / aluminium market data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TradingEconomics; INN; ZAMAK; TradingKey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Aug-2026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Copper ~$6.63/lb COMEX, +51.6% y/y; LME ~$12.8k avg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Grid-capex programs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Daily News Egypt; EEAS; Zawya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Nov-25–Jun-26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EETC EGP 45bn plan; EU €690mn; Saudi interconnector 95%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Peer financials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Arab Finance (SWDY FY25); stockanalysis.com; multiples.vc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Mar–Jul-2026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SWDY P/E 10.4× / EV-EBITDA ~6×; Riyadh Cables 18×/15×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Uploaded EGX daily price history (3,749 rows)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user-supplied OHLC export, cleaned by the data-quality gate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2011–05-Aug-2026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Spot, technicals, calibration, simulation</w:t>
            </w:r>
          </w:p>
        </w:tc>
      </w:tr>
    </w:tbl>
    <w:p>
      <w:pPr>
        <w:spacing w:after="40"/>
      </w:pPr>
    </w:p>
    <w:p>
      <w:pPr>
        <w:spacing w:after="80" w:before="240"/>
      </w:pPr>
      <w:r>
        <w:rPr>
          <w:b/>
          <w:i w:val="0"/>
          <w:color w:val="1C3A36"/>
          <w:sz w:val="26"/>
        </w:rPr>
        <w:t>C.  The full input register</w:t>
      </w:r>
    </w:p>
    <w:p>
      <w:pPr>
        <w:spacing w:after="100" w:before="0"/>
      </w:pPr>
      <w:r>
        <w:rPr>
          <w:b w:val="0"/>
          <w:i w:val="0"/>
          <w:color w:val="1C3A36"/>
          <w:sz w:val="18"/>
        </w:rPr>
        <w:t>Every record below was emitted by compute.py. “House” in the ring column means the number is an argued assumption, not an observable; each such row is sensitized in the study (§1.9).</w:t>
      </w:r>
    </w:p>
    <w:p>
      <w:pPr>
        <w:spacing w:after="60" w:before="160"/>
      </w:pPr>
      <w:r>
        <w:rPr>
          <w:b/>
          <w:i w:val="0"/>
          <w:color w:val="1C3A36"/>
          <w:sz w:val="22"/>
        </w:rPr>
        <w:t>C.1  Ring: Market  (1 records)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Value</w:t>
            </w:r>
          </w:p>
        </w:tc>
        <w:tc>
          <w:tcPr>
            <w:tcW w:type="dxa" w:w="122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Date</w:t>
            </w:r>
          </w:p>
        </w:tc>
        <w:tc>
          <w:tcPr>
            <w:tcW w:type="dxa" w:w="554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Source / provenance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spot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2.19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uploaded EGX daily history, last close</w:t>
            </w:r>
          </w:p>
        </w:tc>
      </w:tr>
    </w:tbl>
    <w:p>
      <w:pPr>
        <w:spacing w:after="40"/>
      </w:pPr>
    </w:p>
    <w:p>
      <w:pPr>
        <w:spacing w:after="60" w:before="160"/>
      </w:pPr>
      <w:r>
        <w:rPr>
          <w:b/>
          <w:i w:val="0"/>
          <w:color w:val="1C3A36"/>
          <w:sz w:val="22"/>
        </w:rPr>
        <w:t>C.2  Ring: Country  (8 records)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Value</w:t>
            </w:r>
          </w:p>
        </w:tc>
        <w:tc>
          <w:tcPr>
            <w:tcW w:type="dxa" w:w="122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Date</w:t>
            </w:r>
          </w:p>
        </w:tc>
        <w:tc>
          <w:tcPr>
            <w:tcW w:type="dxa" w:w="554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Source / provenance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tax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0.225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PwC Tax Summaries Egypt — corporate income tax 22.5%, unchanged 2025-26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fx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50.3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USD/EGP mid-market (Bloomberg quote; bank avg ~51.0)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egp_hist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FY23=30.7, FY24=45.3, FY25=49.5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USD/EGP annual averages: 2023 official ~30.7 (parallel ~38 — the FY23 implied-volume range below carries both); 2024 blended ~45.3 (float 06-Mar-24); 2025 ~49.5 (range-bound 47-52, +6% appreciation year)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rf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0.2231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2026-07-21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investing.com, Egypt 10Y local-currency govt bond yield, cached in-repo wacc_builder.py Egypt worked example; corroborated by the May-2026 window avg 21.3% (range 20.9-21.6)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sov_spread_cds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0.034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2026-01-05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Egypt CDS-implied sovereign default spread, Damodaran Jan-2026 original file (house cache); market 5Y CDS ~330bp late-May-2026 corroborates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sov_spread_rating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0.0637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2026-01-05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Damodaran adjusted default spread, rating basis (Caa1), Jan-2026 original file (house cache)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erp_cds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0.0941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2026-01-05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Damodaran ORIGINAL ctryprem, Egypt row, CDS column, 'Last updated January 5, 2026' (house cache; original page 403-blocked this session). A July-2026 secondary reproduction claims total ERP 14.87% — same figure previously caught as a misquote; NOT adopted, shown in sensitivity only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erp_rating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0.1394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2026-01-05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Damodaran ORIGINAL ctryprem, Egypt row, rating basis, Jan-2026 (house cache)</w:t>
            </w:r>
          </w:p>
        </w:tc>
      </w:tr>
    </w:tbl>
    <w:p>
      <w:pPr>
        <w:spacing w:after="40"/>
      </w:pPr>
    </w:p>
    <w:p>
      <w:pPr>
        <w:spacing w:after="60" w:before="160"/>
      </w:pPr>
      <w:r>
        <w:rPr>
          <w:b/>
          <w:i w:val="0"/>
          <w:color w:val="1C3A36"/>
          <w:sz w:val="22"/>
        </w:rPr>
        <w:t>C.4  Ring: Company  (31 records)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Value</w:t>
            </w:r>
          </w:p>
        </w:tc>
        <w:tc>
          <w:tcPr>
            <w:tcW w:type="dxa" w:w="122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Date</w:t>
            </w:r>
          </w:p>
        </w:tc>
        <w:tc>
          <w:tcPr>
            <w:tcW w:type="dxa" w:w="554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Source / provenance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shares_mn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3,314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 (mid)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Mubasher ELEC profile (paid-in capital EGP 662,708,074.60 / par 0.20); verified 3 ways: SWS holder sum; FY24 EPS 0.40=1,327.8/3,313.5; FY25 EPS 0.15=500.3/3,313.5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rev_fy23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8,673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MarketScreener/Mubasher FY2024 results note (comparative)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rev_fy24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13,778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MarketScreener/Mubasher FY2024 consolidated results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rev_fy25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10,819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Arab Finance/Zawya FY2025 results (net sales EGP 10.81bn)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np_fy23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1,248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2024-03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Zawya/MarketScreener (FY23 consolidated NP)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np_fy24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1,328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Mubasher FY2024 consolidated results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np_fy25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500.3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Arab Finance FY2025 (attributable; Reuters flash 501.4 incl. NCI)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ebit_fy24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3,400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2025-05-22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Simply Wall St health page: 'EBIT is EGP3.4B, interest coverage 2x'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ebitda_fy24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3,490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 capture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Investing.com financial summary ('EBITDA 3.49B') — single aggregator, period attributed to FY2024; flagged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int_cover_fy24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2025-05-22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Simply Wall St health page (interest coverage 2x EBIT)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q1_26_rev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2,094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Zawya/Arab Finance Q1-2026 (consolidated net sales)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q1_26_np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-241.6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Zawya/Arab Finance Q1-2026 (consolidated net LOSS)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q1_25_rev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3,723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Q1-2026 release comparatives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q1_25_np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451.7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Q1-2026 release comparatives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assets_fy22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4,960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2023-11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 9M-2023 results note (comparative, 31-Dec-2022)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assets_fy24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14,970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Zawya/Decypha FY2025 note (comparative) + SWS (15.0bn)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assets_fy25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16,460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Zawya/Decypha FY2025 results (total assets, +9.9%)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debt_fy24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9,000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2025-05-22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Simply Wall St health page (total debt) — single aggregator, credible (its assets figure matches the twice-sourced 14.97bn)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cash_fy24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827.6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2025-05-22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Simply Wall St health page (cash &amp; ST investments)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equity_fy24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3,600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2025-05-22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Simply Wall St health page (total shareholder equity)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liab_fy24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11,300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2025-05-22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Simply Wall St health page (total liabilities)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debt_fy25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10,900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2026-03-18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Bank credit facilities held at end-2025: 'obtained credit facilities of EGP 10.9bn during 2025 vs 8.96bn in 2024, from several local banks' (almalnews/amwalalghad FY25 results coverage of the EGX filing). Read as the drawn year-end balance because the 2024 comparative (8.96bn) matches the FY24 balance-sheet debt print (~9.0bn, SWS) almost exactly; interpretation flagged and the FY24-vintage alternative shown in sensitivity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q1_26_cogs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1,975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2026-06-30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Q1-2026 cost of sales (almalnews/alborsaanews/hapijournal, 30-Jun-2026, of the EGX interim filing)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q1_26_gp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119.1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2026-06-30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Q1-2026 gross profit — 5.7% margin vs 33.1% in Q1-25 (same sources)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q1_26_op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1.429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2026-06-30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Q1-2026 operating profit — essentially zero (same sources)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q1_25_gp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1,233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2026-06-30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Q1-2025 gross profit comparative (same sources)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q1_25_op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1,124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2026-06-30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Q1-2025 operating profit comparative (same sources)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fy25_standalone_sales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4,700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FY25 standalone sales EGP 4.7bn vs 7.69bn FY24 (Arab Finance AR) — the consolidated subsidiaries carry most of group revenue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agm_no_dividend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FY25 profits carried forward, no cash distribution; new boar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2026-05-06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AGM resolutions (amwalalghad/almasryalyoum, May-2026)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capacity_kt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Annual production capacity ~25,000 t/yr — company profile via IATF exhibitor page; SINGLE-SOURCED and possibly parent-only (consolidated subsidiaries may add capacity), so utilization ratios are indicative, flagged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debt_ccy_evidence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No facility-level disclosure reachable (FS notes on Mubasher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search sweep 05-Aug-2026, negative result</w:t>
            </w:r>
          </w:p>
        </w:tc>
      </w:tr>
    </w:tbl>
    <w:p>
      <w:pPr>
        <w:spacing w:after="40"/>
      </w:pPr>
    </w:p>
    <w:p>
      <w:pPr>
        <w:spacing w:after="60" w:before="160"/>
      </w:pPr>
      <w:r>
        <w:rPr>
          <w:b/>
          <w:i w:val="0"/>
          <w:color w:val="1C3A36"/>
          <w:sz w:val="22"/>
        </w:rPr>
        <w:t>C.5  Ring: House  (28 records)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Value</w:t>
            </w:r>
          </w:p>
        </w:tc>
        <w:tc>
          <w:tcPr>
            <w:tcW w:type="dxa" w:w="122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Date</w:t>
            </w:r>
          </w:p>
        </w:tc>
        <w:tc>
          <w:tcPr>
            <w:tcW w:type="dxa" w:w="554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Source / provenance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assets_fy23_est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10,000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 estimate — bounded by 9M-23 disclosed 8,060 and FY24 14,970; no FY23 year-end print found (flagged)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fin_cost_fy25_est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2,150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 derivation: avg debt ~9.25bn x ~23.2% effective (CBE corridor 2025 path); closes FY25 P&amp;L to the reported NP 500.3 via EBT=NP/(1-22.5%)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fin_cost_fy23_est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990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 derivation: avg FY23 debt ~4.5bn (D/E path 36%-&gt;248% over 5yrs, SWS) x ~22% 2023 corridor-linked rate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dna_pct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0.013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House: FY24 EBITDA 3,490 - EBIT 3,400 = ~90mn D&amp;A on 13.8bn revenue (~0.7%); forecast set at 1.3% of revenue to fund modest PP&amp;E renewal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payables_fy25_est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1,460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Rebalanced on the disclosed FY25 debt: liabilities (16,460 assets - 4,100 equity) = 12,360; less debt 10,900 =&gt; non-debt liabilities 1,460. Thin payables are consistent with LC/bank-financed copper imports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nwc_fy25_est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12,640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 derivation on the disclosed debt: FY25 assets 16,460 - cash ~700 - PP&amp;E ~680 - other ~980 = gross WC ~14,100; less non-debt liabilities ~1,460 =&gt; ~12,640 (117% of FY25 revenue; FY24 was ~76%)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net_debt_fy25_est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10,200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Disclosed FY25 bank facilities 10,900 less estimated cash ~700. The prior derivation (~8,800) understated debt by ~1.4bn; the FY24-vintage sourced alternative (9,000 - 827.6 = 8,172) is shown in sensitivity — the ND anchor is worth ~±EGP 0.6/share and is the single largest input risk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equity_fy25_est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4,100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 derivation: FY24 equity 3,600 + FY25 NP 500.3, no dividends (company has never paid one)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egp_fcst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50.4, 52, 53.5, 55, 56.5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~3%/yr nominal crawl — the inflation differential narrows as the CBE targets bite; far below PPP catch-up, consistent with the post-float managed range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k_uplift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1.387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Fabrication uplift: cable price per tonne / copper cost per tonne. Set from the industry norm that copper is ~70-75% of a power-cable price (IndexBox: LME 'directly and rapidly reflected' in quotations) =&gt; k = 1/0.72 = 1.39. VALIDATION, not calibration: FY24 revenue 13,778 at 9,147 x 45.3 x 1.387 = 574k EGP/t implies 24.0 kt — 96% of the stated 25 kt capacity in the sector's boom year. Sensitized ±5%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vols_fcst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10.4, 11.9, 13.4, 14.8, 16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Volumes (kt): Q1-26 implied ~2.4 kt/qtr sets the FY26E base (~42% utilization); recovery on EETC's EGP 45bn plan, the EU package and interconnector follow-on to ~64% utilization by FY30E — still below the FY23-24 near-full prints; sensitized ±15%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ebitda_per_t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40, 90, 115, 128, 135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Conversion EBITDA per tonne (k EGP/t). Historical: FY23 ~111k, FY24 ~145k (both near-full utilization WITH devaluation inventory gains), FY25 ~183k (copper-gain inflated), Q1-26 ~11k (under-absorption at ~40% utilization). Forecast recovers with utilization to 135k by FY30E — BELOW FY24's 145k nominal despite five years of EGP inflation, i.e. a ~30% real discount to the windfall; sensitized ±30%. CROSS-CHECK: as a share of realized price/t, the terminal 135/987 = 13.7% matches the PRE-windfall 2022 norm (~12% of price at 24.4kt implied full utilization) — the forecast returns the company to its pre-devaluation conversion economics, not to the windfall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capex_mn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225, 243, 262, 283, 306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Maintenance capex ~EGP 9k per tonne of capacity (25 kt), escalated ~8%/yr — no disclosed capex any year (flagged gap); FY24 D&amp;A ~0.7% of revenue corroborates a light fixed-asset base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nwc_pct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1.12, 1.06, 1, 0.94, 0.88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House: FY25 intensity ~117% of revenue (derived on disclosed debt) gliding to 88% as receivables collect and copper-inflated inventory normalises; FY24 was ~76% — full reversion NOT assumed; sensitized in the grid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beta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0.964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Own-stock tier-1 regression: ELEC weekly log-returns vs 30-name equal-weight EGX composite (full engine library), 5yr window: beta 0.964, R2 0.222, n=257, SE 0.113, CI90 [0.78, 1.15] — passes usability gate; NOT weak-flagged (R2&gt;10%, CI span &lt; 2x beta)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kd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0.22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Marginal EGP rate for a levered EGX mid-cap: CBE corridor 19.5-20.0% (held 09-Jul-26) + ~2.5pp credit margin; consistent with avg bank lending 21.3% (Jan-26). Cross-checked against the two effective-rate computations below (23.5% FY24, 21.7% FY25 on the disclosed debt path). NB the Q1-26 P&amp;L implies a much smaller net finance line (~243/qtr) than Q1-25 (~542/qtr) — unexplained without the statements (possible FX/interest income offset or capitalised financing); flagged, does not change the marginal rate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kd_eff_fy24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0.235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Effective-rate check #1: FY24 interest ~1,700 (EBIT 3,400 / coverage 2.0x, SWS) / avg debt ~(5,500e+8,960)/2 = 7,230 =&gt; 23.5%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kd_eff_fy25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0.217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Effective-rate check #2: FY25 finance cost ~2,150 (derived, closes P&amp;L to reported NP; independently corroborated by Q1-25's implied ~542/qtr) / avg disclosed debt (8,960+10,900)/2 = 9,930 =&gt; 21.7%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kd_term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0.15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Terminal Kd: Egyptian long-run corporate-borrowing norm 14-16%, midpoint (standing house norm; no name-specific reason to deviate)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wd_term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Terminal debt weight D/(D+E): NORMALIZED capital structure, not today's ~60% distress weight — the steady state the terminal value describes presupposes deleveraging, and current market-value weights are circular (the equity weight depends on the DCF's own output). 40% is the industry-normal structure for a working-capital-funded cable maker; sensitized via the terminal-WACC grid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rf_term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0.105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Terminal rf norm-built: CBE's own stated Q4-2028 inflation target 5%% (+/-2pp) + ~5.5pp EM real-rate convention (house standing construction)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erp_term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0.07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Terminal ERP normalised below the crisis-era 9.41%% CDS-based level toward the B-rating-class norm; never held flat into perpetuity (house standing rule)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kd_path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0.22, 0.2, 0.185, 0.168, 0.155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Forward Kd path: CBE easing resumes H2-26 (MPC 20-Aug/01-Oct/12-Nov-26) toward the 7%%-&gt;5%% inflation-target glide; corporate spread held ~3pp; terminal 15%%. The WACC glide shape is tied to this path by construction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g_term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Terminal growth center 5%% — standing convention for established Egyptian names post-disinflation; grid 3-7%%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ev_ebitda_base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5.5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Justified EV/EBITDA on mid-cycle FY27E EBITDA: SWDY trades ~6x (multiples.vc mid-2026) with a fortress balance sheet and export book; ELEC discount for leverage, domestic concentration, no dividend record. Bear 4.5x / bull 6.5x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pe_norm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6.5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Justified through-cycle P/E on normalized EPS: SWDY 10.4x trailing (stockanalysis, Jul-26); Riyadh Cables 18x (different market). Levered uncovered EGX small-cap discount. Bear 5.5x / bull 8.0x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roe_sust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0.14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Sustainable ROE for the book lens: normalized NP ~600-750 on ~4.6-5.2bn forward book =&gt; 13-15%%; struck below FY23-24 windfall ROEs (35%%+) which carried devaluation inventory gains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lens_weights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dcf=0.4, relative=0.2, normalized=0.2, book=0.2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House: DCF primary for an operating manufacturer; the three market lenses share the remainder equally</w:t>
            </w:r>
          </w:p>
        </w:tc>
      </w:tr>
    </w:tbl>
    <w:p>
      <w:pPr>
        <w:spacing w:after="40"/>
      </w:pPr>
    </w:p>
    <w:p>
      <w:pPr>
        <w:spacing w:after="80" w:before="240"/>
      </w:pPr>
      <w:r>
        <w:rPr>
          <w:b/>
          <w:i w:val="0"/>
          <w:color w:val="1C3A36"/>
          <w:sz w:val="26"/>
        </w:rPr>
        <w:t>D.  Numbers that are judgments, not observations</w:t>
      </w:r>
    </w:p>
    <w:p>
      <w:pPr>
        <w:spacing w:after="100" w:before="0"/>
      </w:pPr>
      <w:r>
        <w:rPr>
          <w:b w:val="0"/>
          <w:i w:val="0"/>
          <w:color w:val="1C3A36"/>
          <w:sz w:val="20"/>
        </w:rPr>
        <w:t>Stated separately because they are the ones a reader should attack first. Each is sensitized in the study.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16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Judgment</w:t>
            </w:r>
          </w:p>
        </w:tc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Value used</w:t>
            </w:r>
          </w:p>
        </w:tc>
        <w:tc>
          <w:tcPr>
            <w:tcW w:type="dxa" w:w="410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Why it is a judgment</w:t>
            </w:r>
          </w:p>
        </w:tc>
        <w:tc>
          <w:tcPr>
            <w:tcW w:type="dxa" w:w="216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Where it is sensitised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EBITDA margin path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13% → 19%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The true mid-cycle margin is unknowable from outside; set between the 1Q26 trough and the windfall prints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§1.9 margin × NWC grid, ±3pp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NWC intensity path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108% → 88% of revenue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Collection of state-linked receivables is unproven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§1.9 grid, 76–100% endpoints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Net debt FY25 anchor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EGP 8,800 mn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Derived from twice-sourced totals, not a disclosed print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±1,000 in bear/bull; SOTP Bridge note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Kd 23.5% and the forward path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23.5% → 15.5%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Facility disclosure unreachable; effective-rate checks are themselves partly derived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Explicit × terminal WACC grid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Terminal rf / ERP / Kd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10.5% / 7.0% / 15.0%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Norm-built from the CBE target + house conventions — a macro view, disclosed as such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Terminal WACC × g grid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Terminal growth 5%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center of 3–7% grid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Standing convention for established Egyptian names post-disinflation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§1.9 grid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Justified multiples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5.5× EV/EBITDA · 6.5× P/E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Peer-anchored with a leverage/concentration discount — a judgment of degree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Bear/bull columns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Capex 1.6% of revenue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no disclosed capex any year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Derived through the D&amp;A ratio; a capacity program would change it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Immaterial at ±50bp; noted §7</w:t>
            </w:r>
          </w:p>
        </w:tc>
      </w:tr>
    </w:tbl>
    <w:p>
      <w:pPr>
        <w:spacing w:after="40"/>
      </w:pPr>
    </w:p>
    <w:p>
      <w:pPr>
        <w:spacing w:after="80" w:before="240"/>
      </w:pPr>
      <w:r>
        <w:rPr>
          <w:b/>
          <w:i w:val="0"/>
          <w:color w:val="1C3A36"/>
          <w:sz w:val="26"/>
        </w:rPr>
        <w:t>E.  What would falsify the study</w:t>
      </w:r>
    </w:p>
    <w:p>
      <w:pPr>
        <w:spacing w:after="100" w:before="0"/>
      </w:pPr>
      <w:r>
        <w:rPr>
          <w:b w:val="0"/>
          <w:i w:val="0"/>
          <w:color w:val="1C3A36"/>
          <w:sz w:val="20"/>
        </w:rPr>
        <w:t>The single most useful thing a source register can do is name the evidence that would overturn the work.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3408"/>
        <w:gridCol w:w="3408"/>
        <w:gridCol w:w="3408"/>
      </w:tblGrid>
      <w:tr>
        <w:tc>
          <w:tcPr>
            <w:tcW w:type="dxa" w:w="273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7"/>
              </w:rPr>
              <w:t>Test</w:t>
            </w:r>
          </w:p>
        </w:tc>
        <w:tc>
          <w:tcPr>
            <w:tcW w:type="dxa" w:w="518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7"/>
              </w:rPr>
              <w:t>What to watch</w:t>
            </w:r>
          </w:p>
        </w:tc>
        <w:tc>
          <w:tcPr>
            <w:tcW w:type="dxa" w:w="230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7"/>
              </w:rPr>
              <w:t>When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collection question (the crux)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H1-2026 receivables and operating cash flow; any receivables-ageing disclosure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~mid-Aug-2026 (H1 results)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margin question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Two consecutive halves of EBITDA margin ≥ 20% without a devaluation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H1-26, FY26 results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rate path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CBE MPC decisions vs the modelled 23.5% → 15.5% forward Kd path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MPC 20-Aug / 01-Oct / 12-Nov-2026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net-debt anchor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Any audited balance sheet: debt, cash, facility schedule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On publication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demand thesis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EETC tender awards actually reaching ELEC’s order book (vs Elsewedy taking all of it)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FY26/27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flow overhang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Further controlling-group block sales — or their cessation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Ongoing</w:t>
            </w:r>
          </w:p>
        </w:tc>
      </w:tr>
    </w:tbl>
    <w:p>
      <w:pPr>
        <w:spacing w:after="40"/>
      </w:pPr>
    </w:p>
    <w:p>
      <w:pPr>
        <w:spacing w:after="100" w:before="200"/>
        <w:jc w:val="center"/>
      </w:pPr>
      <w:r>
        <w:rPr>
          <w:b w:val="0"/>
          <w:i w:val="0"/>
          <w:color w:val="6E7B77"/>
          <w:sz w:val="16"/>
        </w:rPr>
        <w:t>Testahil · Independent valuation studies · Distributions, not tips. Educational analysis, not investment advice. Testahil is not licensed by the FRA or any securities regulator and publishes no ratings and no price targets.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color w:val="1C3A3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