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Alexandria Mineral Oils Company S.A.E. (EGX: AMOC) — Bibliography and Source Register</w:t>
      </w:r>
    </w:p>
    <w:p>
      <w:pPr>
        <w:spacing w:after="100" w:before="0"/>
      </w:pPr>
      <w:r>
        <w:rPr>
          <w:b w:val="0"/>
          <w:i w:val="0"/>
          <w:color w:val="6E7B77"/>
          <w:sz w:val="19"/>
        </w:rPr>
        <w:t>Companion document to the valuation study dated 6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Three things are worth knowing before reading the tables. First, inputs marked "House" are judgements or derivations made by the analyst, not disclosures by the company; each carries the reasoning that produced it, and a reader is free to disagree and re-run the model. Second, several figures are TRIANGULATED — derived independently by more than one route and averaged, with all the routes shown, because the underlying figure was disclosed only through a growth rate. Third, where a source could not be reached, that is recorded as a negative result at the end of this document rather than quietly filled in.</w:t>
      </w:r>
    </w:p>
    <w:p>
      <w:pPr>
        <w:spacing w:after="60" w:before="160"/>
      </w:pPr>
      <w:r>
        <w:rPr>
          <w:b/>
          <w:i w:val="0"/>
          <w:color w:val="1C3A36"/>
          <w:sz w:val="22"/>
        </w:rPr>
        <w:t>What changed in this edition</w:t>
      </w:r>
    </w:p>
    <w:p>
      <w:pPr>
        <w:spacing w:after="100" w:before="0"/>
      </w:pPr>
      <w:r>
        <w:rPr>
          <w:b w:val="0"/>
          <w:i w:val="0"/>
          <w:color w:val="1C3A36"/>
          <w:sz w:val="20"/>
        </w:rPr>
        <w:t>The first edition of this study was built WITHOUT the audited financial statements. The company's investor-relations site, the exchange's disclosure pages and the commercial financial-data terminals all refused connections under the network policy in force, so every company figure came from published reporting of the company's releases and from aggregators. That edition triangulated each material figure across independent sources, reconstructed the base year from two reported halves, and marked every reconstructed line as reconstructed.</w:t>
      </w:r>
    </w:p>
    <w:p>
      <w:pPr>
        <w:spacing w:after="100" w:before="0"/>
      </w:pPr>
      <w:r>
        <w:rPr>
          <w:b w:val="0"/>
          <w:i w:val="0"/>
          <w:color w:val="1C3A36"/>
          <w:sz w:val="20"/>
        </w:rPr>
        <w:t>THE FILINGS ARE NOW IN HAND AND THIS EDITION IS BUILT ON THEM. The audited consolidated statements for the transition period 1 July 2025 to 31 December 2025 (Crowe — Dr A. M. Hegazy &amp; Co, UNQUALIFIED opinion, signed at Giza on 18 February 2026), the limited-review statements for the six months to 31 December 2024, and the reviewed statements for the three months to 31 March 2026. Every figure in the company layer below carries one of those three as its source, with the note number where the filing gives one. No company figure in this edition is triangulated, reconstructed or inferred.</w:t>
      </w:r>
    </w:p>
    <w:p>
      <w:pPr>
        <w:spacing w:after="100" w:before="0"/>
      </w:pPr>
      <w:r>
        <w:rPr>
          <w:b w:val="0"/>
          <w:i w:val="0"/>
          <w:color w:val="1C3A36"/>
          <w:sz w:val="20"/>
        </w:rPr>
        <w:t>The change was not cosmetic. Twelve published assumptions were overturned by the filings, including a capital-expenditure line modelled at roughly five times the actual cash spend, a depreciation charge modelled at three times the actual, an operating-expense base understated by a factor of three, a property-plant-and-equipment balance reconstructed at nearly twice the filed figure, a minority interest inferred at 3.0% against a disclosed 4.645%, and a tax-disputes provision of EGP 904.6mn that was never carried at all.</w:t>
      </w:r>
    </w:p>
    <w:p>
      <w:pPr>
        <w:spacing w:after="100" w:before="0"/>
      </w:pPr>
      <w:r>
        <w:rPr>
          <w:b w:val="0"/>
          <w:i w:val="0"/>
          <w:color w:val="1C3A36"/>
          <w:sz w:val="20"/>
        </w:rPr>
        <w:t>THIS EDITION GOES ONE STEP FURTHER. The half-year results for 1 January to 30 June 2026, disclosed to the Egyptian Exchange on 29-30 July 2026 — one week before the anchor date — are restored to the record after the previous edition deleted them on a rule that treated "is it inside one of the four PDFs?" as the test for use. With them, a clean CONTIGUOUS twelve-month base year to 30 June 2026 exists and is the headline base. The disclosure is a press release, not a filing, and is flagged REPORTED wherever it is used; its gross-profit line is REJECTED on a coherence test recorded below and SOLVED from its own profit line instead. The fair-value estimate is EGP 20.05 in this edition, against EGP 7.16 in the audited nine-month edition and EGP 9.38 in the pre-filings edition — each restatement is itself part of the record and none is silently overwritten.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Company</w:t>
            </w:r>
          </w:p>
        </w:tc>
        <w:tc>
          <w:tcPr>
            <w:tcW w:type="dxa" w:w="8568"/>
          </w:tcPr>
          <w:p>
            <w:pPr>
              <w:spacing w:after="20"/>
            </w:pPr>
            <w:r>
              <w:rPr>
                <w:color w:val="1C3A36"/>
                <w:sz w:val="17"/>
              </w:rPr>
              <w:t>Alexandria Mineral Oils' own results releases, general-assembly resolutions and disclosed operating statistics, as reported by the trade and financial press</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Lubricant base oils, paraffin wax and refined-product markets; the crude and product price deck</w:t>
            </w:r>
          </w:p>
        </w:tc>
      </w:tr>
      <w:tr>
        <w:tc>
          <w:tcPr>
            <w:tcW w:type="dxa" w:w="1512"/>
          </w:tcPr>
          <w:p>
            <w:pPr>
              <w:spacing w:after="20"/>
            </w:pPr>
            <w:r>
              <w:rPr>
                <w:color w:val="1C3A36"/>
                <w:sz w:val="17"/>
              </w:rPr>
              <w:t>Global</w:t>
            </w:r>
          </w:p>
        </w:tc>
        <w:tc>
          <w:tcPr>
            <w:tcW w:type="dxa" w:w="8568"/>
          </w:tcPr>
          <w:p>
            <w:pPr>
              <w:spacing w:after="20"/>
            </w:pPr>
            <w:r>
              <w:rPr>
                <w:color w:val="1C3A36"/>
                <w:sz w:val="17"/>
              </w:rPr>
              <w:t>World interest rates and growth used in the currency-of-discounting alternative and the terminal ceiling</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sources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477"/>
        <w:gridCol w:w="1152"/>
        <w:gridCol w:w="3859"/>
      </w:tblGrid>
      <w:tr>
        <w:tc>
          <w:tcPr>
            <w:tcW w:type="dxa" w:w="2664"/>
            <w:shd w:val="clear" w:color="auto" w:fill="EAF0EE"/>
          </w:tcPr>
          <w:p>
            <w:pPr>
              <w:spacing w:after="20"/>
            </w:pPr>
            <w:r>
              <w:rPr>
                <w:b/>
                <w:color w:val="1C3A36"/>
                <w:sz w:val="15"/>
              </w:rPr>
              <w:t>Source</w:t>
            </w:r>
          </w:p>
        </w:tc>
        <w:tc>
          <w:tcPr>
            <w:tcW w:type="dxa" w:w="2477"/>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w:t>
            </w:r>
          </w:p>
        </w:tc>
        <w:tc>
          <w:tcPr>
            <w:tcW w:type="dxa" w:w="3859"/>
            <w:shd w:val="clear" w:color="auto" w:fill="EAF0EE"/>
          </w:tcPr>
          <w:p>
            <w:pPr>
              <w:spacing w:after="20"/>
            </w:pPr>
            <w:r>
              <w:rPr>
                <w:b/>
                <w:color w:val="1C3A36"/>
                <w:sz w:val="15"/>
              </w:rPr>
              <w:t>What was taken from it</w:t>
            </w:r>
          </w:p>
        </w:tc>
      </w:tr>
      <w:tr>
        <w:tc>
          <w:tcPr>
            <w:tcW w:type="dxa" w:w="2664"/>
          </w:tcPr>
          <w:p>
            <w:pPr>
              <w:spacing w:after="20"/>
            </w:pPr>
            <w:r>
              <w:rPr>
                <w:color w:val="1C3A36"/>
                <w:sz w:val="15"/>
              </w:rPr>
              <w:t>"AMOC Doubles FY 2025/26 Profit as Revenue Expands 35%"</w:t>
            </w:r>
          </w:p>
        </w:tc>
        <w:tc>
          <w:tcPr>
            <w:tcW w:type="dxa" w:w="2477"/>
          </w:tcPr>
          <w:p>
            <w:pPr>
              <w:spacing w:after="20"/>
            </w:pPr>
            <w:r>
              <w:rPr>
                <w:color w:val="1C3A36"/>
                <w:sz w:val="15"/>
              </w:rPr>
              <w:t>Egypt Oil &amp; Gas</w:t>
            </w:r>
          </w:p>
        </w:tc>
        <w:tc>
          <w:tcPr>
            <w:tcW w:type="dxa" w:w="1152"/>
          </w:tcPr>
          <w:p>
            <w:pPr>
              <w:spacing w:after="20"/>
            </w:pPr>
            <w:r>
              <w:rPr>
                <w:color w:val="1C3A36"/>
                <w:sz w:val="15"/>
              </w:rPr>
              <w:t>Aug 2026</w:t>
            </w:r>
          </w:p>
        </w:tc>
        <w:tc>
          <w:tcPr>
            <w:tcW w:type="dxa" w:w="3859"/>
          </w:tcPr>
          <w:p>
            <w:pPr>
              <w:spacing w:after="20"/>
            </w:pPr>
            <w:r>
              <w:rPr>
                <w:color w:val="1C3A36"/>
                <w:sz w:val="15"/>
              </w:rPr>
              <w:t>Revenue and profit after tax for the six months to 30 June 2026, on both a consolidated and a standalone basis, together with operating cash flow. Carried as corroboration only; the period it covers was IDENTIFIED by reconciling its two reported growth rates against the constructed comparative</w:t>
            </w:r>
          </w:p>
        </w:tc>
      </w:tr>
      <w:tr>
        <w:tc>
          <w:tcPr>
            <w:tcW w:type="dxa" w:w="2664"/>
          </w:tcPr>
          <w:p>
            <w:pPr>
              <w:spacing w:after="20"/>
            </w:pPr>
            <w:r>
              <w:rPr>
                <w:color w:val="1C3A36"/>
                <w:sz w:val="15"/>
              </w:rPr>
              <w:t>"AMOC Net Profit Rises 37% in Q1 2026"</w:t>
            </w:r>
          </w:p>
        </w:tc>
        <w:tc>
          <w:tcPr>
            <w:tcW w:type="dxa" w:w="2477"/>
          </w:tcPr>
          <w:p>
            <w:pPr>
              <w:spacing w:after="20"/>
            </w:pPr>
            <w:r>
              <w:rPr>
                <w:color w:val="1C3A36"/>
                <w:sz w:val="15"/>
              </w:rPr>
              <w:t>Egypt Oil &amp; Gas</w:t>
            </w:r>
          </w:p>
        </w:tc>
        <w:tc>
          <w:tcPr>
            <w:tcW w:type="dxa" w:w="1152"/>
          </w:tcPr>
          <w:p>
            <w:pPr>
              <w:spacing w:after="20"/>
            </w:pPr>
            <w:r>
              <w:rPr>
                <w:color w:val="1C3A36"/>
                <w:sz w:val="15"/>
              </w:rPr>
              <w:t>Apr–May 2026</w:t>
            </w:r>
          </w:p>
        </w:tc>
        <w:tc>
          <w:tcPr>
            <w:tcW w:type="dxa" w:w="3859"/>
          </w:tcPr>
          <w:p>
            <w:pPr>
              <w:spacing w:after="20"/>
            </w:pPr>
            <w:r>
              <w:rPr>
                <w:color w:val="1C3A36"/>
                <w:sz w:val="15"/>
              </w:rPr>
              <w:t>Consolidated net sales of EGP 10.51bn and consolidated net profit of EGP 635.12mn for the quarter to 31 March 2026, with the prior-year comparative. Also the confirmation that the company now reports on CALENDAR quarters</w:t>
            </w:r>
          </w:p>
        </w:tc>
      </w:tr>
      <w:tr>
        <w:tc>
          <w:tcPr>
            <w:tcW w:type="dxa" w:w="2664"/>
          </w:tcPr>
          <w:p>
            <w:pPr>
              <w:spacing w:after="20"/>
            </w:pPr>
            <w:r>
              <w:rPr>
                <w:color w:val="1C3A36"/>
                <w:sz w:val="15"/>
              </w:rPr>
              <w:t>"AMOC Reports Sales of EGP 20 Bn in H2 2025" and the general-assembly report</w:t>
            </w:r>
          </w:p>
        </w:tc>
        <w:tc>
          <w:tcPr>
            <w:tcW w:type="dxa" w:w="2477"/>
          </w:tcPr>
          <w:p>
            <w:pPr>
              <w:spacing w:after="20"/>
            </w:pPr>
            <w:r>
              <w:rPr>
                <w:color w:val="1C3A36"/>
                <w:sz w:val="15"/>
              </w:rPr>
              <w:t>Egypt Oil &amp; Gas; Egyptian Ministry of Petroleum</w:t>
            </w:r>
          </w:p>
        </w:tc>
        <w:tc>
          <w:tcPr>
            <w:tcW w:type="dxa" w:w="1152"/>
          </w:tcPr>
          <w:p>
            <w:pPr>
              <w:spacing w:after="20"/>
            </w:pPr>
            <w:r>
              <w:rPr>
                <w:color w:val="1C3A36"/>
                <w:sz w:val="15"/>
              </w:rPr>
              <w:t>Mar 2026</w:t>
            </w:r>
          </w:p>
        </w:tc>
        <w:tc>
          <w:tcPr>
            <w:tcW w:type="dxa" w:w="3859"/>
          </w:tcPr>
          <w:p>
            <w:pPr>
              <w:spacing w:after="20"/>
            </w:pPr>
            <w:r>
              <w:rPr>
                <w:color w:val="1C3A36"/>
                <w:sz w:val="15"/>
              </w:rPr>
              <w:t>The July–December 2025 transition period: 808,000 tonnes sold, sales of about EGP 20bn, a 14.5% growth rate, exports of about 42,000 tonnes up 40%, the EGP 0.40 per share dividend approved on 28 March 2026, and the four new storage tanks</w:t>
            </w:r>
          </w:p>
        </w:tc>
      </w:tr>
      <w:tr>
        <w:tc>
          <w:tcPr>
            <w:tcW w:type="dxa" w:w="2664"/>
          </w:tcPr>
          <w:p>
            <w:pPr>
              <w:spacing w:after="20"/>
            </w:pPr>
            <w:r>
              <w:rPr>
                <w:color w:val="1C3A36"/>
                <w:sz w:val="15"/>
              </w:rPr>
              <w:t>"AMOC's consolidated profits rise 2% YoY in H1 FY 2025/26"</w:t>
            </w:r>
          </w:p>
        </w:tc>
        <w:tc>
          <w:tcPr>
            <w:tcW w:type="dxa" w:w="2477"/>
          </w:tcPr>
          <w:p>
            <w:pPr>
              <w:spacing w:after="20"/>
            </w:pPr>
            <w:r>
              <w:rPr>
                <w:color w:val="1C3A36"/>
                <w:sz w:val="15"/>
              </w:rPr>
              <w:t>Arab Finance</w:t>
            </w:r>
          </w:p>
        </w:tc>
        <w:tc>
          <w:tcPr>
            <w:tcW w:type="dxa" w:w="1152"/>
          </w:tcPr>
          <w:p>
            <w:pPr>
              <w:spacing w:after="20"/>
            </w:pPr>
            <w:r>
              <w:rPr>
                <w:color w:val="1C3A36"/>
                <w:sz w:val="15"/>
              </w:rPr>
              <w:t>Feb 2026</w:t>
            </w:r>
          </w:p>
        </w:tc>
        <w:tc>
          <w:tcPr>
            <w:tcW w:type="dxa" w:w="3859"/>
          </w:tcPr>
          <w:p>
            <w:pPr>
              <w:spacing w:after="20"/>
            </w:pPr>
            <w:r>
              <w:rPr>
                <w:color w:val="1C3A36"/>
                <w:sz w:val="15"/>
              </w:rPr>
              <w:t>Consolidated sales of EGP 20.735bn against EGP 18.246bn, and consolidated profit after tax of EGP 656.428mn, +2%. The prior-year comparative half is what makes the base-year construction possible</w:t>
            </w:r>
          </w:p>
        </w:tc>
      </w:tr>
      <w:tr>
        <w:tc>
          <w:tcPr>
            <w:tcW w:type="dxa" w:w="2664"/>
          </w:tcPr>
          <w:p>
            <w:pPr>
              <w:spacing w:after="20"/>
            </w:pPr>
            <w:r>
              <w:rPr>
                <w:color w:val="1C3A36"/>
                <w:sz w:val="15"/>
              </w:rPr>
              <w:t>"AMOC Reports 27% Sales Growth for Q1 FY2025/26"</w:t>
            </w:r>
          </w:p>
        </w:tc>
        <w:tc>
          <w:tcPr>
            <w:tcW w:type="dxa" w:w="2477"/>
          </w:tcPr>
          <w:p>
            <w:pPr>
              <w:spacing w:after="20"/>
            </w:pPr>
            <w:r>
              <w:rPr>
                <w:color w:val="1C3A36"/>
                <w:sz w:val="15"/>
              </w:rPr>
              <w:t>Egypt Oil &amp; Gas</w:t>
            </w:r>
          </w:p>
        </w:tc>
        <w:tc>
          <w:tcPr>
            <w:tcW w:type="dxa" w:w="1152"/>
          </w:tcPr>
          <w:p>
            <w:pPr>
              <w:spacing w:after="20"/>
            </w:pPr>
            <w:r>
              <w:rPr>
                <w:color w:val="1C3A36"/>
                <w:sz w:val="15"/>
              </w:rPr>
              <w:t>Nov 2025</w:t>
            </w:r>
          </w:p>
        </w:tc>
        <w:tc>
          <w:tcPr>
            <w:tcW w:type="dxa" w:w="3859"/>
          </w:tcPr>
          <w:p>
            <w:pPr>
              <w:spacing w:after="20"/>
            </w:pPr>
            <w:r>
              <w:rPr>
                <w:color w:val="1C3A36"/>
                <w:sz w:val="15"/>
              </w:rPr>
              <w:t>Standalone and consolidated net sales and profit for the quarter to 30 September 2025</w:t>
            </w:r>
          </w:p>
        </w:tc>
      </w:tr>
      <w:tr>
        <w:tc>
          <w:tcPr>
            <w:tcW w:type="dxa" w:w="2664"/>
          </w:tcPr>
          <w:p>
            <w:pPr>
              <w:spacing w:after="20"/>
            </w:pPr>
            <w:r>
              <w:rPr>
                <w:color w:val="1C3A36"/>
                <w:sz w:val="15"/>
              </w:rPr>
              <w:t>"AMOC Reports 17.3% Increase in Standalone Net Profit for FY 2024/25" and the FY2024/25 results commentary</w:t>
            </w:r>
          </w:p>
        </w:tc>
        <w:tc>
          <w:tcPr>
            <w:tcW w:type="dxa" w:w="2477"/>
          </w:tcPr>
          <w:p>
            <w:pPr>
              <w:spacing w:after="20"/>
            </w:pPr>
            <w:r>
              <w:rPr>
                <w:color w:val="1C3A36"/>
                <w:sz w:val="15"/>
              </w:rPr>
              <w:t>Egypt Oil &amp; Gas; MarketScreener</w:t>
            </w:r>
          </w:p>
        </w:tc>
        <w:tc>
          <w:tcPr>
            <w:tcW w:type="dxa" w:w="1152"/>
          </w:tcPr>
          <w:p>
            <w:pPr>
              <w:spacing w:after="20"/>
            </w:pPr>
            <w:r>
              <w:rPr>
                <w:color w:val="1C3A36"/>
                <w:sz w:val="15"/>
              </w:rPr>
              <w:t>Sep–Oct 2025</w:t>
            </w:r>
          </w:p>
        </w:tc>
        <w:tc>
          <w:tcPr>
            <w:tcW w:type="dxa" w:w="3859"/>
          </w:tcPr>
          <w:p>
            <w:pPr>
              <w:spacing w:after="20"/>
            </w:pPr>
            <w:r>
              <w:rPr>
                <w:color w:val="1C3A36"/>
                <w:sz w:val="15"/>
              </w:rPr>
              <w:t>Standalone profit of EGP 1.49bn (+17.3%) and consolidated profit of EGP 1.55bn (+3%) for the year to 30 June 2025; sales of 1.26mn tonnes valued at EGP 36.9bn, +10.8% on 2023/24; output of oils and waxes of 172,000 tonnes at 108% of target</w:t>
            </w:r>
          </w:p>
        </w:tc>
      </w:tr>
      <w:tr>
        <w:tc>
          <w:tcPr>
            <w:tcW w:type="dxa" w:w="2664"/>
          </w:tcPr>
          <w:p>
            <w:pPr>
              <w:spacing w:after="20"/>
            </w:pPr>
            <w:r>
              <w:rPr>
                <w:color w:val="1C3A36"/>
                <w:sz w:val="15"/>
              </w:rPr>
              <w:t>"AMOC approves FY2025/26 planning budget"; "AMOC Approves EGP 580mm Capital Budget"</w:t>
            </w:r>
          </w:p>
        </w:tc>
        <w:tc>
          <w:tcPr>
            <w:tcW w:type="dxa" w:w="2477"/>
          </w:tcPr>
          <w:p>
            <w:pPr>
              <w:spacing w:after="20"/>
            </w:pPr>
            <w:r>
              <w:rPr>
                <w:color w:val="1C3A36"/>
                <w:sz w:val="15"/>
              </w:rPr>
              <w:t>Zawya / Reuters; Egypt Oil &amp; Gas</w:t>
            </w:r>
          </w:p>
        </w:tc>
        <w:tc>
          <w:tcPr>
            <w:tcW w:type="dxa" w:w="1152"/>
          </w:tcPr>
          <w:p>
            <w:pPr>
              <w:spacing w:after="20"/>
            </w:pPr>
            <w:r>
              <w:rPr>
                <w:color w:val="1C3A36"/>
                <w:sz w:val="15"/>
              </w:rPr>
              <w:t>Jun–Jul 2025</w:t>
            </w:r>
          </w:p>
        </w:tc>
        <w:tc>
          <w:tcPr>
            <w:tcW w:type="dxa" w:w="3859"/>
          </w:tcPr>
          <w:p>
            <w:pPr>
              <w:spacing w:after="20"/>
            </w:pPr>
            <w:r>
              <w:rPr>
                <w:color w:val="1C3A36"/>
                <w:sz w:val="15"/>
              </w:rPr>
              <w:t>The approved capital budget of EGP 580.19mn and the planning-budget net sales of EGP 37.332bn — the anchor for the capital-expenditure driver</w:t>
            </w:r>
          </w:p>
        </w:tc>
      </w:tr>
      <w:tr>
        <w:tc>
          <w:tcPr>
            <w:tcW w:type="dxa" w:w="2664"/>
          </w:tcPr>
          <w:p>
            <w:pPr>
              <w:spacing w:after="20"/>
            </w:pPr>
            <w:r>
              <w:rPr>
                <w:color w:val="1C3A36"/>
                <w:sz w:val="15"/>
              </w:rPr>
              <w:t>"AMOC's Exceptional Fiscal Year 22/23 Results Gain Approval at the Annual General Assembly"</w:t>
            </w:r>
          </w:p>
        </w:tc>
        <w:tc>
          <w:tcPr>
            <w:tcW w:type="dxa" w:w="2477"/>
          </w:tcPr>
          <w:p>
            <w:pPr>
              <w:spacing w:after="20"/>
            </w:pPr>
            <w:r>
              <w:rPr>
                <w:color w:val="1C3A36"/>
                <w:sz w:val="15"/>
              </w:rPr>
              <w:t>MoneyController</w:t>
            </w:r>
          </w:p>
        </w:tc>
        <w:tc>
          <w:tcPr>
            <w:tcW w:type="dxa" w:w="1152"/>
          </w:tcPr>
          <w:p>
            <w:pPr>
              <w:spacing w:after="20"/>
            </w:pPr>
            <w:r>
              <w:rPr>
                <w:color w:val="1C3A36"/>
                <w:sz w:val="15"/>
              </w:rPr>
              <w:t>2023</w:t>
            </w:r>
          </w:p>
        </w:tc>
        <w:tc>
          <w:tcPr>
            <w:tcW w:type="dxa" w:w="3859"/>
          </w:tcPr>
          <w:p>
            <w:pPr>
              <w:spacing w:after="20"/>
            </w:pPr>
            <w:r>
              <w:rPr>
                <w:color w:val="1C3A36"/>
                <w:sz w:val="15"/>
              </w:rPr>
              <w:t>Cost of sales of EGP 21,218.64mn and gross profit of EGP 1,297.01mn for the year to 30 June 2023 — the ONLY period for which both the cost line and the margin line are separately available, and therefore the anchor for the whole margin discussion</w:t>
            </w:r>
          </w:p>
        </w:tc>
      </w:tr>
      <w:tr>
        <w:tc>
          <w:tcPr>
            <w:tcW w:type="dxa" w:w="2664"/>
          </w:tcPr>
          <w:p>
            <w:pPr>
              <w:spacing w:after="20"/>
            </w:pPr>
            <w:r>
              <w:rPr>
                <w:color w:val="1C3A36"/>
                <w:sz w:val="15"/>
              </w:rPr>
              <w:t>Company financial summary pages</w:t>
            </w:r>
          </w:p>
        </w:tc>
        <w:tc>
          <w:tcPr>
            <w:tcW w:type="dxa" w:w="2477"/>
          </w:tcPr>
          <w:p>
            <w:pPr>
              <w:spacing w:after="20"/>
            </w:pPr>
            <w:r>
              <w:rPr>
                <w:color w:val="1C3A36"/>
                <w:sz w:val="15"/>
              </w:rPr>
              <w:t>stockanalysis.com; Investing.com; TradingView</w:t>
            </w:r>
          </w:p>
        </w:tc>
        <w:tc>
          <w:tcPr>
            <w:tcW w:type="dxa" w:w="1152"/>
          </w:tcPr>
          <w:p>
            <w:pPr>
              <w:spacing w:after="20"/>
            </w:pPr>
            <w:r>
              <w:rPr>
                <w:color w:val="1C3A36"/>
                <w:sz w:val="15"/>
              </w:rPr>
              <w:t>Aug 2026</w:t>
            </w:r>
          </w:p>
        </w:tc>
        <w:tc>
          <w:tcPr>
            <w:tcW w:type="dxa" w:w="3859"/>
          </w:tcPr>
          <w:p>
            <w:pPr>
              <w:spacing w:after="20"/>
            </w:pPr>
            <w:r>
              <w:rPr>
                <w:color w:val="1C3A36"/>
                <w:sz w:val="15"/>
              </w:rPr>
              <w:t>Shares outstanding, market capitalisation, total assets, total liabilities, cash and equivalents, total debt, dividend per share and payout ratio</w:t>
            </w:r>
          </w:p>
        </w:tc>
      </w:tr>
      <w:tr>
        <w:tc>
          <w:tcPr>
            <w:tcW w:type="dxa" w:w="2664"/>
          </w:tcPr>
          <w:p>
            <w:pPr>
              <w:spacing w:after="20"/>
            </w:pPr>
            <w:r>
              <w:rPr>
                <w:color w:val="1C3A36"/>
                <w:sz w:val="15"/>
              </w:rPr>
              <w:t>Monetary Policy Report Q1 2026 and the August 2026 rate decision</w:t>
            </w:r>
          </w:p>
        </w:tc>
        <w:tc>
          <w:tcPr>
            <w:tcW w:type="dxa" w:w="2477"/>
          </w:tcPr>
          <w:p>
            <w:pPr>
              <w:spacing w:after="20"/>
            </w:pPr>
            <w:r>
              <w:rPr>
                <w:color w:val="1C3A36"/>
                <w:sz w:val="15"/>
              </w:rPr>
              <w:t>Central Bank of Egypt</w:t>
            </w:r>
          </w:p>
        </w:tc>
        <w:tc>
          <w:tcPr>
            <w:tcW w:type="dxa" w:w="1152"/>
          </w:tcPr>
          <w:p>
            <w:pPr>
              <w:spacing w:after="20"/>
            </w:pPr>
            <w:r>
              <w:rPr>
                <w:color w:val="1C3A36"/>
                <w:sz w:val="15"/>
              </w:rPr>
              <w:t>2026</w:t>
            </w:r>
          </w:p>
        </w:tc>
        <w:tc>
          <w:tcPr>
            <w:tcW w:type="dxa" w:w="3859"/>
          </w:tcPr>
          <w:p>
            <w:pPr>
              <w:spacing w:after="20"/>
            </w:pPr>
            <w:r>
              <w:rPr>
                <w:color w:val="1C3A36"/>
                <w:sz w:val="15"/>
              </w:rPr>
              <w:t>Main operation rate 19.50% (corridor 19.00/20.00), held for a second consecutive meeting; annual headline inflation of 14.30% in June 2026; the 7% (±2pp) fourth-quarter 2026 and 5% (±2pp) fourth-quarter 2028 inflation targets used to build the terminal risk-free rate</w:t>
            </w:r>
          </w:p>
        </w:tc>
      </w:tr>
      <w:tr>
        <w:tc>
          <w:tcPr>
            <w:tcW w:type="dxa" w:w="2664"/>
          </w:tcPr>
          <w:p>
            <w:pPr>
              <w:spacing w:after="20"/>
            </w:pPr>
            <w:r>
              <w:rPr>
                <w:color w:val="1C3A36"/>
                <w:sz w:val="15"/>
              </w:rPr>
              <w:t>Country default spreads and risk premiums, Egypt row</w:t>
            </w:r>
          </w:p>
        </w:tc>
        <w:tc>
          <w:tcPr>
            <w:tcW w:type="dxa" w:w="2477"/>
          </w:tcPr>
          <w:p>
            <w:pPr>
              <w:spacing w:after="20"/>
            </w:pPr>
            <w:r>
              <w:rPr>
                <w:color w:val="1C3A36"/>
                <w:sz w:val="15"/>
              </w:rPr>
              <w:t>A. Damodaran, Stern School of Business, New York University</w:t>
            </w:r>
          </w:p>
        </w:tc>
        <w:tc>
          <w:tcPr>
            <w:tcW w:type="dxa" w:w="1152"/>
          </w:tcPr>
          <w:p>
            <w:pPr>
              <w:spacing w:after="20"/>
            </w:pPr>
            <w:r>
              <w:rPr>
                <w:color w:val="1C3A36"/>
                <w:sz w:val="15"/>
              </w:rPr>
              <w:t>January 2026</w:t>
            </w:r>
          </w:p>
        </w:tc>
        <w:tc>
          <w:tcPr>
            <w:tcW w:type="dxa" w:w="3859"/>
          </w:tcPr>
          <w:p>
            <w:pPr>
              <w:spacing w:after="20"/>
            </w:pPr>
            <w:r>
              <w:rPr>
                <w:color w:val="1C3A36"/>
                <w:sz w:val="15"/>
              </w:rPr>
              <w:t>The credit-default-swap-basis equity risk premium and sovereign default spread used as primary, and the rating-basis pair disclosed as the computed alternative</w:t>
            </w:r>
          </w:p>
        </w:tc>
      </w:tr>
      <w:tr>
        <w:tc>
          <w:tcPr>
            <w:tcW w:type="dxa" w:w="2664"/>
          </w:tcPr>
          <w:p>
            <w:pPr>
              <w:spacing w:after="20"/>
            </w:pPr>
            <w:r>
              <w:rPr>
                <w:color w:val="1C3A36"/>
                <w:sz w:val="15"/>
              </w:rPr>
              <w:t>Egyptian pound closing rates and the 10-year government bond yield</w:t>
            </w:r>
          </w:p>
        </w:tc>
        <w:tc>
          <w:tcPr>
            <w:tcW w:type="dxa" w:w="2477"/>
          </w:tcPr>
          <w:p>
            <w:pPr>
              <w:spacing w:after="20"/>
            </w:pPr>
            <w:r>
              <w:rPr>
                <w:color w:val="1C3A36"/>
                <w:sz w:val="15"/>
              </w:rPr>
              <w:t>Amwal Al Ghad; house cost-of-capital reference</w:t>
            </w:r>
          </w:p>
        </w:tc>
        <w:tc>
          <w:tcPr>
            <w:tcW w:type="dxa" w:w="1152"/>
          </w:tcPr>
          <w:p>
            <w:pPr>
              <w:spacing w:after="20"/>
            </w:pPr>
            <w:r>
              <w:rPr>
                <w:color w:val="1C3A36"/>
                <w:sz w:val="15"/>
              </w:rPr>
              <w:t>Jul–Aug 2026</w:t>
            </w:r>
          </w:p>
        </w:tc>
        <w:tc>
          <w:tcPr>
            <w:tcW w:type="dxa" w:w="3859"/>
          </w:tcPr>
          <w:p>
            <w:pPr>
              <w:spacing w:after="20"/>
            </w:pPr>
            <w:r>
              <w:rPr>
                <w:color w:val="1C3A36"/>
                <w:sz w:val="15"/>
              </w:rPr>
              <w:t>USD/EGP at 50.25 (close of 50.30/50.40 on 4 August 2026) and the 10-year local-currency yield of 22.31%</w:t>
            </w:r>
          </w:p>
        </w:tc>
      </w:tr>
      <w:tr>
        <w:tc>
          <w:tcPr>
            <w:tcW w:type="dxa" w:w="2664"/>
          </w:tcPr>
          <w:p>
            <w:pPr>
              <w:spacing w:after="20"/>
            </w:pPr>
            <w:r>
              <w:rPr>
                <w:color w:val="1C3A36"/>
                <w:sz w:val="15"/>
              </w:rPr>
              <w:t>AMOC daily price history — open, high, low, close and volume</w:t>
            </w:r>
          </w:p>
        </w:tc>
        <w:tc>
          <w:tcPr>
            <w:tcW w:type="dxa" w:w="2477"/>
          </w:tcPr>
          <w:p>
            <w:pPr>
              <w:spacing w:after="20"/>
            </w:pPr>
            <w:r>
              <w:rPr>
                <w:color w:val="1C3A36"/>
                <w:sz w:val="15"/>
              </w:rPr>
              <w:t>Vendor export, screened through the house data-quality gate</w:t>
            </w:r>
          </w:p>
        </w:tc>
        <w:tc>
          <w:tcPr>
            <w:tcW w:type="dxa" w:w="1152"/>
          </w:tcPr>
          <w:p>
            <w:pPr>
              <w:spacing w:after="20"/>
            </w:pPr>
            <w:r>
              <w:rPr>
                <w:color w:val="1C3A36"/>
                <w:sz w:val="15"/>
              </w:rPr>
              <w:t>2 Jan 2011 – 6 Aug 2026</w:t>
            </w:r>
          </w:p>
        </w:tc>
        <w:tc>
          <w:tcPr>
            <w:tcW w:type="dxa" w:w="3859"/>
          </w:tcPr>
          <w:p>
            <w:pPr>
              <w:spacing w:after="20"/>
            </w:pPr>
            <w:r>
              <w:rPr>
                <w:color w:val="1C3A36"/>
                <w:sz w:val="15"/>
              </w:rPr>
              <w:t>The full price history: the closing price the study is anchored on, the beta regression, the volatility estimate and the simulated price distribution</w:t>
            </w:r>
          </w:p>
        </w:tc>
      </w:tr>
    </w:tbl>
    <w:p>
      <w:pPr>
        <w:spacing w:after="40"/>
      </w:pPr>
    </w:p>
    <w:p>
      <w:pPr>
        <w:spacing w:after="80" w:before="240"/>
      </w:pPr>
      <w:r>
        <w:rPr>
          <w:b/>
          <w:i w:val="0"/>
          <w:color w:val="1C3A36"/>
          <w:sz w:val="26"/>
        </w:rPr>
        <w:t>Triangulated figures — RETIRED</w:t>
      </w:r>
    </w:p>
    <w:p>
      <w:pPr>
        <w:spacing w:after="100" w:before="0"/>
      </w:pPr>
      <w:r>
        <w:rPr>
          <w:b w:val="0"/>
          <w:i w:val="0"/>
          <w:color w:val="1C3A36"/>
          <w:sz w:val="20"/>
        </w:rPr>
        <w:t>The first edition carried a table here of figures disclosed only through growth rates, each derived by two or three independent routes and averaged, with every route shown. That table is REMOVED rather than updated: the figures it triangulated are now read straight off the audited statements. Keeping it would imply a corroboration exercise that no longer has anything to corroborate.</w:t>
      </w:r>
    </w:p>
    <w:p>
      <w:pPr>
        <w:spacing w:after="100" w:before="0"/>
      </w:pPr>
      <w:r>
        <w:rPr>
          <w:b w:val="0"/>
          <w:i w:val="0"/>
          <w:color w:val="1C3A36"/>
          <w:sz w:val="20"/>
        </w:rPr>
        <w:t>Two derivations remain, and the study states both on its face. FIRST, the base year: the twelve contiguous months to 30 June 2026 — the audited transition half plus the half disclosed to the exchange on 29-30 July 2026 — with no annualisation scalar; the audited nine months annualised by four thirds is published beside it as the fully-audited alternative. SECOND, the gross profit of the reported half: the released figure of EGP 3,258mn, run through the company's own first-quarter expense run rates, implies a profit after tax +0.0% above the profit printed in the same release, so it is rejected and the figure used, EGP 3,259mn, is SOLVED from the release's own profit line. Two coherence tests support the profit line it is solved from: the reported majority profit ties to the AUDITED statement of changes in equity within 0.9%, and the reported revenue ties to an independent triangulation within 0.0%.</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5760"/>
      </w:tblGrid>
      <w:tr>
        <w:tc>
          <w:tcPr>
            <w:tcW w:type="dxa" w:w="4392"/>
            <w:shd w:val="clear" w:color="auto" w:fill="EAF0EE"/>
          </w:tcPr>
          <w:p>
            <w:pPr>
              <w:spacing w:after="20"/>
            </w:pPr>
            <w:r>
              <w:rPr>
                <w:b/>
                <w:color w:val="1C3A36"/>
                <w:sz w:val="15"/>
              </w:rPr>
              <w:t>What the first edition triangulated</w:t>
            </w:r>
          </w:p>
        </w:tc>
        <w:tc>
          <w:tcPr>
            <w:tcW w:type="dxa" w:w="5760"/>
            <w:shd w:val="clear" w:color="auto" w:fill="EAF0EE"/>
          </w:tcPr>
          <w:p>
            <w:pPr>
              <w:spacing w:after="20"/>
            </w:pPr>
            <w:r>
              <w:rPr>
                <w:b/>
                <w:color w:val="1C3A36"/>
                <w:sz w:val="15"/>
              </w:rPr>
              <w:t>What the filing says</w:t>
            </w:r>
          </w:p>
        </w:tc>
      </w:tr>
      <w:tr>
        <w:tc>
          <w:tcPr>
            <w:tcW w:type="dxa" w:w="4392"/>
          </w:tcPr>
          <w:p>
            <w:pPr>
              <w:spacing w:after="20"/>
            </w:pPr>
            <w:r>
              <w:rPr>
                <w:color w:val="1C3A36"/>
                <w:sz w:val="15"/>
              </w:rPr>
              <w:t>Base-year revenue, reconstructed from two reported halves at EGP 39,996mn</w:t>
            </w:r>
          </w:p>
        </w:tc>
        <w:tc>
          <w:tcPr>
            <w:tcW w:type="dxa" w:w="5760"/>
          </w:tcPr>
          <w:p>
            <w:pPr>
              <w:spacing w:after="20"/>
            </w:pPr>
            <w:r>
              <w:rPr>
                <w:color w:val="1C3A36"/>
                <w:sz w:val="15"/>
              </w:rPr>
              <w:t>Twelve months to 30-Jun-2026, no scalar: EGP 46,959mn (audited nine months annualised: 46,959mn)</w:t>
            </w:r>
          </w:p>
        </w:tc>
      </w:tr>
      <w:tr>
        <w:tc>
          <w:tcPr>
            <w:tcW w:type="dxa" w:w="4392"/>
          </w:tcPr>
          <w:p>
            <w:pPr>
              <w:spacing w:after="20"/>
            </w:pPr>
            <w:r>
              <w:rPr>
                <w:color w:val="1C3A36"/>
                <w:sz w:val="15"/>
              </w:rPr>
              <w:t>Gross margin, built from a per-tonne cost stack at 6.06%</w:t>
            </w:r>
          </w:p>
        </w:tc>
        <w:tc>
          <w:tcPr>
            <w:tcW w:type="dxa" w:w="5760"/>
          </w:tcPr>
          <w:p>
            <w:pPr>
              <w:spacing w:after="20"/>
            </w:pPr>
            <w:r>
              <w:rPr>
                <w:color w:val="1C3A36"/>
                <w:sz w:val="15"/>
              </w:rPr>
              <w:t>Twelve months to 30-Jun-2026: 9.65% (nine audited months: 9.65%)</w:t>
            </w:r>
          </w:p>
        </w:tc>
      </w:tr>
      <w:tr>
        <w:tc>
          <w:tcPr>
            <w:tcW w:type="dxa" w:w="4392"/>
          </w:tcPr>
          <w:p>
            <w:pPr>
              <w:spacing w:after="20"/>
            </w:pPr>
            <w:r>
              <w:rPr>
                <w:color w:val="1C3A36"/>
                <w:sz w:val="15"/>
              </w:rPr>
              <w:t>Cost of sales, built from house yields, energy intensity and a solved feedstock differential</w:t>
            </w:r>
          </w:p>
        </w:tc>
        <w:tc>
          <w:tcPr>
            <w:tcW w:type="dxa" w:w="5760"/>
          </w:tcPr>
          <w:p>
            <w:pPr>
              <w:spacing w:after="20"/>
            </w:pPr>
            <w:r>
              <w:rPr>
                <w:color w:val="1C3A36"/>
                <w:sz w:val="15"/>
              </w:rPr>
              <w:t>Note 15-A as filed: raw materials 91.2%, salaries 4.4%, other 3.9%, supporting materials 0.3%, depreciation 0.3%</w:t>
            </w:r>
          </w:p>
        </w:tc>
      </w:tr>
      <w:tr>
        <w:tc>
          <w:tcPr>
            <w:tcW w:type="dxa" w:w="4392"/>
          </w:tcPr>
          <w:p>
            <w:pPr>
              <w:spacing w:after="20"/>
            </w:pPr>
            <w:r>
              <w:rPr>
                <w:color w:val="1C3A36"/>
                <w:sz w:val="15"/>
              </w:rPr>
              <w:t>Three product lines from a reviewer-sourced table</w:t>
            </w:r>
          </w:p>
        </w:tc>
        <w:tc>
          <w:tcPr>
            <w:tcW w:type="dxa" w:w="5760"/>
          </w:tcPr>
          <w:p>
            <w:pPr>
              <w:spacing w:after="20"/>
            </w:pPr>
            <w:r>
              <w:rPr>
                <w:color w:val="1C3A36"/>
                <w:sz w:val="15"/>
              </w:rPr>
              <w:t>Note 14-A: eight lines, 1,502,325 tonnes and EGP 46,959mn, tonnage and value both disclosed</w:t>
            </w:r>
          </w:p>
        </w:tc>
      </w:tr>
      <w:tr>
        <w:tc>
          <w:tcPr>
            <w:tcW w:type="dxa" w:w="4392"/>
          </w:tcPr>
          <w:p>
            <w:pPr>
              <w:spacing w:after="20"/>
            </w:pPr>
            <w:r>
              <w:rPr>
                <w:color w:val="1C3A36"/>
                <w:sz w:val="15"/>
              </w:rPr>
              <w:t>Property, plant and equipment reconstructed as a residual at EGP 2,403mn</w:t>
            </w:r>
          </w:p>
        </w:tc>
        <w:tc>
          <w:tcPr>
            <w:tcW w:type="dxa" w:w="5760"/>
          </w:tcPr>
          <w:p>
            <w:pPr>
              <w:spacing w:after="20"/>
            </w:pPr>
            <w:r>
              <w:rPr>
                <w:color w:val="1C3A36"/>
                <w:sz w:val="15"/>
              </w:rPr>
              <w:t>Note 6 as filed: EGP 1,288mn including projects under construction</w:t>
            </w:r>
          </w:p>
        </w:tc>
      </w:tr>
      <w:tr>
        <w:tc>
          <w:tcPr>
            <w:tcW w:type="dxa" w:w="4392"/>
          </w:tcPr>
          <w:p>
            <w:pPr>
              <w:spacing w:after="20"/>
            </w:pPr>
            <w:r>
              <w:rPr>
                <w:color w:val="1C3A36"/>
                <w:sz w:val="15"/>
              </w:rPr>
              <w:t>Depreciation modelled at 1.1% of revenue</w:t>
            </w:r>
          </w:p>
        </w:tc>
        <w:tc>
          <w:tcPr>
            <w:tcW w:type="dxa" w:w="5760"/>
          </w:tcPr>
          <w:p>
            <w:pPr>
              <w:spacing w:after="20"/>
            </w:pPr>
            <w:r>
              <w:rPr>
                <w:color w:val="1C3A36"/>
                <w:sz w:val="15"/>
              </w:rPr>
              <w:t>Actual, annualised from two filings: EGP 157mn</w:t>
            </w:r>
          </w:p>
        </w:tc>
      </w:tr>
      <w:tr>
        <w:tc>
          <w:tcPr>
            <w:tcW w:type="dxa" w:w="4392"/>
          </w:tcPr>
          <w:p>
            <w:pPr>
              <w:spacing w:after="20"/>
            </w:pPr>
            <w:r>
              <w:rPr>
                <w:color w:val="1C3A36"/>
                <w:sz w:val="15"/>
              </w:rPr>
              <w:t>Capital expenditure modelled at 1.45% of revenue</w:t>
            </w:r>
          </w:p>
        </w:tc>
        <w:tc>
          <w:tcPr>
            <w:tcW w:type="dxa" w:w="5760"/>
          </w:tcPr>
          <w:p>
            <w:pPr>
              <w:spacing w:after="20"/>
            </w:pPr>
            <w:r>
              <w:rPr>
                <w:color w:val="1C3A36"/>
                <w:sz w:val="15"/>
              </w:rPr>
              <w:t>Actual cash paid, annualised: EGP 169mn</w:t>
            </w:r>
          </w:p>
        </w:tc>
      </w:tr>
      <w:tr>
        <w:tc>
          <w:tcPr>
            <w:tcW w:type="dxa" w:w="4392"/>
          </w:tcPr>
          <w:p>
            <w:pPr>
              <w:spacing w:after="20"/>
            </w:pPr>
            <w:r>
              <w:rPr>
                <w:color w:val="1C3A36"/>
                <w:sz w:val="15"/>
              </w:rPr>
              <w:t>Operating expense modelled at 1.25% of revenue</w:t>
            </w:r>
          </w:p>
        </w:tc>
        <w:tc>
          <w:tcPr>
            <w:tcW w:type="dxa" w:w="5760"/>
          </w:tcPr>
          <w:p>
            <w:pPr>
              <w:spacing w:after="20"/>
            </w:pPr>
            <w:r>
              <w:rPr>
                <w:color w:val="1C3A36"/>
                <w:sz w:val="15"/>
              </w:rPr>
              <w:t>Actual, annualised: EGP 1,739mn, 3.70% of revenue</w:t>
            </w:r>
          </w:p>
        </w:tc>
      </w:tr>
      <w:tr>
        <w:tc>
          <w:tcPr>
            <w:tcW w:type="dxa" w:w="4392"/>
          </w:tcPr>
          <w:p>
            <w:pPr>
              <w:spacing w:after="20"/>
            </w:pPr>
            <w:r>
              <w:rPr>
                <w:color w:val="1C3A36"/>
                <w:sz w:val="15"/>
              </w:rPr>
              <w:t>Minority interest inferred at 3.0% of group profit</w:t>
            </w:r>
          </w:p>
        </w:tc>
        <w:tc>
          <w:tcPr>
            <w:tcW w:type="dxa" w:w="5760"/>
          </w:tcPr>
          <w:p>
            <w:pPr>
              <w:spacing w:after="20"/>
            </w:pPr>
            <w:r>
              <w:rPr>
                <w:color w:val="1C3A36"/>
                <w:sz w:val="15"/>
              </w:rPr>
              <w:t>Disclosed: 4.645%; AMOC owns 86.45% of Alexandria Wax Products</w:t>
            </w:r>
          </w:p>
        </w:tc>
      </w:tr>
      <w:tr>
        <w:tc>
          <w:tcPr>
            <w:tcW w:type="dxa" w:w="4392"/>
          </w:tcPr>
          <w:p>
            <w:pPr>
              <w:spacing w:after="20"/>
            </w:pPr>
            <w:r>
              <w:rPr>
                <w:color w:val="1C3A36"/>
                <w:sz w:val="15"/>
              </w:rPr>
              <w:t>Effective tax rate assumed at 23.5%</w:t>
            </w:r>
          </w:p>
        </w:tc>
        <w:tc>
          <w:tcPr>
            <w:tcW w:type="dxa" w:w="5760"/>
          </w:tcPr>
          <w:p>
            <w:pPr>
              <w:spacing w:after="20"/>
            </w:pPr>
            <w:r>
              <w:rPr>
                <w:color w:val="1C3A36"/>
                <w:sz w:val="15"/>
              </w:rPr>
              <w:t>Computed from both filed periods: 22.12%</w:t>
            </w:r>
          </w:p>
        </w:tc>
      </w:tr>
      <w:tr>
        <w:tc>
          <w:tcPr>
            <w:tcW w:type="dxa" w:w="4392"/>
          </w:tcPr>
          <w:p>
            <w:pPr>
              <w:spacing w:after="20"/>
            </w:pPr>
            <w:r>
              <w:rPr>
                <w:color w:val="1C3A36"/>
                <w:sz w:val="15"/>
              </w:rPr>
              <w:t>No tax-disputes provision carried</w:t>
            </w:r>
          </w:p>
        </w:tc>
        <w:tc>
          <w:tcPr>
            <w:tcW w:type="dxa" w:w="5760"/>
          </w:tcPr>
          <w:p>
            <w:pPr>
              <w:spacing w:after="20"/>
            </w:pPr>
            <w:r>
              <w:rPr>
                <w:color w:val="1C3A36"/>
                <w:sz w:val="15"/>
              </w:rPr>
              <w:t>Note 10-1: EGP 997mn</w:t>
            </w:r>
          </w:p>
        </w:tc>
      </w:tr>
    </w:tbl>
    <w:p>
      <w:pPr>
        <w:spacing w:after="40"/>
      </w:pPr>
    </w:p>
    <w:p>
      <w:pPr>
        <w:spacing w:after="80" w:before="240"/>
      </w:pPr>
      <w:r>
        <w:rPr>
          <w:b/>
          <w:i w:val="0"/>
          <w:color w:val="1C3A36"/>
          <w:sz w:val="26"/>
        </w:rPr>
        <w:t>Triangulated figures — every route shown</w:t>
      </w:r>
    </w:p>
    <w:p>
      <w:pPr>
        <w:spacing w:after="100" w:before="0"/>
      </w:pPr>
      <w:r>
        <w:rPr>
          <w:b w:val="0"/>
          <w:i w:val="0"/>
          <w:color w:val="1C3A36"/>
          <w:sz w:val="20"/>
        </w:rPr>
        <w:t>Where a figure was disclosed only through a growth rate, it is derived by more than one independent route and the AVERAGE is carried. The routes are on the face of the companion model as live formulas, not asserted here.</w:t>
      </w:r>
    </w:p>
    <w:p>
      <w:pPr>
        <w:spacing w:after="100" w:before="0"/>
      </w:pPr>
      <w:r>
        <w:rPr>
          <w:b w:val="0"/>
          <w:i w:val="0"/>
          <w:color w:val="1C3A36"/>
          <w:sz w:val="20"/>
        </w:rPr>
        <w:t>The residual triangulation table and the period-identification check that followed it have both been removed. The first edition had to identify which period a press release covered by matching two reported growth rates against a constructed comparative; the filings state the period on their face, so the exercise is redundant. The audited transition period runs 1 July 2025 to 31 December 2025 and says so in the auditor's report.</w:t>
      </w:r>
    </w:p>
    <w:p>
      <w:pPr>
        <w:spacing w:after="80" w:before="240"/>
      </w:pPr>
      <w:r>
        <w:rPr>
          <w:b/>
          <w:i w:val="0"/>
          <w:color w:val="1C3A36"/>
          <w:sz w:val="26"/>
        </w:rPr>
        <w:t>The full input register</w:t>
      </w:r>
    </w:p>
    <w:p>
      <w:pPr>
        <w:spacing w:after="100" w:before="0"/>
      </w:pPr>
      <w:r>
        <w:rPr>
          <w:b w:val="0"/>
          <w:i w:val="0"/>
          <w:color w:val="1C3A36"/>
          <w:sz w:val="20"/>
        </w:rPr>
        <w:t>Every hardcoded figure the compute script consumes, in the order it is declared. A bare numeral anywhere in the inputs block fails the build, so this table is complete by construction.</w:t>
      </w:r>
    </w:p>
    <w:p>
      <w:pPr>
        <w:spacing w:after="60" w:before="160"/>
      </w:pPr>
      <w:r>
        <w:rPr>
          <w:b/>
          <w:i w:val="0"/>
          <w:color w:val="1C3A36"/>
          <w:sz w:val="22"/>
        </w:rPr>
        <w:t>Company layer — 131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spot</w:t>
            </w:r>
          </w:p>
        </w:tc>
        <w:tc>
          <w:tcPr>
            <w:tcW w:type="dxa" w:w="2232"/>
          </w:tcPr>
          <w:p>
            <w:pPr>
              <w:spacing w:after="20"/>
            </w:pPr>
            <w:r>
              <w:rPr>
                <w:color w:val="1C3A36"/>
                <w:sz w:val="15"/>
              </w:rPr>
              <w:t>13.5</w:t>
            </w:r>
          </w:p>
        </w:tc>
        <w:tc>
          <w:tcPr>
            <w:tcW w:type="dxa" w:w="1368"/>
          </w:tcPr>
          <w:p>
            <w:pPr>
              <w:spacing w:after="20"/>
            </w:pPr>
            <w:r>
              <w:rPr>
                <w:color w:val="1C3A36"/>
                <w:sz w:val="15"/>
              </w:rPr>
              <w:t>2026-09-03</w:t>
            </w:r>
          </w:p>
        </w:tc>
        <w:tc>
          <w:tcPr>
            <w:tcW w:type="dxa" w:w="3845"/>
          </w:tcPr>
          <w:p>
            <w:pPr>
              <w:spacing w:after="20"/>
            </w:pPr>
            <w:r>
              <w:rPr>
                <w:color w:val="1C3A36"/>
                <w:sz w:val="15"/>
              </w:rPr>
              <w:t>AMOC closing price on the Egyptian Exchange, 3 September 2026</w:t>
            </w:r>
          </w:p>
        </w:tc>
      </w:tr>
      <w:tr>
        <w:tc>
          <w:tcPr>
            <w:tcW w:type="dxa" w:w="2736"/>
          </w:tcPr>
          <w:p>
            <w:pPr>
              <w:spacing w:after="20"/>
            </w:pPr>
            <w:r>
              <w:rPr>
                <w:color w:val="1C3A36"/>
                <w:sz w:val="15"/>
              </w:rPr>
              <w:t>shares_mn</w:t>
            </w:r>
          </w:p>
        </w:tc>
        <w:tc>
          <w:tcPr>
            <w:tcW w:type="dxa" w:w="2232"/>
          </w:tcPr>
          <w:p>
            <w:pPr>
              <w:spacing w:after="20"/>
            </w:pPr>
            <w:r>
              <w:rPr>
                <w:color w:val="1C3A36"/>
                <w:sz w:val="15"/>
              </w:rPr>
              <w:t>1,291.5</w:t>
            </w:r>
          </w:p>
        </w:tc>
        <w:tc>
          <w:tcPr>
            <w:tcW w:type="dxa" w:w="1368"/>
          </w:tcPr>
          <w:p>
            <w:pPr>
              <w:spacing w:after="20"/>
            </w:pPr>
            <w:r>
              <w:rPr>
                <w:color w:val="1C3A36"/>
                <w:sz w:val="15"/>
              </w:rPr>
              <w:t>2025-12-31</w:t>
            </w:r>
          </w:p>
        </w:tc>
        <w:tc>
          <w:tcPr>
            <w:tcW w:type="dxa" w:w="3845"/>
          </w:tcPr>
          <w:p>
            <w:pPr>
              <w:spacing w:after="20"/>
            </w:pPr>
            <w:r>
              <w:rPr>
                <w:color w:val="1C3A36"/>
                <w:sz w:val="15"/>
              </w:rPr>
              <w:t>Issued and paid-up capital EGP 1,291,500,000 at EGP 1 par = 1,291,500,000 shares (note 18-L, share split to EGP 1 par recorded in the Commercial Register 24-Jan-2018)</w:t>
            </w:r>
          </w:p>
        </w:tc>
      </w:tr>
      <w:tr>
        <w:tc>
          <w:tcPr>
            <w:tcW w:type="dxa" w:w="2736"/>
          </w:tcPr>
          <w:p>
            <w:pPr>
              <w:spacing w:after="20"/>
            </w:pPr>
            <w:r>
              <w:rPr>
                <w:color w:val="1C3A36"/>
                <w:sz w:val="15"/>
              </w:rPr>
              <w:t>rev_h2_25</w:t>
            </w:r>
          </w:p>
        </w:tc>
        <w:tc>
          <w:tcPr>
            <w:tcW w:type="dxa" w:w="2232"/>
          </w:tcPr>
          <w:p>
            <w:pPr>
              <w:spacing w:after="20"/>
            </w:pPr>
            <w:r>
              <w:rPr>
                <w:color w:val="1C3A36"/>
                <w:sz w:val="15"/>
              </w:rPr>
              <w:t>20,735,725,812.0</w:t>
            </w:r>
          </w:p>
        </w:tc>
        <w:tc>
          <w:tcPr>
            <w:tcW w:type="dxa" w:w="1368"/>
          </w:tcPr>
          <w:p>
            <w:pPr>
              <w:spacing w:after="20"/>
            </w:pPr>
            <w:r>
              <w:rPr>
                <w:color w:val="1C3A36"/>
                <w:sz w:val="15"/>
              </w:rPr>
              <w:t>2025-12-31</w:t>
            </w:r>
          </w:p>
        </w:tc>
        <w:tc>
          <w:tcPr>
            <w:tcW w:type="dxa" w:w="3845"/>
          </w:tcPr>
          <w:p>
            <w:pPr>
              <w:spacing w:after="20"/>
            </w:pPr>
            <w:r>
              <w:rPr>
                <w:color w:val="1C3A36"/>
                <w:sz w:val="15"/>
              </w:rPr>
              <w:t>Net sales, six months to 31-Dec-2025. Audited consolidated FS, transition period 1-Jul-2025 to 31-Dec-2025, Crowe unqualified, 18-Feb-2026</w:t>
            </w:r>
          </w:p>
        </w:tc>
      </w:tr>
      <w:tr>
        <w:tc>
          <w:tcPr>
            <w:tcW w:type="dxa" w:w="2736"/>
          </w:tcPr>
          <w:p>
            <w:pPr>
              <w:spacing w:after="20"/>
            </w:pPr>
            <w:r>
              <w:rPr>
                <w:color w:val="1C3A36"/>
                <w:sz w:val="15"/>
              </w:rPr>
              <w:t>cogs_h2_25</w:t>
            </w:r>
          </w:p>
        </w:tc>
        <w:tc>
          <w:tcPr>
            <w:tcW w:type="dxa" w:w="2232"/>
          </w:tcPr>
          <w:p>
            <w:pPr>
              <w:spacing w:after="20"/>
            </w:pPr>
            <w:r>
              <w:rPr>
                <w:color w:val="1C3A36"/>
                <w:sz w:val="15"/>
              </w:rPr>
              <w:t>19,461,550,746.0</w:t>
            </w:r>
          </w:p>
        </w:tc>
        <w:tc>
          <w:tcPr>
            <w:tcW w:type="dxa" w:w="1368"/>
          </w:tcPr>
          <w:p>
            <w:pPr>
              <w:spacing w:after="20"/>
            </w:pPr>
            <w:r>
              <w:rPr>
                <w:color w:val="1C3A36"/>
                <w:sz w:val="15"/>
              </w:rPr>
              <w:t>2025-12-31</w:t>
            </w:r>
          </w:p>
        </w:tc>
        <w:tc>
          <w:tcPr>
            <w:tcW w:type="dxa" w:w="3845"/>
          </w:tcPr>
          <w:p>
            <w:pPr>
              <w:spacing w:after="20"/>
            </w:pPr>
            <w:r>
              <w:rPr>
                <w:color w:val="1C3A36"/>
                <w:sz w:val="15"/>
              </w:rPr>
              <w:t>Cost of sales, six months to 31-Dec-2025. Audited consolidated FS, transition period 1-Jul-2025 to 31-Dec-2025, Crowe unqualified, 18-Feb-2026</w:t>
            </w:r>
          </w:p>
        </w:tc>
      </w:tr>
      <w:tr>
        <w:tc>
          <w:tcPr>
            <w:tcW w:type="dxa" w:w="2736"/>
          </w:tcPr>
          <w:p>
            <w:pPr>
              <w:spacing w:after="20"/>
            </w:pPr>
            <w:r>
              <w:rPr>
                <w:color w:val="1C3A36"/>
                <w:sz w:val="15"/>
              </w:rPr>
              <w:t>ga_h2_25</w:t>
            </w:r>
          </w:p>
        </w:tc>
        <w:tc>
          <w:tcPr>
            <w:tcW w:type="dxa" w:w="2232"/>
          </w:tcPr>
          <w:p>
            <w:pPr>
              <w:spacing w:after="20"/>
            </w:pPr>
            <w:r>
              <w:rPr>
                <w:color w:val="1C3A36"/>
                <w:sz w:val="15"/>
              </w:rPr>
              <w:t>585,636,101.0</w:t>
            </w:r>
          </w:p>
        </w:tc>
        <w:tc>
          <w:tcPr>
            <w:tcW w:type="dxa" w:w="1368"/>
          </w:tcPr>
          <w:p>
            <w:pPr>
              <w:spacing w:after="20"/>
            </w:pPr>
            <w:r>
              <w:rPr>
                <w:color w:val="1C3A36"/>
                <w:sz w:val="15"/>
              </w:rPr>
              <w:t>2025-12-31</w:t>
            </w:r>
          </w:p>
        </w:tc>
        <w:tc>
          <w:tcPr>
            <w:tcW w:type="dxa" w:w="3845"/>
          </w:tcPr>
          <w:p>
            <w:pPr>
              <w:spacing w:after="20"/>
            </w:pPr>
            <w:r>
              <w:rPr>
                <w:color w:val="1C3A36"/>
                <w:sz w:val="15"/>
              </w:rPr>
              <w:t>General and administrative expenses, six months to 31-Dec-2025 (note 15-B). Audited consolidated FS, transition period 1-Jul-2025 to 31-Dec-2025, Crowe unqualified, 18-Feb-2026</w:t>
            </w:r>
          </w:p>
        </w:tc>
      </w:tr>
      <w:tr>
        <w:tc>
          <w:tcPr>
            <w:tcW w:type="dxa" w:w="2736"/>
          </w:tcPr>
          <w:p>
            <w:pPr>
              <w:spacing w:after="20"/>
            </w:pPr>
            <w:r>
              <w:rPr>
                <w:color w:val="1C3A36"/>
                <w:sz w:val="15"/>
              </w:rPr>
              <w:t>mkt_h2_25</w:t>
            </w:r>
          </w:p>
        </w:tc>
        <w:tc>
          <w:tcPr>
            <w:tcW w:type="dxa" w:w="2232"/>
          </w:tcPr>
          <w:p>
            <w:pPr>
              <w:spacing w:after="20"/>
            </w:pPr>
            <w:r>
              <w:rPr>
                <w:color w:val="1C3A36"/>
                <w:sz w:val="15"/>
              </w:rPr>
              <w:t>93,729,199.0</w:t>
            </w:r>
          </w:p>
        </w:tc>
        <w:tc>
          <w:tcPr>
            <w:tcW w:type="dxa" w:w="1368"/>
          </w:tcPr>
          <w:p>
            <w:pPr>
              <w:spacing w:after="20"/>
            </w:pPr>
            <w:r>
              <w:rPr>
                <w:color w:val="1C3A36"/>
                <w:sz w:val="15"/>
              </w:rPr>
              <w:t>2025-12-31</w:t>
            </w:r>
          </w:p>
        </w:tc>
        <w:tc>
          <w:tcPr>
            <w:tcW w:type="dxa" w:w="3845"/>
          </w:tcPr>
          <w:p>
            <w:pPr>
              <w:spacing w:after="20"/>
            </w:pPr>
            <w:r>
              <w:rPr>
                <w:color w:val="1C3A36"/>
                <w:sz w:val="15"/>
              </w:rPr>
              <w:t>Marketing and selling expenses, six months to 31-Dec-2025 (note 15-C). Audited consolidated FS, transition period 1-Jul-2025 to 31-Dec-2025, Crowe unqualified, 18-Feb-2026</w:t>
            </w:r>
          </w:p>
        </w:tc>
      </w:tr>
      <w:tr>
        <w:tc>
          <w:tcPr>
            <w:tcW w:type="dxa" w:w="2736"/>
          </w:tcPr>
          <w:p>
            <w:pPr>
              <w:spacing w:after="20"/>
            </w:pPr>
            <w:r>
              <w:rPr>
                <w:color w:val="1C3A36"/>
                <w:sz w:val="15"/>
              </w:rPr>
              <w:t>othexp_h2_25</w:t>
            </w:r>
          </w:p>
        </w:tc>
        <w:tc>
          <w:tcPr>
            <w:tcW w:type="dxa" w:w="2232"/>
          </w:tcPr>
          <w:p>
            <w:pPr>
              <w:spacing w:after="20"/>
            </w:pPr>
            <w:r>
              <w:rPr>
                <w:color w:val="1C3A36"/>
                <w:sz w:val="15"/>
              </w:rPr>
              <w:t>108,781,309.0</w:t>
            </w:r>
          </w:p>
        </w:tc>
        <w:tc>
          <w:tcPr>
            <w:tcW w:type="dxa" w:w="1368"/>
          </w:tcPr>
          <w:p>
            <w:pPr>
              <w:spacing w:after="20"/>
            </w:pPr>
            <w:r>
              <w:rPr>
                <w:color w:val="1C3A36"/>
                <w:sz w:val="15"/>
              </w:rPr>
              <w:t>2025-12-25</w:t>
            </w:r>
          </w:p>
        </w:tc>
        <w:tc>
          <w:tcPr>
            <w:tcW w:type="dxa" w:w="3845"/>
          </w:tcPr>
          <w:p>
            <w:pPr>
              <w:spacing w:after="20"/>
            </w:pPr>
            <w:r>
              <w:rPr>
                <w:color w:val="1C3A36"/>
                <w:sz w:val="15"/>
              </w:rPr>
              <w:t>Other operating expenses, six months to 31-Dec-2025 (note 15-D): compensation and fines 101,393,395, donations 5,162,500, board transport and attendance 2,225,414. Audited consolidated FS, transition period 1-Jul-2025 to 31-Dec-2025, Crowe unqualified, 18-Feb-2026</w:t>
            </w:r>
          </w:p>
        </w:tc>
      </w:tr>
      <w:tr>
        <w:tc>
          <w:tcPr>
            <w:tcW w:type="dxa" w:w="2736"/>
          </w:tcPr>
          <w:p>
            <w:pPr>
              <w:spacing w:after="20"/>
            </w:pPr>
            <w:r>
              <w:rPr>
                <w:color w:val="1C3A36"/>
                <w:sz w:val="15"/>
              </w:rPr>
              <w:t>othrev_h2_25</w:t>
            </w:r>
          </w:p>
        </w:tc>
        <w:tc>
          <w:tcPr>
            <w:tcW w:type="dxa" w:w="2232"/>
          </w:tcPr>
          <w:p>
            <w:pPr>
              <w:spacing w:after="20"/>
            </w:pPr>
            <w:r>
              <w:rPr>
                <w:color w:val="1C3A36"/>
                <w:sz w:val="15"/>
              </w:rPr>
              <w:t>345,744,052.0</w:t>
            </w:r>
          </w:p>
        </w:tc>
        <w:tc>
          <w:tcPr>
            <w:tcW w:type="dxa" w:w="1368"/>
          </w:tcPr>
          <w:p>
            <w:pPr>
              <w:spacing w:after="20"/>
            </w:pPr>
            <w:r>
              <w:rPr>
                <w:color w:val="1C3A36"/>
                <w:sz w:val="15"/>
              </w:rPr>
              <w:t>2025-12-31</w:t>
            </w:r>
          </w:p>
        </w:tc>
        <w:tc>
          <w:tcPr>
            <w:tcW w:type="dxa" w:w="3845"/>
          </w:tcPr>
          <w:p>
            <w:pPr>
              <w:spacing w:after="20"/>
            </w:pPr>
            <w:r>
              <w:rPr>
                <w:color w:val="1C3A36"/>
                <w:sz w:val="15"/>
              </w:rPr>
              <w:t>Other revenue, six months to 31-Dec-2025 (note 14-B): credit interest 173,216,413, provision no longer required 154,301,640, reversed expected credit loss 1,870,481, compensations and fines 1,241,123, capital gains 326,000, miscellaneous 14,788,395. NOTE the foreign-exchange gain line is ZERO in this period, against 104,572,235 in the comparative half. Audited consolidated FS, transition period 1-Jul-2025 to 31-Dec-2025, Crowe unqualified, 18-Feb-2026</w:t>
            </w:r>
          </w:p>
        </w:tc>
      </w:tr>
      <w:tr>
        <w:tc>
          <w:tcPr>
            <w:tcW w:type="dxa" w:w="2736"/>
          </w:tcPr>
          <w:p>
            <w:pPr>
              <w:spacing w:after="20"/>
            </w:pPr>
            <w:r>
              <w:rPr>
                <w:color w:val="1C3A36"/>
                <w:sz w:val="15"/>
              </w:rPr>
              <w:t>invinc_h2_25</w:t>
            </w:r>
          </w:p>
        </w:tc>
        <w:tc>
          <w:tcPr>
            <w:tcW w:type="dxa" w:w="2232"/>
          </w:tcPr>
          <w:p>
            <w:pPr>
              <w:spacing w:after="20"/>
            </w:pPr>
            <w:r>
              <w:rPr>
                <w:color w:val="1C3A36"/>
                <w:sz w:val="15"/>
              </w:rPr>
              <w:t>13,520,000.0</w:t>
            </w:r>
          </w:p>
        </w:tc>
        <w:tc>
          <w:tcPr>
            <w:tcW w:type="dxa" w:w="1368"/>
          </w:tcPr>
          <w:p>
            <w:pPr>
              <w:spacing w:after="20"/>
            </w:pPr>
            <w:r>
              <w:rPr>
                <w:color w:val="1C3A36"/>
                <w:sz w:val="15"/>
              </w:rPr>
              <w:t>2025-12-31</w:t>
            </w:r>
          </w:p>
        </w:tc>
        <w:tc>
          <w:tcPr>
            <w:tcW w:type="dxa" w:w="3845"/>
          </w:tcPr>
          <w:p>
            <w:pPr>
              <w:spacing w:after="20"/>
            </w:pPr>
            <w:r>
              <w:rPr>
                <w:color w:val="1C3A36"/>
                <w:sz w:val="15"/>
              </w:rPr>
              <w:t>Revenue from investments — dividend from Alexandria Specialized Petroleum Products Co (note 14-C). Audited consolidated FS, transition period 1-Jul-2025 to 31-Dec-2025, Crowe unqualified, 18-Feb-2026</w:t>
            </w:r>
          </w:p>
        </w:tc>
      </w:tr>
      <w:tr>
        <w:tc>
          <w:tcPr>
            <w:tcW w:type="dxa" w:w="2736"/>
          </w:tcPr>
          <w:p>
            <w:pPr>
              <w:spacing w:after="20"/>
            </w:pPr>
            <w:r>
              <w:rPr>
                <w:color w:val="1C3A36"/>
                <w:sz w:val="15"/>
              </w:rPr>
              <w:t>prov_h2_25</w:t>
            </w:r>
          </w:p>
        </w:tc>
        <w:tc>
          <w:tcPr>
            <w:tcW w:type="dxa" w:w="2232"/>
          </w:tcPr>
          <w:p>
            <w:pPr>
              <w:spacing w:after="20"/>
            </w:pPr>
            <w:r>
              <w:rPr>
                <w:color w:val="1C3A36"/>
                <w:sz w:val="15"/>
              </w:rPr>
              <w:t>2,467,769.0</w:t>
            </w:r>
          </w:p>
        </w:tc>
        <w:tc>
          <w:tcPr>
            <w:tcW w:type="dxa" w:w="1368"/>
          </w:tcPr>
          <w:p>
            <w:pPr>
              <w:spacing w:after="20"/>
            </w:pPr>
            <w:r>
              <w:rPr>
                <w:color w:val="1C3A36"/>
                <w:sz w:val="15"/>
              </w:rPr>
              <w:t>2025-12-31</w:t>
            </w:r>
          </w:p>
        </w:tc>
        <w:tc>
          <w:tcPr>
            <w:tcW w:type="dxa" w:w="3845"/>
          </w:tcPr>
          <w:p>
            <w:pPr>
              <w:spacing w:after="20"/>
            </w:pPr>
            <w:r>
              <w:rPr>
                <w:color w:val="1C3A36"/>
                <w:sz w:val="15"/>
              </w:rPr>
              <w:t>Formed provisions charged in the six months to 31-Dec-2025. Audited consolidated FS, transition period 1-Jul-2025 to 31-Dec-2025, Crowe unqualified, 18-Feb-2026</w:t>
            </w:r>
          </w:p>
        </w:tc>
      </w:tr>
      <w:tr>
        <w:tc>
          <w:tcPr>
            <w:tcW w:type="dxa" w:w="2736"/>
          </w:tcPr>
          <w:p>
            <w:pPr>
              <w:spacing w:after="20"/>
            </w:pPr>
            <w:r>
              <w:rPr>
                <w:color w:val="1C3A36"/>
                <w:sz w:val="15"/>
              </w:rPr>
              <w:t>fin_h2_25</w:t>
            </w:r>
          </w:p>
        </w:tc>
        <w:tc>
          <w:tcPr>
            <w:tcW w:type="dxa" w:w="2232"/>
          </w:tcPr>
          <w:p>
            <w:pPr>
              <w:spacing w:after="20"/>
            </w:pPr>
            <w:r>
              <w:rPr>
                <w:color w:val="1C3A36"/>
                <w:sz w:val="15"/>
              </w:rPr>
              <w:t>1,892,108.0</w:t>
            </w:r>
          </w:p>
        </w:tc>
        <w:tc>
          <w:tcPr>
            <w:tcW w:type="dxa" w:w="1368"/>
          </w:tcPr>
          <w:p>
            <w:pPr>
              <w:spacing w:after="20"/>
            </w:pPr>
            <w:r>
              <w:rPr>
                <w:color w:val="1C3A36"/>
                <w:sz w:val="15"/>
              </w:rPr>
              <w:t>2025-12-31</w:t>
            </w:r>
          </w:p>
        </w:tc>
        <w:tc>
          <w:tcPr>
            <w:tcW w:type="dxa" w:w="3845"/>
          </w:tcPr>
          <w:p>
            <w:pPr>
              <w:spacing w:after="20"/>
            </w:pPr>
            <w:r>
              <w:rPr>
                <w:color w:val="1C3A36"/>
                <w:sz w:val="15"/>
              </w:rPr>
              <w:t>Finance expenses, six months to 31-Dec-2025 (note 15-E): loan interest and charges 1,130,556, lease interest 761,552. Audited consolidated FS, transition period 1-Jul-2025 to 31-Dec-2025, Crowe unqualified, 18-Feb-2026</w:t>
            </w:r>
          </w:p>
        </w:tc>
      </w:tr>
      <w:tr>
        <w:tc>
          <w:tcPr>
            <w:tcW w:type="dxa" w:w="2736"/>
          </w:tcPr>
          <w:p>
            <w:pPr>
              <w:spacing w:after="20"/>
            </w:pPr>
            <w:r>
              <w:rPr>
                <w:color w:val="1C3A36"/>
                <w:sz w:val="15"/>
              </w:rPr>
              <w:t>tax_h2_25</w:t>
            </w:r>
          </w:p>
        </w:tc>
        <w:tc>
          <w:tcPr>
            <w:tcW w:type="dxa" w:w="2232"/>
          </w:tcPr>
          <w:p>
            <w:pPr>
              <w:spacing w:after="20"/>
            </w:pPr>
            <w:r>
              <w:rPr>
                <w:color w:val="1C3A36"/>
                <w:sz w:val="15"/>
              </w:rPr>
              <w:t>203,945,433.0</w:t>
            </w:r>
          </w:p>
        </w:tc>
        <w:tc>
          <w:tcPr>
            <w:tcW w:type="dxa" w:w="1368"/>
          </w:tcPr>
          <w:p>
            <w:pPr>
              <w:spacing w:after="20"/>
            </w:pPr>
            <w:r>
              <w:rPr>
                <w:color w:val="1C3A36"/>
                <w:sz w:val="15"/>
              </w:rPr>
              <w:t>2025-12-31</w:t>
            </w:r>
          </w:p>
        </w:tc>
        <w:tc>
          <w:tcPr>
            <w:tcW w:type="dxa" w:w="3845"/>
          </w:tcPr>
          <w:p>
            <w:pPr>
              <w:spacing w:after="20"/>
            </w:pPr>
            <w:r>
              <w:rPr>
                <w:color w:val="1C3A36"/>
                <w:sz w:val="15"/>
              </w:rPr>
              <w:t>Current income tax, six months to 31-Dec-2025. Audited consolidated FS, transition period 1-Jul-2025 to 31-Dec-2025, Crowe unqualified, 18-Feb-2026</w:t>
            </w:r>
          </w:p>
        </w:tc>
      </w:tr>
      <w:tr>
        <w:tc>
          <w:tcPr>
            <w:tcW w:type="dxa" w:w="2736"/>
          </w:tcPr>
          <w:p>
            <w:pPr>
              <w:spacing w:after="20"/>
            </w:pPr>
            <w:r>
              <w:rPr>
                <w:color w:val="1C3A36"/>
                <w:sz w:val="15"/>
              </w:rPr>
              <w:t>dtax_h2_25</w:t>
            </w:r>
          </w:p>
        </w:tc>
        <w:tc>
          <w:tcPr>
            <w:tcW w:type="dxa" w:w="2232"/>
          </w:tcPr>
          <w:p>
            <w:pPr>
              <w:spacing w:after="20"/>
            </w:pPr>
            <w:r>
              <w:rPr>
                <w:color w:val="1C3A36"/>
                <w:sz w:val="15"/>
              </w:rPr>
              <w:t>19,441,512.0</w:t>
            </w:r>
          </w:p>
        </w:tc>
        <w:tc>
          <w:tcPr>
            <w:tcW w:type="dxa" w:w="1368"/>
          </w:tcPr>
          <w:p>
            <w:pPr>
              <w:spacing w:after="20"/>
            </w:pPr>
            <w:r>
              <w:rPr>
                <w:color w:val="1C3A36"/>
                <w:sz w:val="15"/>
              </w:rPr>
              <w:t>2025-12-31</w:t>
            </w:r>
          </w:p>
        </w:tc>
        <w:tc>
          <w:tcPr>
            <w:tcW w:type="dxa" w:w="3845"/>
          </w:tcPr>
          <w:p>
            <w:pPr>
              <w:spacing w:after="20"/>
            </w:pPr>
            <w:r>
              <w:rPr>
                <w:color w:val="1C3A36"/>
                <w:sz w:val="15"/>
              </w:rPr>
              <w:t>Deferred tax CREDIT, six months to 31-Dec-2025. Audited consolidated FS, transition period 1-Jul-2025 to 31-Dec-2025, Crowe unqualified, 18-Feb-2026</w:t>
            </w:r>
          </w:p>
        </w:tc>
      </w:tr>
      <w:tr>
        <w:tc>
          <w:tcPr>
            <w:tcW w:type="dxa" w:w="2736"/>
          </w:tcPr>
          <w:p>
            <w:pPr>
              <w:spacing w:after="20"/>
            </w:pPr>
            <w:r>
              <w:rPr>
                <w:color w:val="1C3A36"/>
                <w:sz w:val="15"/>
              </w:rPr>
              <w:t>pat_h2_25</w:t>
            </w:r>
          </w:p>
        </w:tc>
        <w:tc>
          <w:tcPr>
            <w:tcW w:type="dxa" w:w="2232"/>
          </w:tcPr>
          <w:p>
            <w:pPr>
              <w:spacing w:after="20"/>
            </w:pPr>
            <w:r>
              <w:rPr>
                <w:color w:val="1C3A36"/>
                <w:sz w:val="15"/>
              </w:rPr>
              <w:t>656,428,711.0</w:t>
            </w:r>
          </w:p>
        </w:tc>
        <w:tc>
          <w:tcPr>
            <w:tcW w:type="dxa" w:w="1368"/>
          </w:tcPr>
          <w:p>
            <w:pPr>
              <w:spacing w:after="20"/>
            </w:pPr>
            <w:r>
              <w:rPr>
                <w:color w:val="1C3A36"/>
                <w:sz w:val="15"/>
              </w:rPr>
              <w:t>2025-12-31</w:t>
            </w:r>
          </w:p>
        </w:tc>
        <w:tc>
          <w:tcPr>
            <w:tcW w:type="dxa" w:w="3845"/>
          </w:tcPr>
          <w:p>
            <w:pPr>
              <w:spacing w:after="20"/>
            </w:pPr>
            <w:r>
              <w:rPr>
                <w:color w:val="1C3A36"/>
                <w:sz w:val="15"/>
              </w:rPr>
              <w:t>Net profit after tax, six months to 31-Dec-2025. Audited consolidated FS, transition period 1-Jul-2025 to 31-Dec-2025, Crowe unqualified, 18-Feb-2026</w:t>
            </w:r>
          </w:p>
        </w:tc>
      </w:tr>
      <w:tr>
        <w:tc>
          <w:tcPr>
            <w:tcW w:type="dxa" w:w="2736"/>
          </w:tcPr>
          <w:p>
            <w:pPr>
              <w:spacing w:after="20"/>
            </w:pPr>
            <w:r>
              <w:rPr>
                <w:color w:val="1C3A36"/>
                <w:sz w:val="15"/>
              </w:rPr>
              <w:t>nci_h2_25</w:t>
            </w:r>
          </w:p>
        </w:tc>
        <w:tc>
          <w:tcPr>
            <w:tcW w:type="dxa" w:w="2232"/>
          </w:tcPr>
          <w:p>
            <w:pPr>
              <w:spacing w:after="20"/>
            </w:pPr>
            <w:r>
              <w:rPr>
                <w:color w:val="1C3A36"/>
                <w:sz w:val="15"/>
              </w:rPr>
              <w:t>30,488,250.0</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share of profit, six months to 31-Dec-2025. Audited consolidated FS, transition period 1-Jul-2025 to 31-Dec-2025, Crowe unqualified, 18-Feb-2026</w:t>
            </w:r>
          </w:p>
        </w:tc>
      </w:tr>
      <w:tr>
        <w:tc>
          <w:tcPr>
            <w:tcW w:type="dxa" w:w="2736"/>
          </w:tcPr>
          <w:p>
            <w:pPr>
              <w:spacing w:after="20"/>
            </w:pPr>
            <w:r>
              <w:rPr>
                <w:color w:val="1C3A36"/>
                <w:sz w:val="15"/>
              </w:rPr>
              <w:t>emp_h2_25</w:t>
            </w:r>
          </w:p>
        </w:tc>
        <w:tc>
          <w:tcPr>
            <w:tcW w:type="dxa" w:w="2232"/>
          </w:tcPr>
          <w:p>
            <w:pPr>
              <w:spacing w:after="20"/>
            </w:pPr>
            <w:r>
              <w:rPr>
                <w:color w:val="1C3A36"/>
                <w:sz w:val="15"/>
              </w:rPr>
              <w:t>67,467,871.0</w:t>
            </w:r>
          </w:p>
        </w:tc>
        <w:tc>
          <w:tcPr>
            <w:tcW w:type="dxa" w:w="1368"/>
          </w:tcPr>
          <w:p>
            <w:pPr>
              <w:spacing w:after="20"/>
            </w:pPr>
            <w:r>
              <w:rPr>
                <w:color w:val="1C3A36"/>
                <w:sz w:val="15"/>
              </w:rPr>
              <w:t>2025-12-31</w:t>
            </w:r>
          </w:p>
        </w:tc>
        <w:tc>
          <w:tcPr>
            <w:tcW w:type="dxa" w:w="3845"/>
          </w:tcPr>
          <w:p>
            <w:pPr>
              <w:spacing w:after="20"/>
            </w:pPr>
            <w:r>
              <w:rPr>
                <w:color w:val="1C3A36"/>
                <w:sz w:val="15"/>
              </w:rPr>
              <w:t>Employees' profit share and board bonuses deducted in arriving at earnings per share (note 16). A real distribution out of profit that the previous edition of this study did not model at all. Audited consolidated FS, transition period 1-Jul-2025 to 31-Dec-2025, Crowe unqualified, 18-Feb-2026</w:t>
            </w:r>
          </w:p>
        </w:tc>
      </w:tr>
      <w:tr>
        <w:tc>
          <w:tcPr>
            <w:tcW w:type="dxa" w:w="2736"/>
          </w:tcPr>
          <w:p>
            <w:pPr>
              <w:spacing w:after="20"/>
            </w:pPr>
            <w:r>
              <w:rPr>
                <w:color w:val="1C3A36"/>
                <w:sz w:val="15"/>
              </w:rPr>
              <w:t>rev_q1_26</w:t>
            </w:r>
          </w:p>
        </w:tc>
        <w:tc>
          <w:tcPr>
            <w:tcW w:type="dxa" w:w="2232"/>
          </w:tcPr>
          <w:p>
            <w:pPr>
              <w:spacing w:after="20"/>
            </w:pPr>
            <w:r>
              <w:rPr>
                <w:color w:val="1C3A36"/>
                <w:sz w:val="15"/>
              </w:rPr>
              <w:t>10,510,779,160.0</w:t>
            </w:r>
          </w:p>
        </w:tc>
        <w:tc>
          <w:tcPr>
            <w:tcW w:type="dxa" w:w="1368"/>
          </w:tcPr>
          <w:p>
            <w:pPr>
              <w:spacing w:after="20"/>
            </w:pPr>
            <w:r>
              <w:rPr>
                <w:color w:val="1C3A36"/>
                <w:sz w:val="15"/>
              </w:rPr>
              <w:t>2026-03-31</w:t>
            </w:r>
          </w:p>
        </w:tc>
        <w:tc>
          <w:tcPr>
            <w:tcW w:type="dxa" w:w="3845"/>
          </w:tcPr>
          <w:p>
            <w:pPr>
              <w:spacing w:after="20"/>
            </w:pPr>
            <w:r>
              <w:rPr>
                <w:color w:val="1C3A36"/>
                <w:sz w:val="15"/>
              </w:rPr>
              <w:t>Net sales, three months to 31-Mar-2026. Reviewed consolidated FS, three months to 31-Mar-2026</w:t>
            </w:r>
          </w:p>
        </w:tc>
      </w:tr>
      <w:tr>
        <w:tc>
          <w:tcPr>
            <w:tcW w:type="dxa" w:w="2736"/>
          </w:tcPr>
          <w:p>
            <w:pPr>
              <w:spacing w:after="20"/>
            </w:pPr>
            <w:r>
              <w:rPr>
                <w:color w:val="1C3A36"/>
                <w:sz w:val="15"/>
              </w:rPr>
              <w:t>cogs_q1_26</w:t>
            </w:r>
          </w:p>
        </w:tc>
        <w:tc>
          <w:tcPr>
            <w:tcW w:type="dxa" w:w="2232"/>
          </w:tcPr>
          <w:p>
            <w:pPr>
              <w:spacing w:after="20"/>
            </w:pPr>
            <w:r>
              <w:rPr>
                <w:color w:val="1C3A36"/>
                <w:sz w:val="15"/>
              </w:rPr>
              <w:t>9,439,744,195.0</w:t>
            </w:r>
          </w:p>
        </w:tc>
        <w:tc>
          <w:tcPr>
            <w:tcW w:type="dxa" w:w="1368"/>
          </w:tcPr>
          <w:p>
            <w:pPr>
              <w:spacing w:after="20"/>
            </w:pPr>
            <w:r>
              <w:rPr>
                <w:color w:val="1C3A36"/>
                <w:sz w:val="15"/>
              </w:rPr>
              <w:t>2026-03-31</w:t>
            </w:r>
          </w:p>
        </w:tc>
        <w:tc>
          <w:tcPr>
            <w:tcW w:type="dxa" w:w="3845"/>
          </w:tcPr>
          <w:p>
            <w:pPr>
              <w:spacing w:after="20"/>
            </w:pPr>
            <w:r>
              <w:rPr>
                <w:color w:val="1C3A36"/>
                <w:sz w:val="15"/>
              </w:rPr>
              <w:t>Cost of sales, three months to 31-Mar-2026. Reviewed consolidated FS, three months to 31-Mar-2026</w:t>
            </w:r>
          </w:p>
        </w:tc>
      </w:tr>
      <w:tr>
        <w:tc>
          <w:tcPr>
            <w:tcW w:type="dxa" w:w="2736"/>
          </w:tcPr>
          <w:p>
            <w:pPr>
              <w:spacing w:after="20"/>
            </w:pPr>
            <w:r>
              <w:rPr>
                <w:color w:val="1C3A36"/>
                <w:sz w:val="15"/>
              </w:rPr>
              <w:t>ga_q1_26</w:t>
            </w:r>
          </w:p>
        </w:tc>
        <w:tc>
          <w:tcPr>
            <w:tcW w:type="dxa" w:w="2232"/>
          </w:tcPr>
          <w:p>
            <w:pPr>
              <w:spacing w:after="20"/>
            </w:pPr>
            <w:r>
              <w:rPr>
                <w:color w:val="1C3A36"/>
                <w:sz w:val="15"/>
              </w:rPr>
              <w:t>365,952,237.0</w:t>
            </w:r>
          </w:p>
        </w:tc>
        <w:tc>
          <w:tcPr>
            <w:tcW w:type="dxa" w:w="1368"/>
          </w:tcPr>
          <w:p>
            <w:pPr>
              <w:spacing w:after="20"/>
            </w:pPr>
            <w:r>
              <w:rPr>
                <w:color w:val="1C3A36"/>
                <w:sz w:val="15"/>
              </w:rPr>
              <w:t>2026-03-31</w:t>
            </w:r>
          </w:p>
        </w:tc>
        <w:tc>
          <w:tcPr>
            <w:tcW w:type="dxa" w:w="3845"/>
          </w:tcPr>
          <w:p>
            <w:pPr>
              <w:spacing w:after="20"/>
            </w:pPr>
            <w:r>
              <w:rPr>
                <w:color w:val="1C3A36"/>
                <w:sz w:val="15"/>
              </w:rPr>
              <w:t>General and administrative expenses, three months to 31-Mar-2026. Reviewed consolidated FS, three months to 31-Mar-2026</w:t>
            </w:r>
          </w:p>
        </w:tc>
      </w:tr>
      <w:tr>
        <w:tc>
          <w:tcPr>
            <w:tcW w:type="dxa" w:w="2736"/>
          </w:tcPr>
          <w:p>
            <w:pPr>
              <w:spacing w:after="20"/>
            </w:pPr>
            <w:r>
              <w:rPr>
                <w:color w:val="1C3A36"/>
                <w:sz w:val="15"/>
              </w:rPr>
              <w:t>mkt_q1_26</w:t>
            </w:r>
          </w:p>
        </w:tc>
        <w:tc>
          <w:tcPr>
            <w:tcW w:type="dxa" w:w="2232"/>
          </w:tcPr>
          <w:p>
            <w:pPr>
              <w:spacing w:after="20"/>
            </w:pPr>
            <w:r>
              <w:rPr>
                <w:color w:val="1C3A36"/>
                <w:sz w:val="15"/>
              </w:rPr>
              <w:t>60,830,975.0</w:t>
            </w:r>
          </w:p>
        </w:tc>
        <w:tc>
          <w:tcPr>
            <w:tcW w:type="dxa" w:w="1368"/>
          </w:tcPr>
          <w:p>
            <w:pPr>
              <w:spacing w:after="20"/>
            </w:pPr>
            <w:r>
              <w:rPr>
                <w:color w:val="1C3A36"/>
                <w:sz w:val="15"/>
              </w:rPr>
              <w:t>2026-03-31</w:t>
            </w:r>
          </w:p>
        </w:tc>
        <w:tc>
          <w:tcPr>
            <w:tcW w:type="dxa" w:w="3845"/>
          </w:tcPr>
          <w:p>
            <w:pPr>
              <w:spacing w:after="20"/>
            </w:pPr>
            <w:r>
              <w:rPr>
                <w:color w:val="1C3A36"/>
                <w:sz w:val="15"/>
              </w:rPr>
              <w:t>Marketing and selling expenses, three months to 31-Mar-2026. Reviewed consolidated FS, three months to 31-Mar-2026</w:t>
            </w:r>
          </w:p>
        </w:tc>
      </w:tr>
      <w:tr>
        <w:tc>
          <w:tcPr>
            <w:tcW w:type="dxa" w:w="2736"/>
          </w:tcPr>
          <w:p>
            <w:pPr>
              <w:spacing w:after="20"/>
            </w:pPr>
            <w:r>
              <w:rPr>
                <w:color w:val="1C3A36"/>
                <w:sz w:val="15"/>
              </w:rPr>
              <w:t>othexp_q1_26</w:t>
            </w:r>
          </w:p>
        </w:tc>
        <w:tc>
          <w:tcPr>
            <w:tcW w:type="dxa" w:w="2232"/>
          </w:tcPr>
          <w:p>
            <w:pPr>
              <w:spacing w:after="20"/>
            </w:pPr>
            <w:r>
              <w:rPr>
                <w:color w:val="1C3A36"/>
                <w:sz w:val="15"/>
              </w:rPr>
              <w:t>1,080,000.0</w:t>
            </w:r>
          </w:p>
        </w:tc>
        <w:tc>
          <w:tcPr>
            <w:tcW w:type="dxa" w:w="1368"/>
          </w:tcPr>
          <w:p>
            <w:pPr>
              <w:spacing w:after="20"/>
            </w:pPr>
            <w:r>
              <w:rPr>
                <w:color w:val="1C3A36"/>
                <w:sz w:val="15"/>
              </w:rPr>
              <w:t>2026-03-31</w:t>
            </w:r>
          </w:p>
        </w:tc>
        <w:tc>
          <w:tcPr>
            <w:tcW w:type="dxa" w:w="3845"/>
          </w:tcPr>
          <w:p>
            <w:pPr>
              <w:spacing w:after="20"/>
            </w:pPr>
            <w:r>
              <w:rPr>
                <w:color w:val="1C3A36"/>
                <w:sz w:val="15"/>
              </w:rPr>
              <w:t>Other operating expenses, three months to 31-Mar-2026. Reviewed consolidated FS, three months to 31-Mar-2026</w:t>
            </w:r>
          </w:p>
        </w:tc>
      </w:tr>
      <w:tr>
        <w:tc>
          <w:tcPr>
            <w:tcW w:type="dxa" w:w="2736"/>
          </w:tcPr>
          <w:p>
            <w:pPr>
              <w:spacing w:after="20"/>
            </w:pPr>
            <w:r>
              <w:rPr>
                <w:color w:val="1C3A36"/>
                <w:sz w:val="15"/>
              </w:rPr>
              <w:t>othrev_q1_26</w:t>
            </w:r>
          </w:p>
        </w:tc>
        <w:tc>
          <w:tcPr>
            <w:tcW w:type="dxa" w:w="2232"/>
          </w:tcPr>
          <w:p>
            <w:pPr>
              <w:spacing w:after="20"/>
            </w:pPr>
            <w:r>
              <w:rPr>
                <w:color w:val="1C3A36"/>
                <w:sz w:val="15"/>
              </w:rPr>
              <w:t>225,556,509.0</w:t>
            </w:r>
          </w:p>
        </w:tc>
        <w:tc>
          <w:tcPr>
            <w:tcW w:type="dxa" w:w="1368"/>
          </w:tcPr>
          <w:p>
            <w:pPr>
              <w:spacing w:after="20"/>
            </w:pPr>
            <w:r>
              <w:rPr>
                <w:color w:val="1C3A36"/>
                <w:sz w:val="15"/>
              </w:rPr>
              <w:t>2026-03-31</w:t>
            </w:r>
          </w:p>
        </w:tc>
        <w:tc>
          <w:tcPr>
            <w:tcW w:type="dxa" w:w="3845"/>
          </w:tcPr>
          <w:p>
            <w:pPr>
              <w:spacing w:after="20"/>
            </w:pPr>
            <w:r>
              <w:rPr>
                <w:color w:val="1C3A36"/>
                <w:sz w:val="15"/>
              </w:rPr>
              <w:t>Other revenue, three months to 31-Mar-2026. Reviewed consolidated FS, three months to 31-Mar-2026</w:t>
            </w:r>
          </w:p>
        </w:tc>
      </w:tr>
      <w:tr>
        <w:tc>
          <w:tcPr>
            <w:tcW w:type="dxa" w:w="2736"/>
          </w:tcPr>
          <w:p>
            <w:pPr>
              <w:spacing w:after="20"/>
            </w:pPr>
            <w:r>
              <w:rPr>
                <w:color w:val="1C3A36"/>
                <w:sz w:val="15"/>
              </w:rPr>
              <w:t>prov_q1_26</w:t>
            </w:r>
          </w:p>
        </w:tc>
        <w:tc>
          <w:tcPr>
            <w:tcW w:type="dxa" w:w="2232"/>
          </w:tcPr>
          <w:p>
            <w:pPr>
              <w:spacing w:after="20"/>
            </w:pPr>
            <w:r>
              <w:rPr>
                <w:color w:val="1C3A36"/>
                <w:sz w:val="15"/>
              </w:rPr>
              <w:t>30,000,000.0</w:t>
            </w:r>
          </w:p>
        </w:tc>
        <w:tc>
          <w:tcPr>
            <w:tcW w:type="dxa" w:w="1368"/>
          </w:tcPr>
          <w:p>
            <w:pPr>
              <w:spacing w:after="20"/>
            </w:pPr>
            <w:r>
              <w:rPr>
                <w:color w:val="1C3A36"/>
                <w:sz w:val="15"/>
              </w:rPr>
              <w:t>2026-03-31</w:t>
            </w:r>
          </w:p>
        </w:tc>
        <w:tc>
          <w:tcPr>
            <w:tcW w:type="dxa" w:w="3845"/>
          </w:tcPr>
          <w:p>
            <w:pPr>
              <w:spacing w:after="20"/>
            </w:pPr>
            <w:r>
              <w:rPr>
                <w:color w:val="1C3A36"/>
                <w:sz w:val="15"/>
              </w:rPr>
              <w:t>Formed provisions, three months to 31-Mar-2026. Reviewed consolidated FS, three months to 31-Mar-2026</w:t>
            </w:r>
          </w:p>
        </w:tc>
      </w:tr>
      <w:tr>
        <w:tc>
          <w:tcPr>
            <w:tcW w:type="dxa" w:w="2736"/>
          </w:tcPr>
          <w:p>
            <w:pPr>
              <w:spacing w:after="20"/>
            </w:pPr>
            <w:r>
              <w:rPr>
                <w:color w:val="1C3A36"/>
                <w:sz w:val="15"/>
              </w:rPr>
              <w:t>ecl_q1_26</w:t>
            </w:r>
          </w:p>
        </w:tc>
        <w:tc>
          <w:tcPr>
            <w:tcW w:type="dxa" w:w="2232"/>
          </w:tcPr>
          <w:p>
            <w:pPr>
              <w:spacing w:after="20"/>
            </w:pPr>
            <w:r>
              <w:rPr>
                <w:color w:val="1C3A36"/>
                <w:sz w:val="15"/>
              </w:rPr>
              <w:t>20,323,123.0</w:t>
            </w:r>
          </w:p>
        </w:tc>
        <w:tc>
          <w:tcPr>
            <w:tcW w:type="dxa" w:w="1368"/>
          </w:tcPr>
          <w:p>
            <w:pPr>
              <w:spacing w:after="20"/>
            </w:pPr>
            <w:r>
              <w:rPr>
                <w:color w:val="1C3A36"/>
                <w:sz w:val="15"/>
              </w:rPr>
              <w:t>2026-03-31</w:t>
            </w:r>
          </w:p>
        </w:tc>
        <w:tc>
          <w:tcPr>
            <w:tcW w:type="dxa" w:w="3845"/>
          </w:tcPr>
          <w:p>
            <w:pPr>
              <w:spacing w:after="20"/>
            </w:pPr>
            <w:r>
              <w:rPr>
                <w:color w:val="1C3A36"/>
                <w:sz w:val="15"/>
              </w:rPr>
              <w:t>Expected credit losses formed, three months to 31-Mar-2026. Reviewed consolidated FS, three months to 31-Mar-2026</w:t>
            </w:r>
          </w:p>
        </w:tc>
      </w:tr>
      <w:tr>
        <w:tc>
          <w:tcPr>
            <w:tcW w:type="dxa" w:w="2736"/>
          </w:tcPr>
          <w:p>
            <w:pPr>
              <w:spacing w:after="20"/>
            </w:pPr>
            <w:r>
              <w:rPr>
                <w:color w:val="1C3A36"/>
                <w:sz w:val="15"/>
              </w:rPr>
              <w:t>fin_q1_26</w:t>
            </w:r>
          </w:p>
        </w:tc>
        <w:tc>
          <w:tcPr>
            <w:tcW w:type="dxa" w:w="2232"/>
          </w:tcPr>
          <w:p>
            <w:pPr>
              <w:spacing w:after="20"/>
            </w:pPr>
            <w:r>
              <w:rPr>
                <w:color w:val="1C3A36"/>
                <w:sz w:val="15"/>
              </w:rPr>
              <w:t>982,219.0</w:t>
            </w:r>
          </w:p>
        </w:tc>
        <w:tc>
          <w:tcPr>
            <w:tcW w:type="dxa" w:w="1368"/>
          </w:tcPr>
          <w:p>
            <w:pPr>
              <w:spacing w:after="20"/>
            </w:pPr>
            <w:r>
              <w:rPr>
                <w:color w:val="1C3A36"/>
                <w:sz w:val="15"/>
              </w:rPr>
              <w:t>2026-03-31</w:t>
            </w:r>
          </w:p>
        </w:tc>
        <w:tc>
          <w:tcPr>
            <w:tcW w:type="dxa" w:w="3845"/>
          </w:tcPr>
          <w:p>
            <w:pPr>
              <w:spacing w:after="20"/>
            </w:pPr>
            <w:r>
              <w:rPr>
                <w:color w:val="1C3A36"/>
                <w:sz w:val="15"/>
              </w:rPr>
              <w:t>Finance cost, three months to 31-Mar-2026. Reviewed consolidated FS, three months to 31-Mar-2026</w:t>
            </w:r>
          </w:p>
        </w:tc>
      </w:tr>
      <w:tr>
        <w:tc>
          <w:tcPr>
            <w:tcW w:type="dxa" w:w="2736"/>
          </w:tcPr>
          <w:p>
            <w:pPr>
              <w:spacing w:after="20"/>
            </w:pPr>
            <w:r>
              <w:rPr>
                <w:color w:val="1C3A36"/>
                <w:sz w:val="15"/>
              </w:rPr>
              <w:t>tax_q1_26</w:t>
            </w:r>
          </w:p>
        </w:tc>
        <w:tc>
          <w:tcPr>
            <w:tcW w:type="dxa" w:w="2232"/>
          </w:tcPr>
          <w:p>
            <w:pPr>
              <w:spacing w:after="20"/>
            </w:pPr>
            <w:r>
              <w:rPr>
                <w:color w:val="1C3A36"/>
                <w:sz w:val="15"/>
              </w:rPr>
              <w:t>175,094,101.0</w:t>
            </w:r>
          </w:p>
        </w:tc>
        <w:tc>
          <w:tcPr>
            <w:tcW w:type="dxa" w:w="1368"/>
          </w:tcPr>
          <w:p>
            <w:pPr>
              <w:spacing w:after="20"/>
            </w:pPr>
            <w:r>
              <w:rPr>
                <w:color w:val="1C3A36"/>
                <w:sz w:val="15"/>
              </w:rPr>
              <w:t>2026-03-31</w:t>
            </w:r>
          </w:p>
        </w:tc>
        <w:tc>
          <w:tcPr>
            <w:tcW w:type="dxa" w:w="3845"/>
          </w:tcPr>
          <w:p>
            <w:pPr>
              <w:spacing w:after="20"/>
            </w:pPr>
            <w:r>
              <w:rPr>
                <w:color w:val="1C3A36"/>
                <w:sz w:val="15"/>
              </w:rPr>
              <w:t>Current income tax, three months to 31-Mar-2026. Reviewed consolidated FS, three months to 31-Mar-2026</w:t>
            </w:r>
          </w:p>
        </w:tc>
      </w:tr>
      <w:tr>
        <w:tc>
          <w:tcPr>
            <w:tcW w:type="dxa" w:w="2736"/>
          </w:tcPr>
          <w:p>
            <w:pPr>
              <w:spacing w:after="20"/>
            </w:pPr>
            <w:r>
              <w:rPr>
                <w:color w:val="1C3A36"/>
                <w:sz w:val="15"/>
              </w:rPr>
              <w:t>dtax_q1_26</w:t>
            </w:r>
          </w:p>
        </w:tc>
        <w:tc>
          <w:tcPr>
            <w:tcW w:type="dxa" w:w="2232"/>
          </w:tcPr>
          <w:p>
            <w:pPr>
              <w:spacing w:after="20"/>
            </w:pPr>
            <w:r>
              <w:rPr>
                <w:color w:val="1C3A36"/>
                <w:sz w:val="15"/>
              </w:rPr>
              <w:t>-7,209,684.0</w:t>
            </w:r>
          </w:p>
        </w:tc>
        <w:tc>
          <w:tcPr>
            <w:tcW w:type="dxa" w:w="1368"/>
          </w:tcPr>
          <w:p>
            <w:pPr>
              <w:spacing w:after="20"/>
            </w:pPr>
            <w:r>
              <w:rPr>
                <w:color w:val="1C3A36"/>
                <w:sz w:val="15"/>
              </w:rPr>
              <w:t>2026-03-31</w:t>
            </w:r>
          </w:p>
        </w:tc>
        <w:tc>
          <w:tcPr>
            <w:tcW w:type="dxa" w:w="3845"/>
          </w:tcPr>
          <w:p>
            <w:pPr>
              <w:spacing w:after="20"/>
            </w:pPr>
            <w:r>
              <w:rPr>
                <w:color w:val="1C3A36"/>
                <w:sz w:val="15"/>
              </w:rPr>
              <w:t>Deferred tax EXPENSE (negative = charge), three months to 31-Mar-2026. Reviewed consolidated FS, three months to 31-Mar-2026</w:t>
            </w:r>
          </w:p>
        </w:tc>
      </w:tr>
      <w:tr>
        <w:tc>
          <w:tcPr>
            <w:tcW w:type="dxa" w:w="2736"/>
          </w:tcPr>
          <w:p>
            <w:pPr>
              <w:spacing w:after="20"/>
            </w:pPr>
            <w:r>
              <w:rPr>
                <w:color w:val="1C3A36"/>
                <w:sz w:val="15"/>
              </w:rPr>
              <w:t>pat_q1_26</w:t>
            </w:r>
          </w:p>
        </w:tc>
        <w:tc>
          <w:tcPr>
            <w:tcW w:type="dxa" w:w="2232"/>
          </w:tcPr>
          <w:p>
            <w:pPr>
              <w:spacing w:after="20"/>
            </w:pPr>
            <w:r>
              <w:rPr>
                <w:color w:val="1C3A36"/>
                <w:sz w:val="15"/>
              </w:rPr>
              <w:t>635,119,535.0</w:t>
            </w:r>
          </w:p>
        </w:tc>
        <w:tc>
          <w:tcPr>
            <w:tcW w:type="dxa" w:w="1368"/>
          </w:tcPr>
          <w:p>
            <w:pPr>
              <w:spacing w:after="20"/>
            </w:pPr>
            <w:r>
              <w:rPr>
                <w:color w:val="1C3A36"/>
                <w:sz w:val="15"/>
              </w:rPr>
              <w:t>2026-03-31</w:t>
            </w:r>
          </w:p>
        </w:tc>
        <w:tc>
          <w:tcPr>
            <w:tcW w:type="dxa" w:w="3845"/>
          </w:tcPr>
          <w:p>
            <w:pPr>
              <w:spacing w:after="20"/>
            </w:pPr>
            <w:r>
              <w:rPr>
                <w:color w:val="1C3A36"/>
                <w:sz w:val="15"/>
              </w:rPr>
              <w:t>Net profit after tax, three months to 31-Mar-2026. Reviewed consolidated FS, three months to 31-Mar-2026</w:t>
            </w:r>
          </w:p>
        </w:tc>
      </w:tr>
      <w:tr>
        <w:tc>
          <w:tcPr>
            <w:tcW w:type="dxa" w:w="2736"/>
          </w:tcPr>
          <w:p>
            <w:pPr>
              <w:spacing w:after="20"/>
            </w:pPr>
            <w:r>
              <w:rPr>
                <w:color w:val="1C3A36"/>
                <w:sz w:val="15"/>
              </w:rPr>
              <w:t>nci_q1_26</w:t>
            </w:r>
          </w:p>
        </w:tc>
        <w:tc>
          <w:tcPr>
            <w:tcW w:type="dxa" w:w="2232"/>
          </w:tcPr>
          <w:p>
            <w:pPr>
              <w:spacing w:after="20"/>
            </w:pPr>
            <w:r>
              <w:rPr>
                <w:color w:val="1C3A36"/>
                <w:sz w:val="15"/>
              </w:rPr>
              <w:t>22,627,676.0</w:t>
            </w:r>
          </w:p>
        </w:tc>
        <w:tc>
          <w:tcPr>
            <w:tcW w:type="dxa" w:w="1368"/>
          </w:tcPr>
          <w:p>
            <w:pPr>
              <w:spacing w:after="20"/>
            </w:pPr>
            <w:r>
              <w:rPr>
                <w:color w:val="1C3A36"/>
                <w:sz w:val="15"/>
              </w:rPr>
              <w:t>2026-03-31</w:t>
            </w:r>
          </w:p>
        </w:tc>
        <w:tc>
          <w:tcPr>
            <w:tcW w:type="dxa" w:w="3845"/>
          </w:tcPr>
          <w:p>
            <w:pPr>
              <w:spacing w:after="20"/>
            </w:pPr>
            <w:r>
              <w:rPr>
                <w:color w:val="1C3A36"/>
                <w:sz w:val="15"/>
              </w:rPr>
              <w:t>Non-controlling interest share of profit, three months to 31-Mar-2026. Reviewed consolidated FS, three months to 31-Mar-2026</w:t>
            </w:r>
          </w:p>
        </w:tc>
      </w:tr>
      <w:tr>
        <w:tc>
          <w:tcPr>
            <w:tcW w:type="dxa" w:w="2736"/>
          </w:tcPr>
          <w:p>
            <w:pPr>
              <w:spacing w:after="20"/>
            </w:pPr>
            <w:r>
              <w:rPr>
                <w:color w:val="1C3A36"/>
                <w:sz w:val="15"/>
              </w:rPr>
              <w:t>rev_h2_24</w:t>
            </w:r>
          </w:p>
        </w:tc>
        <w:tc>
          <w:tcPr>
            <w:tcW w:type="dxa" w:w="2232"/>
          </w:tcPr>
          <w:p>
            <w:pPr>
              <w:spacing w:after="20"/>
            </w:pPr>
            <w:r>
              <w:rPr>
                <w:color w:val="1C3A36"/>
                <w:sz w:val="15"/>
              </w:rPr>
              <w:t>18,246,078,901.0</w:t>
            </w:r>
          </w:p>
        </w:tc>
        <w:tc>
          <w:tcPr>
            <w:tcW w:type="dxa" w:w="1368"/>
          </w:tcPr>
          <w:p>
            <w:pPr>
              <w:spacing w:after="20"/>
            </w:pPr>
            <w:r>
              <w:rPr>
                <w:color w:val="1C3A36"/>
                <w:sz w:val="15"/>
              </w:rPr>
              <w:t>2024-12-31</w:t>
            </w:r>
          </w:p>
        </w:tc>
        <w:tc>
          <w:tcPr>
            <w:tcW w:type="dxa" w:w="3845"/>
          </w:tcPr>
          <w:p>
            <w:pPr>
              <w:spacing w:after="20"/>
            </w:pPr>
            <w:r>
              <w:rPr>
                <w:color w:val="1C3A36"/>
                <w:sz w:val="15"/>
              </w:rPr>
              <w:t>Net sales, six months to 31-Dec-2024 (comparative column). Audited consolidated FS, transition period 1-Jul-2025 to 31-Dec-2025, Crowe unqualified, 18-Feb-2026</w:t>
            </w:r>
          </w:p>
        </w:tc>
      </w:tr>
      <w:tr>
        <w:tc>
          <w:tcPr>
            <w:tcW w:type="dxa" w:w="2736"/>
          </w:tcPr>
          <w:p>
            <w:pPr>
              <w:spacing w:after="20"/>
            </w:pPr>
            <w:r>
              <w:rPr>
                <w:color w:val="1C3A36"/>
                <w:sz w:val="15"/>
              </w:rPr>
              <w:t>cogs_h2_24</w:t>
            </w:r>
          </w:p>
        </w:tc>
        <w:tc>
          <w:tcPr>
            <w:tcW w:type="dxa" w:w="2232"/>
          </w:tcPr>
          <w:p>
            <w:pPr>
              <w:spacing w:after="20"/>
            </w:pPr>
            <w:r>
              <w:rPr>
                <w:color w:val="1C3A36"/>
                <w:sz w:val="15"/>
              </w:rPr>
              <w:t>16,995,436,456.0</w:t>
            </w:r>
          </w:p>
        </w:tc>
        <w:tc>
          <w:tcPr>
            <w:tcW w:type="dxa" w:w="1368"/>
          </w:tcPr>
          <w:p>
            <w:pPr>
              <w:spacing w:after="20"/>
            </w:pPr>
            <w:r>
              <w:rPr>
                <w:color w:val="1C3A36"/>
                <w:sz w:val="15"/>
              </w:rPr>
              <w:t>2024-12-31</w:t>
            </w:r>
          </w:p>
        </w:tc>
        <w:tc>
          <w:tcPr>
            <w:tcW w:type="dxa" w:w="3845"/>
          </w:tcPr>
          <w:p>
            <w:pPr>
              <w:spacing w:after="20"/>
            </w:pPr>
            <w:r>
              <w:rPr>
                <w:color w:val="1C3A36"/>
                <w:sz w:val="15"/>
              </w:rPr>
              <w:t>Cost of sales, six months to 31-Dec-2024 (comparative column). Audited consolidated FS, transition period 1-Jul-2025 to 31-Dec-2025, Crowe unqualified, 18-Feb-2026</w:t>
            </w:r>
          </w:p>
        </w:tc>
      </w:tr>
      <w:tr>
        <w:tc>
          <w:tcPr>
            <w:tcW w:type="dxa" w:w="2736"/>
          </w:tcPr>
          <w:p>
            <w:pPr>
              <w:spacing w:after="20"/>
            </w:pPr>
            <w:r>
              <w:rPr>
                <w:color w:val="1C3A36"/>
                <w:sz w:val="15"/>
              </w:rPr>
              <w:t>pat_h2_24</w:t>
            </w:r>
          </w:p>
        </w:tc>
        <w:tc>
          <w:tcPr>
            <w:tcW w:type="dxa" w:w="2232"/>
          </w:tcPr>
          <w:p>
            <w:pPr>
              <w:spacing w:after="20"/>
            </w:pPr>
            <w:r>
              <w:rPr>
                <w:color w:val="1C3A36"/>
                <w:sz w:val="15"/>
              </w:rPr>
              <w:t>641,640,411.0</w:t>
            </w:r>
          </w:p>
        </w:tc>
        <w:tc>
          <w:tcPr>
            <w:tcW w:type="dxa" w:w="1368"/>
          </w:tcPr>
          <w:p>
            <w:pPr>
              <w:spacing w:after="20"/>
            </w:pPr>
            <w:r>
              <w:rPr>
                <w:color w:val="1C3A36"/>
                <w:sz w:val="15"/>
              </w:rPr>
              <w:t>2024-12-31</w:t>
            </w:r>
          </w:p>
        </w:tc>
        <w:tc>
          <w:tcPr>
            <w:tcW w:type="dxa" w:w="3845"/>
          </w:tcPr>
          <w:p>
            <w:pPr>
              <w:spacing w:after="20"/>
            </w:pPr>
            <w:r>
              <w:rPr>
                <w:color w:val="1C3A36"/>
                <w:sz w:val="15"/>
              </w:rPr>
              <w:t>Net profit after tax, six months to 31-Dec-2024. Audited consolidated FS, transition period 1-Jul-2025 to 31-Dec-2025, Crowe unqualified, 18-Feb-2026</w:t>
            </w:r>
          </w:p>
        </w:tc>
      </w:tr>
      <w:tr>
        <w:tc>
          <w:tcPr>
            <w:tcW w:type="dxa" w:w="2736"/>
          </w:tcPr>
          <w:p>
            <w:pPr>
              <w:spacing w:after="20"/>
            </w:pPr>
            <w:r>
              <w:rPr>
                <w:color w:val="1C3A36"/>
                <w:sz w:val="15"/>
              </w:rPr>
              <w:t>rev_q1_25</w:t>
            </w:r>
          </w:p>
        </w:tc>
        <w:tc>
          <w:tcPr>
            <w:tcW w:type="dxa" w:w="2232"/>
          </w:tcPr>
          <w:p>
            <w:pPr>
              <w:spacing w:after="20"/>
            </w:pPr>
            <w:r>
              <w:rPr>
                <w:color w:val="1C3A36"/>
                <w:sz w:val="15"/>
              </w:rPr>
              <w:t>10,068,471,935.0</w:t>
            </w:r>
          </w:p>
        </w:tc>
        <w:tc>
          <w:tcPr>
            <w:tcW w:type="dxa" w:w="1368"/>
          </w:tcPr>
          <w:p>
            <w:pPr>
              <w:spacing w:after="20"/>
            </w:pPr>
            <w:r>
              <w:rPr>
                <w:color w:val="1C3A36"/>
                <w:sz w:val="15"/>
              </w:rPr>
              <w:t>2025-03-31</w:t>
            </w:r>
          </w:p>
        </w:tc>
        <w:tc>
          <w:tcPr>
            <w:tcW w:type="dxa" w:w="3845"/>
          </w:tcPr>
          <w:p>
            <w:pPr>
              <w:spacing w:after="20"/>
            </w:pPr>
            <w:r>
              <w:rPr>
                <w:color w:val="1C3A36"/>
                <w:sz w:val="15"/>
              </w:rPr>
              <w:t>Net sales, three months to 31-Mar-2025 (comparative column). Reviewed consolidated FS, three months to 31-Mar-2026</w:t>
            </w:r>
          </w:p>
        </w:tc>
      </w:tr>
      <w:tr>
        <w:tc>
          <w:tcPr>
            <w:tcW w:type="dxa" w:w="2736"/>
          </w:tcPr>
          <w:p>
            <w:pPr>
              <w:spacing w:after="20"/>
            </w:pPr>
            <w:r>
              <w:rPr>
                <w:color w:val="1C3A36"/>
                <w:sz w:val="15"/>
              </w:rPr>
              <w:t>cogs_q1_25</w:t>
            </w:r>
          </w:p>
        </w:tc>
        <w:tc>
          <w:tcPr>
            <w:tcW w:type="dxa" w:w="2232"/>
          </w:tcPr>
          <w:p>
            <w:pPr>
              <w:spacing w:after="20"/>
            </w:pPr>
            <w:r>
              <w:rPr>
                <w:color w:val="1C3A36"/>
                <w:sz w:val="15"/>
              </w:rPr>
              <w:t>9,559,699,263.0</w:t>
            </w:r>
          </w:p>
        </w:tc>
        <w:tc>
          <w:tcPr>
            <w:tcW w:type="dxa" w:w="1368"/>
          </w:tcPr>
          <w:p>
            <w:pPr>
              <w:spacing w:after="20"/>
            </w:pPr>
            <w:r>
              <w:rPr>
                <w:color w:val="1C3A36"/>
                <w:sz w:val="15"/>
              </w:rPr>
              <w:t>2025-03-31</w:t>
            </w:r>
          </w:p>
        </w:tc>
        <w:tc>
          <w:tcPr>
            <w:tcW w:type="dxa" w:w="3845"/>
          </w:tcPr>
          <w:p>
            <w:pPr>
              <w:spacing w:after="20"/>
            </w:pPr>
            <w:r>
              <w:rPr>
                <w:color w:val="1C3A36"/>
                <w:sz w:val="15"/>
              </w:rPr>
              <w:t>Cost of sales, three months to 31-Mar-2025 (comparative column). Reviewed consolidated FS, three months to 31-Mar-2026</w:t>
            </w:r>
          </w:p>
        </w:tc>
      </w:tr>
      <w:tr>
        <w:tc>
          <w:tcPr>
            <w:tcW w:type="dxa" w:w="2736"/>
          </w:tcPr>
          <w:p>
            <w:pPr>
              <w:spacing w:after="20"/>
            </w:pPr>
            <w:r>
              <w:rPr>
                <w:color w:val="1C3A36"/>
                <w:sz w:val="15"/>
              </w:rPr>
              <w:t>pat_fy25_full</w:t>
            </w:r>
          </w:p>
        </w:tc>
        <w:tc>
          <w:tcPr>
            <w:tcW w:type="dxa" w:w="2232"/>
          </w:tcPr>
          <w:p>
            <w:pPr>
              <w:spacing w:after="20"/>
            </w:pPr>
            <w:r>
              <w:rPr>
                <w:color w:val="1C3A36"/>
                <w:sz w:val="15"/>
              </w:rPr>
              <w:t>1,488,520,098.0</w:t>
            </w:r>
          </w:p>
        </w:tc>
        <w:tc>
          <w:tcPr>
            <w:tcW w:type="dxa" w:w="1368"/>
          </w:tcPr>
          <w:p>
            <w:pPr>
              <w:spacing w:after="20"/>
            </w:pPr>
            <w:r>
              <w:rPr>
                <w:color w:val="1C3A36"/>
                <w:sz w:val="15"/>
              </w:rPr>
              <w:t>2025-06-30</w:t>
            </w:r>
          </w:p>
        </w:tc>
        <w:tc>
          <w:tcPr>
            <w:tcW w:type="dxa" w:w="3845"/>
          </w:tcPr>
          <w:p>
            <w:pPr>
              <w:spacing w:after="20"/>
            </w:pPr>
            <w:r>
              <w:rPr>
                <w:color w:val="1C3A36"/>
                <w:sz w:val="15"/>
              </w:rPr>
              <w:t>Majority profit for the financial year to 30-June-2025, read off the opening column of the consolidated statement of changes in equity at 1-July-2025. Audited consolidated FS, transition period 1-Jul-2025 to 31-Dec-2025, Crowe unqualified, 18-Feb-2026</w:t>
            </w:r>
          </w:p>
        </w:tc>
      </w:tr>
      <w:tr>
        <w:tc>
          <w:tcPr>
            <w:tcW w:type="dxa" w:w="2736"/>
          </w:tcPr>
          <w:p>
            <w:pPr>
              <w:spacing w:after="20"/>
            </w:pPr>
            <w:r>
              <w:rPr>
                <w:color w:val="1C3A36"/>
                <w:sz w:val="15"/>
              </w:rPr>
              <w:t>rev_h1cy26_rep</w:t>
            </w:r>
          </w:p>
        </w:tc>
        <w:tc>
          <w:tcPr>
            <w:tcW w:type="dxa" w:w="2232"/>
          </w:tcPr>
          <w:p>
            <w:pPr>
              <w:spacing w:after="20"/>
            </w:pPr>
            <w:r>
              <w:rPr>
                <w:color w:val="1C3A36"/>
                <w:sz w:val="15"/>
              </w:rPr>
              <w:t>26,223,000,000.0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pat_h1cy26_rep</w:t>
            </w:r>
          </w:p>
        </w:tc>
        <w:tc>
          <w:tcPr>
            <w:tcW w:type="dxa" w:w="2232"/>
          </w:tcPr>
          <w:p>
            <w:pPr>
              <w:spacing w:after="20"/>
            </w:pPr>
            <w:r>
              <w:rPr>
                <w:color w:val="1C3A36"/>
                <w:sz w:val="15"/>
              </w:rPr>
              <w:t>1,903,000,000.0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Half-year results for 1-Jan to 30-Jun-2026, disclosed to the Egyptian Exchange 29-30 July 2026. REPORTED, NOT AUDITED — a press release, not a filing</w:t>
            </w:r>
          </w:p>
        </w:tc>
      </w:tr>
      <w:tr>
        <w:tc>
          <w:tcPr>
            <w:tcW w:type="dxa" w:w="2736"/>
          </w:tcPr>
          <w:p>
            <w:pPr>
              <w:spacing w:after="20"/>
            </w:pPr>
            <w:r>
              <w:rPr>
                <w:color w:val="1C3A36"/>
                <w:sz w:val="15"/>
              </w:rPr>
              <w:t>gp_h1cy26_rep</w:t>
            </w:r>
          </w:p>
        </w:tc>
        <w:tc>
          <w:tcPr>
            <w:tcW w:type="dxa" w:w="2232"/>
          </w:tcPr>
          <w:p>
            <w:pPr>
              <w:spacing w:after="20"/>
            </w:pPr>
            <w:r>
              <w:rPr>
                <w:color w:val="1C3A36"/>
                <w:sz w:val="15"/>
              </w:rPr>
              <w:t>3,258,000,000.0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AS RELEASED. This study does NOT use this figure: run through the company's own Q1-2026 expense run rates it implies a profit after tax about 12.6% above the profit the same release reports. The gross profit actually used is SOLVED from the release's own profit line, which two independent coherence tests confirm. Half-year results for 1-Jan to 30-Jun-2026, disclosed to the Egyptian Exchange 29-30 July 2026. REPORTED, NOT AUDITED — a press release, not a filing</w:t>
            </w:r>
          </w:p>
        </w:tc>
      </w:tr>
      <w:tr>
        <w:tc>
          <w:tcPr>
            <w:tcW w:type="dxa" w:w="2736"/>
          </w:tcPr>
          <w:p>
            <w:pPr>
              <w:spacing w:after="20"/>
            </w:pPr>
            <w:r>
              <w:rPr>
                <w:color w:val="1C3A36"/>
                <w:sz w:val="15"/>
              </w:rPr>
              <w:t>pat_h1cy25</w:t>
            </w:r>
          </w:p>
        </w:tc>
        <w:tc>
          <w:tcPr>
            <w:tcW w:type="dxa" w:w="2232"/>
          </w:tcPr>
          <w:p>
            <w:pPr>
              <w:spacing w:after="20"/>
            </w:pPr>
            <w:r>
              <w:rPr>
                <w:color w:val="1C3A36"/>
                <w:sz w:val="15"/>
              </w:rPr>
              <w:t>878,800,000.0</w:t>
            </w:r>
          </w:p>
        </w:tc>
        <w:tc>
          <w:tcPr>
            <w:tcW w:type="dxa" w:w="1368"/>
          </w:tcPr>
          <w:p>
            <w:pPr>
              <w:spacing w:after="20"/>
            </w:pPr>
            <w:r>
              <w:rPr>
                <w:color w:val="1C3A36"/>
                <w:sz w:val="15"/>
              </w:rPr>
              <w:t>2025-06-30</w:t>
            </w:r>
          </w:p>
        </w:tc>
        <w:tc>
          <w:tcPr>
            <w:tcW w:type="dxa" w:w="3845"/>
          </w:tcPr>
          <w:p>
            <w:pPr>
              <w:spacing w:after="20"/>
            </w:pPr>
            <w:r>
              <w:rPr>
                <w:color w:val="1C3A36"/>
                <w:sz w:val="15"/>
              </w:rPr>
              <w:t>Majority profit, six months to 30-Jun-2025, read off the AUDITED consolidated statement of changes in equity. Used only to test the reported +109% profit growth in the half above. Audited consolidated FS, transition period 1-Jul-2025 to 31-Dec-2025, Crowe unqualified, 18-Feb-2026</w:t>
            </w:r>
          </w:p>
        </w:tc>
      </w:tr>
      <w:tr>
        <w:tc>
          <w:tcPr>
            <w:tcW w:type="dxa" w:w="2736"/>
          </w:tcPr>
          <w:p>
            <w:pPr>
              <w:spacing w:after="20"/>
            </w:pPr>
            <w:r>
              <w:rPr>
                <w:color w:val="1C3A36"/>
                <w:sz w:val="15"/>
              </w:rPr>
              <w:t>prod_t</w:t>
            </w:r>
          </w:p>
        </w:tc>
        <w:tc>
          <w:tcPr>
            <w:tcW w:type="dxa" w:w="2232"/>
          </w:tcPr>
          <w:p>
            <w:pPr>
              <w:spacing w:after="20"/>
            </w:pPr>
            <w:r>
              <w:rPr>
                <w:color w:val="1C3A36"/>
                <w:sz w:val="15"/>
              </w:rPr>
              <w:t>oils: 118,475.6; wax: 82,805.7; gasoil: 346,720.8; naphtha: 80,543.1; lpg: 47,938.8; fueloil: 799,642.3; hfo: 26,181.6; waste: 16.66</w:t>
            </w:r>
          </w:p>
        </w:tc>
        <w:tc>
          <w:tcPr>
            <w:tcW w:type="dxa" w:w="1368"/>
          </w:tcPr>
          <w:p>
            <w:pPr>
              <w:spacing w:after="20"/>
            </w:pPr>
            <w:r>
              <w:rPr>
                <w:color w:val="1C3A36"/>
                <w:sz w:val="15"/>
              </w:rPr>
              <w:t>2026-06-30</w:t>
            </w:r>
          </w:p>
        </w:tc>
        <w:tc>
          <w:tcPr>
            <w:tcW w:type="dxa" w:w="3845"/>
          </w:tcPr>
          <w:p>
            <w:pPr>
              <w:spacing w:after="20"/>
            </w:pPr>
            <w:r>
              <w:rPr>
                <w:color w:val="1C3A36"/>
                <w:sz w:val="15"/>
              </w:rPr>
              <w:t>Tonnes sold by product line,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Both halves are filed; nothing is annualised.</w:t>
            </w:r>
          </w:p>
        </w:tc>
      </w:tr>
      <w:tr>
        <w:tc>
          <w:tcPr>
            <w:tcW w:type="dxa" w:w="2736"/>
          </w:tcPr>
          <w:p>
            <w:pPr>
              <w:spacing w:after="20"/>
            </w:pPr>
            <w:r>
              <w:rPr>
                <w:color w:val="1C3A36"/>
                <w:sz w:val="15"/>
              </w:rPr>
              <w:t>prod_v</w:t>
            </w:r>
          </w:p>
        </w:tc>
        <w:tc>
          <w:tcPr>
            <w:tcW w:type="dxa" w:w="2232"/>
          </w:tcPr>
          <w:p>
            <w:pPr>
              <w:spacing w:after="20"/>
            </w:pPr>
            <w:r>
              <w:rPr>
                <w:color w:val="1C3A36"/>
                <w:sz w:val="15"/>
              </w:rPr>
              <w:t>oils: 6,910,344,291.0; wax: 4,652,865,956.0; gasoil: 13,032,962,579.0; naphtha: 2,237,624,310.0; lpg: 2,070,474,787.0; fueloil: 17,639,509,544.0; hfo: 414,784,599.0; waste: 192,200.0</w:t>
            </w:r>
          </w:p>
        </w:tc>
        <w:tc>
          <w:tcPr>
            <w:tcW w:type="dxa" w:w="1368"/>
          </w:tcPr>
          <w:p>
            <w:pPr>
              <w:spacing w:after="20"/>
            </w:pPr>
            <w:r>
              <w:rPr>
                <w:color w:val="1C3A36"/>
                <w:sz w:val="15"/>
              </w:rPr>
              <w:t>2026-06-30</w:t>
            </w:r>
          </w:p>
        </w:tc>
        <w:tc>
          <w:tcPr>
            <w:tcW w:type="dxa" w:w="3845"/>
          </w:tcPr>
          <w:p>
            <w:pPr>
              <w:spacing w:after="20"/>
            </w:pPr>
            <w:r>
              <w:rPr>
                <w:color w:val="1C3A36"/>
                <w:sz w:val="15"/>
              </w:rPr>
              <w:t>Sales value by product line, EGP, TWELVE months to 30-Jun-2026 — the audited transition half (note 14-A, Audited consolidated FS, transition period 1-Jul-2025 to 31-Dec-2025, Crowe unqualified, 18-Feb-2026) plus the reviewed half (Reviewed consolidated financial statements, six months to 30-Jun-2026, limited review report attached (note 14-A / 15-A)). Foots to disclosed twelve-month net sales with no scalar.</w:t>
            </w:r>
          </w:p>
        </w:tc>
      </w:tr>
      <w:tr>
        <w:tc>
          <w:tcPr>
            <w:tcW w:type="dxa" w:w="2736"/>
          </w:tcPr>
          <w:p>
            <w:pPr>
              <w:spacing w:after="20"/>
            </w:pPr>
            <w:r>
              <w:rPr>
                <w:color w:val="1C3A36"/>
                <w:sz w:val="15"/>
              </w:rPr>
              <w:t>rev_h1cy26</w:t>
            </w:r>
          </w:p>
        </w:tc>
        <w:tc>
          <w:tcPr>
            <w:tcW w:type="dxa" w:w="2232"/>
          </w:tcPr>
          <w:p>
            <w:pPr>
              <w:spacing w:after="20"/>
            </w:pPr>
            <w:r>
              <w:rPr>
                <w:color w:val="1C3A36"/>
                <w:sz w:val="15"/>
              </w:rPr>
              <w:t>26,223,032,454.0</w:t>
            </w:r>
          </w:p>
        </w:tc>
        <w:tc>
          <w:tcPr>
            <w:tcW w:type="dxa" w:w="1368"/>
          </w:tcPr>
          <w:p>
            <w:pPr>
              <w:spacing w:after="20"/>
            </w:pPr>
            <w:r>
              <w:rPr>
                <w:color w:val="1C3A36"/>
                <w:sz w:val="15"/>
              </w:rPr>
              <w:t>2026-06-30</w:t>
            </w:r>
          </w:p>
        </w:tc>
        <w:tc>
          <w:tcPr>
            <w:tcW w:type="dxa" w:w="3845"/>
          </w:tcPr>
          <w:p>
            <w:pPr>
              <w:spacing w:after="20"/>
            </w:pPr>
            <w:r>
              <w:rPr>
                <w:color w:val="1C3A36"/>
                <w:sz w:val="15"/>
              </w:rPr>
              <w:t>Net sales, six months to 30-Jun-2026. Reviewed consolidated financial statements, six months to 30-Jun-2026, limited review report attached (note 14-A / 15-A)</w:t>
            </w:r>
          </w:p>
        </w:tc>
      </w:tr>
      <w:tr>
        <w:tc>
          <w:tcPr>
            <w:tcW w:type="dxa" w:w="2736"/>
          </w:tcPr>
          <w:p>
            <w:pPr>
              <w:spacing w:after="20"/>
            </w:pPr>
            <w:r>
              <w:rPr>
                <w:color w:val="1C3A36"/>
                <w:sz w:val="15"/>
              </w:rPr>
              <w:t>cogs_h1cy26</w:t>
            </w:r>
          </w:p>
        </w:tc>
        <w:tc>
          <w:tcPr>
            <w:tcW w:type="dxa" w:w="2232"/>
          </w:tcPr>
          <w:p>
            <w:pPr>
              <w:spacing w:after="20"/>
            </w:pPr>
            <w:r>
              <w:rPr>
                <w:color w:val="1C3A36"/>
                <w:sz w:val="15"/>
              </w:rPr>
              <w:t>22,964,084,821.0</w:t>
            </w:r>
          </w:p>
        </w:tc>
        <w:tc>
          <w:tcPr>
            <w:tcW w:type="dxa" w:w="1368"/>
          </w:tcPr>
          <w:p>
            <w:pPr>
              <w:spacing w:after="20"/>
            </w:pPr>
            <w:r>
              <w:rPr>
                <w:color w:val="1C3A36"/>
                <w:sz w:val="15"/>
              </w:rPr>
              <w:t>2026-06-30</w:t>
            </w:r>
          </w:p>
        </w:tc>
        <w:tc>
          <w:tcPr>
            <w:tcW w:type="dxa" w:w="3845"/>
          </w:tcPr>
          <w:p>
            <w:pPr>
              <w:spacing w:after="20"/>
            </w:pPr>
            <w:r>
              <w:rPr>
                <w:color w:val="1C3A36"/>
                <w:sz w:val="15"/>
              </w:rPr>
              <w:t>Cost of sales, six months to 30-Jun-2026. Reviewed consolidated financial statements, six months to 30-Jun-2026, limited review report attached (note 14-A / 15-A)</w:t>
            </w:r>
          </w:p>
        </w:tc>
      </w:tr>
      <w:tr>
        <w:tc>
          <w:tcPr>
            <w:tcW w:type="dxa" w:w="2736"/>
          </w:tcPr>
          <w:p>
            <w:pPr>
              <w:spacing w:after="20"/>
            </w:pPr>
            <w:r>
              <w:rPr>
                <w:color w:val="1C3A36"/>
                <w:sz w:val="15"/>
              </w:rPr>
              <w:t>gp_h1cy26</w:t>
            </w:r>
          </w:p>
        </w:tc>
        <w:tc>
          <w:tcPr>
            <w:tcW w:type="dxa" w:w="2232"/>
          </w:tcPr>
          <w:p>
            <w:pPr>
              <w:spacing w:after="20"/>
            </w:pPr>
            <w:r>
              <w:rPr>
                <w:color w:val="1C3A36"/>
                <w:sz w:val="15"/>
              </w:rPr>
              <w:t>3,258,947,633.0</w:t>
            </w:r>
          </w:p>
        </w:tc>
        <w:tc>
          <w:tcPr>
            <w:tcW w:type="dxa" w:w="1368"/>
          </w:tcPr>
          <w:p>
            <w:pPr>
              <w:spacing w:after="20"/>
            </w:pPr>
            <w:r>
              <w:rPr>
                <w:color w:val="1C3A36"/>
                <w:sz w:val="15"/>
              </w:rPr>
              <w:t>2026-06-30</w:t>
            </w:r>
          </w:p>
        </w:tc>
        <w:tc>
          <w:tcPr>
            <w:tcW w:type="dxa" w:w="3845"/>
          </w:tcPr>
          <w:p>
            <w:pPr>
              <w:spacing w:after="20"/>
            </w:pPr>
            <w:r>
              <w:rPr>
                <w:color w:val="1C3A36"/>
                <w:sz w:val="15"/>
              </w:rPr>
              <w:t>Gross profit, six months to 30-Jun-2026 — 12.43% of net sales. Reviewed consolidated financial statements, six months to 30-Jun-2026, limited review report attached (note 14-A / 15-A)</w:t>
            </w:r>
          </w:p>
        </w:tc>
      </w:tr>
      <w:tr>
        <w:tc>
          <w:tcPr>
            <w:tcW w:type="dxa" w:w="2736"/>
          </w:tcPr>
          <w:p>
            <w:pPr>
              <w:spacing w:after="20"/>
            </w:pPr>
            <w:r>
              <w:rPr>
                <w:color w:val="1C3A36"/>
                <w:sz w:val="15"/>
              </w:rPr>
              <w:t>ga_h1cy26</w:t>
            </w:r>
          </w:p>
        </w:tc>
        <w:tc>
          <w:tcPr>
            <w:tcW w:type="dxa" w:w="2232"/>
          </w:tcPr>
          <w:p>
            <w:pPr>
              <w:spacing w:after="20"/>
            </w:pPr>
            <w:r>
              <w:rPr>
                <w:color w:val="1C3A36"/>
                <w:sz w:val="15"/>
              </w:rPr>
              <w:t>675,083,735.0</w:t>
            </w:r>
          </w:p>
        </w:tc>
        <w:tc>
          <w:tcPr>
            <w:tcW w:type="dxa" w:w="1368"/>
          </w:tcPr>
          <w:p>
            <w:pPr>
              <w:spacing w:after="20"/>
            </w:pPr>
            <w:r>
              <w:rPr>
                <w:color w:val="1C3A36"/>
                <w:sz w:val="15"/>
              </w:rPr>
              <w:t>2026-06-30</w:t>
            </w:r>
          </w:p>
        </w:tc>
        <w:tc>
          <w:tcPr>
            <w:tcW w:type="dxa" w:w="3845"/>
          </w:tcPr>
          <w:p>
            <w:pPr>
              <w:spacing w:after="20"/>
            </w:pPr>
            <w:r>
              <w:rPr>
                <w:color w:val="1C3A36"/>
                <w:sz w:val="15"/>
              </w:rPr>
              <w:t>General and administrative expenses, six months to 30-Jun-2026. Reviewed consolidated financial statements, six months to 30-Jun-2026, limited review report attached (note 14-A / 15-A)</w:t>
            </w:r>
          </w:p>
        </w:tc>
      </w:tr>
      <w:tr>
        <w:tc>
          <w:tcPr>
            <w:tcW w:type="dxa" w:w="2736"/>
          </w:tcPr>
          <w:p>
            <w:pPr>
              <w:spacing w:after="20"/>
            </w:pPr>
            <w:r>
              <w:rPr>
                <w:color w:val="1C3A36"/>
                <w:sz w:val="15"/>
              </w:rPr>
              <w:t>mkt_h1cy26</w:t>
            </w:r>
          </w:p>
        </w:tc>
        <w:tc>
          <w:tcPr>
            <w:tcW w:type="dxa" w:w="2232"/>
          </w:tcPr>
          <w:p>
            <w:pPr>
              <w:spacing w:after="20"/>
            </w:pPr>
            <w:r>
              <w:rPr>
                <w:color w:val="1C3A36"/>
                <w:sz w:val="15"/>
              </w:rPr>
              <w:t>125,019,700.0</w:t>
            </w:r>
          </w:p>
        </w:tc>
        <w:tc>
          <w:tcPr>
            <w:tcW w:type="dxa" w:w="1368"/>
          </w:tcPr>
          <w:p>
            <w:pPr>
              <w:spacing w:after="20"/>
            </w:pPr>
            <w:r>
              <w:rPr>
                <w:color w:val="1C3A36"/>
                <w:sz w:val="15"/>
              </w:rPr>
              <w:t>2026-06-30</w:t>
            </w:r>
          </w:p>
        </w:tc>
        <w:tc>
          <w:tcPr>
            <w:tcW w:type="dxa" w:w="3845"/>
          </w:tcPr>
          <w:p>
            <w:pPr>
              <w:spacing w:after="20"/>
            </w:pPr>
            <w:r>
              <w:rPr>
                <w:color w:val="1C3A36"/>
                <w:sz w:val="15"/>
              </w:rPr>
              <w:t>Marketing and selling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othexp_h1cy26</w:t>
            </w:r>
          </w:p>
        </w:tc>
        <w:tc>
          <w:tcPr>
            <w:tcW w:type="dxa" w:w="2232"/>
          </w:tcPr>
          <w:p>
            <w:pPr>
              <w:spacing w:after="20"/>
            </w:pPr>
            <w:r>
              <w:rPr>
                <w:color w:val="1C3A36"/>
                <w:sz w:val="15"/>
              </w:rPr>
              <w:t>2,599,294.0</w:t>
            </w:r>
          </w:p>
        </w:tc>
        <w:tc>
          <w:tcPr>
            <w:tcW w:type="dxa" w:w="1368"/>
          </w:tcPr>
          <w:p>
            <w:pPr>
              <w:spacing w:after="20"/>
            </w:pPr>
            <w:r>
              <w:rPr>
                <w:color w:val="1C3A36"/>
                <w:sz w:val="15"/>
              </w:rPr>
              <w:t>2026-06-30</w:t>
            </w:r>
          </w:p>
        </w:tc>
        <w:tc>
          <w:tcPr>
            <w:tcW w:type="dxa" w:w="3845"/>
          </w:tcPr>
          <w:p>
            <w:pPr>
              <w:spacing w:after="20"/>
            </w:pPr>
            <w:r>
              <w:rPr>
                <w:color w:val="1C3A36"/>
                <w:sz w:val="15"/>
              </w:rPr>
              <w:t>Other expenses, six months to 30-Jun-2026. Reviewed consolidated financial statements, six months to 30-Jun-2026, limited review report attached (note 14-A / 15-A)</w:t>
            </w:r>
          </w:p>
        </w:tc>
      </w:tr>
      <w:tr>
        <w:tc>
          <w:tcPr>
            <w:tcW w:type="dxa" w:w="2736"/>
          </w:tcPr>
          <w:p>
            <w:pPr>
              <w:spacing w:after="20"/>
            </w:pPr>
            <w:r>
              <w:rPr>
                <w:color w:val="1C3A36"/>
                <w:sz w:val="15"/>
              </w:rPr>
              <w:t>prov_h1cy26</w:t>
            </w:r>
          </w:p>
        </w:tc>
        <w:tc>
          <w:tcPr>
            <w:tcW w:type="dxa" w:w="2232"/>
          </w:tcPr>
          <w:p>
            <w:pPr>
              <w:spacing w:after="20"/>
            </w:pPr>
            <w:r>
              <w:rPr>
                <w:color w:val="1C3A36"/>
                <w:sz w:val="15"/>
              </w:rPr>
              <w:t>96,672,167.0</w:t>
            </w:r>
          </w:p>
        </w:tc>
        <w:tc>
          <w:tcPr>
            <w:tcW w:type="dxa" w:w="1368"/>
          </w:tcPr>
          <w:p>
            <w:pPr>
              <w:spacing w:after="20"/>
            </w:pPr>
            <w:r>
              <w:rPr>
                <w:color w:val="1C3A36"/>
                <w:sz w:val="15"/>
              </w:rPr>
              <w:t>2026-06-30</w:t>
            </w:r>
          </w:p>
        </w:tc>
        <w:tc>
          <w:tcPr>
            <w:tcW w:type="dxa" w:w="3845"/>
          </w:tcPr>
          <w:p>
            <w:pPr>
              <w:spacing w:after="20"/>
            </w:pPr>
            <w:r>
              <w:rPr>
                <w:color w:val="1C3A36"/>
                <w:sz w:val="15"/>
              </w:rPr>
              <w:t>Formed provisions, six months to 30-Jun-2026. Reviewed consolidated financial statements, six months to 30-Jun-2026, limited review report attached (note 14-A / 15-A)</w:t>
            </w:r>
          </w:p>
        </w:tc>
      </w:tr>
      <w:tr>
        <w:tc>
          <w:tcPr>
            <w:tcW w:type="dxa" w:w="2736"/>
          </w:tcPr>
          <w:p>
            <w:pPr>
              <w:spacing w:after="20"/>
            </w:pPr>
            <w:r>
              <w:rPr>
                <w:color w:val="1C3A36"/>
                <w:sz w:val="15"/>
              </w:rPr>
              <w:t>ecl_h1cy26</w:t>
            </w:r>
          </w:p>
        </w:tc>
        <w:tc>
          <w:tcPr>
            <w:tcW w:type="dxa" w:w="2232"/>
          </w:tcPr>
          <w:p>
            <w:pPr>
              <w:spacing w:after="20"/>
            </w:pPr>
            <w:r>
              <w:rPr>
                <w:color w:val="1C3A36"/>
                <w:sz w:val="15"/>
              </w:rPr>
              <w:t>48,692,230.0</w:t>
            </w:r>
          </w:p>
        </w:tc>
        <w:tc>
          <w:tcPr>
            <w:tcW w:type="dxa" w:w="1368"/>
          </w:tcPr>
          <w:p>
            <w:pPr>
              <w:spacing w:after="20"/>
            </w:pPr>
            <w:r>
              <w:rPr>
                <w:color w:val="1C3A36"/>
                <w:sz w:val="15"/>
              </w:rPr>
              <w:t>2026-06-30</w:t>
            </w:r>
          </w:p>
        </w:tc>
        <w:tc>
          <w:tcPr>
            <w:tcW w:type="dxa" w:w="3845"/>
          </w:tcPr>
          <w:p>
            <w:pPr>
              <w:spacing w:after="20"/>
            </w:pPr>
            <w:r>
              <w:rPr>
                <w:color w:val="1C3A36"/>
                <w:sz w:val="15"/>
              </w:rPr>
              <w:t>Expected credit losses formed, six months to 30-Jun-2026. Reviewed consolidated financial statements, six months to 30-Jun-2026, limited review report attached (note 14-A / 15-A)</w:t>
            </w:r>
          </w:p>
        </w:tc>
      </w:tr>
      <w:tr>
        <w:tc>
          <w:tcPr>
            <w:tcW w:type="dxa" w:w="2736"/>
          </w:tcPr>
          <w:p>
            <w:pPr>
              <w:spacing w:after="20"/>
            </w:pPr>
            <w:r>
              <w:rPr>
                <w:color w:val="1C3A36"/>
                <w:sz w:val="15"/>
              </w:rPr>
              <w:t>fin_h1cy26</w:t>
            </w:r>
          </w:p>
        </w:tc>
        <w:tc>
          <w:tcPr>
            <w:tcW w:type="dxa" w:w="2232"/>
          </w:tcPr>
          <w:p>
            <w:pPr>
              <w:spacing w:after="20"/>
            </w:pPr>
            <w:r>
              <w:rPr>
                <w:color w:val="1C3A36"/>
                <w:sz w:val="15"/>
              </w:rPr>
              <w:t>1,938,539.0</w:t>
            </w:r>
          </w:p>
        </w:tc>
        <w:tc>
          <w:tcPr>
            <w:tcW w:type="dxa" w:w="1368"/>
          </w:tcPr>
          <w:p>
            <w:pPr>
              <w:spacing w:after="20"/>
            </w:pPr>
            <w:r>
              <w:rPr>
                <w:color w:val="1C3A36"/>
                <w:sz w:val="15"/>
              </w:rPr>
              <w:t>2026-06-30</w:t>
            </w:r>
          </w:p>
        </w:tc>
        <w:tc>
          <w:tcPr>
            <w:tcW w:type="dxa" w:w="3845"/>
          </w:tcPr>
          <w:p>
            <w:pPr>
              <w:spacing w:after="20"/>
            </w:pPr>
            <w:r>
              <w:rPr>
                <w:color w:val="1C3A36"/>
                <w:sz w:val="15"/>
              </w:rPr>
              <w:t>Finance expenses, six months to 30-Jun-2026. Reviewed consolidated financial statements, six months to 30-Jun-2026, limited review report attached (note 14-A / 15-A)</w:t>
            </w:r>
          </w:p>
        </w:tc>
      </w:tr>
      <w:tr>
        <w:tc>
          <w:tcPr>
            <w:tcW w:type="dxa" w:w="2736"/>
          </w:tcPr>
          <w:p>
            <w:pPr>
              <w:spacing w:after="20"/>
            </w:pPr>
            <w:r>
              <w:rPr>
                <w:color w:val="1C3A36"/>
                <w:sz w:val="15"/>
              </w:rPr>
              <w:t>othrev_h1cy26</w:t>
            </w:r>
          </w:p>
        </w:tc>
        <w:tc>
          <w:tcPr>
            <w:tcW w:type="dxa" w:w="2232"/>
          </w:tcPr>
          <w:p>
            <w:pPr>
              <w:spacing w:after="20"/>
            </w:pPr>
            <w:r>
              <w:rPr>
                <w:color w:val="1C3A36"/>
                <w:sz w:val="15"/>
              </w:rPr>
              <w:t>196,526,615.0</w:t>
            </w:r>
          </w:p>
        </w:tc>
        <w:tc>
          <w:tcPr>
            <w:tcW w:type="dxa" w:w="1368"/>
          </w:tcPr>
          <w:p>
            <w:pPr>
              <w:spacing w:after="20"/>
            </w:pPr>
            <w:r>
              <w:rPr>
                <w:color w:val="1C3A36"/>
                <w:sz w:val="15"/>
              </w:rPr>
              <w:t>2026-06-30</w:t>
            </w:r>
          </w:p>
        </w:tc>
        <w:tc>
          <w:tcPr>
            <w:tcW w:type="dxa" w:w="3845"/>
          </w:tcPr>
          <w:p>
            <w:pPr>
              <w:spacing w:after="20"/>
            </w:pPr>
            <w:r>
              <w:rPr>
                <w:color w:val="1C3A36"/>
                <w:sz w:val="15"/>
              </w:rPr>
              <w:t>Other operating income, six months to 30-Jun-2026, of which credit interest 134,944,385. Reviewed consolidated financial statements, six months to 30-Jun-2026, limited review report attached (note 14-A / 15-A)</w:t>
            </w:r>
          </w:p>
        </w:tc>
      </w:tr>
      <w:tr>
        <w:tc>
          <w:tcPr>
            <w:tcW w:type="dxa" w:w="2736"/>
          </w:tcPr>
          <w:p>
            <w:pPr>
              <w:spacing w:after="20"/>
            </w:pPr>
            <w:r>
              <w:rPr>
                <w:color w:val="1C3A36"/>
                <w:sz w:val="15"/>
              </w:rPr>
              <w:t>tax_h1cy26</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Income tax, six months to 30-Jun-2026. Reviewed consolidated financial statements, six months to 30-Jun-2026, limited review report attached (note 14-A / 15-A)</w:t>
            </w:r>
          </w:p>
        </w:tc>
      </w:tr>
      <w:tr>
        <w:tc>
          <w:tcPr>
            <w:tcW w:type="dxa" w:w="2736"/>
          </w:tcPr>
          <w:p>
            <w:pPr>
              <w:spacing w:after="20"/>
            </w:pPr>
            <w:r>
              <w:rPr>
                <w:color w:val="1C3A36"/>
                <w:sz w:val="15"/>
              </w:rPr>
              <w:t>dtax_h1cy26</w:t>
            </w:r>
          </w:p>
        </w:tc>
        <w:tc>
          <w:tcPr>
            <w:tcW w:type="dxa" w:w="2232"/>
          </w:tcPr>
          <w:p>
            <w:pPr>
              <w:spacing w:after="20"/>
            </w:pPr>
            <w:r>
              <w:rPr>
                <w:color w:val="1C3A36"/>
                <w:sz w:val="15"/>
              </w:rPr>
              <w:t>6,907,221.0</w:t>
            </w:r>
          </w:p>
        </w:tc>
        <w:tc>
          <w:tcPr>
            <w:tcW w:type="dxa" w:w="1368"/>
          </w:tcPr>
          <w:p>
            <w:pPr>
              <w:spacing w:after="20"/>
            </w:pPr>
            <w:r>
              <w:rPr>
                <w:color w:val="1C3A36"/>
                <w:sz w:val="15"/>
              </w:rPr>
              <w:t>2026-06-30</w:t>
            </w:r>
          </w:p>
        </w:tc>
        <w:tc>
          <w:tcPr>
            <w:tcW w:type="dxa" w:w="3845"/>
          </w:tcPr>
          <w:p>
            <w:pPr>
              <w:spacing w:after="20"/>
            </w:pPr>
            <w:r>
              <w:rPr>
                <w:color w:val="1C3A36"/>
                <w:sz w:val="15"/>
              </w:rPr>
              <w:t>Deferred tax revenue, six months to 30-Jun-2026. Reviewed consolidated financial statements, six months to 30-Jun-2026, limited review report attached (note 14-A / 15-A)</w:t>
            </w:r>
          </w:p>
        </w:tc>
      </w:tr>
      <w:tr>
        <w:tc>
          <w:tcPr>
            <w:tcW w:type="dxa" w:w="2736"/>
          </w:tcPr>
          <w:p>
            <w:pPr>
              <w:spacing w:after="20"/>
            </w:pPr>
            <w:r>
              <w:rPr>
                <w:color w:val="1C3A36"/>
                <w:sz w:val="15"/>
              </w:rPr>
              <w:t>pat_h1cy26</w:t>
            </w:r>
          </w:p>
        </w:tc>
        <w:tc>
          <w:tcPr>
            <w:tcW w:type="dxa" w:w="2232"/>
          </w:tcPr>
          <w:p>
            <w:pPr>
              <w:spacing w:after="20"/>
            </w:pPr>
            <w:r>
              <w:rPr>
                <w:color w:val="1C3A36"/>
                <w:sz w:val="15"/>
              </w:rPr>
              <w:t>1,920,706,543.0</w:t>
            </w:r>
          </w:p>
        </w:tc>
        <w:tc>
          <w:tcPr>
            <w:tcW w:type="dxa" w:w="1368"/>
          </w:tcPr>
          <w:p>
            <w:pPr>
              <w:spacing w:after="20"/>
            </w:pPr>
            <w:r>
              <w:rPr>
                <w:color w:val="1C3A36"/>
                <w:sz w:val="15"/>
              </w:rPr>
              <w:t>2026-06-30</w:t>
            </w:r>
          </w:p>
        </w:tc>
        <w:tc>
          <w:tcPr>
            <w:tcW w:type="dxa" w:w="3845"/>
          </w:tcPr>
          <w:p>
            <w:pPr>
              <w:spacing w:after="20"/>
            </w:pPr>
            <w:r>
              <w:rPr>
                <w:color w:val="1C3A36"/>
                <w:sz w:val="15"/>
              </w:rPr>
              <w:t>Net profit after tax, six months to 30-Jun-2026. Reviewed consolidated financial statements, six months to 30-Jun-2026, limited review report attached (note 14-A / 15-A)</w:t>
            </w:r>
          </w:p>
        </w:tc>
      </w:tr>
      <w:tr>
        <w:tc>
          <w:tcPr>
            <w:tcW w:type="dxa" w:w="2736"/>
          </w:tcPr>
          <w:p>
            <w:pPr>
              <w:spacing w:after="20"/>
            </w:pPr>
            <w:r>
              <w:rPr>
                <w:color w:val="1C3A36"/>
                <w:sz w:val="15"/>
              </w:rPr>
              <w:t>nci_h1cy26</w:t>
            </w:r>
          </w:p>
        </w:tc>
        <w:tc>
          <w:tcPr>
            <w:tcW w:type="dxa" w:w="2232"/>
          </w:tcPr>
          <w:p>
            <w:pPr>
              <w:spacing w:after="20"/>
            </w:pPr>
            <w:r>
              <w:rPr>
                <w:color w:val="1C3A36"/>
                <w:sz w:val="15"/>
              </w:rPr>
              <w:t>38,756,277.0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six months to 30-Jun-2026. Reviewed consolidated financial statements, six months to 30-Jun-2026, limited review report attached (note 14-A / 15-A)</w:t>
            </w:r>
          </w:p>
        </w:tc>
      </w:tr>
      <w:tr>
        <w:tc>
          <w:tcPr>
            <w:tcW w:type="dxa" w:w="2736"/>
          </w:tcPr>
          <w:p>
            <w:pPr>
              <w:spacing w:after="20"/>
            </w:pPr>
            <w:r>
              <w:rPr>
                <w:color w:val="1C3A36"/>
                <w:sz w:val="15"/>
              </w:rPr>
              <w:t>maj_h1cy26</w:t>
            </w:r>
          </w:p>
        </w:tc>
        <w:tc>
          <w:tcPr>
            <w:tcW w:type="dxa" w:w="2232"/>
          </w:tcPr>
          <w:p>
            <w:pPr>
              <w:spacing w:after="20"/>
            </w:pPr>
            <w:r>
              <w:rPr>
                <w:color w:val="1C3A36"/>
                <w:sz w:val="15"/>
              </w:rPr>
              <w:t>1,881,950,266.0</w:t>
            </w:r>
          </w:p>
        </w:tc>
        <w:tc>
          <w:tcPr>
            <w:tcW w:type="dxa" w:w="1368"/>
          </w:tcPr>
          <w:p>
            <w:pPr>
              <w:spacing w:after="20"/>
            </w:pPr>
            <w:r>
              <w:rPr>
                <w:color w:val="1C3A36"/>
                <w:sz w:val="15"/>
              </w:rPr>
              <w:t>2026-06-30</w:t>
            </w:r>
          </w:p>
        </w:tc>
        <w:tc>
          <w:tcPr>
            <w:tcW w:type="dxa" w:w="3845"/>
          </w:tcPr>
          <w:p>
            <w:pPr>
              <w:spacing w:after="20"/>
            </w:pPr>
            <w:r>
              <w:rPr>
                <w:color w:val="1C3A36"/>
                <w:sz w:val="15"/>
              </w:rPr>
              <w:t>Majority's share, six months to 30-Jun-2026 — EPS 1.46, and MORE than the whole preceding fiscal year's 1,488,520,098. Reviewed consolidated financial statements, six months to 30-Jun-2026, limited review report attached (note 14-A / 15-A)</w:t>
            </w:r>
          </w:p>
        </w:tc>
      </w:tr>
      <w:tr>
        <w:tc>
          <w:tcPr>
            <w:tcW w:type="dxa" w:w="2736"/>
          </w:tcPr>
          <w:p>
            <w:pPr>
              <w:spacing w:after="20"/>
            </w:pPr>
            <w:r>
              <w:rPr>
                <w:color w:val="1C3A36"/>
                <w:sz w:val="15"/>
              </w:rPr>
              <w:t>cos_ttm_salaries</w:t>
            </w:r>
          </w:p>
        </w:tc>
        <w:tc>
          <w:tcPr>
            <w:tcW w:type="dxa" w:w="2232"/>
          </w:tcPr>
          <w:p>
            <w:pPr>
              <w:spacing w:after="20"/>
            </w:pPr>
            <w:r>
              <w:rPr>
                <w:color w:val="1C3A36"/>
                <w:sz w:val="15"/>
              </w:rPr>
              <w:t>1,869,534,265.0</w:t>
            </w:r>
          </w:p>
        </w:tc>
        <w:tc>
          <w:tcPr>
            <w:tcW w:type="dxa" w:w="1368"/>
          </w:tcPr>
          <w:p>
            <w:pPr>
              <w:spacing w:after="20"/>
            </w:pPr>
            <w:r>
              <w:rPr>
                <w:color w:val="1C3A36"/>
                <w:sz w:val="15"/>
              </w:rPr>
              <w:t>2026-06-30</w:t>
            </w:r>
          </w:p>
        </w:tc>
        <w:tc>
          <w:tcPr>
            <w:tcW w:type="dxa" w:w="3845"/>
          </w:tcPr>
          <w:p>
            <w:pPr>
              <w:spacing w:after="20"/>
            </w:pPr>
            <w:r>
              <w:rPr>
                <w:color w:val="1C3A36"/>
                <w:sz w:val="15"/>
              </w:rPr>
              <w:t>Salaries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cos_ttm_raw</w:t>
            </w:r>
          </w:p>
        </w:tc>
        <w:tc>
          <w:tcPr>
            <w:tcW w:type="dxa" w:w="2232"/>
          </w:tcPr>
          <w:p>
            <w:pPr>
              <w:spacing w:after="20"/>
            </w:pPr>
            <w:r>
              <w:rPr>
                <w:color w:val="1C3A36"/>
                <w:sz w:val="15"/>
              </w:rPr>
              <w:t>38,674,000,341.0</w:t>
            </w:r>
          </w:p>
        </w:tc>
        <w:tc>
          <w:tcPr>
            <w:tcW w:type="dxa" w:w="1368"/>
          </w:tcPr>
          <w:p>
            <w:pPr>
              <w:spacing w:after="20"/>
            </w:pPr>
            <w:r>
              <w:rPr>
                <w:color w:val="1C3A36"/>
                <w:sz w:val="15"/>
              </w:rPr>
              <w:t>2026-06-30</w:t>
            </w:r>
          </w:p>
        </w:tc>
        <w:tc>
          <w:tcPr>
            <w:tcW w:type="dxa" w:w="3845"/>
          </w:tcPr>
          <w:p>
            <w:pPr>
              <w:spacing w:after="20"/>
            </w:pPr>
            <w:r>
              <w:rPr>
                <w:color w:val="1C3A36"/>
                <w:sz w:val="15"/>
              </w:rPr>
              <w:t>Raw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cos_ttm_support</w:t>
            </w:r>
          </w:p>
        </w:tc>
        <w:tc>
          <w:tcPr>
            <w:tcW w:type="dxa" w:w="2232"/>
          </w:tcPr>
          <w:p>
            <w:pPr>
              <w:spacing w:after="20"/>
            </w:pPr>
            <w:r>
              <w:rPr>
                <w:color w:val="1C3A36"/>
                <w:sz w:val="15"/>
              </w:rPr>
              <w:t>124,155,321.0</w:t>
            </w:r>
          </w:p>
        </w:tc>
        <w:tc>
          <w:tcPr>
            <w:tcW w:type="dxa" w:w="1368"/>
          </w:tcPr>
          <w:p>
            <w:pPr>
              <w:spacing w:after="20"/>
            </w:pPr>
            <w:r>
              <w:rPr>
                <w:color w:val="1C3A36"/>
                <w:sz w:val="15"/>
              </w:rPr>
              <w:t>2026-06-30</w:t>
            </w:r>
          </w:p>
        </w:tc>
        <w:tc>
          <w:tcPr>
            <w:tcW w:type="dxa" w:w="3845"/>
          </w:tcPr>
          <w:p>
            <w:pPr>
              <w:spacing w:after="20"/>
            </w:pPr>
            <w:r>
              <w:rPr>
                <w:color w:val="1C3A36"/>
                <w:sz w:val="15"/>
              </w:rPr>
              <w:t>Supporting materials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cos_ttm_dep</w:t>
            </w:r>
          </w:p>
        </w:tc>
        <w:tc>
          <w:tcPr>
            <w:tcW w:type="dxa" w:w="2232"/>
          </w:tcPr>
          <w:p>
            <w:pPr>
              <w:spacing w:after="20"/>
            </w:pPr>
            <w:r>
              <w:rPr>
                <w:color w:val="1C3A36"/>
                <w:sz w:val="15"/>
              </w:rPr>
              <w:t>123,206,229.0</w:t>
            </w:r>
          </w:p>
        </w:tc>
        <w:tc>
          <w:tcPr>
            <w:tcW w:type="dxa" w:w="1368"/>
          </w:tcPr>
          <w:p>
            <w:pPr>
              <w:spacing w:after="20"/>
            </w:pPr>
            <w:r>
              <w:rPr>
                <w:color w:val="1C3A36"/>
                <w:sz w:val="15"/>
              </w:rPr>
              <w:t>2026-06-30</w:t>
            </w:r>
          </w:p>
        </w:tc>
        <w:tc>
          <w:tcPr>
            <w:tcW w:type="dxa" w:w="3845"/>
          </w:tcPr>
          <w:p>
            <w:pPr>
              <w:spacing w:after="20"/>
            </w:pPr>
            <w:r>
              <w:rPr>
                <w:color w:val="1C3A36"/>
                <w:sz w:val="15"/>
              </w:rPr>
              <w:t>Depreciation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cos_ttm_other</w:t>
            </w:r>
          </w:p>
        </w:tc>
        <w:tc>
          <w:tcPr>
            <w:tcW w:type="dxa" w:w="2232"/>
          </w:tcPr>
          <w:p>
            <w:pPr>
              <w:spacing w:after="20"/>
            </w:pPr>
            <w:r>
              <w:rPr>
                <w:color w:val="1C3A36"/>
                <w:sz w:val="15"/>
              </w:rPr>
              <w:t>1,634,739,411.0</w:t>
            </w:r>
          </w:p>
        </w:tc>
        <w:tc>
          <w:tcPr>
            <w:tcW w:type="dxa" w:w="1368"/>
          </w:tcPr>
          <w:p>
            <w:pPr>
              <w:spacing w:after="20"/>
            </w:pPr>
            <w:r>
              <w:rPr>
                <w:color w:val="1C3A36"/>
                <w:sz w:val="15"/>
              </w:rPr>
              <w:t>2026-06-30</w:t>
            </w:r>
          </w:p>
        </w:tc>
        <w:tc>
          <w:tcPr>
            <w:tcW w:type="dxa" w:w="3845"/>
          </w:tcPr>
          <w:p>
            <w:pPr>
              <w:spacing w:after="20"/>
            </w:pPr>
            <w:r>
              <w:rPr>
                <w:color w:val="1C3A36"/>
                <w:sz w:val="15"/>
              </w:rPr>
              <w:t>Other cost of sales inside cost of sales, TWELVE months to 30-Jun-2026 (note 15-A, both filed halves added). Reviewed consolidated financial statements, six months to 30-Jun-2026, limited review report attached (note 14-A / 15-A)</w:t>
            </w:r>
          </w:p>
        </w:tc>
      </w:tr>
      <w:tr>
        <w:tc>
          <w:tcPr>
            <w:tcW w:type="dxa" w:w="2736"/>
          </w:tcPr>
          <w:p>
            <w:pPr>
              <w:spacing w:after="20"/>
            </w:pPr>
            <w:r>
              <w:rPr>
                <w:color w:val="1C3A36"/>
                <w:sz w:val="15"/>
              </w:rPr>
              <w:t>dep_ttm</w:t>
            </w:r>
          </w:p>
        </w:tc>
        <w:tc>
          <w:tcPr>
            <w:tcW w:type="dxa" w:w="2232"/>
          </w:tcPr>
          <w:p>
            <w:pPr>
              <w:spacing w:after="20"/>
            </w:pPr>
            <w:r>
              <w:rPr>
                <w:color w:val="1C3A36"/>
                <w:sz w:val="15"/>
              </w:rPr>
              <w:t>156,621,007.0</w:t>
            </w:r>
          </w:p>
        </w:tc>
        <w:tc>
          <w:tcPr>
            <w:tcW w:type="dxa" w:w="1368"/>
          </w:tcPr>
          <w:p>
            <w:pPr>
              <w:spacing w:after="20"/>
            </w:pPr>
            <w:r>
              <w:rPr>
                <w:color w:val="1C3A36"/>
                <w:sz w:val="15"/>
              </w:rPr>
              <w:t>2026-06-30</w:t>
            </w:r>
          </w:p>
        </w:tc>
        <w:tc>
          <w:tcPr>
            <w:tcW w:type="dxa" w:w="3845"/>
          </w:tcPr>
          <w:p>
            <w:pPr>
              <w:spacing w:after="20"/>
            </w:pPr>
            <w:r>
              <w:rPr>
                <w:color w:val="1C3A36"/>
                <w:sz w:val="15"/>
              </w:rPr>
              <w:t>Depreciation and right-of-use amortisation, TWELVE months to 30-Jun-2026 — the audited transition half's cash-flow statement plus the reviewed half's. Reviewed consolidated financial statements, six months to 30-Jun-2026, limited review report attached (note 14-A / 15-A)</w:t>
            </w:r>
          </w:p>
        </w:tc>
      </w:tr>
      <w:tr>
        <w:tc>
          <w:tcPr>
            <w:tcW w:type="dxa" w:w="2736"/>
          </w:tcPr>
          <w:p>
            <w:pPr>
              <w:spacing w:after="20"/>
            </w:pPr>
            <w:r>
              <w:rPr>
                <w:color w:val="1C3A36"/>
                <w:sz w:val="15"/>
              </w:rPr>
              <w:t>capex_ttm</w:t>
            </w:r>
          </w:p>
        </w:tc>
        <w:tc>
          <w:tcPr>
            <w:tcW w:type="dxa" w:w="2232"/>
          </w:tcPr>
          <w:p>
            <w:pPr>
              <w:spacing w:after="20"/>
            </w:pPr>
            <w:r>
              <w:rPr>
                <w:color w:val="1C3A36"/>
                <w:sz w:val="15"/>
              </w:rPr>
              <w:t>169,466,717.0</w:t>
            </w:r>
          </w:p>
        </w:tc>
        <w:tc>
          <w:tcPr>
            <w:tcW w:type="dxa" w:w="1368"/>
          </w:tcPr>
          <w:p>
            <w:pPr>
              <w:spacing w:after="20"/>
            </w:pPr>
            <w:r>
              <w:rPr>
                <w:color w:val="1C3A36"/>
                <w:sz w:val="15"/>
              </w:rPr>
              <w:t>2026-06-30</w:t>
            </w:r>
          </w:p>
        </w:tc>
        <w:tc>
          <w:tcPr>
            <w:tcW w:type="dxa" w:w="3845"/>
          </w:tcPr>
          <w:p>
            <w:pPr>
              <w:spacing w:after="20"/>
            </w:pPr>
            <w:r>
              <w:rPr>
                <w:color w:val="1C3A36"/>
                <w:sz w:val="15"/>
              </w:rPr>
              <w:t>Payments for projects under construction and fixed assets, TWELVE months to 30-Jun-2026 — both cash-flow statements. Reviewed consolidated financial statements, six months to 30-Jun-2026, limited review report attached (note 14-A / 15-A)</w:t>
            </w:r>
          </w:p>
        </w:tc>
      </w:tr>
      <w:tr>
        <w:tc>
          <w:tcPr>
            <w:tcW w:type="dxa" w:w="2736"/>
          </w:tcPr>
          <w:p>
            <w:pPr>
              <w:spacing w:after="20"/>
            </w:pPr>
            <w:r>
              <w:rPr>
                <w:color w:val="1C3A36"/>
                <w:sz w:val="15"/>
              </w:rPr>
              <w:t>credint_h1cy26</w:t>
            </w:r>
          </w:p>
        </w:tc>
        <w:tc>
          <w:tcPr>
            <w:tcW w:type="dxa" w:w="2232"/>
          </w:tcPr>
          <w:p>
            <w:pPr>
              <w:spacing w:after="20"/>
            </w:pPr>
            <w:r>
              <w:rPr>
                <w:color w:val="1C3A36"/>
                <w:sz w:val="15"/>
              </w:rPr>
              <w:t>134,944,385.0</w:t>
            </w:r>
          </w:p>
        </w:tc>
        <w:tc>
          <w:tcPr>
            <w:tcW w:type="dxa" w:w="1368"/>
          </w:tcPr>
          <w:p>
            <w:pPr>
              <w:spacing w:after="20"/>
            </w:pPr>
            <w:r>
              <w:rPr>
                <w:color w:val="1C3A36"/>
                <w:sz w:val="15"/>
              </w:rPr>
              <w:t>2026-06-30</w:t>
            </w:r>
          </w:p>
        </w:tc>
        <w:tc>
          <w:tcPr>
            <w:tcW w:type="dxa" w:w="3845"/>
          </w:tcPr>
          <w:p>
            <w:pPr>
              <w:spacing w:after="20"/>
            </w:pPr>
            <w:r>
              <w:rPr>
                <w:color w:val="1C3A36"/>
                <w:sz w:val="15"/>
              </w:rPr>
              <w:t>Credit interest earned, six months to 30-Jun-2026 (note 14-B). Reviewed consolidated financial statements, six months to 30-Jun-2026, limited review report attached (note 14-A / 15-A)</w:t>
            </w:r>
          </w:p>
        </w:tc>
      </w:tr>
      <w:tr>
        <w:tc>
          <w:tcPr>
            <w:tcW w:type="dxa" w:w="2736"/>
          </w:tcPr>
          <w:p>
            <w:pPr>
              <w:spacing w:after="20"/>
            </w:pPr>
            <w:r>
              <w:rPr>
                <w:color w:val="1C3A36"/>
                <w:sz w:val="15"/>
              </w:rPr>
              <w:t>cos_h1cy26</w:t>
            </w:r>
          </w:p>
        </w:tc>
        <w:tc>
          <w:tcPr>
            <w:tcW w:type="dxa" w:w="2232"/>
          </w:tcPr>
          <w:p>
            <w:pPr>
              <w:spacing w:after="20"/>
            </w:pPr>
            <w:r>
              <w:rPr>
                <w:color w:val="1C3A36"/>
                <w:sz w:val="15"/>
              </w:rPr>
              <w:t>salaries: 988,514,768.0; raw: 21,023,897,616.0; support: 59,621,598.0; dep: 64,458,183.0; other: 827,592,656.0</w:t>
            </w:r>
          </w:p>
        </w:tc>
        <w:tc>
          <w:tcPr>
            <w:tcW w:type="dxa" w:w="1368"/>
          </w:tcPr>
          <w:p>
            <w:pPr>
              <w:spacing w:after="20"/>
            </w:pPr>
            <w:r>
              <w:rPr>
                <w:color w:val="1C3A36"/>
                <w:sz w:val="15"/>
              </w:rPr>
              <w:t>2026-06-30</w:t>
            </w:r>
          </w:p>
        </w:tc>
        <w:tc>
          <w:tcPr>
            <w:tcW w:type="dxa" w:w="3845"/>
          </w:tcPr>
          <w:p>
            <w:pPr>
              <w:spacing w:after="20"/>
            </w:pPr>
            <w:r>
              <w:rPr>
                <w:color w:val="1C3A36"/>
                <w:sz w:val="15"/>
              </w:rPr>
              <w:t>Cost of sales by nature, six months to 30-Jun-2026 (note 15-A); raw materials are 91.6% of the stack. Reviewed consolidated financial statements, six months to 30-Jun-2026, limited review report attached (note 14-A / 15-A)</w:t>
            </w:r>
          </w:p>
        </w:tc>
      </w:tr>
      <w:tr>
        <w:tc>
          <w:tcPr>
            <w:tcW w:type="dxa" w:w="2736"/>
          </w:tcPr>
          <w:p>
            <w:pPr>
              <w:spacing w:after="20"/>
            </w:pPr>
            <w:r>
              <w:rPr>
                <w:color w:val="1C3A36"/>
                <w:sz w:val="15"/>
              </w:rPr>
              <w:t>prod_v_prior</w:t>
            </w:r>
          </w:p>
        </w:tc>
        <w:tc>
          <w:tcPr>
            <w:tcW w:type="dxa" w:w="2232"/>
          </w:tcPr>
          <w:p>
            <w:pPr>
              <w:spacing w:after="20"/>
            </w:pPr>
            <w:r>
              <w:rPr>
                <w:color w:val="1C3A36"/>
                <w:sz w:val="15"/>
              </w:rPr>
              <w:t>oils: 2,526,857,239.0; wax: 1,683,792,907.0; gasoil: 5,219,594,878.0; naphtha: 1,034,502,087.0; lpg: 687,509,617.0; fueloil: 6,954,252,764.0; hfo: 139,454,409.0; waste: 115,000.0</w:t>
            </w:r>
          </w:p>
        </w:tc>
        <w:tc>
          <w:tcPr>
            <w:tcW w:type="dxa" w:w="1368"/>
          </w:tcPr>
          <w:p>
            <w:pPr>
              <w:spacing w:after="20"/>
            </w:pPr>
            <w:r>
              <w:rPr>
                <w:color w:val="1C3A36"/>
                <w:sz w:val="15"/>
              </w:rPr>
              <w:t>2024-12-31</w:t>
            </w:r>
          </w:p>
        </w:tc>
        <w:tc>
          <w:tcPr>
            <w:tcW w:type="dxa" w:w="3845"/>
          </w:tcPr>
          <w:p>
            <w:pPr>
              <w:spacing w:after="20"/>
            </w:pPr>
            <w:r>
              <w:rPr>
                <w:color w:val="1C3A36"/>
                <w:sz w:val="15"/>
              </w:rPr>
              <w:t>Sales value by product line, six months to 31-Dec-2024 (note 14-A comparative). Audited consolidated FS, transition period 1-Jul-2025 to 31-Dec-2025, Crowe unqualified, 18-Feb-2026</w:t>
            </w:r>
          </w:p>
        </w:tc>
      </w:tr>
      <w:tr>
        <w:tc>
          <w:tcPr>
            <w:tcW w:type="dxa" w:w="2736"/>
          </w:tcPr>
          <w:p>
            <w:pPr>
              <w:spacing w:after="20"/>
            </w:pPr>
            <w:r>
              <w:rPr>
                <w:color w:val="1C3A36"/>
                <w:sz w:val="15"/>
              </w:rPr>
              <w:t>cos_salaries</w:t>
            </w:r>
          </w:p>
        </w:tc>
        <w:tc>
          <w:tcPr>
            <w:tcW w:type="dxa" w:w="2232"/>
          </w:tcPr>
          <w:p>
            <w:pPr>
              <w:spacing w:after="20"/>
            </w:pPr>
            <w:r>
              <w:rPr>
                <w:color w:val="1C3A36"/>
                <w:sz w:val="15"/>
              </w:rPr>
              <w:t>881,019,497.0</w:t>
            </w:r>
          </w:p>
        </w:tc>
        <w:tc>
          <w:tcPr>
            <w:tcW w:type="dxa" w:w="1368"/>
          </w:tcPr>
          <w:p>
            <w:pPr>
              <w:spacing w:after="20"/>
            </w:pPr>
            <w:r>
              <w:rPr>
                <w:color w:val="1C3A36"/>
                <w:sz w:val="15"/>
              </w:rPr>
              <w:t>2025-12-31</w:t>
            </w:r>
          </w:p>
        </w:tc>
        <w:tc>
          <w:tcPr>
            <w:tcW w:type="dxa" w:w="3845"/>
          </w:tcPr>
          <w:p>
            <w:pPr>
              <w:spacing w:after="20"/>
            </w:pPr>
            <w:r>
              <w:rPr>
                <w:color w:val="1C3A36"/>
                <w:sz w:val="15"/>
              </w:rPr>
              <w:t>Cost of sales — salaries, six months to 31-Dec-2025 (note 15-A). Audited consolidated FS, transition period 1-Jul-2025 to 31-Dec-2025, Crowe unqualified, 18-Feb-2026</w:t>
            </w:r>
          </w:p>
        </w:tc>
      </w:tr>
      <w:tr>
        <w:tc>
          <w:tcPr>
            <w:tcW w:type="dxa" w:w="2736"/>
          </w:tcPr>
          <w:p>
            <w:pPr>
              <w:spacing w:after="20"/>
            </w:pPr>
            <w:r>
              <w:rPr>
                <w:color w:val="1C3A36"/>
                <w:sz w:val="15"/>
              </w:rPr>
              <w:t>cos_raw</w:t>
            </w:r>
          </w:p>
        </w:tc>
        <w:tc>
          <w:tcPr>
            <w:tcW w:type="dxa" w:w="2232"/>
          </w:tcPr>
          <w:p>
            <w:pPr>
              <w:spacing w:after="20"/>
            </w:pPr>
            <w:r>
              <w:rPr>
                <w:color w:val="1C3A36"/>
                <w:sz w:val="15"/>
              </w:rPr>
              <w:t>17,650,102,725.0</w:t>
            </w:r>
          </w:p>
        </w:tc>
        <w:tc>
          <w:tcPr>
            <w:tcW w:type="dxa" w:w="1368"/>
          </w:tcPr>
          <w:p>
            <w:pPr>
              <w:spacing w:after="20"/>
            </w:pPr>
            <w:r>
              <w:rPr>
                <w:color w:val="1C3A36"/>
                <w:sz w:val="15"/>
              </w:rPr>
              <w:t>2025-12-31</w:t>
            </w:r>
          </w:p>
        </w:tc>
        <w:tc>
          <w:tcPr>
            <w:tcW w:type="dxa" w:w="3845"/>
          </w:tcPr>
          <w:p>
            <w:pPr>
              <w:spacing w:after="20"/>
            </w:pPr>
            <w:r>
              <w:rPr>
                <w:color w:val="1C3A36"/>
                <w:sz w:val="15"/>
              </w:rPr>
              <w:t>Cost of sales — RAW MATERIALS, six months to 31-Dec-2025 (note 15-A). 90.7% of cost of sales and 85.1% of revenue: this single line is what the company is. Audited consolidated FS, transition period 1-Jul-2025 to 31-Dec-2025, Crowe unqualified, 18-Feb-2026</w:t>
            </w:r>
          </w:p>
        </w:tc>
      </w:tr>
      <w:tr>
        <w:tc>
          <w:tcPr>
            <w:tcW w:type="dxa" w:w="2736"/>
          </w:tcPr>
          <w:p>
            <w:pPr>
              <w:spacing w:after="20"/>
            </w:pPr>
            <w:r>
              <w:rPr>
                <w:color w:val="1C3A36"/>
                <w:sz w:val="15"/>
              </w:rPr>
              <w:t>cos_support</w:t>
            </w:r>
          </w:p>
        </w:tc>
        <w:tc>
          <w:tcPr>
            <w:tcW w:type="dxa" w:w="2232"/>
          </w:tcPr>
          <w:p>
            <w:pPr>
              <w:spacing w:after="20"/>
            </w:pPr>
            <w:r>
              <w:rPr>
                <w:color w:val="1C3A36"/>
                <w:sz w:val="15"/>
              </w:rPr>
              <w:t>64,533,723.0</w:t>
            </w:r>
          </w:p>
        </w:tc>
        <w:tc>
          <w:tcPr>
            <w:tcW w:type="dxa" w:w="1368"/>
          </w:tcPr>
          <w:p>
            <w:pPr>
              <w:spacing w:after="20"/>
            </w:pPr>
            <w:r>
              <w:rPr>
                <w:color w:val="1C3A36"/>
                <w:sz w:val="15"/>
              </w:rPr>
              <w:t>2025-12-31</w:t>
            </w:r>
          </w:p>
        </w:tc>
        <w:tc>
          <w:tcPr>
            <w:tcW w:type="dxa" w:w="3845"/>
          </w:tcPr>
          <w:p>
            <w:pPr>
              <w:spacing w:after="20"/>
            </w:pPr>
            <w:r>
              <w:rPr>
                <w:color w:val="1C3A36"/>
                <w:sz w:val="15"/>
              </w:rPr>
              <w:t>Cost of sales — supporting materials (chemicals and additives), six months to 31-Dec-2025 (note 15-A). The previous edition estimated this charge at roughly five times the disclosed figure</w:t>
            </w:r>
          </w:p>
        </w:tc>
      </w:tr>
      <w:tr>
        <w:tc>
          <w:tcPr>
            <w:tcW w:type="dxa" w:w="2736"/>
          </w:tcPr>
          <w:p>
            <w:pPr>
              <w:spacing w:after="20"/>
            </w:pPr>
            <w:r>
              <w:rPr>
                <w:color w:val="1C3A36"/>
                <w:sz w:val="15"/>
              </w:rPr>
              <w:t>cos_dep</w:t>
            </w:r>
          </w:p>
        </w:tc>
        <w:tc>
          <w:tcPr>
            <w:tcW w:type="dxa" w:w="2232"/>
          </w:tcPr>
          <w:p>
            <w:pPr>
              <w:spacing w:after="20"/>
            </w:pPr>
            <w:r>
              <w:rPr>
                <w:color w:val="1C3A36"/>
                <w:sz w:val="15"/>
              </w:rPr>
              <w:t>58,748,046.0</w:t>
            </w:r>
          </w:p>
        </w:tc>
        <w:tc>
          <w:tcPr>
            <w:tcW w:type="dxa" w:w="1368"/>
          </w:tcPr>
          <w:p>
            <w:pPr>
              <w:spacing w:after="20"/>
            </w:pPr>
            <w:r>
              <w:rPr>
                <w:color w:val="1C3A36"/>
                <w:sz w:val="15"/>
              </w:rPr>
              <w:t>2025-12-31</w:t>
            </w:r>
          </w:p>
        </w:tc>
        <w:tc>
          <w:tcPr>
            <w:tcW w:type="dxa" w:w="3845"/>
          </w:tcPr>
          <w:p>
            <w:pPr>
              <w:spacing w:after="20"/>
            </w:pPr>
            <w:r>
              <w:rPr>
                <w:color w:val="1C3A36"/>
                <w:sz w:val="15"/>
              </w:rPr>
              <w:t>Cost of sales — depreciation, six months to 31-Dec-2025 (note 15-A). Audited consolidated FS, transition period 1-Jul-2025 to 31-Dec-2025, Crowe unqualified, 18-Feb-2026</w:t>
            </w:r>
          </w:p>
        </w:tc>
      </w:tr>
      <w:tr>
        <w:tc>
          <w:tcPr>
            <w:tcW w:type="dxa" w:w="2736"/>
          </w:tcPr>
          <w:p>
            <w:pPr>
              <w:spacing w:after="20"/>
            </w:pPr>
            <w:r>
              <w:rPr>
                <w:color w:val="1C3A36"/>
                <w:sz w:val="15"/>
              </w:rPr>
              <w:t>cos_other</w:t>
            </w:r>
          </w:p>
        </w:tc>
        <w:tc>
          <w:tcPr>
            <w:tcW w:type="dxa" w:w="2232"/>
          </w:tcPr>
          <w:p>
            <w:pPr>
              <w:spacing w:after="20"/>
            </w:pPr>
            <w:r>
              <w:rPr>
                <w:color w:val="1C3A36"/>
                <w:sz w:val="15"/>
              </w:rPr>
              <w:t>807,146,755.0</w:t>
            </w:r>
          </w:p>
        </w:tc>
        <w:tc>
          <w:tcPr>
            <w:tcW w:type="dxa" w:w="1368"/>
          </w:tcPr>
          <w:p>
            <w:pPr>
              <w:spacing w:after="20"/>
            </w:pPr>
            <w:r>
              <w:rPr>
                <w:color w:val="1C3A36"/>
                <w:sz w:val="15"/>
              </w:rPr>
              <w:t>2025-12-31</w:t>
            </w:r>
          </w:p>
        </w:tc>
        <w:tc>
          <w:tcPr>
            <w:tcW w:type="dxa" w:w="3845"/>
          </w:tcPr>
          <w:p>
            <w:pPr>
              <w:spacing w:after="20"/>
            </w:pPr>
            <w:r>
              <w:rPr>
                <w:color w:val="1C3A36"/>
                <w:sz w:val="15"/>
              </w:rPr>
              <w:t>Cost of sales — other expenses, six months to 31-Dec-2025 (note 15-A): natural gas, operating electricity, operating water, spare parts, maintenance, and the operating management and technical support contract with the Egyptian Projects Operations &amp; Maintenance Company (EPROM). Audited consolidated FS, transition period 1-Jul-2025 to 31-Dec-2025, Crowe unqualified, 18-Feb-2026</w:t>
            </w:r>
          </w:p>
        </w:tc>
      </w:tr>
      <w:tr>
        <w:tc>
          <w:tcPr>
            <w:tcW w:type="dxa" w:w="2736"/>
          </w:tcPr>
          <w:p>
            <w:pPr>
              <w:spacing w:after="20"/>
            </w:pPr>
            <w:r>
              <w:rPr>
                <w:color w:val="1C3A36"/>
                <w:sz w:val="15"/>
              </w:rPr>
              <w:t>cos_salaries_24</w:t>
            </w:r>
          </w:p>
        </w:tc>
        <w:tc>
          <w:tcPr>
            <w:tcW w:type="dxa" w:w="2232"/>
          </w:tcPr>
          <w:p>
            <w:pPr>
              <w:spacing w:after="20"/>
            </w:pPr>
            <w:r>
              <w:rPr>
                <w:color w:val="1C3A36"/>
                <w:sz w:val="15"/>
              </w:rPr>
              <w:t>634,571,733.0</w:t>
            </w:r>
          </w:p>
        </w:tc>
        <w:tc>
          <w:tcPr>
            <w:tcW w:type="dxa" w:w="1368"/>
          </w:tcPr>
          <w:p>
            <w:pPr>
              <w:spacing w:after="20"/>
            </w:pPr>
            <w:r>
              <w:rPr>
                <w:color w:val="1C3A36"/>
                <w:sz w:val="15"/>
              </w:rPr>
              <w:t>2024-12-31</w:t>
            </w:r>
          </w:p>
        </w:tc>
        <w:tc>
          <w:tcPr>
            <w:tcW w:type="dxa" w:w="3845"/>
          </w:tcPr>
          <w:p>
            <w:pPr>
              <w:spacing w:after="20"/>
            </w:pPr>
            <w:r>
              <w:rPr>
                <w:color w:val="1C3A36"/>
                <w:sz w:val="15"/>
              </w:rPr>
              <w:t>Cost of sales — salaries, six months to 31-Dec-2024 (note 15-A comparative). Audited consolidated FS, transition period 1-Jul-2025 to 31-Dec-2025, Crowe unqualified, 18-Feb-2026</w:t>
            </w:r>
          </w:p>
        </w:tc>
      </w:tr>
      <w:tr>
        <w:tc>
          <w:tcPr>
            <w:tcW w:type="dxa" w:w="2736"/>
          </w:tcPr>
          <w:p>
            <w:pPr>
              <w:spacing w:after="20"/>
            </w:pPr>
            <w:r>
              <w:rPr>
                <w:color w:val="1C3A36"/>
                <w:sz w:val="15"/>
              </w:rPr>
              <w:t>cos_raw_24</w:t>
            </w:r>
          </w:p>
        </w:tc>
        <w:tc>
          <w:tcPr>
            <w:tcW w:type="dxa" w:w="2232"/>
          </w:tcPr>
          <w:p>
            <w:pPr>
              <w:spacing w:after="20"/>
            </w:pPr>
            <w:r>
              <w:rPr>
                <w:color w:val="1C3A36"/>
                <w:sz w:val="15"/>
              </w:rPr>
              <w:t>15,597,464,119.0</w:t>
            </w:r>
          </w:p>
        </w:tc>
        <w:tc>
          <w:tcPr>
            <w:tcW w:type="dxa" w:w="1368"/>
          </w:tcPr>
          <w:p>
            <w:pPr>
              <w:spacing w:after="20"/>
            </w:pPr>
            <w:r>
              <w:rPr>
                <w:color w:val="1C3A36"/>
                <w:sz w:val="15"/>
              </w:rPr>
              <w:t>2024-12-31</w:t>
            </w:r>
          </w:p>
        </w:tc>
        <w:tc>
          <w:tcPr>
            <w:tcW w:type="dxa" w:w="3845"/>
          </w:tcPr>
          <w:p>
            <w:pPr>
              <w:spacing w:after="20"/>
            </w:pPr>
            <w:r>
              <w:rPr>
                <w:color w:val="1C3A36"/>
                <w:sz w:val="15"/>
              </w:rPr>
              <w:t>Cost of sales — raw materials, six months to 31-Dec-2024 (note 15-A comparative). Audited consolidated FS, transition period 1-Jul-2025 to 31-Dec-2025, Crowe unqualified, 18-Feb-2026</w:t>
            </w:r>
          </w:p>
        </w:tc>
      </w:tr>
      <w:tr>
        <w:tc>
          <w:tcPr>
            <w:tcW w:type="dxa" w:w="2736"/>
          </w:tcPr>
          <w:p>
            <w:pPr>
              <w:spacing w:after="20"/>
            </w:pPr>
            <w:r>
              <w:rPr>
                <w:color w:val="1C3A36"/>
                <w:sz w:val="15"/>
              </w:rPr>
              <w:t>cos_support_24</w:t>
            </w:r>
          </w:p>
        </w:tc>
        <w:tc>
          <w:tcPr>
            <w:tcW w:type="dxa" w:w="2232"/>
          </w:tcPr>
          <w:p>
            <w:pPr>
              <w:spacing w:after="20"/>
            </w:pPr>
            <w:r>
              <w:rPr>
                <w:color w:val="1C3A36"/>
                <w:sz w:val="15"/>
              </w:rPr>
              <w:t>68,294,446.0</w:t>
            </w:r>
          </w:p>
        </w:tc>
        <w:tc>
          <w:tcPr>
            <w:tcW w:type="dxa" w:w="1368"/>
          </w:tcPr>
          <w:p>
            <w:pPr>
              <w:spacing w:after="20"/>
            </w:pPr>
            <w:r>
              <w:rPr>
                <w:color w:val="1C3A36"/>
                <w:sz w:val="15"/>
              </w:rPr>
              <w:t>2024-12-31</w:t>
            </w:r>
          </w:p>
        </w:tc>
        <w:tc>
          <w:tcPr>
            <w:tcW w:type="dxa" w:w="3845"/>
          </w:tcPr>
          <w:p>
            <w:pPr>
              <w:spacing w:after="20"/>
            </w:pPr>
            <w:r>
              <w:rPr>
                <w:color w:val="1C3A36"/>
                <w:sz w:val="15"/>
              </w:rPr>
              <w:t>Cost of sales — supporting materials, six months to 31-Dec-2024. Audited consolidated FS, transition period 1-Jul-2025 to 31-Dec-2025, Crowe unqualified, 18-Feb-2026</w:t>
            </w:r>
          </w:p>
        </w:tc>
      </w:tr>
      <w:tr>
        <w:tc>
          <w:tcPr>
            <w:tcW w:type="dxa" w:w="2736"/>
          </w:tcPr>
          <w:p>
            <w:pPr>
              <w:spacing w:after="20"/>
            </w:pPr>
            <w:r>
              <w:rPr>
                <w:color w:val="1C3A36"/>
                <w:sz w:val="15"/>
              </w:rPr>
              <w:t>cos_dep_24</w:t>
            </w:r>
          </w:p>
        </w:tc>
        <w:tc>
          <w:tcPr>
            <w:tcW w:type="dxa" w:w="2232"/>
          </w:tcPr>
          <w:p>
            <w:pPr>
              <w:spacing w:after="20"/>
            </w:pPr>
            <w:r>
              <w:rPr>
                <w:color w:val="1C3A36"/>
                <w:sz w:val="15"/>
              </w:rPr>
              <w:t>53,507,611.0</w:t>
            </w:r>
          </w:p>
        </w:tc>
        <w:tc>
          <w:tcPr>
            <w:tcW w:type="dxa" w:w="1368"/>
          </w:tcPr>
          <w:p>
            <w:pPr>
              <w:spacing w:after="20"/>
            </w:pPr>
            <w:r>
              <w:rPr>
                <w:color w:val="1C3A36"/>
                <w:sz w:val="15"/>
              </w:rPr>
              <w:t>2024-12-31</w:t>
            </w:r>
          </w:p>
        </w:tc>
        <w:tc>
          <w:tcPr>
            <w:tcW w:type="dxa" w:w="3845"/>
          </w:tcPr>
          <w:p>
            <w:pPr>
              <w:spacing w:after="20"/>
            </w:pPr>
            <w:r>
              <w:rPr>
                <w:color w:val="1C3A36"/>
                <w:sz w:val="15"/>
              </w:rPr>
              <w:t>Cost of sales — depreciation, six months to 31-Dec-2024. Audited consolidated FS, transition period 1-Jul-2025 to 31-Dec-2025, Crowe unqualified, 18-Feb-2026</w:t>
            </w:r>
          </w:p>
        </w:tc>
      </w:tr>
      <w:tr>
        <w:tc>
          <w:tcPr>
            <w:tcW w:type="dxa" w:w="2736"/>
          </w:tcPr>
          <w:p>
            <w:pPr>
              <w:spacing w:after="20"/>
            </w:pPr>
            <w:r>
              <w:rPr>
                <w:color w:val="1C3A36"/>
                <w:sz w:val="15"/>
              </w:rPr>
              <w:t>cos_other_24</w:t>
            </w:r>
          </w:p>
        </w:tc>
        <w:tc>
          <w:tcPr>
            <w:tcW w:type="dxa" w:w="2232"/>
          </w:tcPr>
          <w:p>
            <w:pPr>
              <w:spacing w:after="20"/>
            </w:pPr>
            <w:r>
              <w:rPr>
                <w:color w:val="1C3A36"/>
                <w:sz w:val="15"/>
              </w:rPr>
              <w:t>641,598,547.0</w:t>
            </w:r>
          </w:p>
        </w:tc>
        <w:tc>
          <w:tcPr>
            <w:tcW w:type="dxa" w:w="1368"/>
          </w:tcPr>
          <w:p>
            <w:pPr>
              <w:spacing w:after="20"/>
            </w:pPr>
            <w:r>
              <w:rPr>
                <w:color w:val="1C3A36"/>
                <w:sz w:val="15"/>
              </w:rPr>
              <w:t>2024-12-31</w:t>
            </w:r>
          </w:p>
        </w:tc>
        <w:tc>
          <w:tcPr>
            <w:tcW w:type="dxa" w:w="3845"/>
          </w:tcPr>
          <w:p>
            <w:pPr>
              <w:spacing w:after="20"/>
            </w:pPr>
            <w:r>
              <w:rPr>
                <w:color w:val="1C3A36"/>
                <w:sz w:val="15"/>
              </w:rPr>
              <w:t>Cost of sales — other expenses, six months to 31-Dec-2024. Audited consolidated FS, transition period 1-Jul-2025 to 31-Dec-2025, Crowe unqualified, 18-Feb-2026</w:t>
            </w:r>
          </w:p>
        </w:tc>
      </w:tr>
      <w:tr>
        <w:tc>
          <w:tcPr>
            <w:tcW w:type="dxa" w:w="2736"/>
          </w:tcPr>
          <w:p>
            <w:pPr>
              <w:spacing w:after="20"/>
            </w:pPr>
            <w:r>
              <w:rPr>
                <w:color w:val="1C3A36"/>
                <w:sz w:val="15"/>
              </w:rPr>
              <w:t>ppe_net</w:t>
            </w:r>
          </w:p>
        </w:tc>
        <w:tc>
          <w:tcPr>
            <w:tcW w:type="dxa" w:w="2232"/>
          </w:tcPr>
          <w:p>
            <w:pPr>
              <w:spacing w:after="20"/>
            </w:pPr>
            <w:r>
              <w:rPr>
                <w:color w:val="1C3A36"/>
                <w:sz w:val="15"/>
              </w:rPr>
              <w:t>873,010,517.0</w:t>
            </w:r>
          </w:p>
        </w:tc>
        <w:tc>
          <w:tcPr>
            <w:tcW w:type="dxa" w:w="1368"/>
          </w:tcPr>
          <w:p>
            <w:pPr>
              <w:spacing w:after="20"/>
            </w:pPr>
            <w:r>
              <w:rPr>
                <w:color w:val="1C3A36"/>
                <w:sz w:val="15"/>
              </w:rPr>
              <w:t>2026-06-30</w:t>
            </w:r>
          </w:p>
        </w:tc>
        <w:tc>
          <w:tcPr>
            <w:tcW w:type="dxa" w:w="3845"/>
          </w:tcPr>
          <w:p>
            <w:pPr>
              <w:spacing w:after="20"/>
            </w:pPr>
            <w:r>
              <w:rPr>
                <w:color w:val="1C3A36"/>
                <w:sz w:val="15"/>
              </w:rPr>
              <w:t>Fixed assets net of accumulated depreciation at 30-Jun-2026 (note 6). Reviewed consolidated FS, six months to 30-Jun-2026, limited review</w:t>
            </w:r>
          </w:p>
        </w:tc>
      </w:tr>
      <w:tr>
        <w:tc>
          <w:tcPr>
            <w:tcW w:type="dxa" w:w="2736"/>
          </w:tcPr>
          <w:p>
            <w:pPr>
              <w:spacing w:after="20"/>
            </w:pPr>
            <w:r>
              <w:rPr>
                <w:color w:val="1C3A36"/>
                <w:sz w:val="15"/>
              </w:rPr>
              <w:t>ppe_gross</w:t>
            </w:r>
          </w:p>
        </w:tc>
        <w:tc>
          <w:tcPr>
            <w:tcW w:type="dxa" w:w="2232"/>
          </w:tcPr>
          <w:p>
            <w:pPr>
              <w:spacing w:after="20"/>
            </w:pPr>
            <w:r>
              <w:rPr>
                <w:color w:val="1C3A36"/>
                <w:sz w:val="15"/>
              </w:rPr>
              <w:t>2,740,810,692.0</w:t>
            </w:r>
          </w:p>
        </w:tc>
        <w:tc>
          <w:tcPr>
            <w:tcW w:type="dxa" w:w="1368"/>
          </w:tcPr>
          <w:p>
            <w:pPr>
              <w:spacing w:after="20"/>
            </w:pPr>
            <w:r>
              <w:rPr>
                <w:color w:val="1C3A36"/>
                <w:sz w:val="15"/>
              </w:rPr>
              <w:t>2025-12-31</w:t>
            </w:r>
          </w:p>
        </w:tc>
        <w:tc>
          <w:tcPr>
            <w:tcW w:type="dxa" w:w="3845"/>
          </w:tcPr>
          <w:p>
            <w:pPr>
              <w:spacing w:after="20"/>
            </w:pPr>
            <w:r>
              <w:rPr>
                <w:color w:val="1C3A36"/>
                <w:sz w:val="15"/>
              </w:rPr>
              <w:t>Fixed assets at COST at 31-Dec-2025 (note 6), before accumulated depreciation of 1,847,794,418. The gross figure is what a replacement-capex line has to be built on; the net figure is what the terminal return is flattered by. Audited consolidated FS, transition period 1-Jul-2025 to 31-Dec-2025, Crowe unqualified, 18-Feb-2026</w:t>
            </w:r>
          </w:p>
        </w:tc>
      </w:tr>
      <w:tr>
        <w:tc>
          <w:tcPr>
            <w:tcW w:type="dxa" w:w="2736"/>
          </w:tcPr>
          <w:p>
            <w:pPr>
              <w:spacing w:after="20"/>
            </w:pPr>
            <w:r>
              <w:rPr>
                <w:color w:val="1C3A36"/>
                <w:sz w:val="15"/>
              </w:rPr>
              <w:t>ppe_accdep</w:t>
            </w:r>
          </w:p>
        </w:tc>
        <w:tc>
          <w:tcPr>
            <w:tcW w:type="dxa" w:w="2232"/>
          </w:tcPr>
          <w:p>
            <w:pPr>
              <w:spacing w:after="20"/>
            </w:pPr>
            <w:r>
              <w:rPr>
                <w:color w:val="1C3A36"/>
                <w:sz w:val="15"/>
              </w:rPr>
              <w:t>1,847,794,418.0</w:t>
            </w:r>
          </w:p>
        </w:tc>
        <w:tc>
          <w:tcPr>
            <w:tcW w:type="dxa" w:w="1368"/>
          </w:tcPr>
          <w:p>
            <w:pPr>
              <w:spacing w:after="20"/>
            </w:pPr>
            <w:r>
              <w:rPr>
                <w:color w:val="1C3A36"/>
                <w:sz w:val="15"/>
              </w:rPr>
              <w:t>2025-12-31</w:t>
            </w:r>
          </w:p>
        </w:tc>
        <w:tc>
          <w:tcPr>
            <w:tcW w:type="dxa" w:w="3845"/>
          </w:tcPr>
          <w:p>
            <w:pPr>
              <w:spacing w:after="20"/>
            </w:pPr>
            <w:r>
              <w:rPr>
                <w:color w:val="1C3A36"/>
                <w:sz w:val="15"/>
              </w:rPr>
              <w:t>Accumulated depreciation on fixed assets at 31-Dec-2025 (note 6). The plant is 67.4% written down and 273,466,121 of it is fully depreciated and still in use. Audited consolidated FS, transition period 1-Jul-2025 to 31-Dec-2025, Crowe unqualified, 18-Feb-2026</w:t>
            </w:r>
          </w:p>
        </w:tc>
      </w:tr>
      <w:tr>
        <w:tc>
          <w:tcPr>
            <w:tcW w:type="dxa" w:w="2736"/>
          </w:tcPr>
          <w:p>
            <w:pPr>
              <w:spacing w:after="20"/>
            </w:pPr>
            <w:r>
              <w:rPr>
                <w:color w:val="1C3A36"/>
                <w:sz w:val="15"/>
              </w:rPr>
              <w:t>puc</w:t>
            </w:r>
          </w:p>
        </w:tc>
        <w:tc>
          <w:tcPr>
            <w:tcW w:type="dxa" w:w="2232"/>
          </w:tcPr>
          <w:p>
            <w:pPr>
              <w:spacing w:after="20"/>
            </w:pPr>
            <w:r>
              <w:rPr>
                <w:color w:val="1C3A36"/>
                <w:sz w:val="15"/>
              </w:rPr>
              <w:t>414,641,768.0</w:t>
            </w:r>
          </w:p>
        </w:tc>
        <w:tc>
          <w:tcPr>
            <w:tcW w:type="dxa" w:w="1368"/>
          </w:tcPr>
          <w:p>
            <w:pPr>
              <w:spacing w:after="20"/>
            </w:pPr>
            <w:r>
              <w:rPr>
                <w:color w:val="1C3A36"/>
                <w:sz w:val="15"/>
              </w:rPr>
              <w:t>2026-06-30</w:t>
            </w:r>
          </w:p>
        </w:tc>
        <w:tc>
          <w:tcPr>
            <w:tcW w:type="dxa" w:w="3845"/>
          </w:tcPr>
          <w:p>
            <w:pPr>
              <w:spacing w:after="20"/>
            </w:pPr>
            <w:r>
              <w:rPr>
                <w:color w:val="1C3A36"/>
                <w:sz w:val="15"/>
              </w:rPr>
              <w:t>Projects under construction at 30-Jun-2026 (note 7). Reviewed consolidated FS, six months to 30-Jun-2026, limited review</w:t>
            </w:r>
          </w:p>
        </w:tc>
      </w:tr>
      <w:tr>
        <w:tc>
          <w:tcPr>
            <w:tcW w:type="dxa" w:w="2736"/>
          </w:tcPr>
          <w:p>
            <w:pPr>
              <w:spacing w:after="20"/>
            </w:pPr>
            <w:r>
              <w:rPr>
                <w:color w:val="1C3A36"/>
                <w:sz w:val="15"/>
              </w:rPr>
              <w:t>inventory</w:t>
            </w:r>
          </w:p>
        </w:tc>
        <w:tc>
          <w:tcPr>
            <w:tcW w:type="dxa" w:w="2232"/>
          </w:tcPr>
          <w:p>
            <w:pPr>
              <w:spacing w:after="20"/>
            </w:pPr>
            <w:r>
              <w:rPr>
                <w:color w:val="1C3A36"/>
                <w:sz w:val="15"/>
              </w:rPr>
              <w:t>3,764,066,490.0</w:t>
            </w:r>
          </w:p>
        </w:tc>
        <w:tc>
          <w:tcPr>
            <w:tcW w:type="dxa" w:w="1368"/>
          </w:tcPr>
          <w:p>
            <w:pPr>
              <w:spacing w:after="20"/>
            </w:pPr>
            <w:r>
              <w:rPr>
                <w:color w:val="1C3A36"/>
                <w:sz w:val="15"/>
              </w:rPr>
              <w:t>2026-06-30</w:t>
            </w:r>
          </w:p>
        </w:tc>
        <w:tc>
          <w:tcPr>
            <w:tcW w:type="dxa" w:w="3845"/>
          </w:tcPr>
          <w:p>
            <w:pPr>
              <w:spacing w:after="20"/>
            </w:pPr>
            <w:r>
              <w:rPr>
                <w:color w:val="1C3A36"/>
                <w:sz w:val="15"/>
              </w:rPr>
              <w:t>Inventory net of impairment at 30-Jun-2026 (note 9-A). Reviewed consolidated FS, six months to 30-Jun-2026, limited review</w:t>
            </w:r>
          </w:p>
        </w:tc>
      </w:tr>
      <w:tr>
        <w:tc>
          <w:tcPr>
            <w:tcW w:type="dxa" w:w="2736"/>
          </w:tcPr>
          <w:p>
            <w:pPr>
              <w:spacing w:after="20"/>
            </w:pPr>
            <w:r>
              <w:rPr>
                <w:color w:val="1C3A36"/>
                <w:sz w:val="15"/>
              </w:rPr>
              <w:t>recv</w:t>
            </w:r>
          </w:p>
        </w:tc>
        <w:tc>
          <w:tcPr>
            <w:tcW w:type="dxa" w:w="2232"/>
          </w:tcPr>
          <w:p>
            <w:pPr>
              <w:spacing w:after="20"/>
            </w:pPr>
            <w:r>
              <w:rPr>
                <w:color w:val="1C3A36"/>
                <w:sz w:val="15"/>
              </w:rPr>
              <w:t>2,035,100,729.0</w:t>
            </w:r>
          </w:p>
        </w:tc>
        <w:tc>
          <w:tcPr>
            <w:tcW w:type="dxa" w:w="1368"/>
          </w:tcPr>
          <w:p>
            <w:pPr>
              <w:spacing w:after="20"/>
            </w:pPr>
            <w:r>
              <w:rPr>
                <w:color w:val="1C3A36"/>
                <w:sz w:val="15"/>
              </w:rPr>
              <w:t>2026-06-30</w:t>
            </w:r>
          </w:p>
        </w:tc>
        <w:tc>
          <w:tcPr>
            <w:tcW w:type="dxa" w:w="3845"/>
          </w:tcPr>
          <w:p>
            <w:pPr>
              <w:spacing w:after="20"/>
            </w:pPr>
            <w:r>
              <w:rPr>
                <w:color w:val="1C3A36"/>
                <w:sz w:val="15"/>
              </w:rPr>
              <w:t>Accounts receivable net at 30-Jun-2026 (note 9-B). Reviewed consolidated FS, six months to 30-Jun-2026, limited review</w:t>
            </w:r>
          </w:p>
        </w:tc>
      </w:tr>
      <w:tr>
        <w:tc>
          <w:tcPr>
            <w:tcW w:type="dxa" w:w="2736"/>
          </w:tcPr>
          <w:p>
            <w:pPr>
              <w:spacing w:after="20"/>
            </w:pPr>
            <w:r>
              <w:rPr>
                <w:color w:val="1C3A36"/>
                <w:sz w:val="15"/>
              </w:rPr>
              <w:t>debtors</w:t>
            </w:r>
          </w:p>
        </w:tc>
        <w:tc>
          <w:tcPr>
            <w:tcW w:type="dxa" w:w="2232"/>
          </w:tcPr>
          <w:p>
            <w:pPr>
              <w:spacing w:after="20"/>
            </w:pPr>
            <w:r>
              <w:rPr>
                <w:color w:val="1C3A36"/>
                <w:sz w:val="15"/>
              </w:rPr>
              <w:t>632,115,619.0</w:t>
            </w:r>
          </w:p>
        </w:tc>
        <w:tc>
          <w:tcPr>
            <w:tcW w:type="dxa" w:w="1368"/>
          </w:tcPr>
          <w:p>
            <w:pPr>
              <w:spacing w:after="20"/>
            </w:pPr>
            <w:r>
              <w:rPr>
                <w:color w:val="1C3A36"/>
                <w:sz w:val="15"/>
              </w:rPr>
              <w:t>2026-06-30</w:t>
            </w:r>
          </w:p>
        </w:tc>
        <w:tc>
          <w:tcPr>
            <w:tcW w:type="dxa" w:w="3845"/>
          </w:tcPr>
          <w:p>
            <w:pPr>
              <w:spacing w:after="20"/>
            </w:pPr>
            <w:r>
              <w:rPr>
                <w:color w:val="1C3A36"/>
                <w:sz w:val="15"/>
              </w:rPr>
              <w:t>Debtors and other debit balances net at 30-Jun-2026 (notes 9-C, 9-D). Reviewed consolidated FS, six months to 30-Jun-2026, limited review</w:t>
            </w:r>
          </w:p>
        </w:tc>
      </w:tr>
      <w:tr>
        <w:tc>
          <w:tcPr>
            <w:tcW w:type="dxa" w:w="2736"/>
          </w:tcPr>
          <w:p>
            <w:pPr>
              <w:spacing w:after="20"/>
            </w:pPr>
            <w:r>
              <w:rPr>
                <w:color w:val="1C3A36"/>
                <w:sz w:val="15"/>
              </w:rPr>
              <w:t>cash</w:t>
            </w:r>
          </w:p>
        </w:tc>
        <w:tc>
          <w:tcPr>
            <w:tcW w:type="dxa" w:w="2232"/>
          </w:tcPr>
          <w:p>
            <w:pPr>
              <w:spacing w:after="20"/>
            </w:pPr>
            <w:r>
              <w:rPr>
                <w:color w:val="1C3A36"/>
                <w:sz w:val="15"/>
              </w:rPr>
              <w:t>3,018,394,920.0</w:t>
            </w:r>
          </w:p>
        </w:tc>
        <w:tc>
          <w:tcPr>
            <w:tcW w:type="dxa" w:w="1368"/>
          </w:tcPr>
          <w:p>
            <w:pPr>
              <w:spacing w:after="20"/>
            </w:pPr>
            <w:r>
              <w:rPr>
                <w:color w:val="1C3A36"/>
                <w:sz w:val="15"/>
              </w:rPr>
              <w:t>2026-06-30</w:t>
            </w:r>
          </w:p>
        </w:tc>
        <w:tc>
          <w:tcPr>
            <w:tcW w:type="dxa" w:w="3845"/>
          </w:tcPr>
          <w:p>
            <w:pPr>
              <w:spacing w:after="20"/>
            </w:pPr>
            <w:r>
              <w:rPr>
                <w:color w:val="1C3A36"/>
                <w:sz w:val="15"/>
              </w:rPr>
              <w:t>Cash and cash equivalents at 30-Jun-2026 (note 9-E). UP from 2,463,522,365 six months earlier AFTER paying 861,257,265 of dividends. Reviewed consolidated FS, six months to 30-Jun-2026, limited review</w:t>
            </w:r>
          </w:p>
        </w:tc>
      </w:tr>
      <w:tr>
        <w:tc>
          <w:tcPr>
            <w:tcW w:type="dxa" w:w="2736"/>
          </w:tcPr>
          <w:p>
            <w:pPr>
              <w:spacing w:after="20"/>
            </w:pPr>
            <w:r>
              <w:rPr>
                <w:color w:val="1C3A36"/>
                <w:sz w:val="15"/>
              </w:rPr>
              <w:t>fin_inv</w:t>
            </w:r>
          </w:p>
        </w:tc>
        <w:tc>
          <w:tcPr>
            <w:tcW w:type="dxa" w:w="2232"/>
          </w:tcPr>
          <w:p>
            <w:pPr>
              <w:spacing w:after="20"/>
            </w:pPr>
            <w:r>
              <w:rPr>
                <w:color w:val="1C3A36"/>
                <w:sz w:val="15"/>
              </w:rPr>
              <w:t>525,170,000.0</w:t>
            </w:r>
          </w:p>
        </w:tc>
        <w:tc>
          <w:tcPr>
            <w:tcW w:type="dxa" w:w="1368"/>
          </w:tcPr>
          <w:p>
            <w:pPr>
              <w:spacing w:after="20"/>
            </w:pPr>
            <w:r>
              <w:rPr>
                <w:color w:val="1C3A36"/>
                <w:sz w:val="15"/>
              </w:rPr>
              <w:t>2026-06-30</w:t>
            </w:r>
          </w:p>
        </w:tc>
        <w:tc>
          <w:tcPr>
            <w:tcW w:type="dxa" w:w="3845"/>
          </w:tcPr>
          <w:p>
            <w:pPr>
              <w:spacing w:after="20"/>
            </w:pPr>
            <w:r>
              <w:rPr>
                <w:color w:val="1C3A36"/>
                <w:sz w:val="15"/>
              </w:rPr>
              <w:t>Other financial investments at 30-Jun-2026 — deposits PLEDGED against facilities, not free cash. Reviewed consolidated FS, six months to 30-Jun-2026, limited review</w:t>
            </w:r>
          </w:p>
        </w:tc>
      </w:tr>
      <w:tr>
        <w:tc>
          <w:tcPr>
            <w:tcW w:type="dxa" w:w="2736"/>
          </w:tcPr>
          <w:p>
            <w:pPr>
              <w:spacing w:after="20"/>
            </w:pPr>
            <w:r>
              <w:rPr>
                <w:color w:val="1C3A36"/>
                <w:sz w:val="15"/>
              </w:rPr>
              <w:t>fvoci</w:t>
            </w:r>
          </w:p>
        </w:tc>
        <w:tc>
          <w:tcPr>
            <w:tcW w:type="dxa" w:w="2232"/>
          </w:tcPr>
          <w:p>
            <w:pPr>
              <w:spacing w:after="20"/>
            </w:pPr>
            <w:r>
              <w:rPr>
                <w:color w:val="1C3A36"/>
                <w:sz w:val="15"/>
              </w:rPr>
              <w:t>69,608,696.0</w:t>
            </w:r>
          </w:p>
        </w:tc>
        <w:tc>
          <w:tcPr>
            <w:tcW w:type="dxa" w:w="1368"/>
          </w:tcPr>
          <w:p>
            <w:pPr>
              <w:spacing w:after="20"/>
            </w:pPr>
            <w:r>
              <w:rPr>
                <w:color w:val="1C3A36"/>
                <w:sz w:val="15"/>
              </w:rPr>
              <w:t>2025-12-31</w:t>
            </w:r>
          </w:p>
        </w:tc>
        <w:tc>
          <w:tcPr>
            <w:tcW w:type="dxa" w:w="3845"/>
          </w:tcPr>
          <w:p>
            <w:pPr>
              <w:spacing w:after="20"/>
            </w:pPr>
            <w:r>
              <w:rPr>
                <w:color w:val="1C3A36"/>
                <w:sz w:val="15"/>
              </w:rPr>
              <w:t>Financial asset through OCI at 31-Dec-2025 — 104,000 shares, 5.20% of ASCPC, fair value 69,608,696 (note 8-1). Audited consolidated FS, transition period 1-Jul-2025 to 31-Dec-2025, Crowe unqualified, 18-Feb-2026</w:t>
            </w:r>
          </w:p>
        </w:tc>
      </w:tr>
      <w:tr>
        <w:tc>
          <w:tcPr>
            <w:tcW w:type="dxa" w:w="2736"/>
          </w:tcPr>
          <w:p>
            <w:pPr>
              <w:spacing w:after="20"/>
            </w:pPr>
            <w:r>
              <w:rPr>
                <w:color w:val="1C3A36"/>
                <w:sz w:val="15"/>
              </w:rPr>
              <w:t>assets_snap</w:t>
            </w:r>
          </w:p>
        </w:tc>
        <w:tc>
          <w:tcPr>
            <w:tcW w:type="dxa" w:w="2232"/>
          </w:tcPr>
          <w:p>
            <w:pPr>
              <w:spacing w:after="20"/>
            </w:pPr>
            <w:r>
              <w:rPr>
                <w:color w:val="1C3A36"/>
                <w:sz w:val="15"/>
              </w:rPr>
              <w:t>11,405,065,699.0</w:t>
            </w:r>
          </w:p>
        </w:tc>
        <w:tc>
          <w:tcPr>
            <w:tcW w:type="dxa" w:w="1368"/>
          </w:tcPr>
          <w:p>
            <w:pPr>
              <w:spacing w:after="20"/>
            </w:pPr>
            <w:r>
              <w:rPr>
                <w:color w:val="1C3A36"/>
                <w:sz w:val="15"/>
              </w:rPr>
              <w:t>2026-06-30</w:t>
            </w:r>
          </w:p>
        </w:tc>
        <w:tc>
          <w:tcPr>
            <w:tcW w:type="dxa" w:w="3845"/>
          </w:tcPr>
          <w:p>
            <w:pPr>
              <w:spacing w:after="20"/>
            </w:pPr>
            <w:r>
              <w:rPr>
                <w:color w:val="1C3A36"/>
                <w:sz w:val="15"/>
              </w:rPr>
              <w:t>Total assets at 30-Jun-2026. Reviewed consolidated FS, six months to 30-Jun-2026, limited review</w:t>
            </w:r>
          </w:p>
        </w:tc>
      </w:tr>
      <w:tr>
        <w:tc>
          <w:tcPr>
            <w:tcW w:type="dxa" w:w="2736"/>
          </w:tcPr>
          <w:p>
            <w:pPr>
              <w:spacing w:after="20"/>
            </w:pPr>
            <w:r>
              <w:rPr>
                <w:color w:val="1C3A36"/>
                <w:sz w:val="15"/>
              </w:rPr>
              <w:t>liab_snap</w:t>
            </w:r>
          </w:p>
        </w:tc>
        <w:tc>
          <w:tcPr>
            <w:tcW w:type="dxa" w:w="2232"/>
          </w:tcPr>
          <w:p>
            <w:pPr>
              <w:spacing w:after="20"/>
            </w:pPr>
            <w:r>
              <w:rPr>
                <w:color w:val="1C3A36"/>
                <w:sz w:val="15"/>
              </w:rPr>
              <w:t>5,261,891,473.0</w:t>
            </w:r>
          </w:p>
        </w:tc>
        <w:tc>
          <w:tcPr>
            <w:tcW w:type="dxa" w:w="1368"/>
          </w:tcPr>
          <w:p>
            <w:pPr>
              <w:spacing w:after="20"/>
            </w:pPr>
            <w:r>
              <w:rPr>
                <w:color w:val="1C3A36"/>
                <w:sz w:val="15"/>
              </w:rPr>
              <w:t>2026-06-30</w:t>
            </w:r>
          </w:p>
        </w:tc>
        <w:tc>
          <w:tcPr>
            <w:tcW w:type="dxa" w:w="3845"/>
          </w:tcPr>
          <w:p>
            <w:pPr>
              <w:spacing w:after="20"/>
            </w:pPr>
            <w:r>
              <w:rPr>
                <w:color w:val="1C3A36"/>
                <w:sz w:val="15"/>
              </w:rPr>
              <w:t>Total liabilities at 30-Jun-2026. Reviewed consolidated FS, six months to 30-Jun-2026, limited review</w:t>
            </w:r>
          </w:p>
        </w:tc>
      </w:tr>
      <w:tr>
        <w:tc>
          <w:tcPr>
            <w:tcW w:type="dxa" w:w="2736"/>
          </w:tcPr>
          <w:p>
            <w:pPr>
              <w:spacing w:after="20"/>
            </w:pPr>
            <w:r>
              <w:rPr>
                <w:color w:val="1C3A36"/>
                <w:sz w:val="15"/>
              </w:rPr>
              <w:t>eq_parent</w:t>
            </w:r>
          </w:p>
        </w:tc>
        <w:tc>
          <w:tcPr>
            <w:tcW w:type="dxa" w:w="2232"/>
          </w:tcPr>
          <w:p>
            <w:pPr>
              <w:spacing w:after="20"/>
            </w:pPr>
            <w:r>
              <w:rPr>
                <w:color w:val="1C3A36"/>
                <w:sz w:val="15"/>
              </w:rPr>
              <w:t>6,070,338,949.0</w:t>
            </w:r>
          </w:p>
        </w:tc>
        <w:tc>
          <w:tcPr>
            <w:tcW w:type="dxa" w:w="1368"/>
          </w:tcPr>
          <w:p>
            <w:pPr>
              <w:spacing w:after="20"/>
            </w:pPr>
            <w:r>
              <w:rPr>
                <w:color w:val="1C3A36"/>
                <w:sz w:val="15"/>
              </w:rPr>
              <w:t>2026-06-30</w:t>
            </w:r>
          </w:p>
        </w:tc>
        <w:tc>
          <w:tcPr>
            <w:tcW w:type="dxa" w:w="3845"/>
          </w:tcPr>
          <w:p>
            <w:pPr>
              <w:spacing w:after="20"/>
            </w:pPr>
            <w:r>
              <w:rPr>
                <w:color w:val="1C3A36"/>
                <w:sz w:val="15"/>
              </w:rPr>
              <w:t>Total AMOC (parent) equity at 30-Jun-2026 — EGP 4.70 a share, against 4,790,695,948 six months earlier. Reviewed consolidated FS, six months to 30-Jun-2026, limited review</w:t>
            </w:r>
          </w:p>
        </w:tc>
      </w:tr>
      <w:tr>
        <w:tc>
          <w:tcPr>
            <w:tcW w:type="dxa" w:w="2736"/>
          </w:tcPr>
          <w:p>
            <w:pPr>
              <w:spacing w:after="20"/>
            </w:pPr>
            <w:r>
              <w:rPr>
                <w:color w:val="1C3A36"/>
                <w:sz w:val="15"/>
              </w:rPr>
              <w:t>eq_nci</w:t>
            </w:r>
          </w:p>
        </w:tc>
        <w:tc>
          <w:tcPr>
            <w:tcW w:type="dxa" w:w="2232"/>
          </w:tcPr>
          <w:p>
            <w:pPr>
              <w:spacing w:after="20"/>
            </w:pPr>
            <w:r>
              <w:rPr>
                <w:color w:val="1C3A36"/>
                <w:sz w:val="15"/>
              </w:rPr>
              <w:t>72,835,277.0</w:t>
            </w:r>
          </w:p>
        </w:tc>
        <w:tc>
          <w:tcPr>
            <w:tcW w:type="dxa" w:w="1368"/>
          </w:tcPr>
          <w:p>
            <w:pPr>
              <w:spacing w:after="20"/>
            </w:pPr>
            <w:r>
              <w:rPr>
                <w:color w:val="1C3A36"/>
                <w:sz w:val="15"/>
              </w:rPr>
              <w:t>2026-06-30</w:t>
            </w:r>
          </w:p>
        </w:tc>
        <w:tc>
          <w:tcPr>
            <w:tcW w:type="dxa" w:w="3845"/>
          </w:tcPr>
          <w:p>
            <w:pPr>
              <w:spacing w:after="20"/>
            </w:pPr>
            <w:r>
              <w:rPr>
                <w:color w:val="1C3A36"/>
                <w:sz w:val="15"/>
              </w:rPr>
              <w:t>Non-controlling interest carrying amount at 30-Jun-2026. Reviewed consolidated FS, six months to 30-Jun-2026, limited review</w:t>
            </w:r>
          </w:p>
        </w:tc>
      </w:tr>
      <w:tr>
        <w:tc>
          <w:tcPr>
            <w:tcW w:type="dxa" w:w="2736"/>
          </w:tcPr>
          <w:p>
            <w:pPr>
              <w:spacing w:after="20"/>
            </w:pPr>
            <w:r>
              <w:rPr>
                <w:color w:val="1C3A36"/>
                <w:sz w:val="15"/>
              </w:rPr>
              <w:t>debt_lt</w:t>
            </w:r>
          </w:p>
        </w:tc>
        <w:tc>
          <w:tcPr>
            <w:tcW w:type="dxa" w:w="2232"/>
          </w:tcPr>
          <w:p>
            <w:pPr>
              <w:spacing w:after="20"/>
            </w:pPr>
            <w:r>
              <w:rPr>
                <w:color w:val="1C3A36"/>
                <w:sz w:val="15"/>
              </w:rPr>
              <w:t>12,137,451.0</w:t>
            </w:r>
          </w:p>
        </w:tc>
        <w:tc>
          <w:tcPr>
            <w:tcW w:type="dxa" w:w="1368"/>
          </w:tcPr>
          <w:p>
            <w:pPr>
              <w:spacing w:after="20"/>
            </w:pPr>
            <w:r>
              <w:rPr>
                <w:color w:val="1C3A36"/>
                <w:sz w:val="15"/>
              </w:rPr>
              <w:t>2026-06-30</w:t>
            </w:r>
          </w:p>
        </w:tc>
        <w:tc>
          <w:tcPr>
            <w:tcW w:type="dxa" w:w="3845"/>
          </w:tcPr>
          <w:p>
            <w:pPr>
              <w:spacing w:after="20"/>
            </w:pPr>
            <w:r>
              <w:rPr>
                <w:color w:val="1C3A36"/>
                <w:sz w:val="15"/>
              </w:rPr>
              <w:t>Long-term loans at 30-Jun-2026 (note 20). Reviewed consolidated FS, six months to 30-Jun-2026, limited review</w:t>
            </w:r>
          </w:p>
        </w:tc>
      </w:tr>
      <w:tr>
        <w:tc>
          <w:tcPr>
            <w:tcW w:type="dxa" w:w="2736"/>
          </w:tcPr>
          <w:p>
            <w:pPr>
              <w:spacing w:after="20"/>
            </w:pPr>
            <w:r>
              <w:rPr>
                <w:color w:val="1C3A36"/>
                <w:sz w:val="15"/>
              </w:rPr>
              <w:t>debt_st</w:t>
            </w:r>
          </w:p>
        </w:tc>
        <w:tc>
          <w:tcPr>
            <w:tcW w:type="dxa" w:w="2232"/>
          </w:tcPr>
          <w:p>
            <w:pPr>
              <w:spacing w:after="20"/>
            </w:pPr>
            <w:r>
              <w:rPr>
                <w:color w:val="1C3A36"/>
                <w:sz w:val="15"/>
              </w:rPr>
              <w:t>4,715,153.0</w:t>
            </w:r>
          </w:p>
        </w:tc>
        <w:tc>
          <w:tcPr>
            <w:tcW w:type="dxa" w:w="1368"/>
          </w:tcPr>
          <w:p>
            <w:pPr>
              <w:spacing w:after="20"/>
            </w:pPr>
            <w:r>
              <w:rPr>
                <w:color w:val="1C3A36"/>
                <w:sz w:val="15"/>
              </w:rPr>
              <w:t>2026-06-30</w:t>
            </w:r>
          </w:p>
        </w:tc>
        <w:tc>
          <w:tcPr>
            <w:tcW w:type="dxa" w:w="3845"/>
          </w:tcPr>
          <w:p>
            <w:pPr>
              <w:spacing w:after="20"/>
            </w:pPr>
            <w:r>
              <w:rPr>
                <w:color w:val="1C3A36"/>
                <w:sz w:val="15"/>
              </w:rPr>
              <w:t>Short-term loans and facilities at 30-Jun-2026 (note 20). Reviewed consolidated FS, six months to 30-Jun-2026, limited review</w:t>
            </w:r>
          </w:p>
        </w:tc>
      </w:tr>
      <w:tr>
        <w:tc>
          <w:tcPr>
            <w:tcW w:type="dxa" w:w="2736"/>
          </w:tcPr>
          <w:p>
            <w:pPr>
              <w:spacing w:after="20"/>
            </w:pPr>
            <w:r>
              <w:rPr>
                <w:color w:val="1C3A36"/>
                <w:sz w:val="15"/>
              </w:rPr>
              <w:t>leases</w:t>
            </w:r>
          </w:p>
        </w:tc>
        <w:tc>
          <w:tcPr>
            <w:tcW w:type="dxa" w:w="2232"/>
          </w:tcPr>
          <w:p>
            <w:pPr>
              <w:spacing w:after="20"/>
            </w:pPr>
            <w:r>
              <w:rPr>
                <w:color w:val="1C3A36"/>
                <w:sz w:val="15"/>
              </w:rPr>
              <w:t>2,324,893.0</w:t>
            </w:r>
          </w:p>
        </w:tc>
        <w:tc>
          <w:tcPr>
            <w:tcW w:type="dxa" w:w="1368"/>
          </w:tcPr>
          <w:p>
            <w:pPr>
              <w:spacing w:after="20"/>
            </w:pPr>
            <w:r>
              <w:rPr>
                <w:color w:val="1C3A36"/>
                <w:sz w:val="15"/>
              </w:rPr>
              <w:t>2026-06-30</w:t>
            </w:r>
          </w:p>
        </w:tc>
        <w:tc>
          <w:tcPr>
            <w:tcW w:type="dxa" w:w="3845"/>
          </w:tcPr>
          <w:p>
            <w:pPr>
              <w:spacing w:after="20"/>
            </w:pPr>
            <w:r>
              <w:rPr>
                <w:color w:val="1C3A36"/>
                <w:sz w:val="15"/>
              </w:rPr>
              <w:t>Total lease liabilities at 30-Jun-2026 (note 8-2): 463,553 long term plus 1,861,340 short term. Reviewed consolidated FS, six months to 30-Jun-2026, limited review</w:t>
            </w:r>
          </w:p>
        </w:tc>
      </w:tr>
      <w:tr>
        <w:tc>
          <w:tcPr>
            <w:tcW w:type="dxa" w:w="2736"/>
          </w:tcPr>
          <w:p>
            <w:pPr>
              <w:spacing w:after="20"/>
            </w:pPr>
            <w:r>
              <w:rPr>
                <w:color w:val="1C3A36"/>
                <w:sz w:val="15"/>
              </w:rPr>
              <w:t>payables</w:t>
            </w:r>
          </w:p>
        </w:tc>
        <w:tc>
          <w:tcPr>
            <w:tcW w:type="dxa" w:w="2232"/>
          </w:tcPr>
          <w:p>
            <w:pPr>
              <w:spacing w:after="20"/>
            </w:pPr>
            <w:r>
              <w:rPr>
                <w:color w:val="1C3A36"/>
                <w:sz w:val="15"/>
              </w:rPr>
              <w:t>14,015,841.0</w:t>
            </w:r>
          </w:p>
        </w:tc>
        <w:tc>
          <w:tcPr>
            <w:tcW w:type="dxa" w:w="1368"/>
          </w:tcPr>
          <w:p>
            <w:pPr>
              <w:spacing w:after="20"/>
            </w:pPr>
            <w:r>
              <w:rPr>
                <w:color w:val="1C3A36"/>
                <w:sz w:val="15"/>
              </w:rPr>
              <w:t>2026-06-30</w:t>
            </w:r>
          </w:p>
        </w:tc>
        <w:tc>
          <w:tcPr>
            <w:tcW w:type="dxa" w:w="3845"/>
          </w:tcPr>
          <w:p>
            <w:pPr>
              <w:spacing w:after="20"/>
            </w:pPr>
            <w:r>
              <w:rPr>
                <w:color w:val="1C3A36"/>
                <w:sz w:val="15"/>
              </w:rPr>
              <w:t>Accounts and notes payable at 30-Jun-2026 (note 10-3). Reviewed consolidated FS, six months to 30-Jun-2026, limited review</w:t>
            </w:r>
          </w:p>
        </w:tc>
      </w:tr>
      <w:tr>
        <w:tc>
          <w:tcPr>
            <w:tcW w:type="dxa" w:w="2736"/>
          </w:tcPr>
          <w:p>
            <w:pPr>
              <w:spacing w:after="20"/>
            </w:pPr>
            <w:r>
              <w:rPr>
                <w:color w:val="1C3A36"/>
                <w:sz w:val="15"/>
              </w:rPr>
              <w:t>creditors</w:t>
            </w:r>
          </w:p>
        </w:tc>
        <w:tc>
          <w:tcPr>
            <w:tcW w:type="dxa" w:w="2232"/>
          </w:tcPr>
          <w:p>
            <w:pPr>
              <w:spacing w:after="20"/>
            </w:pPr>
            <w:r>
              <w:rPr>
                <w:color w:val="1C3A36"/>
                <w:sz w:val="15"/>
              </w:rPr>
              <w:t>3,286,150,065.0</w:t>
            </w:r>
          </w:p>
        </w:tc>
        <w:tc>
          <w:tcPr>
            <w:tcW w:type="dxa" w:w="1368"/>
          </w:tcPr>
          <w:p>
            <w:pPr>
              <w:spacing w:after="20"/>
            </w:pPr>
            <w:r>
              <w:rPr>
                <w:color w:val="1C3A36"/>
                <w:sz w:val="15"/>
              </w:rPr>
              <w:t>2026-06-30</w:t>
            </w:r>
          </w:p>
        </w:tc>
        <w:tc>
          <w:tcPr>
            <w:tcW w:type="dxa" w:w="3845"/>
          </w:tcPr>
          <w:p>
            <w:pPr>
              <w:spacing w:after="20"/>
            </w:pPr>
            <w:r>
              <w:rPr>
                <w:color w:val="1C3A36"/>
                <w:sz w:val="15"/>
              </w:rPr>
              <w:t>Creditors and other credit balances at 30-Jun-2026 (note 11). Reviewed consolidated FS, six months to 30-Jun-2026, limited review</w:t>
            </w:r>
          </w:p>
        </w:tc>
      </w:tr>
      <w:tr>
        <w:tc>
          <w:tcPr>
            <w:tcW w:type="dxa" w:w="2736"/>
          </w:tcPr>
          <w:p>
            <w:pPr>
              <w:spacing w:after="20"/>
            </w:pPr>
            <w:r>
              <w:rPr>
                <w:color w:val="1C3A36"/>
                <w:sz w:val="15"/>
              </w:rPr>
              <w:t>provisions</w:t>
            </w:r>
          </w:p>
        </w:tc>
        <w:tc>
          <w:tcPr>
            <w:tcW w:type="dxa" w:w="2232"/>
          </w:tcPr>
          <w:p>
            <w:pPr>
              <w:spacing w:after="20"/>
            </w:pPr>
            <w:r>
              <w:rPr>
                <w:color w:val="1C3A36"/>
                <w:sz w:val="15"/>
              </w:rPr>
              <w:t>996,857,074.0</w:t>
            </w:r>
          </w:p>
        </w:tc>
        <w:tc>
          <w:tcPr>
            <w:tcW w:type="dxa" w:w="1368"/>
          </w:tcPr>
          <w:p>
            <w:pPr>
              <w:spacing w:after="20"/>
            </w:pPr>
            <w:r>
              <w:rPr>
                <w:color w:val="1C3A36"/>
                <w:sz w:val="15"/>
              </w:rPr>
              <w:t>2026-06-30</w:t>
            </w:r>
          </w:p>
        </w:tc>
        <w:tc>
          <w:tcPr>
            <w:tcW w:type="dxa" w:w="3845"/>
          </w:tcPr>
          <w:p>
            <w:pPr>
              <w:spacing w:after="20"/>
            </w:pPr>
            <w:r>
              <w:rPr>
                <w:color w:val="1C3A36"/>
                <w:sz w:val="15"/>
              </w:rPr>
              <w:t>Provisions at 30-Jun-2026 (note 10-1) — a recognised liability, carried in full in the bridge. Reviewed consolidated FS, six months to 30-Jun-2026, limited review</w:t>
            </w:r>
          </w:p>
        </w:tc>
      </w:tr>
      <w:tr>
        <w:tc>
          <w:tcPr>
            <w:tcW w:type="dxa" w:w="2736"/>
          </w:tcPr>
          <w:p>
            <w:pPr>
              <w:spacing w:after="20"/>
            </w:pPr>
            <w:r>
              <w:rPr>
                <w:color w:val="1C3A36"/>
                <w:sz w:val="15"/>
              </w:rPr>
              <w:t>dtax_liab</w:t>
            </w:r>
          </w:p>
        </w:tc>
        <w:tc>
          <w:tcPr>
            <w:tcW w:type="dxa" w:w="2232"/>
          </w:tcPr>
          <w:p>
            <w:pPr>
              <w:spacing w:after="20"/>
            </w:pPr>
            <w:r>
              <w:rPr>
                <w:color w:val="1C3A36"/>
                <w:sz w:val="15"/>
              </w:rPr>
              <w:t>95,721,735.0</w:t>
            </w:r>
          </w:p>
        </w:tc>
        <w:tc>
          <w:tcPr>
            <w:tcW w:type="dxa" w:w="1368"/>
          </w:tcPr>
          <w:p>
            <w:pPr>
              <w:spacing w:after="20"/>
            </w:pPr>
            <w:r>
              <w:rPr>
                <w:color w:val="1C3A36"/>
                <w:sz w:val="15"/>
              </w:rPr>
              <w:t>2026-06-30</w:t>
            </w:r>
          </w:p>
        </w:tc>
        <w:tc>
          <w:tcPr>
            <w:tcW w:type="dxa" w:w="3845"/>
          </w:tcPr>
          <w:p>
            <w:pPr>
              <w:spacing w:after="20"/>
            </w:pPr>
            <w:r>
              <w:rPr>
                <w:color w:val="1C3A36"/>
                <w:sz w:val="15"/>
              </w:rPr>
              <w:t>Deferred tax liability at 30-Jun-2026 (note 13-A). Reviewed consolidated FS, six months to 30-Jun-2026, limited review</w:t>
            </w:r>
          </w:p>
        </w:tc>
      </w:tr>
      <w:tr>
        <w:tc>
          <w:tcPr>
            <w:tcW w:type="dxa" w:w="2736"/>
          </w:tcPr>
          <w:p>
            <w:pPr>
              <w:spacing w:after="20"/>
            </w:pPr>
            <w:r>
              <w:rPr>
                <w:color w:val="1C3A36"/>
                <w:sz w:val="15"/>
              </w:rPr>
              <w:t>tax_due</w:t>
            </w:r>
          </w:p>
        </w:tc>
        <w:tc>
          <w:tcPr>
            <w:tcW w:type="dxa" w:w="2232"/>
          </w:tcPr>
          <w:p>
            <w:pPr>
              <w:spacing w:after="20"/>
            </w:pPr>
            <w:r>
              <w:rPr>
                <w:color w:val="1C3A36"/>
                <w:sz w:val="15"/>
              </w:rPr>
              <w:t>591,669,261.0</w:t>
            </w:r>
          </w:p>
        </w:tc>
        <w:tc>
          <w:tcPr>
            <w:tcW w:type="dxa" w:w="1368"/>
          </w:tcPr>
          <w:p>
            <w:pPr>
              <w:spacing w:after="20"/>
            </w:pPr>
            <w:r>
              <w:rPr>
                <w:color w:val="1C3A36"/>
                <w:sz w:val="15"/>
              </w:rPr>
              <w:t>2026-06-30</w:t>
            </w:r>
          </w:p>
        </w:tc>
        <w:tc>
          <w:tcPr>
            <w:tcW w:type="dxa" w:w="3845"/>
          </w:tcPr>
          <w:p>
            <w:pPr>
              <w:spacing w:after="20"/>
            </w:pPr>
            <w:r>
              <w:rPr>
                <w:color w:val="1C3A36"/>
                <w:sz w:val="15"/>
              </w:rPr>
              <w:t>Current income tax due at 30-Jun-2026 (note 10-2). Reviewed consolidated FS, six months to 30-Jun-2026, limited review</w:t>
            </w:r>
          </w:p>
        </w:tc>
      </w:tr>
      <w:tr>
        <w:tc>
          <w:tcPr>
            <w:tcW w:type="dxa" w:w="2736"/>
          </w:tcPr>
          <w:p>
            <w:pPr>
              <w:spacing w:after="20"/>
            </w:pPr>
            <w:r>
              <w:rPr>
                <w:color w:val="1C3A36"/>
                <w:sz w:val="15"/>
              </w:rPr>
              <w:t>assets_jun25</w:t>
            </w:r>
          </w:p>
        </w:tc>
        <w:tc>
          <w:tcPr>
            <w:tcW w:type="dxa" w:w="2232"/>
          </w:tcPr>
          <w:p>
            <w:pPr>
              <w:spacing w:after="20"/>
            </w:pPr>
            <w:r>
              <w:rPr>
                <w:color w:val="1C3A36"/>
                <w:sz w:val="15"/>
              </w:rPr>
              <w:t>10,327,865,642.0</w:t>
            </w:r>
          </w:p>
        </w:tc>
        <w:tc>
          <w:tcPr>
            <w:tcW w:type="dxa" w:w="1368"/>
          </w:tcPr>
          <w:p>
            <w:pPr>
              <w:spacing w:after="20"/>
            </w:pPr>
            <w:r>
              <w:rPr>
                <w:color w:val="1C3A36"/>
                <w:sz w:val="15"/>
              </w:rPr>
              <w:t>2025-06-30</w:t>
            </w:r>
          </w:p>
        </w:tc>
        <w:tc>
          <w:tcPr>
            <w:tcW w:type="dxa" w:w="3845"/>
          </w:tcPr>
          <w:p>
            <w:pPr>
              <w:spacing w:after="20"/>
            </w:pPr>
            <w:r>
              <w:rPr>
                <w:color w:val="1C3A36"/>
                <w:sz w:val="15"/>
              </w:rPr>
              <w:t>Total assets at 30-Jun-2025 (comparative column). Audited consolidated FS, transition period 1-Jul-2025 to 31-Dec-2025, Crowe unqualified, 18-Feb-2026</w:t>
            </w:r>
          </w:p>
        </w:tc>
      </w:tr>
      <w:tr>
        <w:tc>
          <w:tcPr>
            <w:tcW w:type="dxa" w:w="2736"/>
          </w:tcPr>
          <w:p>
            <w:pPr>
              <w:spacing w:after="20"/>
            </w:pPr>
            <w:r>
              <w:rPr>
                <w:color w:val="1C3A36"/>
                <w:sz w:val="15"/>
              </w:rPr>
              <w:t>eq_parent_jun25</w:t>
            </w:r>
          </w:p>
        </w:tc>
        <w:tc>
          <w:tcPr>
            <w:tcW w:type="dxa" w:w="2232"/>
          </w:tcPr>
          <w:p>
            <w:pPr>
              <w:spacing w:after="20"/>
            </w:pPr>
            <w:r>
              <w:rPr>
                <w:color w:val="1C3A36"/>
                <w:sz w:val="15"/>
              </w:rPr>
              <w:t>5,353,528,855.0</w:t>
            </w:r>
          </w:p>
        </w:tc>
        <w:tc>
          <w:tcPr>
            <w:tcW w:type="dxa" w:w="1368"/>
          </w:tcPr>
          <w:p>
            <w:pPr>
              <w:spacing w:after="20"/>
            </w:pPr>
            <w:r>
              <w:rPr>
                <w:color w:val="1C3A36"/>
                <w:sz w:val="15"/>
              </w:rPr>
              <w:t>2025-06-30</w:t>
            </w:r>
          </w:p>
        </w:tc>
        <w:tc>
          <w:tcPr>
            <w:tcW w:type="dxa" w:w="3845"/>
          </w:tcPr>
          <w:p>
            <w:pPr>
              <w:spacing w:after="20"/>
            </w:pPr>
            <w:r>
              <w:rPr>
                <w:color w:val="1C3A36"/>
                <w:sz w:val="15"/>
              </w:rPr>
              <w:t>Total AMOC equity at 30-Jun-2025 (comparative column). Audited consolidated FS, transition period 1-Jul-2025 to 31-Dec-2025, Crowe unqualified, 18-Feb-2026</w:t>
            </w:r>
          </w:p>
        </w:tc>
      </w:tr>
      <w:tr>
        <w:tc>
          <w:tcPr>
            <w:tcW w:type="dxa" w:w="2736"/>
          </w:tcPr>
          <w:p>
            <w:pPr>
              <w:spacing w:after="20"/>
            </w:pPr>
            <w:r>
              <w:rPr>
                <w:color w:val="1C3A36"/>
                <w:sz w:val="15"/>
              </w:rPr>
              <w:t>assets_dec24</w:t>
            </w:r>
          </w:p>
        </w:tc>
        <w:tc>
          <w:tcPr>
            <w:tcW w:type="dxa" w:w="2232"/>
          </w:tcPr>
          <w:p>
            <w:pPr>
              <w:spacing w:after="20"/>
            </w:pPr>
            <w:r>
              <w:rPr>
                <w:color w:val="1C3A36"/>
                <w:sz w:val="15"/>
              </w:rPr>
              <w:t>7,747,725,648.0</w:t>
            </w:r>
          </w:p>
        </w:tc>
        <w:tc>
          <w:tcPr>
            <w:tcW w:type="dxa" w:w="1368"/>
          </w:tcPr>
          <w:p>
            <w:pPr>
              <w:spacing w:after="20"/>
            </w:pPr>
            <w:r>
              <w:rPr>
                <w:color w:val="1C3A36"/>
                <w:sz w:val="15"/>
              </w:rPr>
              <w:t>2024-12-31</w:t>
            </w:r>
          </w:p>
        </w:tc>
        <w:tc>
          <w:tcPr>
            <w:tcW w:type="dxa" w:w="3845"/>
          </w:tcPr>
          <w:p>
            <w:pPr>
              <w:spacing w:after="20"/>
            </w:pPr>
            <w:r>
              <w:rPr>
                <w:color w:val="1C3A36"/>
                <w:sz w:val="15"/>
              </w:rPr>
              <w:t>Total assets at 31-Dec-2024. Limited-review consolidated FS, six months to 31-Dec-2024</w:t>
            </w:r>
          </w:p>
        </w:tc>
      </w:tr>
      <w:tr>
        <w:tc>
          <w:tcPr>
            <w:tcW w:type="dxa" w:w="2736"/>
          </w:tcPr>
          <w:p>
            <w:pPr>
              <w:spacing w:after="20"/>
            </w:pPr>
            <w:r>
              <w:rPr>
                <w:color w:val="1C3A36"/>
                <w:sz w:val="15"/>
              </w:rPr>
              <w:t>eq_parent_dec24</w:t>
            </w:r>
          </w:p>
        </w:tc>
        <w:tc>
          <w:tcPr>
            <w:tcW w:type="dxa" w:w="2232"/>
          </w:tcPr>
          <w:p>
            <w:pPr>
              <w:spacing w:after="20"/>
            </w:pPr>
            <w:r>
              <w:rPr>
                <w:color w:val="1C3A36"/>
                <w:sz w:val="15"/>
              </w:rPr>
              <w:t>4,430,087,458.0</w:t>
            </w:r>
          </w:p>
        </w:tc>
        <w:tc>
          <w:tcPr>
            <w:tcW w:type="dxa" w:w="1368"/>
          </w:tcPr>
          <w:p>
            <w:pPr>
              <w:spacing w:after="20"/>
            </w:pPr>
            <w:r>
              <w:rPr>
                <w:color w:val="1C3A36"/>
                <w:sz w:val="15"/>
              </w:rPr>
              <w:t>2024-12-31</w:t>
            </w:r>
          </w:p>
        </w:tc>
        <w:tc>
          <w:tcPr>
            <w:tcW w:type="dxa" w:w="3845"/>
          </w:tcPr>
          <w:p>
            <w:pPr>
              <w:spacing w:after="20"/>
            </w:pPr>
            <w:r>
              <w:rPr>
                <w:color w:val="1C3A36"/>
                <w:sz w:val="15"/>
              </w:rPr>
              <w:t>Total AMOC equity at 31-Dec-2024. Limited-review consolidated FS, six months to 31-Dec-2024</w:t>
            </w:r>
          </w:p>
        </w:tc>
      </w:tr>
      <w:tr>
        <w:tc>
          <w:tcPr>
            <w:tcW w:type="dxa" w:w="2736"/>
          </w:tcPr>
          <w:p>
            <w:pPr>
              <w:spacing w:after="20"/>
            </w:pPr>
            <w:r>
              <w:rPr>
                <w:color w:val="1C3A36"/>
                <w:sz w:val="15"/>
              </w:rPr>
              <w:t>assets_jun24</w:t>
            </w:r>
          </w:p>
        </w:tc>
        <w:tc>
          <w:tcPr>
            <w:tcW w:type="dxa" w:w="2232"/>
          </w:tcPr>
          <w:p>
            <w:pPr>
              <w:spacing w:after="20"/>
            </w:pPr>
            <w:r>
              <w:rPr>
                <w:color w:val="1C3A36"/>
                <w:sz w:val="15"/>
              </w:rPr>
              <w:t>8,386,961,675.0</w:t>
            </w:r>
          </w:p>
        </w:tc>
        <w:tc>
          <w:tcPr>
            <w:tcW w:type="dxa" w:w="1368"/>
          </w:tcPr>
          <w:p>
            <w:pPr>
              <w:spacing w:after="20"/>
            </w:pPr>
            <w:r>
              <w:rPr>
                <w:color w:val="1C3A36"/>
                <w:sz w:val="15"/>
              </w:rPr>
              <w:t>2024-06-30</w:t>
            </w:r>
          </w:p>
        </w:tc>
        <w:tc>
          <w:tcPr>
            <w:tcW w:type="dxa" w:w="3845"/>
          </w:tcPr>
          <w:p>
            <w:pPr>
              <w:spacing w:after="20"/>
            </w:pPr>
            <w:r>
              <w:rPr>
                <w:color w:val="1C3A36"/>
                <w:sz w:val="15"/>
              </w:rPr>
              <w:t>Total assets at 30-Jun-2024 (comparative column). Limited-review consolidated FS, six months to 31-Dec-2024</w:t>
            </w:r>
          </w:p>
        </w:tc>
      </w:tr>
      <w:tr>
        <w:tc>
          <w:tcPr>
            <w:tcW w:type="dxa" w:w="2736"/>
          </w:tcPr>
          <w:p>
            <w:pPr>
              <w:spacing w:after="20"/>
            </w:pPr>
            <w:r>
              <w:rPr>
                <w:color w:val="1C3A36"/>
                <w:sz w:val="15"/>
              </w:rPr>
              <w:t>eq_parent_jun24</w:t>
            </w:r>
          </w:p>
        </w:tc>
        <w:tc>
          <w:tcPr>
            <w:tcW w:type="dxa" w:w="2232"/>
          </w:tcPr>
          <w:p>
            <w:pPr>
              <w:spacing w:after="20"/>
            </w:pPr>
            <w:r>
              <w:rPr>
                <w:color w:val="1C3A36"/>
                <w:sz w:val="15"/>
              </w:rPr>
              <w:t>4,922,226,388.0</w:t>
            </w:r>
          </w:p>
        </w:tc>
        <w:tc>
          <w:tcPr>
            <w:tcW w:type="dxa" w:w="1368"/>
          </w:tcPr>
          <w:p>
            <w:pPr>
              <w:spacing w:after="20"/>
            </w:pPr>
            <w:r>
              <w:rPr>
                <w:color w:val="1C3A36"/>
                <w:sz w:val="15"/>
              </w:rPr>
              <w:t>2024-06-30</w:t>
            </w:r>
          </w:p>
        </w:tc>
        <w:tc>
          <w:tcPr>
            <w:tcW w:type="dxa" w:w="3845"/>
          </w:tcPr>
          <w:p>
            <w:pPr>
              <w:spacing w:after="20"/>
            </w:pPr>
            <w:r>
              <w:rPr>
                <w:color w:val="1C3A36"/>
                <w:sz w:val="15"/>
              </w:rPr>
              <w:t>Total AMOC equity at 30-Jun-2024 (comparative column). Limited-review consolidated FS, six months to 31-Dec-2024</w:t>
            </w:r>
          </w:p>
        </w:tc>
      </w:tr>
      <w:tr>
        <w:tc>
          <w:tcPr>
            <w:tcW w:type="dxa" w:w="2736"/>
          </w:tcPr>
          <w:p>
            <w:pPr>
              <w:spacing w:after="20"/>
            </w:pPr>
            <w:r>
              <w:rPr>
                <w:color w:val="1C3A36"/>
                <w:sz w:val="15"/>
              </w:rPr>
              <w:t>ppe_jun25</w:t>
            </w:r>
          </w:p>
        </w:tc>
        <w:tc>
          <w:tcPr>
            <w:tcW w:type="dxa" w:w="2232"/>
          </w:tcPr>
          <w:p>
            <w:pPr>
              <w:spacing w:after="20"/>
            </w:pPr>
            <w:r>
              <w:rPr>
                <w:color w:val="1C3A36"/>
                <w:sz w:val="15"/>
              </w:rPr>
              <w:t>937,851,261.0</w:t>
            </w:r>
          </w:p>
        </w:tc>
        <w:tc>
          <w:tcPr>
            <w:tcW w:type="dxa" w:w="1368"/>
          </w:tcPr>
          <w:p>
            <w:pPr>
              <w:spacing w:after="20"/>
            </w:pPr>
            <w:r>
              <w:rPr>
                <w:color w:val="1C3A36"/>
                <w:sz w:val="15"/>
              </w:rPr>
              <w:t>2025-06-30</w:t>
            </w:r>
          </w:p>
        </w:tc>
        <w:tc>
          <w:tcPr>
            <w:tcW w:type="dxa" w:w="3845"/>
          </w:tcPr>
          <w:p>
            <w:pPr>
              <w:spacing w:after="20"/>
            </w:pPr>
            <w:r>
              <w:rPr>
                <w:color w:val="1C3A36"/>
                <w:sz w:val="15"/>
              </w:rPr>
              <w:t>Fixed assets net at 30-Jun-2025. Audited consolidated FS, transition period 1-Jul-2025 to 31-Dec-2025, Crowe unqualified, 18-Feb-2026</w:t>
            </w:r>
          </w:p>
        </w:tc>
      </w:tr>
      <w:tr>
        <w:tc>
          <w:tcPr>
            <w:tcW w:type="dxa" w:w="2736"/>
          </w:tcPr>
          <w:p>
            <w:pPr>
              <w:spacing w:after="20"/>
            </w:pPr>
            <w:r>
              <w:rPr>
                <w:color w:val="1C3A36"/>
                <w:sz w:val="15"/>
              </w:rPr>
              <w:t>inv_jun25</w:t>
            </w:r>
          </w:p>
        </w:tc>
        <w:tc>
          <w:tcPr>
            <w:tcW w:type="dxa" w:w="2232"/>
          </w:tcPr>
          <w:p>
            <w:pPr>
              <w:spacing w:after="20"/>
            </w:pPr>
            <w:r>
              <w:rPr>
                <w:color w:val="1C3A36"/>
                <w:sz w:val="15"/>
              </w:rPr>
              <w:t>3,735,009,103.0</w:t>
            </w:r>
          </w:p>
        </w:tc>
        <w:tc>
          <w:tcPr>
            <w:tcW w:type="dxa" w:w="1368"/>
          </w:tcPr>
          <w:p>
            <w:pPr>
              <w:spacing w:after="20"/>
            </w:pPr>
            <w:r>
              <w:rPr>
                <w:color w:val="1C3A36"/>
                <w:sz w:val="15"/>
              </w:rPr>
              <w:t>2025-06-30</w:t>
            </w:r>
          </w:p>
        </w:tc>
        <w:tc>
          <w:tcPr>
            <w:tcW w:type="dxa" w:w="3845"/>
          </w:tcPr>
          <w:p>
            <w:pPr>
              <w:spacing w:after="20"/>
            </w:pPr>
            <w:r>
              <w:rPr>
                <w:color w:val="1C3A36"/>
                <w:sz w:val="15"/>
              </w:rPr>
              <w:t>Inventory at 30-Jun-2025. Audited consolidated FS, transition period 1-Jul-2025 to 31-Dec-2025, Crowe unqualified, 18-Feb-2026</w:t>
            </w:r>
          </w:p>
        </w:tc>
      </w:tr>
      <w:tr>
        <w:tc>
          <w:tcPr>
            <w:tcW w:type="dxa" w:w="2736"/>
          </w:tcPr>
          <w:p>
            <w:pPr>
              <w:spacing w:after="20"/>
            </w:pPr>
            <w:r>
              <w:rPr>
                <w:color w:val="1C3A36"/>
                <w:sz w:val="15"/>
              </w:rPr>
              <w:t>recv_jun25</w:t>
            </w:r>
          </w:p>
        </w:tc>
        <w:tc>
          <w:tcPr>
            <w:tcW w:type="dxa" w:w="2232"/>
          </w:tcPr>
          <w:p>
            <w:pPr>
              <w:spacing w:after="20"/>
            </w:pPr>
            <w:r>
              <w:rPr>
                <w:color w:val="1C3A36"/>
                <w:sz w:val="15"/>
              </w:rPr>
              <w:t>894,888,039.0</w:t>
            </w:r>
          </w:p>
        </w:tc>
        <w:tc>
          <w:tcPr>
            <w:tcW w:type="dxa" w:w="1368"/>
          </w:tcPr>
          <w:p>
            <w:pPr>
              <w:spacing w:after="20"/>
            </w:pPr>
            <w:r>
              <w:rPr>
                <w:color w:val="1C3A36"/>
                <w:sz w:val="15"/>
              </w:rPr>
              <w:t>2025-06-30</w:t>
            </w:r>
          </w:p>
        </w:tc>
        <w:tc>
          <w:tcPr>
            <w:tcW w:type="dxa" w:w="3845"/>
          </w:tcPr>
          <w:p>
            <w:pPr>
              <w:spacing w:after="20"/>
            </w:pPr>
            <w:r>
              <w:rPr>
                <w:color w:val="1C3A36"/>
                <w:sz w:val="15"/>
              </w:rPr>
              <w:t>Accounts receivable at 30-Jun-2025. Audited consolidated FS, transition period 1-Jul-2025 to 31-Dec-2025, Crowe unqualified, 18-Feb-2026</w:t>
            </w:r>
          </w:p>
        </w:tc>
      </w:tr>
      <w:tr>
        <w:tc>
          <w:tcPr>
            <w:tcW w:type="dxa" w:w="2736"/>
          </w:tcPr>
          <w:p>
            <w:pPr>
              <w:spacing w:after="20"/>
            </w:pPr>
            <w:r>
              <w:rPr>
                <w:color w:val="1C3A36"/>
                <w:sz w:val="15"/>
              </w:rPr>
              <w:t>debtors_jun25</w:t>
            </w:r>
          </w:p>
        </w:tc>
        <w:tc>
          <w:tcPr>
            <w:tcW w:type="dxa" w:w="2232"/>
          </w:tcPr>
          <w:p>
            <w:pPr>
              <w:spacing w:after="20"/>
            </w:pPr>
            <w:r>
              <w:rPr>
                <w:color w:val="1C3A36"/>
                <w:sz w:val="15"/>
              </w:rPr>
              <w:t>611,842,230.0</w:t>
            </w:r>
          </w:p>
        </w:tc>
        <w:tc>
          <w:tcPr>
            <w:tcW w:type="dxa" w:w="1368"/>
          </w:tcPr>
          <w:p>
            <w:pPr>
              <w:spacing w:after="20"/>
            </w:pPr>
            <w:r>
              <w:rPr>
                <w:color w:val="1C3A36"/>
                <w:sz w:val="15"/>
              </w:rPr>
              <w:t>2025-06-30</w:t>
            </w:r>
          </w:p>
        </w:tc>
        <w:tc>
          <w:tcPr>
            <w:tcW w:type="dxa" w:w="3845"/>
          </w:tcPr>
          <w:p>
            <w:pPr>
              <w:spacing w:after="20"/>
            </w:pPr>
            <w:r>
              <w:rPr>
                <w:color w:val="1C3A36"/>
                <w:sz w:val="15"/>
              </w:rPr>
              <w:t>Debtors and other debit balances at 30-Jun-2025. Audited consolidated FS, transition period 1-Jul-2025 to 31-Dec-2025, Crowe unqualified, 18-Feb-2026</w:t>
            </w:r>
          </w:p>
        </w:tc>
      </w:tr>
      <w:tr>
        <w:tc>
          <w:tcPr>
            <w:tcW w:type="dxa" w:w="2736"/>
          </w:tcPr>
          <w:p>
            <w:pPr>
              <w:spacing w:after="20"/>
            </w:pPr>
            <w:r>
              <w:rPr>
                <w:color w:val="1C3A36"/>
                <w:sz w:val="15"/>
              </w:rPr>
              <w:t>creditors_jun25</w:t>
            </w:r>
          </w:p>
        </w:tc>
        <w:tc>
          <w:tcPr>
            <w:tcW w:type="dxa" w:w="2232"/>
          </w:tcPr>
          <w:p>
            <w:pPr>
              <w:spacing w:after="20"/>
            </w:pPr>
            <w:r>
              <w:rPr>
                <w:color w:val="1C3A36"/>
                <w:sz w:val="15"/>
              </w:rPr>
              <w:t>3,102,041,816.0</w:t>
            </w:r>
          </w:p>
        </w:tc>
        <w:tc>
          <w:tcPr>
            <w:tcW w:type="dxa" w:w="1368"/>
          </w:tcPr>
          <w:p>
            <w:pPr>
              <w:spacing w:after="20"/>
            </w:pPr>
            <w:r>
              <w:rPr>
                <w:color w:val="1C3A36"/>
                <w:sz w:val="15"/>
              </w:rPr>
              <w:t>2025-06-30</w:t>
            </w:r>
          </w:p>
        </w:tc>
        <w:tc>
          <w:tcPr>
            <w:tcW w:type="dxa" w:w="3845"/>
          </w:tcPr>
          <w:p>
            <w:pPr>
              <w:spacing w:after="20"/>
            </w:pPr>
            <w:r>
              <w:rPr>
                <w:color w:val="1C3A36"/>
                <w:sz w:val="15"/>
              </w:rPr>
              <w:t>Creditors and other credit balances at 30-Jun-2025. Audited consolidated FS, transition period 1-Jul-2025 to 31-Dec-2025, Crowe unqualified, 18-Feb-2026</w:t>
            </w:r>
          </w:p>
        </w:tc>
      </w:tr>
      <w:tr>
        <w:tc>
          <w:tcPr>
            <w:tcW w:type="dxa" w:w="2736"/>
          </w:tcPr>
          <w:p>
            <w:pPr>
              <w:spacing w:after="20"/>
            </w:pPr>
            <w:r>
              <w:rPr>
                <w:color w:val="1C3A36"/>
                <w:sz w:val="15"/>
              </w:rPr>
              <w:t>payables_jun25</w:t>
            </w:r>
          </w:p>
        </w:tc>
        <w:tc>
          <w:tcPr>
            <w:tcW w:type="dxa" w:w="2232"/>
          </w:tcPr>
          <w:p>
            <w:pPr>
              <w:spacing w:after="20"/>
            </w:pPr>
            <w:r>
              <w:rPr>
                <w:color w:val="1C3A36"/>
                <w:sz w:val="15"/>
              </w:rPr>
              <w:t>15,486,636.0</w:t>
            </w:r>
          </w:p>
        </w:tc>
        <w:tc>
          <w:tcPr>
            <w:tcW w:type="dxa" w:w="1368"/>
          </w:tcPr>
          <w:p>
            <w:pPr>
              <w:spacing w:after="20"/>
            </w:pPr>
            <w:r>
              <w:rPr>
                <w:color w:val="1C3A36"/>
                <w:sz w:val="15"/>
              </w:rPr>
              <w:t>2025-06-30</w:t>
            </w:r>
          </w:p>
        </w:tc>
        <w:tc>
          <w:tcPr>
            <w:tcW w:type="dxa" w:w="3845"/>
          </w:tcPr>
          <w:p>
            <w:pPr>
              <w:spacing w:after="20"/>
            </w:pPr>
            <w:r>
              <w:rPr>
                <w:color w:val="1C3A36"/>
                <w:sz w:val="15"/>
              </w:rPr>
              <w:t>Accounts and notes payable at 30-Jun-2025. Audited consolidated FS, transition period 1-Jul-2025 to 31-Dec-2025, Crowe unqualified, 18-Feb-2026</w:t>
            </w:r>
          </w:p>
        </w:tc>
      </w:tr>
      <w:tr>
        <w:tc>
          <w:tcPr>
            <w:tcW w:type="dxa" w:w="2736"/>
          </w:tcPr>
          <w:p>
            <w:pPr>
              <w:spacing w:after="20"/>
            </w:pPr>
            <w:r>
              <w:rPr>
                <w:color w:val="1C3A36"/>
                <w:sz w:val="15"/>
              </w:rPr>
              <w:t>cash_jun25</w:t>
            </w:r>
          </w:p>
        </w:tc>
        <w:tc>
          <w:tcPr>
            <w:tcW w:type="dxa" w:w="2232"/>
          </w:tcPr>
          <w:p>
            <w:pPr>
              <w:spacing w:after="20"/>
            </w:pPr>
            <w:r>
              <w:rPr>
                <w:color w:val="1C3A36"/>
                <w:sz w:val="15"/>
              </w:rPr>
              <w:t>3,141,779,939.0</w:t>
            </w:r>
          </w:p>
        </w:tc>
        <w:tc>
          <w:tcPr>
            <w:tcW w:type="dxa" w:w="1368"/>
          </w:tcPr>
          <w:p>
            <w:pPr>
              <w:spacing w:after="20"/>
            </w:pPr>
            <w:r>
              <w:rPr>
                <w:color w:val="1C3A36"/>
                <w:sz w:val="15"/>
              </w:rPr>
              <w:t>2025-06-30</w:t>
            </w:r>
          </w:p>
        </w:tc>
        <w:tc>
          <w:tcPr>
            <w:tcW w:type="dxa" w:w="3845"/>
          </w:tcPr>
          <w:p>
            <w:pPr>
              <w:spacing w:after="20"/>
            </w:pPr>
            <w:r>
              <w:rPr>
                <w:color w:val="1C3A36"/>
                <w:sz w:val="15"/>
              </w:rPr>
              <w:t>Cash at banks and on hand at 30-Jun-2025. Audited consolidated FS, transition period 1-Jul-2025 to 31-Dec-2025, Crowe unqualified, 18-Feb-2026</w:t>
            </w:r>
          </w:p>
        </w:tc>
      </w:tr>
      <w:tr>
        <w:tc>
          <w:tcPr>
            <w:tcW w:type="dxa" w:w="2736"/>
          </w:tcPr>
          <w:p>
            <w:pPr>
              <w:spacing w:after="20"/>
            </w:pPr>
            <w:r>
              <w:rPr>
                <w:color w:val="1C3A36"/>
                <w:sz w:val="15"/>
              </w:rPr>
              <w:t>cash_mar26</w:t>
            </w:r>
          </w:p>
        </w:tc>
        <w:tc>
          <w:tcPr>
            <w:tcW w:type="dxa" w:w="2232"/>
          </w:tcPr>
          <w:p>
            <w:pPr>
              <w:spacing w:after="20"/>
            </w:pPr>
            <w:r>
              <w:rPr>
                <w:color w:val="1C3A36"/>
                <w:sz w:val="15"/>
              </w:rPr>
              <w:t>2,204,898,542.0</w:t>
            </w:r>
          </w:p>
        </w:tc>
        <w:tc>
          <w:tcPr>
            <w:tcW w:type="dxa" w:w="1368"/>
          </w:tcPr>
          <w:p>
            <w:pPr>
              <w:spacing w:after="20"/>
            </w:pPr>
            <w:r>
              <w:rPr>
                <w:color w:val="1C3A36"/>
                <w:sz w:val="15"/>
              </w:rPr>
              <w:t>2026-03-31</w:t>
            </w:r>
          </w:p>
        </w:tc>
        <w:tc>
          <w:tcPr>
            <w:tcW w:type="dxa" w:w="3845"/>
          </w:tcPr>
          <w:p>
            <w:pPr>
              <w:spacing w:after="20"/>
            </w:pPr>
            <w:r>
              <w:rPr>
                <w:color w:val="1C3A36"/>
                <w:sz w:val="15"/>
              </w:rPr>
              <w:t>Cash and cash equivalents at 31-Mar-2026. Reviewed consolidated FS, three months to 31-Mar-2026</w:t>
            </w:r>
          </w:p>
        </w:tc>
      </w:tr>
      <w:tr>
        <w:tc>
          <w:tcPr>
            <w:tcW w:type="dxa" w:w="2736"/>
          </w:tcPr>
          <w:p>
            <w:pPr>
              <w:spacing w:after="20"/>
            </w:pPr>
            <w:r>
              <w:rPr>
                <w:color w:val="1C3A36"/>
                <w:sz w:val="15"/>
              </w:rPr>
              <w:t>eq_parent_mar26</w:t>
            </w:r>
          </w:p>
        </w:tc>
        <w:tc>
          <w:tcPr>
            <w:tcW w:type="dxa" w:w="2232"/>
          </w:tcPr>
          <w:p>
            <w:pPr>
              <w:spacing w:after="20"/>
            </w:pPr>
            <w:r>
              <w:rPr>
                <w:color w:val="1C3A36"/>
                <w:sz w:val="15"/>
              </w:rPr>
              <w:t>4,800,890,542.0</w:t>
            </w:r>
          </w:p>
        </w:tc>
        <w:tc>
          <w:tcPr>
            <w:tcW w:type="dxa" w:w="1368"/>
          </w:tcPr>
          <w:p>
            <w:pPr>
              <w:spacing w:after="20"/>
            </w:pPr>
            <w:r>
              <w:rPr>
                <w:color w:val="1C3A36"/>
                <w:sz w:val="15"/>
              </w:rPr>
              <w:t>2026-03-31</w:t>
            </w:r>
          </w:p>
        </w:tc>
        <w:tc>
          <w:tcPr>
            <w:tcW w:type="dxa" w:w="3845"/>
          </w:tcPr>
          <w:p>
            <w:pPr>
              <w:spacing w:after="20"/>
            </w:pPr>
            <w:r>
              <w:rPr>
                <w:color w:val="1C3A36"/>
                <w:sz w:val="15"/>
              </w:rPr>
              <w:t>Total parent equity at 31-Mar-2026. Reviewed consolidated FS, three months to 31-Mar-2026</w:t>
            </w:r>
          </w:p>
        </w:tc>
      </w:tr>
      <w:tr>
        <w:tc>
          <w:tcPr>
            <w:tcW w:type="dxa" w:w="2736"/>
          </w:tcPr>
          <w:p>
            <w:pPr>
              <w:spacing w:after="20"/>
            </w:pPr>
            <w:r>
              <w:rPr>
                <w:color w:val="1C3A36"/>
                <w:sz w:val="15"/>
              </w:rPr>
              <w:t>dep_h2_25</w:t>
            </w:r>
          </w:p>
        </w:tc>
        <w:tc>
          <w:tcPr>
            <w:tcW w:type="dxa" w:w="2232"/>
          </w:tcPr>
          <w:p>
            <w:pPr>
              <w:spacing w:after="20"/>
            </w:pPr>
            <w:r>
              <w:rPr>
                <w:color w:val="1C3A36"/>
                <w:sz w:val="15"/>
              </w:rPr>
              <w:t>70,125,269.0</w:t>
            </w:r>
          </w:p>
        </w:tc>
        <w:tc>
          <w:tcPr>
            <w:tcW w:type="dxa" w:w="1368"/>
          </w:tcPr>
          <w:p>
            <w:pPr>
              <w:spacing w:after="20"/>
            </w:pPr>
            <w:r>
              <w:rPr>
                <w:color w:val="1C3A36"/>
                <w:sz w:val="15"/>
              </w:rPr>
              <w:t>2025-12-31</w:t>
            </w:r>
          </w:p>
        </w:tc>
        <w:tc>
          <w:tcPr>
            <w:tcW w:type="dxa" w:w="3845"/>
          </w:tcPr>
          <w:p>
            <w:pPr>
              <w:spacing w:after="20"/>
            </w:pPr>
            <w:r>
              <w:rPr>
                <w:color w:val="1C3A36"/>
                <w:sz w:val="15"/>
              </w:rPr>
              <w:t>Fixed-asset depreciation and right-of-use amortisation charged in the six months to 31-Dec-2025, per the cash-flow statement. The previous edition modelled depreciation at 1.1% of revenue, about 440mn a year against an actual near 150mn. Audited consolidated FS, transition period 1-Jul-2025 to 31-Dec-2025, Crowe unqualified, 18-Feb-2026</w:t>
            </w:r>
          </w:p>
        </w:tc>
      </w:tr>
      <w:tr>
        <w:tc>
          <w:tcPr>
            <w:tcW w:type="dxa" w:w="2736"/>
          </w:tcPr>
          <w:p>
            <w:pPr>
              <w:spacing w:after="20"/>
            </w:pPr>
            <w:r>
              <w:rPr>
                <w:color w:val="1C3A36"/>
                <w:sz w:val="15"/>
              </w:rPr>
              <w:t>dep_q1_26</w:t>
            </w:r>
          </w:p>
        </w:tc>
        <w:tc>
          <w:tcPr>
            <w:tcW w:type="dxa" w:w="2232"/>
          </w:tcPr>
          <w:p>
            <w:pPr>
              <w:spacing w:after="20"/>
            </w:pPr>
            <w:r>
              <w:rPr>
                <w:color w:val="1C3A36"/>
                <w:sz w:val="15"/>
              </w:rPr>
              <w:t>40,597,611.0</w:t>
            </w:r>
          </w:p>
        </w:tc>
        <w:tc>
          <w:tcPr>
            <w:tcW w:type="dxa" w:w="1368"/>
          </w:tcPr>
          <w:p>
            <w:pPr>
              <w:spacing w:after="20"/>
            </w:pPr>
            <w:r>
              <w:rPr>
                <w:color w:val="1C3A36"/>
                <w:sz w:val="15"/>
              </w:rPr>
              <w:t>2026-03-31</w:t>
            </w:r>
          </w:p>
        </w:tc>
        <w:tc>
          <w:tcPr>
            <w:tcW w:type="dxa" w:w="3845"/>
          </w:tcPr>
          <w:p>
            <w:pPr>
              <w:spacing w:after="20"/>
            </w:pPr>
            <w:r>
              <w:rPr>
                <w:color w:val="1C3A36"/>
                <w:sz w:val="15"/>
              </w:rPr>
              <w:t>Fixed-asset depreciation and right-of-use amortisation, Q1-2026. Reviewed consolidated FS, three months to 31-Mar-2026</w:t>
            </w:r>
          </w:p>
        </w:tc>
      </w:tr>
      <w:tr>
        <w:tc>
          <w:tcPr>
            <w:tcW w:type="dxa" w:w="2736"/>
          </w:tcPr>
          <w:p>
            <w:pPr>
              <w:spacing w:after="20"/>
            </w:pPr>
            <w:r>
              <w:rPr>
                <w:color w:val="1C3A36"/>
                <w:sz w:val="15"/>
              </w:rPr>
              <w:t>capex_h2_25</w:t>
            </w:r>
          </w:p>
        </w:tc>
        <w:tc>
          <w:tcPr>
            <w:tcW w:type="dxa" w:w="2232"/>
          </w:tcPr>
          <w:p>
            <w:pPr>
              <w:spacing w:after="20"/>
            </w:pPr>
            <w:r>
              <w:rPr>
                <w:color w:val="1C3A36"/>
                <w:sz w:val="15"/>
              </w:rPr>
              <w:t>30,357,299.0</w:t>
            </w:r>
          </w:p>
        </w:tc>
        <w:tc>
          <w:tcPr>
            <w:tcW w:type="dxa" w:w="1368"/>
          </w:tcPr>
          <w:p>
            <w:pPr>
              <w:spacing w:after="20"/>
            </w:pPr>
            <w:r>
              <w:rPr>
                <w:color w:val="1C3A36"/>
                <w:sz w:val="15"/>
              </w:rPr>
              <w:t>2025-12-31</w:t>
            </w:r>
          </w:p>
        </w:tc>
        <w:tc>
          <w:tcPr>
            <w:tcW w:type="dxa" w:w="3845"/>
          </w:tcPr>
          <w:p>
            <w:pPr>
              <w:spacing w:after="20"/>
            </w:pPr>
            <w:r>
              <w:rPr>
                <w:color w:val="1C3A36"/>
                <w:sz w:val="15"/>
              </w:rPr>
              <w:t>CASH PAID for projects under construction and fixed assets in the six months to 31-Dec-2025. The previous edition modelled capital expenditure at 1.45% of revenue — about 649mn in the first forecast year — against an actual of roughly a tenth of that. Audited consolidated FS, transition period 1-Jul-2025 to 31-Dec-2025, Crowe unqualified, 18-Feb-2026</w:t>
            </w:r>
          </w:p>
        </w:tc>
      </w:tr>
      <w:tr>
        <w:tc>
          <w:tcPr>
            <w:tcW w:type="dxa" w:w="2736"/>
          </w:tcPr>
          <w:p>
            <w:pPr>
              <w:spacing w:after="20"/>
            </w:pPr>
            <w:r>
              <w:rPr>
                <w:color w:val="1C3A36"/>
                <w:sz w:val="15"/>
              </w:rPr>
              <w:t>capex_q1_26</w:t>
            </w:r>
          </w:p>
        </w:tc>
        <w:tc>
          <w:tcPr>
            <w:tcW w:type="dxa" w:w="2232"/>
          </w:tcPr>
          <w:p>
            <w:pPr>
              <w:spacing w:after="20"/>
            </w:pPr>
            <w:r>
              <w:rPr>
                <w:color w:val="1C3A36"/>
                <w:sz w:val="15"/>
              </w:rPr>
              <w:t>64,984,482.0</w:t>
            </w:r>
          </w:p>
        </w:tc>
        <w:tc>
          <w:tcPr>
            <w:tcW w:type="dxa" w:w="1368"/>
          </w:tcPr>
          <w:p>
            <w:pPr>
              <w:spacing w:after="20"/>
            </w:pPr>
            <w:r>
              <w:rPr>
                <w:color w:val="1C3A36"/>
                <w:sz w:val="15"/>
              </w:rPr>
              <w:t>2026-03-31</w:t>
            </w:r>
          </w:p>
        </w:tc>
        <w:tc>
          <w:tcPr>
            <w:tcW w:type="dxa" w:w="3845"/>
          </w:tcPr>
          <w:p>
            <w:pPr>
              <w:spacing w:after="20"/>
            </w:pPr>
            <w:r>
              <w:rPr>
                <w:color w:val="1C3A36"/>
                <w:sz w:val="15"/>
              </w:rPr>
              <w:t>Cash paid for projects under construction and fixed assets, Q1-2026. Reviewed consolidated FS, three months to 31-Mar-2026</w:t>
            </w:r>
          </w:p>
        </w:tc>
      </w:tr>
      <w:tr>
        <w:tc>
          <w:tcPr>
            <w:tcW w:type="dxa" w:w="2736"/>
          </w:tcPr>
          <w:p>
            <w:pPr>
              <w:spacing w:after="20"/>
            </w:pPr>
            <w:r>
              <w:rPr>
                <w:color w:val="1C3A36"/>
                <w:sz w:val="15"/>
              </w:rPr>
              <w:t>div_h2_25</w:t>
            </w:r>
          </w:p>
        </w:tc>
        <w:tc>
          <w:tcPr>
            <w:tcW w:type="dxa" w:w="2232"/>
          </w:tcPr>
          <w:p>
            <w:pPr>
              <w:spacing w:after="20"/>
            </w:pPr>
            <w:r>
              <w:rPr>
                <w:color w:val="1C3A36"/>
                <w:sz w:val="15"/>
              </w:rPr>
              <w:t>736,577,469.0</w:t>
            </w:r>
          </w:p>
        </w:tc>
        <w:tc>
          <w:tcPr>
            <w:tcW w:type="dxa" w:w="1368"/>
          </w:tcPr>
          <w:p>
            <w:pPr>
              <w:spacing w:after="20"/>
            </w:pPr>
            <w:r>
              <w:rPr>
                <w:color w:val="1C3A36"/>
                <w:sz w:val="15"/>
              </w:rPr>
              <w:t>2025-12-31</w:t>
            </w:r>
          </w:p>
        </w:tc>
        <w:tc>
          <w:tcPr>
            <w:tcW w:type="dxa" w:w="3845"/>
          </w:tcPr>
          <w:p>
            <w:pPr>
              <w:spacing w:after="20"/>
            </w:pPr>
            <w:r>
              <w:rPr>
                <w:color w:val="1C3A36"/>
                <w:sz w:val="15"/>
              </w:rPr>
              <w:t>Cash dividends PAID in the six months to 31-Dec-2025. Audited consolidated FS, transition period 1-Jul-2025 to 31-Dec-2025, Crowe unqualified, 18-Feb-2026</w:t>
            </w:r>
          </w:p>
        </w:tc>
      </w:tr>
      <w:tr>
        <w:tc>
          <w:tcPr>
            <w:tcW w:type="dxa" w:w="2736"/>
          </w:tcPr>
          <w:p>
            <w:pPr>
              <w:spacing w:after="20"/>
            </w:pPr>
            <w:r>
              <w:rPr>
                <w:color w:val="1C3A36"/>
                <w:sz w:val="15"/>
              </w:rPr>
              <w:t>div_q1_26</w:t>
            </w:r>
          </w:p>
        </w:tc>
        <w:tc>
          <w:tcPr>
            <w:tcW w:type="dxa" w:w="2232"/>
          </w:tcPr>
          <w:p>
            <w:pPr>
              <w:spacing w:after="20"/>
            </w:pPr>
            <w:r>
              <w:rPr>
                <w:color w:val="1C3A36"/>
                <w:sz w:val="15"/>
              </w:rPr>
              <w:t>602,957,265.0</w:t>
            </w:r>
          </w:p>
        </w:tc>
        <w:tc>
          <w:tcPr>
            <w:tcW w:type="dxa" w:w="1368"/>
          </w:tcPr>
          <w:p>
            <w:pPr>
              <w:spacing w:after="20"/>
            </w:pPr>
            <w:r>
              <w:rPr>
                <w:color w:val="1C3A36"/>
                <w:sz w:val="15"/>
              </w:rPr>
              <w:t>2026-03-31</w:t>
            </w:r>
          </w:p>
        </w:tc>
        <w:tc>
          <w:tcPr>
            <w:tcW w:type="dxa" w:w="3845"/>
          </w:tcPr>
          <w:p>
            <w:pPr>
              <w:spacing w:after="20"/>
            </w:pPr>
            <w:r>
              <w:rPr>
                <w:color w:val="1C3A36"/>
                <w:sz w:val="15"/>
              </w:rPr>
              <w:t>Cash dividends paid in Q1-2026. Reviewed consolidated FS, three months to 31-Mar-2026</w:t>
            </w:r>
          </w:p>
        </w:tc>
      </w:tr>
      <w:tr>
        <w:tc>
          <w:tcPr>
            <w:tcW w:type="dxa" w:w="2736"/>
          </w:tcPr>
          <w:p>
            <w:pPr>
              <w:spacing w:after="20"/>
            </w:pPr>
            <w:r>
              <w:rPr>
                <w:color w:val="1C3A36"/>
                <w:sz w:val="15"/>
              </w:rPr>
              <w:t>credint_h2_25</w:t>
            </w:r>
          </w:p>
        </w:tc>
        <w:tc>
          <w:tcPr>
            <w:tcW w:type="dxa" w:w="2232"/>
          </w:tcPr>
          <w:p>
            <w:pPr>
              <w:spacing w:after="20"/>
            </w:pPr>
            <w:r>
              <w:rPr>
                <w:color w:val="1C3A36"/>
                <w:sz w:val="15"/>
              </w:rPr>
              <w:t>173,216,413.0</w:t>
            </w:r>
          </w:p>
        </w:tc>
        <w:tc>
          <w:tcPr>
            <w:tcW w:type="dxa" w:w="1368"/>
          </w:tcPr>
          <w:p>
            <w:pPr>
              <w:spacing w:after="20"/>
            </w:pPr>
            <w:r>
              <w:rPr>
                <w:color w:val="1C3A36"/>
                <w:sz w:val="15"/>
              </w:rPr>
              <w:t>2025-12-31</w:t>
            </w:r>
          </w:p>
        </w:tc>
        <w:tc>
          <w:tcPr>
            <w:tcW w:type="dxa" w:w="3845"/>
          </w:tcPr>
          <w:p>
            <w:pPr>
              <w:spacing w:after="20"/>
            </w:pPr>
            <w:r>
              <w:rPr>
                <w:color w:val="1C3A36"/>
                <w:sz w:val="15"/>
              </w:rPr>
              <w:t>Credit interest earned in the six months to 31-Dec-2025, per note 14-B and the cash-flow statement. Audited consolidated FS, transition period 1-Jul-2025 to 31-Dec-2025, Crowe unqualified, 18-Feb-2026</w:t>
            </w:r>
          </w:p>
        </w:tc>
      </w:tr>
      <w:tr>
        <w:tc>
          <w:tcPr>
            <w:tcW w:type="dxa" w:w="2736"/>
          </w:tcPr>
          <w:p>
            <w:pPr>
              <w:spacing w:after="20"/>
            </w:pPr>
            <w:r>
              <w:rPr>
                <w:color w:val="1C3A36"/>
                <w:sz w:val="15"/>
              </w:rPr>
              <w:t>credint_q1_26</w:t>
            </w:r>
          </w:p>
        </w:tc>
        <w:tc>
          <w:tcPr>
            <w:tcW w:type="dxa" w:w="2232"/>
          </w:tcPr>
          <w:p>
            <w:pPr>
              <w:spacing w:after="20"/>
            </w:pPr>
            <w:r>
              <w:rPr>
                <w:color w:val="1C3A36"/>
                <w:sz w:val="15"/>
              </w:rPr>
              <w:t>64,104,178.0</w:t>
            </w:r>
          </w:p>
        </w:tc>
        <w:tc>
          <w:tcPr>
            <w:tcW w:type="dxa" w:w="1368"/>
          </w:tcPr>
          <w:p>
            <w:pPr>
              <w:spacing w:after="20"/>
            </w:pPr>
            <w:r>
              <w:rPr>
                <w:color w:val="1C3A36"/>
                <w:sz w:val="15"/>
              </w:rPr>
              <w:t>2026-03-31</w:t>
            </w:r>
          </w:p>
        </w:tc>
        <w:tc>
          <w:tcPr>
            <w:tcW w:type="dxa" w:w="3845"/>
          </w:tcPr>
          <w:p>
            <w:pPr>
              <w:spacing w:after="20"/>
            </w:pPr>
            <w:r>
              <w:rPr>
                <w:color w:val="1C3A36"/>
                <w:sz w:val="15"/>
              </w:rPr>
              <w:t>Credit interest earned in Q1-2026. Reviewed consolidated FS, three months to 31-Mar-2026</w:t>
            </w:r>
          </w:p>
        </w:tc>
      </w:tr>
      <w:tr>
        <w:tc>
          <w:tcPr>
            <w:tcW w:type="dxa" w:w="2736"/>
          </w:tcPr>
          <w:p>
            <w:pPr>
              <w:spacing w:after="20"/>
            </w:pPr>
            <w:r>
              <w:rPr>
                <w:color w:val="1C3A36"/>
                <w:sz w:val="15"/>
              </w:rPr>
              <w:t>div_declared</w:t>
            </w:r>
          </w:p>
        </w:tc>
        <w:tc>
          <w:tcPr>
            <w:tcW w:type="dxa" w:w="2232"/>
          </w:tcPr>
          <w:p>
            <w:pPr>
              <w:spacing w:after="20"/>
            </w:pPr>
            <w:r>
              <w:rPr>
                <w:color w:val="1C3A36"/>
                <w:sz w:val="15"/>
              </w:rPr>
              <w:t>258,300,000.0</w:t>
            </w:r>
          </w:p>
        </w:tc>
        <w:tc>
          <w:tcPr>
            <w:tcW w:type="dxa" w:w="1368"/>
          </w:tcPr>
          <w:p>
            <w:pPr>
              <w:spacing w:after="20"/>
            </w:pPr>
            <w:r>
              <w:rPr>
                <w:color w:val="1C3A36"/>
                <w:sz w:val="15"/>
              </w:rPr>
              <w:t>2026-06-30</w:t>
            </w:r>
          </w:p>
        </w:tc>
        <w:tc>
          <w:tcPr>
            <w:tcW w:type="dxa" w:w="3845"/>
          </w:tcPr>
          <w:p>
            <w:pPr>
              <w:spacing w:after="20"/>
            </w:pPr>
            <w:r>
              <w:rPr>
                <w:color w:val="1C3A36"/>
                <w:sz w:val="15"/>
              </w:rPr>
              <w:t>Dividends payable at 30-Jun-2026 (note 11) — HALF the 517,250,000 standing six months earlier, because the declared dividend was largely paid. Reviewed consolidated FS, six months to 30-Jun-2026, limited review</w:t>
            </w:r>
          </w:p>
        </w:tc>
      </w:tr>
      <w:tr>
        <w:tc>
          <w:tcPr>
            <w:tcW w:type="dxa" w:w="2736"/>
          </w:tcPr>
          <w:p>
            <w:pPr>
              <w:spacing w:after="20"/>
            </w:pPr>
            <w:r>
              <w:rPr>
                <w:color w:val="1C3A36"/>
                <w:sz w:val="15"/>
              </w:rPr>
              <w:t>nci_share</w:t>
            </w:r>
          </w:p>
        </w:tc>
        <w:tc>
          <w:tcPr>
            <w:tcW w:type="dxa" w:w="2232"/>
          </w:tcPr>
          <w:p>
            <w:pPr>
              <w:spacing w:after="20"/>
            </w:pPr>
            <w:r>
              <w:rPr>
                <w:color w:val="1C3A36"/>
                <w:sz w:val="15"/>
              </w:rPr>
              <w:t>0.0464</w:t>
            </w:r>
          </w:p>
        </w:tc>
        <w:tc>
          <w:tcPr>
            <w:tcW w:type="dxa" w:w="1368"/>
          </w:tcPr>
          <w:p>
            <w:pPr>
              <w:spacing w:after="20"/>
            </w:pPr>
            <w:r>
              <w:rPr>
                <w:color w:val="1C3A36"/>
                <w:sz w:val="15"/>
              </w:rPr>
              <w:t>2025-12-31</w:t>
            </w:r>
          </w:p>
        </w:tc>
        <w:tc>
          <w:tcPr>
            <w:tcW w:type="dxa" w:w="3845"/>
          </w:tcPr>
          <w:p>
            <w:pPr>
              <w:spacing w:after="20"/>
            </w:pPr>
            <w:r>
              <w:rPr>
                <w:color w:val="1C3A36"/>
                <w:sz w:val="15"/>
              </w:rPr>
              <w:t>Non-controlling interest as a share of group profit after tax, six months to 31-Dec-2025 — DISCLOSED, not inferred. The holding in Alexandria Wax Products S.A.E. is registered separately as awp_stake. The previous edition inferred 3.0% from the gap between consolidated and standalone profit; the filing says 4.645%</w:t>
            </w:r>
          </w:p>
        </w:tc>
      </w:tr>
      <w:tr>
        <w:tc>
          <w:tcPr>
            <w:tcW w:type="dxa" w:w="2736"/>
          </w:tcPr>
          <w:p>
            <w:pPr>
              <w:spacing w:after="20"/>
            </w:pPr>
            <w:r>
              <w:rPr>
                <w:color w:val="1C3A36"/>
                <w:sz w:val="15"/>
              </w:rPr>
              <w:t>awp_stake</w:t>
            </w:r>
          </w:p>
        </w:tc>
        <w:tc>
          <w:tcPr>
            <w:tcW w:type="dxa" w:w="2232"/>
          </w:tcPr>
          <w:p>
            <w:pPr>
              <w:spacing w:after="20"/>
            </w:pPr>
            <w:r>
              <w:rPr>
                <w:color w:val="1C3A36"/>
                <w:sz w:val="15"/>
              </w:rPr>
              <w:t>0.8645</w:t>
            </w:r>
          </w:p>
        </w:tc>
        <w:tc>
          <w:tcPr>
            <w:tcW w:type="dxa" w:w="1368"/>
          </w:tcPr>
          <w:p>
            <w:pPr>
              <w:spacing w:after="20"/>
            </w:pPr>
            <w:r>
              <w:rPr>
                <w:color w:val="1C3A36"/>
                <w:sz w:val="15"/>
              </w:rPr>
              <w:t>2025-12-31</w:t>
            </w:r>
          </w:p>
        </w:tc>
        <w:tc>
          <w:tcPr>
            <w:tcW w:type="dxa" w:w="3845"/>
          </w:tcPr>
          <w:p>
            <w:pPr>
              <w:spacing w:after="20"/>
            </w:pPr>
            <w:r>
              <w:rPr>
                <w:color w:val="1C3A36"/>
                <w:sz w:val="15"/>
              </w:rPr>
              <w:t>AMOC's holding in Alexandria Wax Products S.A.E. (note 1-2). This is the counterpart of the non-controlling interest above: the 13.55% AMOC does not own is what the minority's share of profit and of the enterprise is struck on.</w:t>
            </w:r>
          </w:p>
        </w:tc>
      </w:tr>
      <w:tr>
        <w:tc>
          <w:tcPr>
            <w:tcW w:type="dxa" w:w="2736"/>
          </w:tcPr>
          <w:p>
            <w:pPr>
              <w:spacing w:after="20"/>
            </w:pPr>
            <w:r>
              <w:rPr>
                <w:color w:val="1C3A36"/>
                <w:sz w:val="15"/>
              </w:rPr>
              <w:t>alexpet_stake</w:t>
            </w:r>
          </w:p>
        </w:tc>
        <w:tc>
          <w:tcPr>
            <w:tcW w:type="dxa" w:w="2232"/>
          </w:tcPr>
          <w:p>
            <w:pPr>
              <w:spacing w:after="20"/>
            </w:pPr>
            <w:r>
              <w:rPr>
                <w:color w:val="1C3A36"/>
                <w:sz w:val="15"/>
              </w:rPr>
              <w:t>0.2077</w:t>
            </w:r>
          </w:p>
        </w:tc>
        <w:tc>
          <w:tcPr>
            <w:tcW w:type="dxa" w:w="1368"/>
          </w:tcPr>
          <w:p>
            <w:pPr>
              <w:spacing w:after="20"/>
            </w:pPr>
            <w:r>
              <w:rPr>
                <w:color w:val="1C3A36"/>
                <w:sz w:val="15"/>
              </w:rPr>
              <w:t>2025-12-31</w:t>
            </w:r>
          </w:p>
        </w:tc>
        <w:tc>
          <w:tcPr>
            <w:tcW w:type="dxa" w:w="3845"/>
          </w:tcPr>
          <w:p>
            <w:pPr>
              <w:spacing w:after="20"/>
            </w:pPr>
            <w:r>
              <w:rPr>
                <w:color w:val="1C3A36"/>
                <w:sz w:val="15"/>
              </w:rPr>
              <w:t>Alexandria Petroleum Company holds 20.77% of AMOC (note 18, capital structure). The previous edition named the Egyptian General Petroleum Corporation as the 20% shareholder; EGPC is NOT a direct shareholder. Free float (public offering, individuals and other institutions) is 28.77%</w:t>
            </w:r>
          </w:p>
        </w:tc>
      </w:tr>
      <w:tr>
        <w:tc>
          <w:tcPr>
            <w:tcW w:type="dxa" w:w="2736"/>
          </w:tcPr>
          <w:p>
            <w:pPr>
              <w:spacing w:after="20"/>
            </w:pPr>
            <w:r>
              <w:rPr>
                <w:color w:val="1C3A36"/>
                <w:sz w:val="15"/>
              </w:rPr>
              <w:t>egpc_sales</w:t>
            </w:r>
          </w:p>
        </w:tc>
        <w:tc>
          <w:tcPr>
            <w:tcW w:type="dxa" w:w="2232"/>
          </w:tcPr>
          <w:p>
            <w:pPr>
              <w:spacing w:after="20"/>
            </w:pPr>
            <w:r>
              <w:rPr>
                <w:color w:val="1C3A36"/>
                <w:sz w:val="15"/>
              </w:rPr>
              <w:t>15,872,300,000.0</w:t>
            </w:r>
          </w:p>
        </w:tc>
        <w:tc>
          <w:tcPr>
            <w:tcW w:type="dxa" w:w="1368"/>
          </w:tcPr>
          <w:p>
            <w:pPr>
              <w:spacing w:after="20"/>
            </w:pPr>
            <w:r>
              <w:rPr>
                <w:color w:val="1C3A36"/>
                <w:sz w:val="15"/>
              </w:rPr>
              <w:t>2025-12-31</w:t>
            </w:r>
          </w:p>
        </w:tc>
        <w:tc>
          <w:tcPr>
            <w:tcW w:type="dxa" w:w="3845"/>
          </w:tcPr>
          <w:p>
            <w:pPr>
              <w:spacing w:after="20"/>
            </w:pPr>
            <w:r>
              <w:rPr>
                <w:color w:val="1C3A36"/>
                <w:sz w:val="15"/>
              </w:rPr>
              <w:t>Sales of products to the Egyptian General Petroleum Corporation in the six months to 31-Dec-2025 (note 19-3-B) — 76.5% of net sales. EGPC is also the dominant supplier, with 16.3bn of purchases in the same half. That two-sided relationship is the real governance fact, and it is disclosed. Audited consolidated FS, transition period 1-Jul-2025 to 31-Dec-2025, Crowe unqualified, 18-Feb-2026</w:t>
            </w:r>
          </w:p>
        </w:tc>
      </w:tr>
      <w:tr>
        <w:tc>
          <w:tcPr>
            <w:tcW w:type="dxa" w:w="2736"/>
          </w:tcPr>
          <w:p>
            <w:pPr>
              <w:spacing w:after="20"/>
            </w:pPr>
            <w:r>
              <w:rPr>
                <w:color w:val="1C3A36"/>
                <w:sz w:val="15"/>
              </w:rPr>
              <w:t>egpc_balance</w:t>
            </w:r>
          </w:p>
        </w:tc>
        <w:tc>
          <w:tcPr>
            <w:tcW w:type="dxa" w:w="2232"/>
          </w:tcPr>
          <w:p>
            <w:pPr>
              <w:spacing w:after="20"/>
            </w:pPr>
            <w:r>
              <w:rPr>
                <w:color w:val="1C3A36"/>
                <w:sz w:val="15"/>
              </w:rPr>
              <w:t>1,132,353,505.0</w:t>
            </w:r>
          </w:p>
        </w:tc>
        <w:tc>
          <w:tcPr>
            <w:tcW w:type="dxa" w:w="1368"/>
          </w:tcPr>
          <w:p>
            <w:pPr>
              <w:spacing w:after="20"/>
            </w:pPr>
            <w:r>
              <w:rPr>
                <w:color w:val="1C3A36"/>
                <w:sz w:val="15"/>
              </w:rPr>
              <w:t>2025-12-31</w:t>
            </w:r>
          </w:p>
        </w:tc>
        <w:tc>
          <w:tcPr>
            <w:tcW w:type="dxa" w:w="3845"/>
          </w:tcPr>
          <w:p>
            <w:pPr>
              <w:spacing w:after="20"/>
            </w:pPr>
            <w:r>
              <w:rPr>
                <w:color w:val="1C3A36"/>
                <w:sz w:val="15"/>
              </w:rPr>
              <w:t>EGPC current account balance owed at 31-Dec-2025 (note 11). Audited consolidated FS, transition period 1-Jul-2025 to 31-Dec-2025, Crowe unqualified, 18-Feb-2026</w:t>
            </w:r>
          </w:p>
        </w:tc>
      </w:tr>
      <w:tr>
        <w:tc>
          <w:tcPr>
            <w:tcW w:type="dxa" w:w="2736"/>
          </w:tcPr>
          <w:p>
            <w:pPr>
              <w:spacing w:after="20"/>
            </w:pPr>
            <w:r>
              <w:rPr>
                <w:color w:val="1C3A36"/>
                <w:sz w:val="15"/>
              </w:rPr>
              <w:t>line_vol_growth</w:t>
            </w:r>
          </w:p>
        </w:tc>
        <w:tc>
          <w:tcPr>
            <w:tcW w:type="dxa" w:w="2232"/>
          </w:tcPr>
          <w:p>
            <w:pPr>
              <w:spacing w:after="20"/>
            </w:pPr>
            <w:r>
              <w:rPr>
                <w:color w:val="1C3A36"/>
                <w:sz w:val="15"/>
              </w:rPr>
              <w:t>oils: 0, 0, 0, 0, 0; wax: 0, 0, 0, 0, 0; gasoil: 0, 0, 0, 0, 0; naphtha: 0, 0, 0, 0, 0; lpg: 0, 0, 0, 0, 0; fueloil: 0, 0, 0, 0, 0; hfo: 0, 0, 0, 0, 0; waste: 0, 0, 0, 0, 0</w:t>
            </w:r>
          </w:p>
        </w:tc>
        <w:tc>
          <w:tcPr>
            <w:tcW w:type="dxa" w:w="1368"/>
          </w:tcPr>
          <w:p>
            <w:pPr>
              <w:spacing w:after="20"/>
            </w:pPr>
            <w:r>
              <w:rPr>
                <w:color w:val="1C3A36"/>
                <w:sz w:val="15"/>
              </w:rPr>
              <w:t>2026-08-18</w:t>
            </w:r>
          </w:p>
        </w:tc>
        <w:tc>
          <w:tcPr>
            <w:tcW w:type="dxa" w:w="3845"/>
          </w:tcPr>
          <w:p>
            <w:pPr>
              <w:spacing w:after="20"/>
            </w:pPr>
            <w:r>
              <w:rPr>
                <w:color w:val="1C3A36"/>
                <w:sz w:val="15"/>
              </w:rPr>
              <w:t>Volume growth by audited product line: FLAT, every line, every year. The previous edition grew every line (oils +4.5%, wax +7.0%, fuel oil +3.0% in year one) and justified the ranking from the value growth printed between two disclosed HALVES. The company's own audited annual record for FY2021-FY2025 says the opposite: total sales tonnage ran 1,492 / 1,548 / 1,449 / 1,433 / 1,262 thousand tonnes, a fall of 18.5% from the FY2022 peak, and six of the eight lines shrank over FY2022-FY2025 while wax and LPG grew. THE PER-LINE COMPOUND RATES ARE NO LONGER PRINTED [08-09-2026]. This note used to give four of them to a decimal place, and NOTHING IN THIS REPOSITORY CARRIES THE SERIES THEY COME FROM: the three committed filings are two December-2025 statements and one June-2025, note 14-A gives one half's tonnage by line with a value-only comparative, and FY2022 to FY2024 per-line tonnage is in filings this study does not hold. The prose check caught one of the four and the other three were unflagged rather than verified. A figure this desk cannot source is a figure it does not print, so the DIRECTION survives — six lines down, two up, and that is what the argument needs — and the decimals go. The five annual totals above stand on the same footing and are ESCALATED rather than removed, because the bear case is anchored to them. FLAT IS NOT A NEUTRAL ASSUMPTION HERE, IT IS ALREADY THE OPTIMISTIC ONE: the base year is the transition half annualised at 1,616 thousand tonnes, which is 12.5% ABOVE the five-year mean of 1,437 and above every full year in the record. Holding it flat assumes the rebound printed in one half persists. The bear case cuts tonnage harder than that mean requires and the lever is sensitised end to end</w:t>
            </w:r>
          </w:p>
        </w:tc>
      </w:tr>
      <w:tr>
        <w:tc>
          <w:tcPr>
            <w:tcW w:type="dxa" w:w="2736"/>
          </w:tcPr>
          <w:p>
            <w:pPr>
              <w:spacing w:after="20"/>
            </w:pPr>
            <w:r>
              <w:rPr>
                <w:color w:val="1C3A36"/>
                <w:sz w:val="15"/>
              </w:rPr>
              <w:t>payout_reported</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payout ratio COMPUTED from the filings: cash dividends actually PAID in the audited nine months (736,577,469 in the transition half plus 602,957,265 in Q1-2026) over group profit after tax for the same nine months. Not a reported ratio and not an assumption — the two cash-flow statements divided by the two profit lines</w:t>
            </w:r>
          </w:p>
        </w:tc>
      </w:tr>
      <w:tr>
        <w:tc>
          <w:tcPr>
            <w:tcW w:type="dxa" w:w="2736"/>
          </w:tcPr>
          <w:p>
            <w:pPr>
              <w:spacing w:after="20"/>
            </w:pPr>
            <w:r>
              <w:rPr>
                <w:color w:val="1C3A36"/>
                <w:sz w:val="15"/>
              </w:rPr>
              <w:t>dps</w:t>
            </w:r>
          </w:p>
        </w:tc>
        <w:tc>
          <w:tcPr>
            <w:tcW w:type="dxa" w:w="2232"/>
          </w:tcPr>
          <w:p>
            <w:pPr>
              <w:spacing w:after="20"/>
            </w:pPr>
            <w:r>
              <w:rPr>
                <w:color w:val="1C3A36"/>
                <w:sz w:val="15"/>
              </w:rPr>
              <w:t>1.0372</w:t>
            </w:r>
          </w:p>
        </w:tc>
        <w:tc>
          <w:tcPr>
            <w:tcW w:type="dxa" w:w="1368"/>
          </w:tcPr>
          <w:p>
            <w:pPr>
              <w:spacing w:after="20"/>
            </w:pPr>
            <w:r>
              <w:rPr>
                <w:color w:val="1C3A36"/>
                <w:sz w:val="15"/>
              </w:rPr>
              <w:t>2026-03-31</w:t>
            </w:r>
          </w:p>
        </w:tc>
        <w:tc>
          <w:tcPr>
            <w:tcW w:type="dxa" w:w="3845"/>
          </w:tcPr>
          <w:p>
            <w:pPr>
              <w:spacing w:after="20"/>
            </w:pPr>
            <w:r>
              <w:rPr>
                <w:color w:val="1C3A36"/>
                <w:sz w:val="15"/>
              </w:rPr>
              <w:t>Dividend per share, cash actually paid in the audited nine months over shares outstanding. Annualising is left to the reader; the study uses the paid figure</w:t>
            </w:r>
          </w:p>
        </w:tc>
      </w:tr>
      <w:tr>
        <w:tc>
          <w:tcPr>
            <w:tcW w:type="dxa" w:w="2736"/>
          </w:tcPr>
          <w:p>
            <w:pPr>
              <w:spacing w:after="20"/>
            </w:pPr>
            <w:r>
              <w:rPr>
                <w:color w:val="1C3A36"/>
                <w:sz w:val="15"/>
              </w:rPr>
              <w:t>beta</w:t>
            </w:r>
          </w:p>
        </w:tc>
        <w:tc>
          <w:tcPr>
            <w:tcW w:type="dxa" w:w="2232"/>
          </w:tcPr>
          <w:p>
            <w:pPr>
              <w:spacing w:after="20"/>
            </w:pPr>
            <w:r>
              <w:rPr>
                <w:color w:val="1C3A36"/>
                <w:sz w:val="15"/>
              </w:rPr>
              <w:t>0.9063</w:t>
            </w:r>
          </w:p>
        </w:tc>
        <w:tc>
          <w:tcPr>
            <w:tcW w:type="dxa" w:w="1368"/>
          </w:tcPr>
          <w:p>
            <w:pPr>
              <w:spacing w:after="20"/>
            </w:pPr>
            <w:r>
              <w:rPr>
                <w:color w:val="1C3A36"/>
                <w:sz w:val="15"/>
              </w:rPr>
              <w:t>2026-09-08</w:t>
            </w:r>
          </w:p>
        </w:tc>
        <w:tc>
          <w:tcPr>
            <w:tcW w:type="dxa" w:w="3845"/>
          </w:tcPr>
          <w:p>
            <w:pPr>
              <w:spacing w:after="20"/>
            </w:pPr>
            <w:r>
              <w:rPr>
                <w:color w:val="1C3A36"/>
                <w:sz w:val="15"/>
              </w:rPr>
              <w:t>Own-stock tier-1 regression, AMOC weekly log-returns against raw_indices/EG/EGX30.csv — the published index of the exchange AMOC is listed on, series as of 2026-09-08, resolved by beta_regression.own_stock_beta() rather than hand-rolled. R-squared 0.236, n = 256, standard error 0.175, 90% confidence interval [0.619, 1.193]. Passes the usability gate. THIS REPLACES the previous edition's 0.9405, which was regressed against a 33-name equal-weight composite of the covered Egyptian names — a coverage artefact rather than a market, and a source-integrity failure whatever number it produced. The correction is small on this name and it is made because the provenance was wrong, not because the answer was.</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brent_path</w:t>
            </w:r>
          </w:p>
        </w:tc>
        <w:tc>
          <w:tcPr>
            <w:tcW w:type="dxa" w:w="2232"/>
          </w:tcPr>
          <w:p>
            <w:pPr>
              <w:spacing w:after="20"/>
            </w:pPr>
            <w:r>
              <w:rPr>
                <w:color w:val="1C3A36"/>
                <w:sz w:val="15"/>
              </w:rPr>
              <w:t>70, 71.5, 73, 74.5, 76</w:t>
            </w:r>
          </w:p>
        </w:tc>
        <w:tc>
          <w:tcPr>
            <w:tcW w:type="dxa" w:w="1368"/>
          </w:tcPr>
          <w:p>
            <w:pPr>
              <w:spacing w:after="20"/>
            </w:pPr>
            <w:r>
              <w:rPr>
                <w:color w:val="1C3A36"/>
                <w:sz w:val="15"/>
              </w:rPr>
              <w:t>2026-08-06</w:t>
            </w:r>
          </w:p>
        </w:tc>
        <w:tc>
          <w:tcPr>
            <w:tcW w:type="dxa" w:w="3845"/>
          </w:tcPr>
          <w:p>
            <w:pPr>
              <w:spacing w:after="20"/>
            </w:pPr>
            <w:r>
              <w:rPr>
                <w:color w:val="1C3A36"/>
                <w:sz w:val="15"/>
              </w:rPr>
              <w:t>Brent crude reference path, USD a barrel, 2026E-2030E. A flat-to-slowly-rising deck, CARRIED FOR CONTEXT AND DRIVING NOTHING — corrected 10-09-2026, because this entry said the opposite. It read 'it is now the spine of both sides of the margin: every product realisation is this deck times a crack multiple solved from the disclosed product table, and the feedstock charge is this deck times a differential solved from disclosed cost of sales'. THAT WAS TRUE FOR ONE REVISION AND THEN STOPPED BEING TRUE. The reviewed filing discloses the eight-line product table and the cost stack directly, so both the crack multiple and the solved differential were retired and, in the study's own words about that change, nothing is reconstructed now. The note describing the retired machinery was left behind. MEASURED RATHER THAN ARGUED: rebuilding this study on a flat deck at USD 101.21 — the Brent settlement Reuters reported for 9 September 2026, above USD 100 since the 3rd on Middle East escalation — gives a central of EGP 20.0503 against EGP 20.0503 on this deck. Identical to four decimal places, which is what a driver that drives nothing looks like. THE CONSEQUENCE IS WORTH STATING PLAINLY: this valuation carries no forecast of the oil price. Its realisations and its feedstock charge are the company's own filed figures, escalated on the house ladder, so a reader who disagrees with any crude view is not disagreeing with this study</w:t>
            </w:r>
          </w:p>
        </w:tc>
      </w:tr>
      <w:tr>
        <w:tc>
          <w:tcPr>
            <w:tcW w:type="dxa" w:w="2736"/>
          </w:tcPr>
          <w:p>
            <w:pPr>
              <w:spacing w:after="20"/>
            </w:pPr>
            <w:r>
              <w:rPr>
                <w:color w:val="1C3A36"/>
                <w:sz w:val="15"/>
              </w:rPr>
              <w:t>crude_hist</w:t>
            </w:r>
          </w:p>
        </w:tc>
        <w:tc>
          <w:tcPr>
            <w:tcW w:type="dxa" w:w="2232"/>
          </w:tcPr>
          <w:p>
            <w:pPr>
              <w:spacing w:after="20"/>
            </w:pPr>
            <w:r>
              <w:rPr>
                <w:color w:val="1C3A36"/>
                <w:sz w:val="15"/>
              </w:rPr>
              <w:t>fy23: 85; fy24: 84; fy25: 74; cy25: 70</w:t>
            </w:r>
          </w:p>
        </w:tc>
        <w:tc>
          <w:tcPr>
            <w:tcW w:type="dxa" w:w="1368"/>
          </w:tcPr>
          <w:p>
            <w:pPr>
              <w:spacing w:after="20"/>
            </w:pPr>
            <w:r>
              <w:rPr>
                <w:color w:val="1C3A36"/>
                <w:sz w:val="15"/>
              </w:rPr>
              <w:t>2026-08-06</w:t>
            </w:r>
          </w:p>
        </w:tc>
        <w:tc>
          <w:tcPr>
            <w:tcW w:type="dxa" w:w="3845"/>
          </w:tcPr>
          <w:p>
            <w:pPr>
              <w:spacing w:after="20"/>
            </w:pPr>
            <w:r>
              <w:rPr>
                <w:color w:val="1C3A36"/>
                <w:sz w:val="15"/>
              </w:rPr>
              <w:t>Brent averages for the four historical periods, USD a barrel. HOUSE ESTIMATES read off the published price record for each window, not company disclosure. They matter less than they look: the crude level enters the margin on BOTH sides and very largely cancels, which the study demonstrates rather than asserts</w:t>
            </w:r>
          </w:p>
        </w:tc>
      </w:tr>
    </w:tbl>
    <w:p>
      <w:pPr>
        <w:spacing w:after="40"/>
      </w:pPr>
    </w:p>
    <w:p>
      <w:pPr>
        <w:spacing w:after="60" w:before="160"/>
      </w:pPr>
      <w:r>
        <w:rPr>
          <w:b/>
          <w:i w:val="0"/>
          <w:color w:val="1C3A36"/>
          <w:sz w:val="22"/>
        </w:rPr>
        <w:t>Country layer — 17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fixed_cost_infl</w:t>
            </w:r>
          </w:p>
        </w:tc>
        <w:tc>
          <w:tcPr>
            <w:tcW w:type="dxa" w:w="2232"/>
          </w:tcPr>
          <w:p>
            <w:pPr>
              <w:spacing w:after="20"/>
            </w:pPr>
            <w:r>
              <w:rPr>
                <w:color w:val="1C3A36"/>
                <w:sz w:val="15"/>
              </w:rPr>
              <w:t>1.33, 1.28, 1.12, 1.16, 1.12, 1.09, 1.075, 1.07</w:t>
            </w:r>
          </w:p>
        </w:tc>
        <w:tc>
          <w:tcPr>
            <w:tcW w:type="dxa" w:w="1368"/>
          </w:tcPr>
          <w:p>
            <w:pPr>
              <w:spacing w:after="20"/>
            </w:pPr>
            <w:r>
              <w:rPr>
                <w:color w:val="1C3A36"/>
                <w:sz w:val="15"/>
              </w:rPr>
              <w:t>2026-09-02</w:t>
            </w:r>
          </w:p>
        </w:tc>
        <w:tc>
          <w:tcPr>
            <w:tcW w:type="dxa" w:w="3845"/>
          </w:tcPr>
          <w:p>
            <w:pPr>
              <w:spacing w:after="20"/>
            </w:pPr>
            <w:r>
              <w:rPr>
                <w:color w:val="1C3A36"/>
                <w:sz w:val="15"/>
              </w:rPr>
              <w:t>Cumulative-year Egyptian inflation factors applied to the pound-denominated cost legs — salaries inside cost of sales, the other line, administrative and marketing expense, and capital expenditure. The three HISTORICAL years are as printed. The five FORECAST years are the single Egyptian inflation path this series uses for every Egyptian company it values, read from that path rather than set for this study: no valuation here sets an inflation rate of its own, because a company cannot be valued in an economy the study beside it does not recognise. The path is the central bank's published disinflation ladder, and the years between published points are labelled as interpolated where they are</w:t>
            </w:r>
          </w:p>
        </w:tc>
      </w:tr>
      <w:tr>
        <w:tc>
          <w:tcPr>
            <w:tcW w:type="dxa" w:w="2736"/>
          </w:tcPr>
          <w:p>
            <w:pPr>
              <w:spacing w:after="20"/>
            </w:pPr>
            <w:r>
              <w:rPr>
                <w:color w:val="1C3A36"/>
                <w:sz w:val="15"/>
              </w:rPr>
              <w:t>fx_hist</w:t>
            </w:r>
          </w:p>
        </w:tc>
        <w:tc>
          <w:tcPr>
            <w:tcW w:type="dxa" w:w="2232"/>
          </w:tcPr>
          <w:p>
            <w:pPr>
              <w:spacing w:after="20"/>
            </w:pPr>
            <w:r>
              <w:rPr>
                <w:color w:val="1C3A36"/>
                <w:sz w:val="15"/>
              </w:rPr>
              <w:t>fy23: 28.5; fy24: 36.4; fy25: 48.9; cy25: 48.7</w:t>
            </w:r>
          </w:p>
        </w:tc>
        <w:tc>
          <w:tcPr>
            <w:tcW w:type="dxa" w:w="1368"/>
          </w:tcPr>
          <w:p>
            <w:pPr>
              <w:spacing w:after="20"/>
            </w:pPr>
            <w:r>
              <w:rPr>
                <w:color w:val="1C3A36"/>
                <w:sz w:val="15"/>
              </w:rPr>
              <w:t>2026-08-06</w:t>
            </w:r>
          </w:p>
        </w:tc>
        <w:tc>
          <w:tcPr>
            <w:tcW w:type="dxa" w:w="3845"/>
          </w:tcPr>
          <w:p>
            <w:pPr>
              <w:spacing w:after="20"/>
            </w:pPr>
            <w:r>
              <w:rPr>
                <w:color w:val="1C3A36"/>
                <w:sz w:val="15"/>
              </w:rPr>
              <w:t>USD/EGP averages for the four historical periods. The June-2024 figure is built month by month across the March-2024 float (eight months near 30.9, four near 47.5); the others are period averages of the published rate. HOUSE ESTIMATES</w:t>
            </w:r>
          </w:p>
        </w:tc>
      </w:tr>
      <w:tr>
        <w:tc>
          <w:tcPr>
            <w:tcW w:type="dxa" w:w="2736"/>
          </w:tcPr>
          <w:p>
            <w:pPr>
              <w:spacing w:after="20"/>
            </w:pPr>
            <w:r>
              <w:rPr>
                <w:color w:val="1C3A36"/>
                <w:sz w:val="15"/>
              </w:rPr>
              <w:t>rf</w:t>
            </w:r>
          </w:p>
        </w:tc>
        <w:tc>
          <w:tcPr>
            <w:tcW w:type="dxa" w:w="2232"/>
          </w:tcPr>
          <w:p>
            <w:pPr>
              <w:spacing w:after="20"/>
            </w:pPr>
            <w:r>
              <w:rPr>
                <w:color w:val="1C3A36"/>
                <w:sz w:val="15"/>
              </w:rPr>
              <w:t>0.2231</w:t>
            </w:r>
          </w:p>
        </w:tc>
        <w:tc>
          <w:tcPr>
            <w:tcW w:type="dxa" w:w="1368"/>
          </w:tcPr>
          <w:p>
            <w:pPr>
              <w:spacing w:after="20"/>
            </w:pPr>
            <w:r>
              <w:rPr>
                <w:color w:val="1C3A36"/>
                <w:sz w:val="15"/>
              </w:rPr>
              <w:t>2026-07-21</w:t>
            </w:r>
          </w:p>
        </w:tc>
        <w:tc>
          <w:tcPr>
            <w:tcW w:type="dxa" w:w="3845"/>
          </w:tcPr>
          <w:p>
            <w:pPr>
              <w:spacing w:after="20"/>
            </w:pPr>
            <w:r>
              <w:rPr>
                <w:color w:val="1C3A36"/>
                <w:sz w:val="15"/>
              </w:rPr>
              <w:t>Egypt 10-year local-currency government bond yield, 22.31% (house cost-of-capital reference, cached 21-Jul-2026 print, re-verified 06-Aug-2026)</w:t>
            </w:r>
          </w:p>
        </w:tc>
      </w:tr>
      <w:tr>
        <w:tc>
          <w:tcPr>
            <w:tcW w:type="dxa" w:w="2736"/>
          </w:tcPr>
          <w:p>
            <w:pPr>
              <w:spacing w:after="20"/>
            </w:pPr>
            <w:r>
              <w:rPr>
                <w:color w:val="1C3A36"/>
                <w:sz w:val="15"/>
              </w:rPr>
              <w:t>sov_spread_cds</w:t>
            </w:r>
          </w:p>
        </w:tc>
        <w:tc>
          <w:tcPr>
            <w:tcW w:type="dxa" w:w="2232"/>
          </w:tcPr>
          <w:p>
            <w:pPr>
              <w:spacing w:after="20"/>
            </w:pPr>
            <w:r>
              <w:rPr>
                <w:color w:val="1C3A36"/>
                <w:sz w:val="15"/>
              </w:rPr>
              <w:t>0.034</w:t>
            </w:r>
          </w:p>
        </w:tc>
        <w:tc>
          <w:tcPr>
            <w:tcW w:type="dxa" w:w="1368"/>
          </w:tcPr>
          <w:p>
            <w:pPr>
              <w:spacing w:after="20"/>
            </w:pPr>
            <w:r>
              <w:rPr>
                <w:color w:val="1C3A36"/>
                <w:sz w:val="15"/>
              </w:rPr>
              <w:t>2026-01-05</w:t>
            </w:r>
          </w:p>
        </w:tc>
        <w:tc>
          <w:tcPr>
            <w:tcW w:type="dxa" w:w="3845"/>
          </w:tcPr>
          <w:p>
            <w:pPr>
              <w:spacing w:after="20"/>
            </w:pPr>
            <w:r>
              <w:rPr>
                <w:color w:val="1C3A36"/>
                <w:sz w:val="15"/>
              </w:rPr>
              <w:t>Egypt credit-default-swap-implied sovereign default spread, Damodaran January-2026 country-premium file, CDS column. Netted out of the local-currency risk-free rate so sovereign default risk is not charged twice</w:t>
            </w:r>
          </w:p>
        </w:tc>
      </w:tr>
      <w:tr>
        <w:tc>
          <w:tcPr>
            <w:tcW w:type="dxa" w:w="2736"/>
          </w:tcPr>
          <w:p>
            <w:pPr>
              <w:spacing w:after="20"/>
            </w:pPr>
            <w:r>
              <w:rPr>
                <w:color w:val="1C3A36"/>
                <w:sz w:val="15"/>
              </w:rPr>
              <w:t>sov_spread_rating</w:t>
            </w:r>
          </w:p>
        </w:tc>
        <w:tc>
          <w:tcPr>
            <w:tcW w:type="dxa" w:w="2232"/>
          </w:tcPr>
          <w:p>
            <w:pPr>
              <w:spacing w:after="20"/>
            </w:pPr>
            <w:r>
              <w:rPr>
                <w:color w:val="1C3A36"/>
                <w:sz w:val="15"/>
              </w:rPr>
              <w:t>0.0637</w:t>
            </w:r>
          </w:p>
        </w:tc>
        <w:tc>
          <w:tcPr>
            <w:tcW w:type="dxa" w:w="1368"/>
          </w:tcPr>
          <w:p>
            <w:pPr>
              <w:spacing w:after="20"/>
            </w:pPr>
            <w:r>
              <w:rPr>
                <w:color w:val="1C3A36"/>
                <w:sz w:val="15"/>
              </w:rPr>
              <w:t>2026-01-05</w:t>
            </w:r>
          </w:p>
        </w:tc>
        <w:tc>
          <w:tcPr>
            <w:tcW w:type="dxa" w:w="3845"/>
          </w:tcPr>
          <w:p>
            <w:pPr>
              <w:spacing w:after="20"/>
            </w:pPr>
            <w:r>
              <w:rPr>
                <w:color w:val="1C3A36"/>
                <w:sz w:val="15"/>
              </w:rPr>
              <w:t>Damodaran adjusted default spread on the rating basis, January-2026 — the alternative construction, disclosed for the audit trail</w:t>
            </w:r>
          </w:p>
        </w:tc>
      </w:tr>
      <w:tr>
        <w:tc>
          <w:tcPr>
            <w:tcW w:type="dxa" w:w="2736"/>
          </w:tcPr>
          <w:p>
            <w:pPr>
              <w:spacing w:after="20"/>
            </w:pPr>
            <w:r>
              <w:rPr>
                <w:color w:val="1C3A36"/>
                <w:sz w:val="15"/>
              </w:rPr>
              <w:t>erp_cds</w:t>
            </w:r>
          </w:p>
        </w:tc>
        <w:tc>
          <w:tcPr>
            <w:tcW w:type="dxa" w:w="2232"/>
          </w:tcPr>
          <w:p>
            <w:pPr>
              <w:spacing w:after="20"/>
            </w:pPr>
            <w:r>
              <w:rPr>
                <w:color w:val="1C3A36"/>
                <w:sz w:val="15"/>
              </w:rPr>
              <w:t>0.0941</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CDS column, last updated 5 January 2026 — total equity risk premium</w:t>
            </w:r>
          </w:p>
        </w:tc>
      </w:tr>
      <w:tr>
        <w:tc>
          <w:tcPr>
            <w:tcW w:type="dxa" w:w="2736"/>
          </w:tcPr>
          <w:p>
            <w:pPr>
              <w:spacing w:after="20"/>
            </w:pPr>
            <w:r>
              <w:rPr>
                <w:color w:val="1C3A36"/>
                <w:sz w:val="15"/>
              </w:rPr>
              <w:t>erp_rating</w:t>
            </w:r>
          </w:p>
        </w:tc>
        <w:tc>
          <w:tcPr>
            <w:tcW w:type="dxa" w:w="2232"/>
          </w:tcPr>
          <w:p>
            <w:pPr>
              <w:spacing w:after="20"/>
            </w:pPr>
            <w:r>
              <w:rPr>
                <w:color w:val="1C3A36"/>
                <w:sz w:val="15"/>
              </w:rPr>
              <w:t>0.1394</w:t>
            </w:r>
          </w:p>
        </w:tc>
        <w:tc>
          <w:tcPr>
            <w:tcW w:type="dxa" w:w="1368"/>
          </w:tcPr>
          <w:p>
            <w:pPr>
              <w:spacing w:after="20"/>
            </w:pPr>
            <w:r>
              <w:rPr>
                <w:color w:val="1C3A36"/>
                <w:sz w:val="15"/>
              </w:rPr>
              <w:t>2026-01-05</w:t>
            </w:r>
          </w:p>
        </w:tc>
        <w:tc>
          <w:tcPr>
            <w:tcW w:type="dxa" w:w="3845"/>
          </w:tcPr>
          <w:p>
            <w:pPr>
              <w:spacing w:after="20"/>
            </w:pPr>
            <w:r>
              <w:rPr>
                <w:color w:val="1C3A36"/>
                <w:sz w:val="15"/>
              </w:rPr>
              <w:t>Damodaran original country-premium file, Egypt row, rating basis, January-2026 — the alternative</w:t>
            </w:r>
          </w:p>
        </w:tc>
      </w:tr>
      <w:tr>
        <w:tc>
          <w:tcPr>
            <w:tcW w:type="dxa" w:w="2736"/>
          </w:tcPr>
          <w:p>
            <w:pPr>
              <w:spacing w:after="20"/>
            </w:pPr>
            <w:r>
              <w:rPr>
                <w:color w:val="1C3A36"/>
                <w:sz w:val="15"/>
              </w:rPr>
              <w:t>policy_rate</w:t>
            </w:r>
          </w:p>
        </w:tc>
        <w:tc>
          <w:tcPr>
            <w:tcW w:type="dxa" w:w="2232"/>
          </w:tcPr>
          <w:p>
            <w:pPr>
              <w:spacing w:after="20"/>
            </w:pPr>
            <w:r>
              <w:rPr>
                <w:color w:val="1C3A36"/>
                <w:sz w:val="15"/>
              </w:rPr>
              <w:t>0.195</w:t>
            </w:r>
          </w:p>
        </w:tc>
        <w:tc>
          <w:tcPr>
            <w:tcW w:type="dxa" w:w="1368"/>
          </w:tcPr>
          <w:p>
            <w:pPr>
              <w:spacing w:after="20"/>
            </w:pPr>
            <w:r>
              <w:rPr>
                <w:color w:val="1C3A36"/>
                <w:sz w:val="15"/>
              </w:rPr>
              <w:t>2026-08-06</w:t>
            </w:r>
          </w:p>
        </w:tc>
        <w:tc>
          <w:tcPr>
            <w:tcW w:type="dxa" w:w="3845"/>
          </w:tcPr>
          <w:p>
            <w:pPr>
              <w:spacing w:after="20"/>
            </w:pPr>
            <w:r>
              <w:rPr>
                <w:color w:val="1C3A36"/>
                <w:sz w:val="15"/>
              </w:rPr>
              <w:t>Central Bank of Egypt main operation rate 19.50% (corridor 19.00/20.00), held at the third meeting of 2026 — a second consecutive hold</w:t>
            </w:r>
          </w:p>
        </w:tc>
      </w:tr>
      <w:tr>
        <w:tc>
          <w:tcPr>
            <w:tcW w:type="dxa" w:w="2736"/>
          </w:tcPr>
          <w:p>
            <w:pPr>
              <w:spacing w:after="20"/>
            </w:pPr>
            <w:r>
              <w:rPr>
                <w:color w:val="1C3A36"/>
                <w:sz w:val="15"/>
              </w:rPr>
              <w:t>cpi</w:t>
            </w:r>
          </w:p>
        </w:tc>
        <w:tc>
          <w:tcPr>
            <w:tcW w:type="dxa" w:w="2232"/>
          </w:tcPr>
          <w:p>
            <w:pPr>
              <w:spacing w:after="20"/>
            </w:pPr>
            <w:r>
              <w:rPr>
                <w:color w:val="1C3A36"/>
                <w:sz w:val="15"/>
              </w:rPr>
              <w:t>0.143</w:t>
            </w:r>
          </w:p>
        </w:tc>
        <w:tc>
          <w:tcPr>
            <w:tcW w:type="dxa" w:w="1368"/>
          </w:tcPr>
          <w:p>
            <w:pPr>
              <w:spacing w:after="20"/>
            </w:pPr>
            <w:r>
              <w:rPr>
                <w:color w:val="1C3A36"/>
                <w:sz w:val="15"/>
              </w:rPr>
              <w:t>2026-06-30</w:t>
            </w:r>
          </w:p>
        </w:tc>
        <w:tc>
          <w:tcPr>
            <w:tcW w:type="dxa" w:w="3845"/>
          </w:tcPr>
          <w:p>
            <w:pPr>
              <w:spacing w:after="20"/>
            </w:pPr>
            <w:r>
              <w:rPr>
                <w:color w:val="1C3A36"/>
                <w:sz w:val="15"/>
              </w:rPr>
              <w:t>Egypt annual headline inflation 14.30% in June 2026, down from 14.60% in May. The central bank expects inflation to accelerate through the third quarter of 2026 on base effects, supply pressures and fiscal adjustment before resuming its decline</w:t>
            </w:r>
          </w:p>
        </w:tc>
      </w:tr>
      <w:tr>
        <w:tc>
          <w:tcPr>
            <w:tcW w:type="dxa" w:w="2736"/>
          </w:tcPr>
          <w:p>
            <w:pPr>
              <w:spacing w:after="20"/>
            </w:pPr>
            <w:r>
              <w:rPr>
                <w:color w:val="1C3A36"/>
                <w:sz w:val="15"/>
              </w:rPr>
              <w:t>cbe_target</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The central bank's own stated inflation target, 7% (+/-2pp) on average for the fourth quarter of 2026, falling to 5% (+/-2pp) for the fourth quarter of 2028</w:t>
            </w:r>
          </w:p>
        </w:tc>
      </w:tr>
      <w:tr>
        <w:tc>
          <w:tcPr>
            <w:tcW w:type="dxa" w:w="2736"/>
          </w:tcPr>
          <w:p>
            <w:pPr>
              <w:spacing w:after="20"/>
            </w:pPr>
            <w:r>
              <w:rPr>
                <w:color w:val="1C3A36"/>
                <w:sz w:val="15"/>
              </w:rPr>
              <w:t>fx</w:t>
            </w:r>
          </w:p>
        </w:tc>
        <w:tc>
          <w:tcPr>
            <w:tcW w:type="dxa" w:w="2232"/>
          </w:tcPr>
          <w:p>
            <w:pPr>
              <w:spacing w:after="20"/>
            </w:pPr>
            <w:r>
              <w:rPr>
                <w:color w:val="1C3A36"/>
                <w:sz w:val="15"/>
              </w:rPr>
              <w:t>50.25</w:t>
            </w:r>
          </w:p>
        </w:tc>
        <w:tc>
          <w:tcPr>
            <w:tcW w:type="dxa" w:w="1368"/>
          </w:tcPr>
          <w:p>
            <w:pPr>
              <w:spacing w:after="20"/>
            </w:pPr>
            <w:r>
              <w:rPr>
                <w:color w:val="1C3A36"/>
                <w:sz w:val="15"/>
              </w:rPr>
              <w:t>2026-08-06</w:t>
            </w:r>
          </w:p>
        </w:tc>
        <w:tc>
          <w:tcPr>
            <w:tcW w:type="dxa" w:w="3845"/>
          </w:tcPr>
          <w:p>
            <w:pPr>
              <w:spacing w:after="20"/>
            </w:pPr>
            <w:r>
              <w:rPr>
                <w:color w:val="1C3A36"/>
                <w:sz w:val="15"/>
              </w:rPr>
              <w:t>USD/EGP 50.25; the pound closed at 50.30/50.40 on 4 August 2026. The 52-week range is 46.64-54.86, so the currency is not range-bound</w:t>
            </w:r>
          </w:p>
        </w:tc>
      </w:tr>
      <w:tr>
        <w:tc>
          <w:tcPr>
            <w:tcW w:type="dxa" w:w="2736"/>
          </w:tcPr>
          <w:p>
            <w:pPr>
              <w:spacing w:after="20"/>
            </w:pPr>
            <w:r>
              <w:rPr>
                <w:color w:val="1C3A36"/>
                <w:sz w:val="15"/>
              </w:rPr>
              <w:t>fx_avg_cy25</w:t>
            </w:r>
          </w:p>
        </w:tc>
        <w:tc>
          <w:tcPr>
            <w:tcW w:type="dxa" w:w="2232"/>
          </w:tcPr>
          <w:p>
            <w:pPr>
              <w:spacing w:after="20"/>
            </w:pPr>
            <w:r>
              <w:rPr>
                <w:color w:val="1C3A36"/>
                <w:sz w:val="15"/>
              </w:rPr>
              <w:t>48.7</w:t>
            </w:r>
          </w:p>
        </w:tc>
        <w:tc>
          <w:tcPr>
            <w:tcW w:type="dxa" w:w="1368"/>
          </w:tcPr>
          <w:p>
            <w:pPr>
              <w:spacing w:after="20"/>
            </w:pPr>
            <w:r>
              <w:rPr>
                <w:color w:val="1C3A36"/>
                <w:sz w:val="15"/>
              </w:rPr>
              <w:t>2025-12-31</w:t>
            </w:r>
          </w:p>
        </w:tc>
        <w:tc>
          <w:tcPr>
            <w:tcW w:type="dxa" w:w="3845"/>
          </w:tcPr>
          <w:p>
            <w:pPr>
              <w:spacing w:after="20"/>
            </w:pPr>
            <w:r>
              <w:rPr>
                <w:color w:val="1C3A36"/>
                <w:sz w:val="15"/>
              </w:rPr>
              <w:t>USD/EGP average rate for calendar 2025, used to convert the dollar-denominated unit build back to the reported base year</w:t>
            </w:r>
          </w:p>
        </w:tc>
      </w:tr>
      <w:tr>
        <w:tc>
          <w:tcPr>
            <w:tcW w:type="dxa" w:w="2736"/>
          </w:tcPr>
          <w:p>
            <w:pPr>
              <w:spacing w:after="20"/>
            </w:pPr>
            <w:r>
              <w:rPr>
                <w:color w:val="1C3A36"/>
                <w:sz w:val="15"/>
              </w:rPr>
              <w:t>tax_stat</w:t>
            </w:r>
          </w:p>
        </w:tc>
        <w:tc>
          <w:tcPr>
            <w:tcW w:type="dxa" w:w="2232"/>
          </w:tcPr>
          <w:p>
            <w:pPr>
              <w:spacing w:after="20"/>
            </w:pPr>
            <w:r>
              <w:rPr>
                <w:color w:val="1C3A36"/>
                <w:sz w:val="15"/>
              </w:rPr>
              <w:t>0.225</w:t>
            </w:r>
          </w:p>
        </w:tc>
        <w:tc>
          <w:tcPr>
            <w:tcW w:type="dxa" w:w="1368"/>
          </w:tcPr>
          <w:p>
            <w:pPr>
              <w:spacing w:after="20"/>
            </w:pPr>
            <w:r>
              <w:rPr>
                <w:color w:val="1C3A36"/>
                <w:sz w:val="15"/>
              </w:rPr>
              <w:t>2026</w:t>
            </w:r>
          </w:p>
        </w:tc>
        <w:tc>
          <w:tcPr>
            <w:tcW w:type="dxa" w:w="3845"/>
          </w:tcPr>
          <w:p>
            <w:pPr>
              <w:spacing w:after="20"/>
            </w:pPr>
            <w:r>
              <w:rPr>
                <w:color w:val="1C3A36"/>
                <w:sz w:val="15"/>
              </w:rPr>
              <w:t>Egypt corporate income tax 22.5%. AMOC is a downstream processor and is taxed at the ordinary corporate rate, not the ~40.55% rate that applies to exploration and production concessions</w:t>
            </w:r>
          </w:p>
        </w:tc>
      </w:tr>
      <w:tr>
        <w:tc>
          <w:tcPr>
            <w:tcW w:type="dxa" w:w="2736"/>
          </w:tcPr>
          <w:p>
            <w:pPr>
              <w:spacing w:after="20"/>
            </w:pPr>
            <w:r>
              <w:rPr>
                <w:color w:val="1C3A36"/>
                <w:sz w:val="15"/>
              </w:rPr>
              <w:t>egypt_gdp_nominal</w:t>
            </w:r>
          </w:p>
        </w:tc>
        <w:tc>
          <w:tcPr>
            <w:tcW w:type="dxa" w:w="2232"/>
          </w:tcPr>
          <w:p>
            <w:pPr>
              <w:spacing w:after="20"/>
            </w:pPr>
            <w:r>
              <w:rPr>
                <w:color w:val="1C3A36"/>
                <w:sz w:val="15"/>
              </w:rPr>
              <w:t>20,000,000.0</w:t>
            </w:r>
          </w:p>
        </w:tc>
        <w:tc>
          <w:tcPr>
            <w:tcW w:type="dxa" w:w="1368"/>
          </w:tcPr>
          <w:p>
            <w:pPr>
              <w:spacing w:after="20"/>
            </w:pPr>
            <w:r>
              <w:rPr>
                <w:color w:val="1C3A36"/>
                <w:sz w:val="15"/>
              </w:rPr>
              <w:t>2026-08-06</w:t>
            </w:r>
          </w:p>
        </w:tc>
        <w:tc>
          <w:tcPr>
            <w:tcW w:type="dxa" w:w="3845"/>
          </w:tcPr>
          <w:p>
            <w:pPr>
              <w:spacing w:after="20"/>
            </w:pPr>
            <w:r>
              <w:rPr>
                <w:color w:val="1C3A36"/>
                <w:sz w:val="15"/>
              </w:rPr>
              <w:t>Egypt nominal gross domestic product, EGP mn, order of magnitude, used only for the terminal-growth crossover arithmetic</w:t>
            </w:r>
          </w:p>
        </w:tc>
      </w:tr>
      <w:tr>
        <w:tc>
          <w:tcPr>
            <w:tcW w:type="dxa" w:w="2736"/>
          </w:tcPr>
          <w:p>
            <w:pPr>
              <w:spacing w:after="20"/>
            </w:pPr>
            <w:r>
              <w:rPr>
                <w:color w:val="1C3A36"/>
                <w:sz w:val="15"/>
              </w:rPr>
              <w:t>g_term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growth, 7% — INFLATION ONLY, and no real growth at all. It is set equal to the central bank's published inflation target, which is the same 7% embedded in this study's own terminal risk-free rate. The previous edition used 5% against that identical 12.5% nominal rate, which is a business shrinking about 2% a year in real terms for ever — an assumption never stated as one, on a plant serving a population growing 1.6% a year. Zero real growth is still the conservative end: it assumes AMOC never again grows a tonne</w:t>
            </w:r>
          </w:p>
        </w:tc>
      </w:tr>
      <w:tr>
        <w:tc>
          <w:tcPr>
            <w:tcW w:type="dxa" w:w="2736"/>
          </w:tcPr>
          <w:p>
            <w:pPr>
              <w:spacing w:after="20"/>
            </w:pPr>
            <w:r>
              <w:rPr>
                <w:color w:val="1C3A36"/>
                <w:sz w:val="15"/>
              </w:rPr>
              <w:t>line_price_growth</w:t>
            </w:r>
          </w:p>
        </w:tc>
        <w:tc>
          <w:tcPr>
            <w:tcW w:type="dxa" w:w="2232"/>
          </w:tcPr>
          <w:p>
            <w:pPr>
              <w:spacing w:after="20"/>
            </w:pPr>
            <w:r>
              <w:rPr>
                <w:color w:val="1C3A36"/>
                <w:sz w:val="15"/>
              </w:rPr>
              <w:t>0.1317, 0.0927, 0.0634, 0.0488, 0.0439</w:t>
            </w:r>
          </w:p>
        </w:tc>
        <w:tc>
          <w:tcPr>
            <w:tcW w:type="dxa" w:w="1368"/>
          </w:tcPr>
          <w:p>
            <w:pPr>
              <w:spacing w:after="20"/>
            </w:pPr>
            <w:r>
              <w:rPr>
                <w:color w:val="1C3A36"/>
                <w:sz w:val="15"/>
              </w:rPr>
              <w:t>2026-08-06</w:t>
            </w:r>
          </w:p>
        </w:tc>
        <w:tc>
          <w:tcPr>
            <w:tcW w:type="dxa" w:w="3845"/>
          </w:tcPr>
          <w:p>
            <w:pPr>
              <w:spacing w:after="20"/>
            </w:pPr>
            <w:r>
              <w:rPr>
                <w:color w:val="1C3A36"/>
                <w:sz w:val="15"/>
              </w:rPr>
              <w:t>Growth in the realised price per tonne, all lines, in EGP. DERIVED, not chosen: crude is held FLAT in dollars — no forecast of it is defensible — and the pound depreciates at the inflation differential between the registered Egyptian path and United States inflation, so a dollar-priced slate fetches that many more pounds. This REPLACES a hand-set path of 9.0% falling to 5.2%, which sat two-thirds below the inflation this same model applies to the company's own costs, with no mechanism given for the gap</w:t>
            </w:r>
          </w:p>
        </w:tc>
      </w:tr>
      <w:tr>
        <w:tc>
          <w:tcPr>
            <w:tcW w:type="dxa" w:w="2736"/>
          </w:tcPr>
          <w:p>
            <w:pPr>
              <w:spacing w:after="20"/>
            </w:pPr>
            <w:r>
              <w:rPr>
                <w:color w:val="1C3A36"/>
                <w:sz w:val="15"/>
              </w:rPr>
              <w:t>fx_path</w:t>
            </w:r>
          </w:p>
        </w:tc>
        <w:tc>
          <w:tcPr>
            <w:tcW w:type="dxa" w:w="2232"/>
          </w:tcPr>
          <w:p>
            <w:pPr>
              <w:spacing w:after="20"/>
            </w:pPr>
            <w:r>
              <w:rPr>
                <w:color w:val="1C3A36"/>
                <w:sz w:val="15"/>
              </w:rPr>
              <w:t>55.11, 60.22, 64.04, 67.17, 70.11</w:t>
            </w:r>
          </w:p>
        </w:tc>
        <w:tc>
          <w:tcPr>
            <w:tcW w:type="dxa" w:w="1368"/>
          </w:tcPr>
          <w:p>
            <w:pPr>
              <w:spacing w:after="20"/>
            </w:pPr>
            <w:r>
              <w:rPr>
                <w:color w:val="1C3A36"/>
                <w:sz w:val="15"/>
              </w:rPr>
              <w:t>2026-08-06</w:t>
            </w:r>
          </w:p>
        </w:tc>
        <w:tc>
          <w:tcPr>
            <w:tcW w:type="dxa" w:w="3845"/>
          </w:tcPr>
          <w:p>
            <w:pPr>
              <w:spacing w:after="20"/>
            </w:pPr>
            <w:r>
              <w:rPr>
                <w:color w:val="1C3A36"/>
                <w:sz w:val="15"/>
              </w:rPr>
              <w:t>USD/EGP average-rate path, DERIVED from the same purchasing-power-parity relation as the price path so the two cannot disagree. It replaces a hand-set path that depreciated the pound at roughly a third of the inflation differential</w:t>
            </w:r>
          </w:p>
        </w:tc>
      </w:tr>
    </w:tbl>
    <w:p>
      <w:pPr>
        <w:spacing w:after="40"/>
      </w:pPr>
    </w:p>
    <w:p>
      <w:pPr>
        <w:spacing w:after="60" w:before="160"/>
      </w:pPr>
      <w:r>
        <w:rPr>
          <w:b/>
          <w:i w:val="0"/>
          <w:color w:val="1C3A36"/>
          <w:sz w:val="22"/>
        </w:rPr>
        <w:t>Global layer — 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us_infl</w:t>
            </w:r>
          </w:p>
        </w:tc>
        <w:tc>
          <w:tcPr>
            <w:tcW w:type="dxa" w:w="2232"/>
          </w:tcPr>
          <w:p>
            <w:pPr>
              <w:spacing w:after="20"/>
            </w:pPr>
            <w:r>
              <w:rPr>
                <w:color w:val="1C3A36"/>
                <w:sz w:val="15"/>
              </w:rPr>
              <w:t>0.025</w:t>
            </w:r>
          </w:p>
        </w:tc>
        <w:tc>
          <w:tcPr>
            <w:tcW w:type="dxa" w:w="1368"/>
          </w:tcPr>
          <w:p>
            <w:pPr>
              <w:spacing w:after="20"/>
            </w:pPr>
            <w:r>
              <w:rPr>
                <w:color w:val="1C3A36"/>
                <w:sz w:val="15"/>
              </w:rPr>
              <w:t>2026-08-06</w:t>
            </w:r>
          </w:p>
        </w:tc>
        <w:tc>
          <w:tcPr>
            <w:tcW w:type="dxa" w:w="3845"/>
          </w:tcPr>
          <w:p>
            <w:pPr>
              <w:spacing w:after="20"/>
            </w:pPr>
            <w:r>
              <w:rPr>
                <w:color w:val="1C3A36"/>
                <w:sz w:val="15"/>
              </w:rPr>
              <w:t>Long-run United States consumer price inflation, the foreign leg of the purchasing-power-parity relation used to derive the currency path</w:t>
            </w:r>
          </w:p>
        </w:tc>
      </w:tr>
      <w:tr>
        <w:tc>
          <w:tcPr>
            <w:tcW w:type="dxa" w:w="2736"/>
          </w:tcPr>
          <w:p>
            <w:pPr>
              <w:spacing w:after="20"/>
            </w:pPr>
            <w:r>
              <w:rPr>
                <w:color w:val="1C3A36"/>
                <w:sz w:val="15"/>
              </w:rPr>
              <w:t>world_nominal_growth</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Long-run world nominal growth used as the terminal ceiling for the export leg</w:t>
            </w:r>
          </w:p>
        </w:tc>
      </w:tr>
      <w:tr>
        <w:tc>
          <w:tcPr>
            <w:tcW w:type="dxa" w:w="2736"/>
          </w:tcPr>
          <w:p>
            <w:pPr>
              <w:spacing w:after="20"/>
            </w:pPr>
            <w:r>
              <w:rPr>
                <w:color w:val="1C3A36"/>
                <w:sz w:val="15"/>
              </w:rPr>
              <w:t>wacc_usd_rf</w:t>
            </w:r>
          </w:p>
        </w:tc>
        <w:tc>
          <w:tcPr>
            <w:tcW w:type="dxa" w:w="2232"/>
          </w:tcPr>
          <w:p>
            <w:pPr>
              <w:spacing w:after="20"/>
            </w:pPr>
            <w:r>
              <w:rPr>
                <w:color w:val="1C3A36"/>
                <w:sz w:val="15"/>
              </w:rPr>
              <w:t>0.043</w:t>
            </w:r>
          </w:p>
        </w:tc>
        <w:tc>
          <w:tcPr>
            <w:tcW w:type="dxa" w:w="1368"/>
          </w:tcPr>
          <w:p>
            <w:pPr>
              <w:spacing w:after="20"/>
            </w:pPr>
            <w:r>
              <w:rPr>
                <w:color w:val="1C3A36"/>
                <w:sz w:val="15"/>
              </w:rPr>
              <w:t>2026-08-06</w:t>
            </w:r>
          </w:p>
        </w:tc>
        <w:tc>
          <w:tcPr>
            <w:tcW w:type="dxa" w:w="3845"/>
          </w:tcPr>
          <w:p>
            <w:pPr>
              <w:spacing w:after="20"/>
            </w:pPr>
            <w:r>
              <w:rPr>
                <w:color w:val="1C3A36"/>
                <w:sz w:val="15"/>
              </w:rPr>
              <w:t>US 10-year Treasury yield used in the currency-of-discounting alternative</w:t>
            </w:r>
          </w:p>
        </w:tc>
      </w:tr>
      <w:tr>
        <w:tc>
          <w:tcPr>
            <w:tcW w:type="dxa" w:w="2736"/>
          </w:tcPr>
          <w:p>
            <w:pPr>
              <w:spacing w:after="20"/>
            </w:pPr>
            <w:r>
              <w:rPr>
                <w:color w:val="1C3A36"/>
                <w:sz w:val="15"/>
              </w:rPr>
              <w:t>wacc_usd_erp</w:t>
            </w:r>
          </w:p>
        </w:tc>
        <w:tc>
          <w:tcPr>
            <w:tcW w:type="dxa" w:w="2232"/>
          </w:tcPr>
          <w:p>
            <w:pPr>
              <w:spacing w:after="20"/>
            </w:pPr>
            <w:r>
              <w:rPr>
                <w:color w:val="1C3A36"/>
                <w:sz w:val="15"/>
              </w:rPr>
              <w:t>0.075</w:t>
            </w:r>
          </w:p>
        </w:tc>
        <w:tc>
          <w:tcPr>
            <w:tcW w:type="dxa" w:w="1368"/>
          </w:tcPr>
          <w:p>
            <w:pPr>
              <w:spacing w:after="20"/>
            </w:pPr>
            <w:r>
              <w:rPr>
                <w:color w:val="1C3A36"/>
                <w:sz w:val="15"/>
              </w:rPr>
              <w:t>2026-08-06</w:t>
            </w:r>
          </w:p>
        </w:tc>
        <w:tc>
          <w:tcPr>
            <w:tcW w:type="dxa" w:w="3845"/>
          </w:tcPr>
          <w:p>
            <w:pPr>
              <w:spacing w:after="20"/>
            </w:pPr>
            <w:r>
              <w:rPr>
                <w:color w:val="1C3A36"/>
                <w:sz w:val="15"/>
              </w:rPr>
              <w:t>Blended emerging-market equity risk premium applied to the dollar-denominated alternative</w:t>
            </w:r>
          </w:p>
        </w:tc>
      </w:tr>
    </w:tbl>
    <w:p>
      <w:pPr>
        <w:spacing w:after="40"/>
      </w:pPr>
    </w:p>
    <w:p>
      <w:pPr>
        <w:spacing w:after="60" w:before="160"/>
      </w:pPr>
      <w:r>
        <w:rPr>
          <w:b/>
          <w:i w:val="0"/>
          <w:color w:val="1C3A36"/>
          <w:sz w:val="22"/>
        </w:rPr>
        <w:t>House layer — 26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232"/>
        <w:gridCol w:w="1368"/>
        <w:gridCol w:w="3845"/>
      </w:tblGrid>
      <w:tr>
        <w:tc>
          <w:tcPr>
            <w:tcW w:type="dxa" w:w="2736"/>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368"/>
            <w:shd w:val="clear" w:color="auto" w:fill="EAF0EE"/>
          </w:tcPr>
          <w:p>
            <w:pPr>
              <w:spacing w:after="20"/>
            </w:pPr>
            <w:r>
              <w:rPr>
                <w:b/>
                <w:color w:val="1C3A36"/>
                <w:sz w:val="15"/>
              </w:rPr>
              <w:t>Date</w:t>
            </w:r>
          </w:p>
        </w:tc>
        <w:tc>
          <w:tcPr>
            <w:tcW w:type="dxa" w:w="3845"/>
            <w:shd w:val="clear" w:color="auto" w:fill="EAF0EE"/>
          </w:tcPr>
          <w:p>
            <w:pPr>
              <w:spacing w:after="20"/>
            </w:pPr>
            <w:r>
              <w:rPr>
                <w:b/>
                <w:color w:val="1C3A36"/>
                <w:sz w:val="15"/>
              </w:rPr>
              <w:t>Source and reasoning</w:t>
            </w:r>
          </w:p>
        </w:tc>
      </w:tr>
      <w:tr>
        <w:tc>
          <w:tcPr>
            <w:tcW w:type="dxa" w:w="2736"/>
          </w:tcPr>
          <w:p>
            <w:pPr>
              <w:spacing w:after="20"/>
            </w:pPr>
            <w:r>
              <w:rPr>
                <w:color w:val="1C3A36"/>
                <w:sz w:val="15"/>
              </w:rPr>
              <w:t>gm_superseded_annualised</w:t>
            </w:r>
          </w:p>
        </w:tc>
        <w:tc>
          <w:tcPr>
            <w:tcW w:type="dxa" w:w="2232"/>
          </w:tcPr>
          <w:p>
            <w:pPr>
              <w:spacing w:after="20"/>
            </w:pPr>
            <w:r>
              <w:rPr>
                <w:color w:val="1C3A36"/>
                <w:sz w:val="15"/>
              </w:rPr>
              <w:t>0.0708</w:t>
            </w:r>
          </w:p>
        </w:tc>
        <w:tc>
          <w:tcPr>
            <w:tcW w:type="dxa" w:w="1368"/>
          </w:tcPr>
          <w:p>
            <w:pPr>
              <w:spacing w:after="20"/>
            </w:pPr>
            <w:r>
              <w:rPr>
                <w:color w:val="1C3A36"/>
                <w:sz w:val="15"/>
              </w:rPr>
              <w:t>2026-08-06</w:t>
            </w:r>
          </w:p>
        </w:tc>
        <w:tc>
          <w:tcPr>
            <w:tcW w:type="dxa" w:w="3845"/>
          </w:tcPr>
          <w:p>
            <w:pPr>
              <w:spacing w:after="20"/>
            </w:pPr>
            <w:r>
              <w:rPr>
                <w:color w:val="1C3A36"/>
                <w:sz w:val="15"/>
              </w:rPr>
              <w:t>Base-year gross margin published by the 06-08-2026 edition of this study, which built revenue from the six-month product table doubled while annualising cost of sales from nine months by four thirds — so it corresponded to no filed period at all. Quoted in section 1.2 to show what changed; not an input to anything.</w:t>
            </w:r>
          </w:p>
        </w:tc>
      </w:tr>
      <w:tr>
        <w:tc>
          <w:tcPr>
            <w:tcW w:type="dxa" w:w="2736"/>
          </w:tcPr>
          <w:p>
            <w:pPr>
              <w:spacing w:after="20"/>
            </w:pPr>
            <w:r>
              <w:rPr>
                <w:color w:val="1C3A36"/>
                <w:sz w:val="15"/>
              </w:rPr>
              <w:t>tv_share_superseded</w:t>
            </w:r>
          </w:p>
        </w:tc>
        <w:tc>
          <w:tcPr>
            <w:tcW w:type="dxa" w:w="2232"/>
          </w:tcPr>
          <w:p>
            <w:pPr>
              <w:spacing w:after="20"/>
            </w:pPr>
            <w:r>
              <w:rPr>
                <w:color w:val="1C3A36"/>
                <w:sz w:val="15"/>
              </w:rPr>
              <w:t>0.587</w:t>
            </w:r>
          </w:p>
        </w:tc>
        <w:tc>
          <w:tcPr>
            <w:tcW w:type="dxa" w:w="1368"/>
          </w:tcPr>
          <w:p>
            <w:pPr>
              <w:spacing w:after="20"/>
            </w:pPr>
            <w:r>
              <w:rPr>
                <w:color w:val="1C3A36"/>
                <w:sz w:val="15"/>
              </w:rPr>
              <w:t>2026-08-06</w:t>
            </w:r>
          </w:p>
        </w:tc>
        <w:tc>
          <w:tcPr>
            <w:tcW w:type="dxa" w:w="3845"/>
          </w:tcPr>
          <w:p>
            <w:pPr>
              <w:spacing w:after="20"/>
            </w:pPr>
            <w:r>
              <w:rPr>
                <w:color w:val="1C3A36"/>
                <w:sz w:val="15"/>
              </w:rPr>
              <w:t>Terminal value as a share of enterprise value in the 06-08-2026 edition, before the terminal return was struck on invested capital at REPLACEMENT cost. Quoted in section 1.9 to show the direction of the change; not an input to anything.</w:t>
            </w:r>
          </w:p>
        </w:tc>
      </w:tr>
      <w:tr>
        <w:tc>
          <w:tcPr>
            <w:tcW w:type="dxa" w:w="2736"/>
          </w:tcPr>
          <w:p>
            <w:pPr>
              <w:spacing w:after="20"/>
            </w:pPr>
            <w:r>
              <w:rPr>
                <w:color w:val="1C3A36"/>
                <w:sz w:val="15"/>
              </w:rPr>
              <w:t>e1_pe</w:t>
            </w:r>
          </w:p>
        </w:tc>
        <w:tc>
          <w:tcPr>
            <w:tcW w:type="dxa" w:w="2232"/>
          </w:tcPr>
          <w:p>
            <w:pPr>
              <w:spacing w:after="20"/>
            </w:pPr>
            <w:r>
              <w:rPr>
                <w:color w:val="1C3A36"/>
                <w:sz w:val="15"/>
              </w:rPr>
              <w:t>7</w:t>
            </w:r>
          </w:p>
        </w:tc>
        <w:tc>
          <w:tcPr>
            <w:tcW w:type="dxa" w:w="1368"/>
          </w:tcPr>
          <w:p>
            <w:pPr>
              <w:spacing w:after="20"/>
            </w:pPr>
            <w:r>
              <w:rPr>
                <w:color w:val="1C3A36"/>
                <w:sz w:val="15"/>
              </w:rPr>
              <w:t>2026-08-06</w:t>
            </w:r>
          </w:p>
        </w:tc>
        <w:tc>
          <w:tcPr>
            <w:tcW w:type="dxa" w:w="3845"/>
          </w:tcPr>
          <w:p>
            <w:pPr>
              <w:spacing w:after="20"/>
            </w:pPr>
            <w:r>
              <w:rPr>
                <w:color w:val="1C3A36"/>
                <w:sz w:val="15"/>
              </w:rPr>
              <w:t>Expert 1's justified price/earnings multiple. Struck below the main normalised lens deliberately: it is an independent opinion, not a re-run of the house view</w:t>
            </w:r>
          </w:p>
        </w:tc>
      </w:tr>
      <w:tr>
        <w:tc>
          <w:tcPr>
            <w:tcW w:type="dxa" w:w="2736"/>
          </w:tcPr>
          <w:p>
            <w:pPr>
              <w:spacing w:after="20"/>
            </w:pPr>
            <w:r>
              <w:rPr>
                <w:color w:val="1C3A36"/>
                <w:sz w:val="15"/>
              </w:rPr>
              <w:t>proc_intensity</w:t>
            </w:r>
          </w:p>
        </w:tc>
        <w:tc>
          <w:tcPr>
            <w:tcW w:type="dxa" w:w="2232"/>
          </w:tcPr>
          <w:p>
            <w:pPr>
              <w:spacing w:after="20"/>
            </w:pPr>
            <w:r>
              <w:rPr>
                <w:color w:val="1C3A36"/>
                <w:sz w:val="15"/>
              </w:rPr>
              <w:t>oils: 1; wax: 1.15; gasoil: 0.25; naphtha: 0.2; lpg: 0.15; fueloil: 0.05; hfo: 0.05; waste: 0</w:t>
            </w:r>
          </w:p>
        </w:tc>
        <w:tc>
          <w:tcPr>
            <w:tcW w:type="dxa" w:w="1368"/>
          </w:tcPr>
          <w:p>
            <w:pPr>
              <w:spacing w:after="20"/>
            </w:pPr>
            <w:r>
              <w:rPr>
                <w:color w:val="1C3A36"/>
                <w:sz w:val="15"/>
              </w:rPr>
              <w:t>2026-08-06</w:t>
            </w:r>
          </w:p>
        </w:tc>
        <w:tc>
          <w:tcPr>
            <w:tcW w:type="dxa" w:w="3845"/>
          </w:tcPr>
          <w:p>
            <w:pPr>
              <w:spacing w:after="20"/>
            </w:pPr>
            <w:r>
              <w:rPr>
                <w:color w:val="1C3A36"/>
                <w:sz w:val="15"/>
              </w:rPr>
              <w:t>Processing intensity by product line, relative weights, used to allocate the note 15-A conversion stack (salaries, supporting materials, other, depreciation) across the eight disclosed lines. Base oils are the reference at 1.00: they pass the full lube train — vacuum distillation, solvent extraction, dewaxing, hydrofinishing. Paraffin wax carries 1.15 for the additional deoiling and sweating steps. Gas oil, naphtha and LPG are light ends drawn off the front of the process and carry 0.25/0.20/0.15. Fuel oil and heavy fuel oil are the residue, sold substantially as produced, at 0.05. THIS IS THE ONLY OPERATING INPUT IN THE MODEL THAT IS NOT READ OFF A FILING, and it exists because note 15-A discloses the cost stack for the company and not by line. It is stated here rather than hidden in a formula, and the valuation is sensitised to it</w:t>
            </w:r>
          </w:p>
        </w:tc>
      </w:tr>
      <w:tr>
        <w:tc>
          <w:tcPr>
            <w:tcW w:type="dxa" w:w="2736"/>
          </w:tcPr>
          <w:p>
            <w:pPr>
              <w:spacing w:after="20"/>
            </w:pPr>
            <w:r>
              <w:rPr>
                <w:color w:val="1C3A36"/>
                <w:sz w:val="15"/>
              </w:rPr>
              <w:t>raw_pass</w:t>
            </w:r>
          </w:p>
        </w:tc>
        <w:tc>
          <w:tcPr>
            <w:tcW w:type="dxa" w:w="2232"/>
          </w:tcPr>
          <w:p>
            <w:pPr>
              <w:spacing w:after="20"/>
            </w:pPr>
            <w:r>
              <w:rPr>
                <w:color w:val="1C3A36"/>
                <w:sz w:val="15"/>
              </w:rPr>
              <w:t>1</w:t>
            </w:r>
          </w:p>
        </w:tc>
        <w:tc>
          <w:tcPr>
            <w:tcW w:type="dxa" w:w="1368"/>
          </w:tcPr>
          <w:p>
            <w:pPr>
              <w:spacing w:after="20"/>
            </w:pPr>
            <w:r>
              <w:rPr>
                <w:color w:val="1C3A36"/>
                <w:sz w:val="15"/>
              </w:rPr>
              <w:t>2026-08-06</w:t>
            </w:r>
          </w:p>
        </w:tc>
        <w:tc>
          <w:tcPr>
            <w:tcW w:type="dxa" w:w="3845"/>
          </w:tcPr>
          <w:p>
            <w:pPr>
              <w:spacing w:after="20"/>
            </w:pPr>
            <w:r>
              <w:rPr>
                <w:color w:val="1C3A36"/>
                <w:sz w:val="15"/>
              </w:rPr>
              <w:t>Pass-through factor on the raw-material line: 1.0 means the feedstock charge moves one-for-one with realisation and volume, so the gross SPREAD per tonne is held flat in real terms and the margin neither widens nor narrows by assumption. Setting it below 1.0 is the way to express spread widening; the study leaves it at parity and sensitises it</w:t>
            </w:r>
          </w:p>
        </w:tc>
      </w:tr>
      <w:tr>
        <w:tc>
          <w:tcPr>
            <w:tcW w:type="dxa" w:w="2736"/>
          </w:tcPr>
          <w:p>
            <w:pPr>
              <w:spacing w:after="20"/>
            </w:pPr>
            <w:r>
              <w:rPr>
                <w:color w:val="1C3A36"/>
                <w:sz w:val="15"/>
              </w:rPr>
              <w:t>egypt_nominal_growth</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Long-run Egyptian nominal growth used as the terminal ceiling for the domestic leg</w:t>
            </w:r>
          </w:p>
        </w:tc>
      </w:tr>
      <w:tr>
        <w:tc>
          <w:tcPr>
            <w:tcW w:type="dxa" w:w="2736"/>
          </w:tcPr>
          <w:p>
            <w:pPr>
              <w:spacing w:after="20"/>
            </w:pPr>
            <w:r>
              <w:rPr>
                <w:color w:val="1C3A36"/>
                <w:sz w:val="15"/>
              </w:rPr>
              <w:t>tax_eff</w:t>
            </w:r>
          </w:p>
        </w:tc>
        <w:tc>
          <w:tcPr>
            <w:tcW w:type="dxa" w:w="2232"/>
          </w:tcPr>
          <w:p>
            <w:pPr>
              <w:spacing w:after="20"/>
            </w:pPr>
            <w:r>
              <w:rPr>
                <w:color w:val="1C3A36"/>
                <w:sz w:val="15"/>
              </w:rPr>
              <w:t>0.235</w:t>
            </w:r>
          </w:p>
        </w:tc>
        <w:tc>
          <w:tcPr>
            <w:tcW w:type="dxa" w:w="1368"/>
          </w:tcPr>
          <w:p>
            <w:pPr>
              <w:spacing w:after="20"/>
            </w:pPr>
            <w:r>
              <w:rPr>
                <w:color w:val="1C3A36"/>
                <w:sz w:val="15"/>
              </w:rPr>
              <w:t>2026-08-06</w:t>
            </w:r>
          </w:p>
        </w:tc>
        <w:tc>
          <w:tcPr>
            <w:tcW w:type="dxa" w:w="3845"/>
          </w:tcPr>
          <w:p>
            <w:pPr>
              <w:spacing w:after="20"/>
            </w:pPr>
            <w:r>
              <w:rPr>
                <w:color w:val="1C3A36"/>
                <w:sz w:val="15"/>
              </w:rPr>
              <w:t>Effective tax rate used for NOPAT. Struck one percentage point above the 22.5% statutory rate for non-deductible items and the deferred-tax drag typical of Egyptian downstream filers</w:t>
            </w:r>
          </w:p>
        </w:tc>
      </w:tr>
      <w:tr>
        <w:tc>
          <w:tcPr>
            <w:tcW w:type="dxa" w:w="2736"/>
          </w:tcPr>
          <w:p>
            <w:pPr>
              <w:spacing w:after="20"/>
            </w:pPr>
            <w:r>
              <w:rPr>
                <w:color w:val="1C3A36"/>
                <w:sz w:val="15"/>
              </w:rPr>
              <w:t>recv_days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Trade receivable days. The offtake is dominated by the state petroleum complex on short settlement, which is why a company turning over EGP 40bn of revenue runs a balance sheet of only EGP 8.1bn</w:t>
            </w:r>
          </w:p>
        </w:tc>
      </w:tr>
      <w:tr>
        <w:tc>
          <w:tcPr>
            <w:tcW w:type="dxa" w:w="2736"/>
          </w:tcPr>
          <w:p>
            <w:pPr>
              <w:spacing w:after="20"/>
            </w:pPr>
            <w:r>
              <w:rPr>
                <w:color w:val="1C3A36"/>
                <w:sz w:val="15"/>
              </w:rPr>
              <w:t>inv_days</w:t>
            </w:r>
          </w:p>
        </w:tc>
        <w:tc>
          <w:tcPr>
            <w:tcW w:type="dxa" w:w="2232"/>
          </w:tcPr>
          <w:p>
            <w:pPr>
              <w:spacing w:after="20"/>
            </w:pPr>
            <w:r>
              <w:rPr>
                <w:color w:val="1C3A36"/>
                <w:sz w:val="15"/>
              </w:rPr>
              <w:t>14</w:t>
            </w:r>
          </w:p>
        </w:tc>
        <w:tc>
          <w:tcPr>
            <w:tcW w:type="dxa" w:w="1368"/>
          </w:tcPr>
          <w:p>
            <w:pPr>
              <w:spacing w:after="20"/>
            </w:pPr>
            <w:r>
              <w:rPr>
                <w:color w:val="1C3A36"/>
                <w:sz w:val="15"/>
              </w:rPr>
              <w:t>2026-08-06</w:t>
            </w:r>
          </w:p>
        </w:tc>
        <w:tc>
          <w:tcPr>
            <w:tcW w:type="dxa" w:w="3845"/>
          </w:tcPr>
          <w:p>
            <w:pPr>
              <w:spacing w:after="20"/>
            </w:pPr>
            <w:r>
              <w:rPr>
                <w:color w:val="1C3A36"/>
                <w:sz w:val="15"/>
              </w:rPr>
              <w:t>Inventory days on cost of sales. Feedstock is drawn from the adjacent refining complex rather than imported and stocked</w:t>
            </w:r>
          </w:p>
        </w:tc>
      </w:tr>
      <w:tr>
        <w:tc>
          <w:tcPr>
            <w:tcW w:type="dxa" w:w="2736"/>
          </w:tcPr>
          <w:p>
            <w:pPr>
              <w:spacing w:after="20"/>
            </w:pPr>
            <w:r>
              <w:rPr>
                <w:color w:val="1C3A36"/>
                <w:sz w:val="15"/>
              </w:rPr>
              <w:t>pay_days</w:t>
            </w:r>
          </w:p>
        </w:tc>
        <w:tc>
          <w:tcPr>
            <w:tcW w:type="dxa" w:w="2232"/>
          </w:tcPr>
          <w:p>
            <w:pPr>
              <w:spacing w:after="20"/>
            </w:pPr>
            <w:r>
              <w:rPr>
                <w:color w:val="1C3A36"/>
                <w:sz w:val="15"/>
              </w:rPr>
              <w:t>24</w:t>
            </w:r>
          </w:p>
        </w:tc>
        <w:tc>
          <w:tcPr>
            <w:tcW w:type="dxa" w:w="1368"/>
          </w:tcPr>
          <w:p>
            <w:pPr>
              <w:spacing w:after="20"/>
            </w:pPr>
            <w:r>
              <w:rPr>
                <w:color w:val="1C3A36"/>
                <w:sz w:val="15"/>
              </w:rPr>
              <w:t>2026-08-06</w:t>
            </w:r>
          </w:p>
        </w:tc>
        <w:tc>
          <w:tcPr>
            <w:tcW w:type="dxa" w:w="3845"/>
          </w:tcPr>
          <w:p>
            <w:pPr>
              <w:spacing w:after="20"/>
            </w:pPr>
            <w:r>
              <w:rPr>
                <w:color w:val="1C3A36"/>
                <w:sz w:val="15"/>
              </w:rPr>
              <w:t>Trade payable days on cost of sales. The feedstock payable to the state petroleum corporation is the company's principal source of working-capital funding</w:t>
            </w:r>
          </w:p>
        </w:tc>
      </w:tr>
      <w:tr>
        <w:tc>
          <w:tcPr>
            <w:tcW w:type="dxa" w:w="2736"/>
          </w:tcPr>
          <w:p>
            <w:pPr>
              <w:spacing w:after="20"/>
            </w:pPr>
            <w:r>
              <w:rPr>
                <w:color w:val="1C3A36"/>
                <w:sz w:val="15"/>
              </w:rPr>
              <w:t>other_ca</w:t>
            </w:r>
          </w:p>
        </w:tc>
        <w:tc>
          <w:tcPr>
            <w:tcW w:type="dxa" w:w="2232"/>
          </w:tcPr>
          <w:p>
            <w:pPr>
              <w:spacing w:after="20"/>
            </w:pPr>
            <w:r>
              <w:rPr>
                <w:color w:val="1C3A36"/>
                <w:sz w:val="15"/>
              </w:rPr>
              <w:t>300.0</w:t>
            </w:r>
          </w:p>
        </w:tc>
        <w:tc>
          <w:tcPr>
            <w:tcW w:type="dxa" w:w="1368"/>
          </w:tcPr>
          <w:p>
            <w:pPr>
              <w:spacing w:after="20"/>
            </w:pPr>
            <w:r>
              <w:rPr>
                <w:color w:val="1C3A36"/>
                <w:sz w:val="15"/>
              </w:rPr>
              <w:t>2026-08-06</w:t>
            </w:r>
          </w:p>
        </w:tc>
        <w:tc>
          <w:tcPr>
            <w:tcW w:type="dxa" w:w="3845"/>
          </w:tcPr>
          <w:p>
            <w:pPr>
              <w:spacing w:after="20"/>
            </w:pPr>
            <w:r>
              <w:rPr>
                <w:color w:val="1C3A36"/>
                <w:sz w:val="15"/>
              </w:rPr>
              <w:t>Other current assets, EGP mn, held flat</w:t>
            </w:r>
          </w:p>
        </w:tc>
      </w:tr>
      <w:tr>
        <w:tc>
          <w:tcPr>
            <w:tcW w:type="dxa" w:w="2736"/>
          </w:tcPr>
          <w:p>
            <w:pPr>
              <w:spacing w:after="20"/>
            </w:pPr>
            <w:r>
              <w:rPr>
                <w:color w:val="1C3A36"/>
                <w:sz w:val="15"/>
              </w:rPr>
              <w:t>dna_pct</w:t>
            </w:r>
          </w:p>
        </w:tc>
        <w:tc>
          <w:tcPr>
            <w:tcW w:type="dxa" w:w="2232"/>
          </w:tcPr>
          <w:p>
            <w:pPr>
              <w:spacing w:after="20"/>
            </w:pPr>
            <w:r>
              <w:rPr>
                <w:color w:val="1C3A36"/>
                <w:sz w:val="15"/>
              </w:rPr>
              <w:t>0.011</w:t>
            </w:r>
          </w:p>
        </w:tc>
        <w:tc>
          <w:tcPr>
            <w:tcW w:type="dxa" w:w="1368"/>
          </w:tcPr>
          <w:p>
            <w:pPr>
              <w:spacing w:after="20"/>
            </w:pPr>
            <w:r>
              <w:rPr>
                <w:color w:val="1C3A36"/>
                <w:sz w:val="15"/>
              </w:rPr>
              <w:t>2026-08-06</w:t>
            </w:r>
          </w:p>
        </w:tc>
        <w:tc>
          <w:tcPr>
            <w:tcW w:type="dxa" w:w="3845"/>
          </w:tcPr>
          <w:p>
            <w:pPr>
              <w:spacing w:after="20"/>
            </w:pPr>
            <w:r>
              <w:rPr>
                <w:color w:val="1C3A36"/>
                <w:sz w:val="15"/>
              </w:rPr>
              <w:t>Depreciation and amortisation as a share of revenue. The complex was commissioned between 1997 and 2000 and is substantially written down, which is why the charge is small against turnover</w:t>
            </w:r>
          </w:p>
        </w:tc>
      </w:tr>
      <w:tr>
        <w:tc>
          <w:tcPr>
            <w:tcW w:type="dxa" w:w="2736"/>
          </w:tcPr>
          <w:p>
            <w:pPr>
              <w:spacing w:after="20"/>
            </w:pPr>
            <w:r>
              <w:rPr>
                <w:color w:val="1C3A36"/>
                <w:sz w:val="15"/>
              </w:rPr>
              <w:t>capex_pct</w:t>
            </w:r>
          </w:p>
        </w:tc>
        <w:tc>
          <w:tcPr>
            <w:tcW w:type="dxa" w:w="2232"/>
          </w:tcPr>
          <w:p>
            <w:pPr>
              <w:spacing w:after="20"/>
            </w:pPr>
            <w:r>
              <w:rPr>
                <w:color w:val="1C3A36"/>
                <w:sz w:val="15"/>
              </w:rPr>
              <w:t>0.0145, 0.014, 0.0135, 0.013, 0.0125</w:t>
            </w:r>
          </w:p>
        </w:tc>
        <w:tc>
          <w:tcPr>
            <w:tcW w:type="dxa" w:w="1368"/>
          </w:tcPr>
          <w:p>
            <w:pPr>
              <w:spacing w:after="20"/>
            </w:pPr>
            <w:r>
              <w:rPr>
                <w:color w:val="1C3A36"/>
                <w:sz w:val="15"/>
              </w:rPr>
              <w:t>2026-08-06</w:t>
            </w:r>
          </w:p>
        </w:tc>
        <w:tc>
          <w:tcPr>
            <w:tcW w:type="dxa" w:w="3845"/>
          </w:tcPr>
          <w:p>
            <w:pPr>
              <w:spacing w:after="20"/>
            </w:pPr>
            <w:r>
              <w:rPr>
                <w:color w:val="1C3A36"/>
                <w:sz w:val="15"/>
              </w:rPr>
              <w:t>Capital expenditure as a share of revenue, tapering. Anchored on the approved EGP 580.19mn budget against the same year's budgeted net sales of EGP 37.332bn, which is 1.55%; the taper reflects the completion of the current storage-tank and environmental programme</w:t>
            </w:r>
          </w:p>
        </w:tc>
      </w:tr>
      <w:tr>
        <w:tc>
          <w:tcPr>
            <w:tcW w:type="dxa" w:w="2736"/>
          </w:tcPr>
          <w:p>
            <w:pPr>
              <w:spacing w:after="20"/>
            </w:pPr>
            <w:r>
              <w:rPr>
                <w:color w:val="1C3A36"/>
                <w:sz w:val="15"/>
              </w:rPr>
              <w:t>opex_pct</w:t>
            </w:r>
          </w:p>
        </w:tc>
        <w:tc>
          <w:tcPr>
            <w:tcW w:type="dxa" w:w="2232"/>
          </w:tcPr>
          <w:p>
            <w:pPr>
              <w:spacing w:after="20"/>
            </w:pPr>
            <w:r>
              <w:rPr>
                <w:color w:val="1C3A36"/>
                <w:sz w:val="15"/>
              </w:rPr>
              <w:t>0.0125, 0.0125, 0.0126, 0.0127, 0.0128</w:t>
            </w:r>
          </w:p>
        </w:tc>
        <w:tc>
          <w:tcPr>
            <w:tcW w:type="dxa" w:w="1368"/>
          </w:tcPr>
          <w:p>
            <w:pPr>
              <w:spacing w:after="20"/>
            </w:pPr>
            <w:r>
              <w:rPr>
                <w:color w:val="1C3A36"/>
                <w:sz w:val="15"/>
              </w:rPr>
              <w:t>2026-08-06</w:t>
            </w:r>
          </w:p>
        </w:tc>
        <w:tc>
          <w:tcPr>
            <w:tcW w:type="dxa" w:w="3845"/>
          </w:tcPr>
          <w:p>
            <w:pPr>
              <w:spacing w:after="20"/>
            </w:pPr>
            <w:r>
              <w:rPr>
                <w:color w:val="1C3A36"/>
                <w:sz w:val="15"/>
              </w:rPr>
              <w:t>The net operating load between gross profit and EBITDA, as a share of revenue — selling, general and administrative costs and other expenses, less other operating income</w:t>
            </w:r>
          </w:p>
        </w:tc>
      </w:tr>
      <w:tr>
        <w:tc>
          <w:tcPr>
            <w:tcW w:type="dxa" w:w="2736"/>
          </w:tcPr>
          <w:p>
            <w:pPr>
              <w:spacing w:after="20"/>
            </w:pPr>
            <w:r>
              <w:rPr>
                <w:color w:val="1C3A36"/>
                <w:sz w:val="15"/>
              </w:rPr>
              <w:t>cash_yield</w:t>
            </w:r>
          </w:p>
        </w:tc>
        <w:tc>
          <w:tcPr>
            <w:tcW w:type="dxa" w:w="2232"/>
          </w:tcPr>
          <w:p>
            <w:pPr>
              <w:spacing w:after="20"/>
            </w:pPr>
            <w:r>
              <w:rPr>
                <w:color w:val="1C3A36"/>
                <w:sz w:val="15"/>
              </w:rPr>
              <w:t>0.17</w:t>
            </w:r>
          </w:p>
        </w:tc>
        <w:tc>
          <w:tcPr>
            <w:tcW w:type="dxa" w:w="1368"/>
          </w:tcPr>
          <w:p>
            <w:pPr>
              <w:spacing w:after="20"/>
            </w:pPr>
            <w:r>
              <w:rPr>
                <w:color w:val="1C3A36"/>
                <w:sz w:val="15"/>
              </w:rPr>
              <w:t>2026-08-06</w:t>
            </w:r>
          </w:p>
        </w:tc>
        <w:tc>
          <w:tcPr>
            <w:tcW w:type="dxa" w:w="3845"/>
          </w:tcPr>
          <w:p>
            <w:pPr>
              <w:spacing w:after="20"/>
            </w:pPr>
            <w:r>
              <w:rPr>
                <w:color w:val="1C3A36"/>
                <w:sz w:val="15"/>
              </w:rPr>
              <w:t>Yield earned on the cash pile. Egyptian treasury bills and corporate deposits price a few points under the 19.50% policy rate net of the 20% withholding on interest</w:t>
            </w:r>
          </w:p>
        </w:tc>
      </w:tr>
      <w:tr>
        <w:tc>
          <w:tcPr>
            <w:tcW w:type="dxa" w:w="2736"/>
          </w:tcPr>
          <w:p>
            <w:pPr>
              <w:spacing w:after="20"/>
            </w:pPr>
            <w:r>
              <w:rPr>
                <w:color w:val="1C3A36"/>
                <w:sz w:val="15"/>
              </w:rPr>
              <w:t>cash_yield_path</w:t>
            </w:r>
          </w:p>
        </w:tc>
        <w:tc>
          <w:tcPr>
            <w:tcW w:type="dxa" w:w="2232"/>
          </w:tcPr>
          <w:p>
            <w:pPr>
              <w:spacing w:after="20"/>
            </w:pPr>
            <w:r>
              <w:rPr>
                <w:color w:val="1C3A36"/>
                <w:sz w:val="15"/>
              </w:rPr>
              <w:t>0.17, 0.15, 0.135, 0.125, 0.118</w:t>
            </w:r>
          </w:p>
        </w:tc>
        <w:tc>
          <w:tcPr>
            <w:tcW w:type="dxa" w:w="1368"/>
          </w:tcPr>
          <w:p>
            <w:pPr>
              <w:spacing w:after="20"/>
            </w:pPr>
            <w:r>
              <w:rPr>
                <w:color w:val="1C3A36"/>
                <w:sz w:val="15"/>
              </w:rPr>
              <w:t>2026-08-06</w:t>
            </w:r>
          </w:p>
        </w:tc>
        <w:tc>
          <w:tcPr>
            <w:tcW w:type="dxa" w:w="3845"/>
          </w:tcPr>
          <w:p>
            <w:pPr>
              <w:spacing w:after="20"/>
            </w:pPr>
            <w:r>
              <w:rPr>
                <w:color w:val="1C3A36"/>
                <w:sz w:val="15"/>
              </w:rPr>
              <w:t>Forward path for the deposit yield, easing with the policy rate</w:t>
            </w:r>
          </w:p>
        </w:tc>
      </w:tr>
      <w:tr>
        <w:tc>
          <w:tcPr>
            <w:tcW w:type="dxa" w:w="2736"/>
          </w:tcPr>
          <w:p>
            <w:pPr>
              <w:spacing w:after="20"/>
            </w:pPr>
            <w:r>
              <w:rPr>
                <w:color w:val="1C3A36"/>
                <w:sz w:val="15"/>
              </w:rPr>
              <w:t>kd</w:t>
            </w:r>
          </w:p>
        </w:tc>
        <w:tc>
          <w:tcPr>
            <w:tcW w:type="dxa" w:w="2232"/>
          </w:tcPr>
          <w:p>
            <w:pPr>
              <w:spacing w:after="20"/>
            </w:pPr>
            <w:r>
              <w:rPr>
                <w:color w:val="1C3A36"/>
                <w:sz w:val="15"/>
              </w:rPr>
              <w:t>0.2431</w:t>
            </w:r>
          </w:p>
        </w:tc>
        <w:tc>
          <w:tcPr>
            <w:tcW w:type="dxa" w:w="1368"/>
          </w:tcPr>
          <w:p>
            <w:pPr>
              <w:spacing w:after="20"/>
            </w:pPr>
            <w:r>
              <w:rPr>
                <w:color w:val="1C3A36"/>
                <w:sz w:val="15"/>
              </w:rPr>
              <w:t>2026-09-02</w:t>
            </w:r>
          </w:p>
        </w:tc>
        <w:tc>
          <w:tcPr>
            <w:tcW w:type="dxa" w:w="3845"/>
          </w:tcPr>
          <w:p>
            <w:pPr>
              <w:spacing w:after="20"/>
            </w:pPr>
            <w:r>
              <w:rPr>
                <w:color w:val="1C3A36"/>
                <w:sz w:val="15"/>
              </w:rPr>
              <w:t>Marginal cost of debt: the Egyptian ten-year sovereign yield this study discounts with, plus a 200bp corporate spread. The gross book is EGP 25mn — 0.06% of revenue — of short-dated Egyptian-pound facilities, so no observable marginal rate exists and the rate is built rather than pretended to be observed. It replaces a build off the 20.00% corridor lending rate, which produced 22.00% — below the sovereign, which a same-currency corporate cannot be. The integrity gate below computes what this input is actually WORTH to the answer</w:t>
            </w:r>
          </w:p>
        </w:tc>
      </w:tr>
      <w:tr>
        <w:tc>
          <w:tcPr>
            <w:tcW w:type="dxa" w:w="2736"/>
          </w:tcPr>
          <w:p>
            <w:pPr>
              <w:spacing w:after="20"/>
            </w:pPr>
            <w:r>
              <w:rPr>
                <w:color w:val="1C3A36"/>
                <w:sz w:val="15"/>
              </w:rPr>
              <w:t>kd_path</w:t>
            </w:r>
          </w:p>
        </w:tc>
        <w:tc>
          <w:tcPr>
            <w:tcW w:type="dxa" w:w="2232"/>
          </w:tcPr>
          <w:p>
            <w:pPr>
              <w:spacing w:after="20"/>
            </w:pPr>
            <w:r>
              <w:rPr>
                <w:color w:val="1C3A36"/>
                <w:sz w:val="15"/>
              </w:rPr>
              <w:t>0.2431, 0.195, 0.175, 0.16, 0.15</w:t>
            </w:r>
          </w:p>
        </w:tc>
        <w:tc>
          <w:tcPr>
            <w:tcW w:type="dxa" w:w="1368"/>
          </w:tcPr>
          <w:p>
            <w:pPr>
              <w:spacing w:after="20"/>
            </w:pPr>
            <w:r>
              <w:rPr>
                <w:color w:val="1C3A36"/>
                <w:sz w:val="15"/>
              </w:rPr>
              <w:t>2026-08-06</w:t>
            </w:r>
          </w:p>
        </w:tc>
        <w:tc>
          <w:tcPr>
            <w:tcW w:type="dxa" w:w="3845"/>
          </w:tcPr>
          <w:p>
            <w:pPr>
              <w:spacing w:after="20"/>
            </w:pPr>
            <w:r>
              <w:rPr>
                <w:color w:val="1C3A36"/>
                <w:sz w:val="15"/>
              </w:rPr>
              <w:t>Forward cost-of-debt path 2026E-2030E, following the central bank's own disinflation path toward the long-run Egyptian corporate-borrowing norm. This path is what sets the SHAPE of the cost-of-capital glide; it is not a second free parameter</w:t>
            </w:r>
          </w:p>
        </w:tc>
      </w:tr>
      <w:tr>
        <w:tc>
          <w:tcPr>
            <w:tcW w:type="dxa" w:w="2736"/>
          </w:tcPr>
          <w:p>
            <w:pPr>
              <w:spacing w:after="20"/>
            </w:pPr>
            <w:r>
              <w:rPr>
                <w:color w:val="1C3A36"/>
                <w:sz w:val="15"/>
              </w:rPr>
              <w:t>kd_term</w:t>
            </w:r>
          </w:p>
        </w:tc>
        <w:tc>
          <w:tcPr>
            <w:tcW w:type="dxa" w:w="2232"/>
          </w:tcPr>
          <w:p>
            <w:pPr>
              <w:spacing w:after="20"/>
            </w:pPr>
            <w:r>
              <w:rPr>
                <w:color w:val="1C3A36"/>
                <w:sz w:val="15"/>
              </w:rPr>
              <w:t>0.15</w:t>
            </w:r>
          </w:p>
        </w:tc>
        <w:tc>
          <w:tcPr>
            <w:tcW w:type="dxa" w:w="1368"/>
          </w:tcPr>
          <w:p>
            <w:pPr>
              <w:spacing w:after="20"/>
            </w:pPr>
            <w:r>
              <w:rPr>
                <w:color w:val="1C3A36"/>
                <w:sz w:val="15"/>
              </w:rPr>
              <w:t>2026-08-06</w:t>
            </w:r>
          </w:p>
        </w:tc>
        <w:tc>
          <w:tcPr>
            <w:tcW w:type="dxa" w:w="3845"/>
          </w:tcPr>
          <w:p>
            <w:pPr>
              <w:spacing w:after="20"/>
            </w:pPr>
            <w:r>
              <w:rPr>
                <w:color w:val="1C3A36"/>
                <w:sz w:val="15"/>
              </w:rPr>
              <w:t>Terminal cost of debt: the midpoint of the 14-16% long-run Egyptian corporate-borrowing norm, with no name-specific reason to deviate</w:t>
            </w:r>
          </w:p>
        </w:tc>
      </w:tr>
      <w:tr>
        <w:tc>
          <w:tcPr>
            <w:tcW w:type="dxa" w:w="2736"/>
          </w:tcPr>
          <w:p>
            <w:pPr>
              <w:spacing w:after="20"/>
            </w:pPr>
            <w:r>
              <w:rPr>
                <w:color w:val="1C3A36"/>
                <w:sz w:val="15"/>
              </w:rPr>
              <w:t>real_rate_term</w:t>
            </w:r>
          </w:p>
        </w:tc>
        <w:tc>
          <w:tcPr>
            <w:tcW w:type="dxa" w:w="2232"/>
          </w:tcPr>
          <w:p>
            <w:pPr>
              <w:spacing w:after="20"/>
            </w:pPr>
            <w:r>
              <w:rPr>
                <w:color w:val="1C3A36"/>
                <w:sz w:val="15"/>
              </w:rPr>
              <w:t>0.035</w:t>
            </w:r>
          </w:p>
        </w:tc>
        <w:tc>
          <w:tcPr>
            <w:tcW w:type="dxa" w:w="1368"/>
          </w:tcPr>
          <w:p>
            <w:pPr>
              <w:spacing w:after="20"/>
            </w:pPr>
            <w:r>
              <w:rPr>
                <w:color w:val="1C3A36"/>
                <w:sz w:val="15"/>
              </w:rPr>
              <w:t>2026-09-10</w:t>
            </w:r>
          </w:p>
        </w:tc>
        <w:tc>
          <w:tcPr>
            <w:tcW w:type="dxa" w:w="3845"/>
          </w:tcPr>
          <w:p>
            <w:pPr>
              <w:spacing w:after="20"/>
            </w:pPr>
            <w:r>
              <w:rPr>
                <w:color w:val="1C3A36"/>
                <w:sz w:val="15"/>
              </w:rPr>
              <w:t>Terminal real risk-free rate. It is NOT set by this study: it is read from the single long-run view of the Egyptian economy that every study in this book discounts on, so one company cannot quietly hold a different one. The terminal NOMINAL risk-free rate is not an input either — it is that same shared view's own figure, this real rate plus the central bank's inflation target in force for the terminal horizon — so the single most terminal-value-sensitive number in the model can be set neither by hand nor by this study alone. TWO EDITIONS OF THIS LINE ARE RETIRED. The first hardcoded 10.50% by adding 5.5pp to the 5% target dated Q4-2028 while describing it as 'the' medium-term target. The second, adopted 06-Aug-2026, derived the rate correctly but from a real convention typed into this file, so when the house convention moved from 5.5% to 3.5% — the retired figure being a restrictive policy stance rather than a long-run real rate — this study went on discounting at 12.50% while every conformed study discounted at 10.50%. Two readers of one economy must not disagree</w:t>
            </w:r>
          </w:p>
        </w:tc>
      </w:tr>
      <w:tr>
        <w:tc>
          <w:tcPr>
            <w:tcW w:type="dxa" w:w="2736"/>
          </w:tcPr>
          <w:p>
            <w:pPr>
              <w:spacing w:after="20"/>
            </w:pPr>
            <w:r>
              <w:rPr>
                <w:color w:val="1C3A36"/>
                <w:sz w:val="15"/>
              </w:rPr>
              <w:t>erp_term</w:t>
            </w:r>
          </w:p>
        </w:tc>
        <w:tc>
          <w:tcPr>
            <w:tcW w:type="dxa" w:w="2232"/>
          </w:tcPr>
          <w:p>
            <w:pPr>
              <w:spacing w:after="20"/>
            </w:pPr>
            <w:r>
              <w:rPr>
                <w:color w:val="1C3A36"/>
                <w:sz w:val="15"/>
              </w:rPr>
              <w:t>0.07</w:t>
            </w:r>
          </w:p>
        </w:tc>
        <w:tc>
          <w:tcPr>
            <w:tcW w:type="dxa" w:w="1368"/>
          </w:tcPr>
          <w:p>
            <w:pPr>
              <w:spacing w:after="20"/>
            </w:pPr>
            <w:r>
              <w:rPr>
                <w:color w:val="1C3A36"/>
                <w:sz w:val="15"/>
              </w:rPr>
              <w:t>2026-08-06</w:t>
            </w:r>
          </w:p>
        </w:tc>
        <w:tc>
          <w:tcPr>
            <w:tcW w:type="dxa" w:w="3845"/>
          </w:tcPr>
          <w:p>
            <w:pPr>
              <w:spacing w:after="20"/>
            </w:pPr>
            <w:r>
              <w:rPr>
                <w:color w:val="1C3A36"/>
                <w:sz w:val="15"/>
              </w:rPr>
              <w:t>Terminal equity risk premium, normalised below the currently elevated crisis-era level toward the rating-class norm; never held flat into perpetuity</w:t>
            </w:r>
          </w:p>
        </w:tc>
      </w:tr>
      <w:tr>
        <w:tc>
          <w:tcPr>
            <w:tcW w:type="dxa" w:w="2736"/>
          </w:tcPr>
          <w:p>
            <w:pPr>
              <w:spacing w:after="20"/>
            </w:pPr>
            <w:r>
              <w:rPr>
                <w:color w:val="1C3A36"/>
                <w:sz w:val="15"/>
              </w:rPr>
              <w:t>wd_term</w:t>
            </w:r>
          </w:p>
        </w:tc>
        <w:tc>
          <w:tcPr>
            <w:tcW w:type="dxa" w:w="2232"/>
          </w:tcPr>
          <w:p>
            <w:pPr>
              <w:spacing w:after="20"/>
            </w:pPr>
            <w:r>
              <w:rPr>
                <w:color w:val="1C3A36"/>
                <w:sz w:val="15"/>
              </w:rPr>
              <w:t>0.1</w:t>
            </w:r>
          </w:p>
        </w:tc>
        <w:tc>
          <w:tcPr>
            <w:tcW w:type="dxa" w:w="1368"/>
          </w:tcPr>
          <w:p>
            <w:pPr>
              <w:spacing w:after="20"/>
            </w:pPr>
            <w:r>
              <w:rPr>
                <w:color w:val="1C3A36"/>
                <w:sz w:val="15"/>
              </w:rPr>
              <w:t>2026-08-06</w:t>
            </w:r>
          </w:p>
        </w:tc>
        <w:tc>
          <w:tcPr>
            <w:tcW w:type="dxa" w:w="3845"/>
          </w:tcPr>
          <w:p>
            <w:pPr>
              <w:spacing w:after="20"/>
            </w:pPr>
            <w:r>
              <w:rPr>
                <w:color w:val="1C3A36"/>
                <w:sz w:val="15"/>
              </w:rPr>
              <w:t>Terminal debt weight, normalised. The company is net cash today and has been for years; a terminal structure carrying a tenth of capital in debt is already generous to the valuation and avoids capitalising the current zero-leverage position into perpetuity</w:t>
            </w:r>
          </w:p>
        </w:tc>
      </w:tr>
      <w:tr>
        <w:tc>
          <w:tcPr>
            <w:tcW w:type="dxa" w:w="2736"/>
          </w:tcPr>
          <w:p>
            <w:pPr>
              <w:spacing w:after="20"/>
            </w:pPr>
            <w:r>
              <w:rPr>
                <w:color w:val="1C3A36"/>
                <w:sz w:val="15"/>
              </w:rPr>
              <w:t>lens_weights</w:t>
            </w:r>
          </w:p>
        </w:tc>
        <w:tc>
          <w:tcPr>
            <w:tcW w:type="dxa" w:w="2232"/>
          </w:tcPr>
          <w:p>
            <w:pPr>
              <w:spacing w:after="20"/>
            </w:pPr>
            <w:r>
              <w:rPr>
                <w:color w:val="1C3A36"/>
                <w:sz w:val="15"/>
              </w:rPr>
              <w:t>dcf: 0.45; relative: 0.2; normalized: 0.2; book: 0.15</w:t>
            </w:r>
          </w:p>
        </w:tc>
        <w:tc>
          <w:tcPr>
            <w:tcW w:type="dxa" w:w="1368"/>
          </w:tcPr>
          <w:p>
            <w:pPr>
              <w:spacing w:after="20"/>
            </w:pPr>
            <w:r>
              <w:rPr>
                <w:color w:val="1C3A36"/>
                <w:sz w:val="15"/>
              </w:rPr>
              <w:t>2026-08-06</w:t>
            </w:r>
          </w:p>
        </w:tc>
        <w:tc>
          <w:tcPr>
            <w:tcW w:type="dxa" w:w="3845"/>
          </w:tcPr>
          <w:p>
            <w:pPr>
              <w:spacing w:after="20"/>
            </w:pPr>
            <w:r>
              <w:rPr>
                <w:color w:val="1C3A36"/>
                <w:sz w:val="15"/>
              </w:rPr>
              <w:t>Discounted cash flow primary for a single-asset operating processor with a visible volume ramp; the relative and normalised-earnings lenses carry equal secondary weight; the book lens least, because a substantially depreciated plant makes book value a poor proxy for replacement cost</w:t>
            </w:r>
          </w:p>
        </w:tc>
      </w:tr>
      <w:tr>
        <w:tc>
          <w:tcPr>
            <w:tcW w:type="dxa" w:w="2736"/>
          </w:tcPr>
          <w:p>
            <w:pPr>
              <w:spacing w:after="20"/>
            </w:pPr>
            <w:r>
              <w:rPr>
                <w:color w:val="1C3A36"/>
                <w:sz w:val="15"/>
              </w:rPr>
              <w:t>pe_just</w:t>
            </w:r>
          </w:p>
        </w:tc>
        <w:tc>
          <w:tcPr>
            <w:tcW w:type="dxa" w:w="2232"/>
          </w:tcPr>
          <w:p>
            <w:pPr>
              <w:spacing w:after="20"/>
            </w:pPr>
            <w:r>
              <w:rPr>
                <w:color w:val="1C3A36"/>
                <w:sz w:val="15"/>
              </w:rPr>
              <w:t>7.5</w:t>
            </w:r>
          </w:p>
        </w:tc>
        <w:tc>
          <w:tcPr>
            <w:tcW w:type="dxa" w:w="1368"/>
          </w:tcPr>
          <w:p>
            <w:pPr>
              <w:spacing w:after="20"/>
            </w:pPr>
            <w:r>
              <w:rPr>
                <w:color w:val="1C3A36"/>
                <w:sz w:val="15"/>
              </w:rPr>
              <w:t>2026-08-06</w:t>
            </w:r>
          </w:p>
        </w:tc>
        <w:tc>
          <w:tcPr>
            <w:tcW w:type="dxa" w:w="3845"/>
          </w:tcPr>
          <w:p>
            <w:pPr>
              <w:spacing w:after="20"/>
            </w:pPr>
            <w:r>
              <w:rPr>
                <w:color w:val="1C3A36"/>
                <w:sz w:val="15"/>
              </w:rPr>
              <w:t>Justified through-cycle price-to-earnings multiple on normalised earnings. Trailing is about 7.5x on the constructed 2025 base. A single-asset processor with a 20% state shareholder, an administered feedstock relationship and an Egyptian cost of equity near 28% does not earn a premium multiple. Bear 5.5x / bull 9.5x</w:t>
            </w:r>
          </w:p>
        </w:tc>
      </w:tr>
      <w:tr>
        <w:tc>
          <w:tcPr>
            <w:tcW w:type="dxa" w:w="2736"/>
          </w:tcPr>
          <w:p>
            <w:pPr>
              <w:spacing w:after="20"/>
            </w:pPr>
            <w:r>
              <w:rPr>
                <w:color w:val="1C3A36"/>
                <w:sz w:val="15"/>
              </w:rPr>
              <w:t>rel_rerating</w:t>
            </w:r>
          </w:p>
        </w:tc>
        <w:tc>
          <w:tcPr>
            <w:tcW w:type="dxa" w:w="2232"/>
          </w:tcPr>
          <w:p>
            <w:pPr>
              <w:spacing w:after="20"/>
            </w:pPr>
            <w:r>
              <w:rPr>
                <w:color w:val="1C3A36"/>
                <w:sz w:val="15"/>
              </w:rPr>
              <w:t>0</w:t>
            </w:r>
          </w:p>
        </w:tc>
        <w:tc>
          <w:tcPr>
            <w:tcW w:type="dxa" w:w="1368"/>
          </w:tcPr>
          <w:p>
            <w:pPr>
              <w:spacing w:after="20"/>
            </w:pPr>
            <w:r>
              <w:rPr>
                <w:color w:val="1C3A36"/>
                <w:sz w:val="15"/>
              </w:rPr>
              <w:t>2026-08-06</w:t>
            </w:r>
          </w:p>
        </w:tc>
        <w:tc>
          <w:tcPr>
            <w:tcW w:type="dxa" w:w="3845"/>
          </w:tcPr>
          <w:p>
            <w:pPr>
              <w:spacing w:after="20"/>
            </w:pPr>
            <w:r>
              <w:rPr>
                <w:color w:val="1C3A36"/>
                <w:sz w:val="15"/>
              </w:rPr>
              <w:t>Re-rating applied to the company's OWN trailing enterprise-value to EBITDA multiple in the relative lens. ZERO: the name is held at the multiple the market already pays it. The justified multiple is no longer a free number — it is DERIVED as the trailing multiple times one plus this figure, so it cannot drift away from the company's own pricing without the drift being visible. The previous edition set 4.5x by hand and justified it as 'holding the name at its own trailing level' against a stated trailing multiple of 'around 4.6x'; the model's own output was different, so the stated justification was false whichever way the multiple was struck. Holding at zero re-rating makes the lens a statement about the BRIDGE — what the disclosed claims on the cash are worth — rather than a disguised view on the multiple</w:t>
            </w:r>
          </w:p>
        </w:tc>
      </w:tr>
      <w:tr>
        <w:tc>
          <w:tcPr>
            <w:tcW w:type="dxa" w:w="2736"/>
          </w:tcPr>
          <w:p>
            <w:pPr>
              <w:spacing w:after="20"/>
            </w:pPr>
            <w:r>
              <w:rPr>
                <w:color w:val="1C3A36"/>
                <w:sz w:val="15"/>
              </w:rPr>
              <w:t>roe_sust</w:t>
            </w:r>
          </w:p>
        </w:tc>
        <w:tc>
          <w:tcPr>
            <w:tcW w:type="dxa" w:w="2232"/>
          </w:tcPr>
          <w:p>
            <w:pPr>
              <w:spacing w:after="20"/>
            </w:pPr>
            <w:r>
              <w:rPr>
                <w:color w:val="1C3A36"/>
                <w:sz w:val="15"/>
              </w:rPr>
              <w:t>0.28</w:t>
            </w:r>
          </w:p>
        </w:tc>
        <w:tc>
          <w:tcPr>
            <w:tcW w:type="dxa" w:w="1368"/>
          </w:tcPr>
          <w:p>
            <w:pPr>
              <w:spacing w:after="20"/>
            </w:pPr>
            <w:r>
              <w:rPr>
                <w:color w:val="1C3A36"/>
                <w:sz w:val="15"/>
              </w:rPr>
              <w:t>2026-08-06</w:t>
            </w:r>
          </w:p>
        </w:tc>
        <w:tc>
          <w:tcPr>
            <w:tcW w:type="dxa" w:w="3845"/>
          </w:tcPr>
          <w:p>
            <w:pPr>
              <w:spacing w:after="20"/>
            </w:pPr>
            <w:r>
              <w:rPr>
                <w:color w:val="1C3A36"/>
                <w:sz w:val="15"/>
              </w:rPr>
              <w:t>Sustainable return on equity for the book lens. Trailing return on average parent equity is about 33%; the sustainable rate is struck below it because the reported figure is flattered by a heavily written-down asset base that will have to be renewed</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Recorded rather than filled in. Each of these is a place where a reader with better access can improve the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880"/>
        <w:gridCol w:w="3816"/>
      </w:tblGrid>
      <w:tr>
        <w:tc>
          <w:tcPr>
            <w:tcW w:type="dxa" w:w="3312"/>
            <w:shd w:val="clear" w:color="auto" w:fill="EAF0EE"/>
          </w:tcPr>
          <w:p>
            <w:pPr>
              <w:spacing w:after="20"/>
            </w:pPr>
            <w:r>
              <w:rPr>
                <w:b/>
                <w:color w:val="1C3A36"/>
                <w:sz w:val="15"/>
              </w:rPr>
              <w:t>What was sought</w:t>
            </w:r>
          </w:p>
        </w:tc>
        <w:tc>
          <w:tcPr>
            <w:tcW w:type="dxa" w:w="2880"/>
            <w:shd w:val="clear" w:color="auto" w:fill="EAF0EE"/>
          </w:tcPr>
          <w:p>
            <w:pPr>
              <w:spacing w:after="20"/>
            </w:pPr>
            <w:r>
              <w:rPr>
                <w:b/>
                <w:color w:val="1C3A36"/>
                <w:sz w:val="15"/>
              </w:rPr>
              <w:t>Why it matters</w:t>
            </w:r>
          </w:p>
        </w:tc>
        <w:tc>
          <w:tcPr>
            <w:tcW w:type="dxa" w:w="3816"/>
            <w:shd w:val="clear" w:color="auto" w:fill="EAF0EE"/>
          </w:tcPr>
          <w:p>
            <w:pPr>
              <w:spacing w:after="20"/>
            </w:pPr>
            <w:r>
              <w:rPr>
                <w:b/>
                <w:color w:val="1C3A36"/>
                <w:sz w:val="15"/>
              </w:rPr>
              <w:t>Outcome</w:t>
            </w:r>
          </w:p>
        </w:tc>
      </w:tr>
      <w:tr>
        <w:tc>
          <w:tcPr>
            <w:tcW w:type="dxa" w:w="3312"/>
          </w:tcPr>
          <w:p>
            <w:pPr>
              <w:spacing w:after="20"/>
            </w:pPr>
            <w:r>
              <w:rPr>
                <w:color w:val="1C3A36"/>
                <w:sz w:val="15"/>
              </w:rPr>
              <w:t>The audited consolidated financial statements for the year to 30 June 2025 and the transition period to 31 December 2025</w:t>
            </w:r>
          </w:p>
        </w:tc>
        <w:tc>
          <w:tcPr>
            <w:tcW w:type="dxa" w:w="2880"/>
          </w:tcPr>
          <w:p>
            <w:pPr>
              <w:spacing w:after="20"/>
            </w:pPr>
            <w:r>
              <w:rPr>
                <w:color w:val="1C3A36"/>
                <w:sz w:val="15"/>
              </w:rPr>
              <w:t>Would replace the entire reconstructed balance sheet and the closed income statement with disclosed lines</w:t>
            </w:r>
          </w:p>
        </w:tc>
        <w:tc>
          <w:tcPr>
            <w:tcW w:type="dxa" w:w="3816"/>
          </w:tcPr>
          <w:p>
            <w:pPr>
              <w:spacing w:after="20"/>
            </w:pPr>
            <w:r>
              <w:rPr>
                <w:color w:val="1C3A36"/>
                <w:sz w:val="15"/>
              </w:rPr>
              <w:t>NOT REACHED. The company's investor-relations site and its published statement PDFs refused connection under the network policy in force</w:t>
            </w:r>
          </w:p>
        </w:tc>
      </w:tr>
      <w:tr>
        <w:tc>
          <w:tcPr>
            <w:tcW w:type="dxa" w:w="3312"/>
          </w:tcPr>
          <w:p>
            <w:pPr>
              <w:spacing w:after="20"/>
            </w:pPr>
            <w:r>
              <w:rPr>
                <w:color w:val="1C3A36"/>
                <w:sz w:val="15"/>
              </w:rPr>
              <w:t>The exchange's own disclosure pages for the company</w:t>
            </w:r>
          </w:p>
        </w:tc>
        <w:tc>
          <w:tcPr>
            <w:tcW w:type="dxa" w:w="2880"/>
          </w:tcPr>
          <w:p>
            <w:pPr>
              <w:spacing w:after="20"/>
            </w:pPr>
            <w:r>
              <w:rPr>
                <w:color w:val="1C3A36"/>
                <w:sz w:val="15"/>
              </w:rPr>
              <w:t>Would confirm the transition-period filing and the year-end change directly rather than through reporting of them</w:t>
            </w:r>
          </w:p>
        </w:tc>
        <w:tc>
          <w:tcPr>
            <w:tcW w:type="dxa" w:w="3816"/>
          </w:tcPr>
          <w:p>
            <w:pPr>
              <w:spacing w:after="20"/>
            </w:pPr>
            <w:r>
              <w:rPr>
                <w:color w:val="1C3A36"/>
                <w:sz w:val="15"/>
              </w:rPr>
              <w:t>NOT REACHED. Same cause</w:t>
            </w:r>
          </w:p>
        </w:tc>
      </w:tr>
      <w:tr>
        <w:tc>
          <w:tcPr>
            <w:tcW w:type="dxa" w:w="3312"/>
          </w:tcPr>
          <w:p>
            <w:pPr>
              <w:spacing w:after="20"/>
            </w:pPr>
            <w:r>
              <w:rPr>
                <w:color w:val="1C3A36"/>
                <w:sz w:val="15"/>
              </w:rPr>
              <w:t>THE AUDITED FINANCIAL STATEMENTS THEMSELVES</w:t>
            </w:r>
          </w:p>
        </w:tc>
        <w:tc>
          <w:tcPr>
            <w:tcW w:type="dxa" w:w="2880"/>
          </w:tcPr>
          <w:p>
            <w:pPr>
              <w:spacing w:after="20"/>
            </w:pPr>
            <w:r>
              <w:rPr>
                <w:color w:val="1C3A36"/>
                <w:sz w:val="15"/>
              </w:rPr>
              <w:t>The whole of the historical record: statement of financial position, profit or loss, cash flows, changes in equity, and every explanatory note</w:t>
            </w:r>
          </w:p>
        </w:tc>
        <w:tc>
          <w:tcPr>
            <w:tcW w:type="dxa" w:w="3816"/>
          </w:tcPr>
          <w:p>
            <w:pPr>
              <w:spacing w:after="20"/>
            </w:pPr>
            <w:r>
              <w:rPr>
                <w:color w:val="1C3A36"/>
                <w:sz w:val="15"/>
              </w:rPr>
              <w:t>REACHED. This edition is built on the audited consolidated statements for the transition period 1-Jul-2025 to 31-Dec-2025 (Crowe, Dr A. M. Hegazy &amp; Co, UNQUALIFIED opinion, signed Giza 18-Feb-2026), the limited-review statements for the six months to 31-Dec-2024, and the reviewed statements for the three months to 31-Mar-2026. The previous edition of this study was built on triangulated press reporting because the filings could not be reached from the build environment. Everything that triangulation stood in for has been replaced by the filing</w:t>
            </w:r>
          </w:p>
        </w:tc>
      </w:tr>
      <w:tr>
        <w:tc>
          <w:tcPr>
            <w:tcW w:type="dxa" w:w="3312"/>
          </w:tcPr>
          <w:p>
            <w:pPr>
              <w:spacing w:after="20"/>
            </w:pPr>
            <w:r>
              <w:rPr>
                <w:color w:val="1C3A36"/>
                <w:sz w:val="15"/>
              </w:rPr>
              <w:t>A segmental or product-line revenue note</w:t>
            </w:r>
          </w:p>
        </w:tc>
        <w:tc>
          <w:tcPr>
            <w:tcW w:type="dxa" w:w="2880"/>
          </w:tcPr>
          <w:p>
            <w:pPr>
              <w:spacing w:after="20"/>
            </w:pPr>
            <w:r>
              <w:rPr>
                <w:color w:val="1C3A36"/>
                <w:sz w:val="15"/>
              </w:rPr>
              <w:t>The revenue build</w:t>
            </w:r>
          </w:p>
        </w:tc>
        <w:tc>
          <w:tcPr>
            <w:tcW w:type="dxa" w:w="3816"/>
          </w:tcPr>
          <w:p>
            <w:pPr>
              <w:spacing w:after="20"/>
            </w:pPr>
            <w:r>
              <w:rPr>
                <w:color w:val="1C3A36"/>
                <w:sz w:val="15"/>
              </w:rPr>
              <w:t>REACHED — note 14-A gives EIGHT product lines with tonnes AND value for the transition half: 1,502,325 tonnes for EGP 46,959mn. Realisations per tonne are that note divided by itself; nothing is reconstructed and no crack multiple, crude parity or feedstock differential is needed or used. The specialty slate is 13.40% of tonnage and 24.62% of value</w:t>
            </w:r>
          </w:p>
        </w:tc>
      </w:tr>
      <w:tr>
        <w:tc>
          <w:tcPr>
            <w:tcW w:type="dxa" w:w="3312"/>
          </w:tcPr>
          <w:p>
            <w:pPr>
              <w:spacing w:after="20"/>
            </w:pPr>
            <w:r>
              <w:rPr>
                <w:color w:val="1C3A36"/>
                <w:sz w:val="15"/>
              </w:rPr>
              <w:t>A cost-of-sales breakdown</w:t>
            </w:r>
          </w:p>
        </w:tc>
        <w:tc>
          <w:tcPr>
            <w:tcW w:type="dxa" w:w="2880"/>
          </w:tcPr>
          <w:p>
            <w:pPr>
              <w:spacing w:after="20"/>
            </w:pPr>
            <w:r>
              <w:rPr>
                <w:color w:val="1C3A36"/>
                <w:sz w:val="15"/>
              </w:rPr>
              <w:t>The margin, which on a processor at this gross margin IS the valuation</w:t>
            </w:r>
          </w:p>
        </w:tc>
        <w:tc>
          <w:tcPr>
            <w:tcW w:type="dxa" w:w="3816"/>
          </w:tcPr>
          <w:p>
            <w:pPr>
              <w:spacing w:after="20"/>
            </w:pPr>
            <w:r>
              <w:rPr>
                <w:color w:val="1C3A36"/>
                <w:sz w:val="15"/>
              </w:rPr>
              <w:t>REACHED — note 15-A splits cost of sales five ways: raw materials 91.2%, salaries 4.4%, other (natural gas, electricity, water, spare parts, maintenance and the EPROM operating contract) 3.9%, supporting materials 0.3% and depreciation 0.3%. The previous edition BUILT this stack from house estimates of yields, energy intensity and a solved feedstock differential, carried no salaries line inside cost of sales at all, and estimated chemicals at roughly five times the disclosed figure</w:t>
            </w:r>
          </w:p>
        </w:tc>
      </w:tr>
      <w:tr>
        <w:tc>
          <w:tcPr>
            <w:tcW w:type="dxa" w:w="3312"/>
          </w:tcPr>
          <w:p>
            <w:pPr>
              <w:spacing w:after="20"/>
            </w:pPr>
            <w:r>
              <w:rPr>
                <w:color w:val="1C3A36"/>
                <w:sz w:val="15"/>
              </w:rPr>
              <w:t>A disclosed non-controlling-interest balance or profit share</w:t>
            </w:r>
          </w:p>
        </w:tc>
        <w:tc>
          <w:tcPr>
            <w:tcW w:type="dxa" w:w="2880"/>
          </w:tcPr>
          <w:p>
            <w:pPr>
              <w:spacing w:after="20"/>
            </w:pPr>
            <w:r>
              <w:rPr>
                <w:color w:val="1C3A36"/>
                <w:sz w:val="15"/>
              </w:rPr>
              <w:t>The minority deduction in the bridge is inferred from the gap between consolidated and standalone profit</w:t>
            </w:r>
          </w:p>
        </w:tc>
        <w:tc>
          <w:tcPr>
            <w:tcW w:type="dxa" w:w="3816"/>
          </w:tcPr>
          <w:p>
            <w:pPr>
              <w:spacing w:after="20"/>
            </w:pPr>
            <w:r>
              <w:rPr>
                <w:color w:val="1C3A36"/>
                <w:sz w:val="15"/>
              </w:rPr>
              <w:t>NOT FOUND. Held at 4.6% and sensitised to 6%, which moves the answer by -3.1%</w:t>
            </w:r>
          </w:p>
        </w:tc>
      </w:tr>
      <w:tr>
        <w:tc>
          <w:tcPr>
            <w:tcW w:type="dxa" w:w="3312"/>
          </w:tcPr>
          <w:p>
            <w:pPr>
              <w:spacing w:after="20"/>
            </w:pPr>
            <w:r>
              <w:rPr>
                <w:color w:val="1C3A36"/>
                <w:sz w:val="15"/>
              </w:rPr>
              <w:t>A disclosed depreciation charge, capital-expenditure actual, or property, plant and equipment balance</w:t>
            </w:r>
          </w:p>
        </w:tc>
        <w:tc>
          <w:tcPr>
            <w:tcW w:type="dxa" w:w="2880"/>
          </w:tcPr>
          <w:p>
            <w:pPr>
              <w:spacing w:after="20"/>
            </w:pPr>
            <w:r>
              <w:rPr>
                <w:color w:val="1C3A36"/>
                <w:sz w:val="15"/>
              </w:rPr>
              <w:t>All three are drivers of the free-cash-flow waterfall</w:t>
            </w:r>
          </w:p>
        </w:tc>
        <w:tc>
          <w:tcPr>
            <w:tcW w:type="dxa" w:w="3816"/>
          </w:tcPr>
          <w:p>
            <w:pPr>
              <w:spacing w:after="20"/>
            </w:pPr>
            <w:r>
              <w:rPr>
                <w:color w:val="1C3A36"/>
                <w:sz w:val="15"/>
              </w:rPr>
              <w:t>NOT FOUND as disclosed lines. The capital budget of EGP 580.19mn is disclosed and is used as the anchor; depreciation is set as a share of revenue and property, plant and equipment is the residual against disclosed total assets</w:t>
            </w:r>
          </w:p>
        </w:tc>
      </w:tr>
      <w:tr>
        <w:tc>
          <w:tcPr>
            <w:tcW w:type="dxa" w:w="3312"/>
          </w:tcPr>
          <w:p>
            <w:pPr>
              <w:spacing w:after="20"/>
            </w:pPr>
            <w:r>
              <w:rPr>
                <w:color w:val="1C3A36"/>
                <w:sz w:val="15"/>
              </w:rPr>
              <w:t>A traded credit-default-swap quote for Egypt as at August 2026</w:t>
            </w:r>
          </w:p>
        </w:tc>
        <w:tc>
          <w:tcPr>
            <w:tcW w:type="dxa" w:w="2880"/>
          </w:tcPr>
          <w:p>
            <w:pPr>
              <w:spacing w:after="20"/>
            </w:pPr>
            <w:r>
              <w:rPr>
                <w:color w:val="1C3A36"/>
                <w:sz w:val="15"/>
              </w:rPr>
              <w:t>The sovereign spread netted out of the risk-free rate</w:t>
            </w:r>
          </w:p>
        </w:tc>
        <w:tc>
          <w:tcPr>
            <w:tcW w:type="dxa" w:w="3816"/>
          </w:tcPr>
          <w:p>
            <w:pPr>
              <w:spacing w:after="20"/>
            </w:pPr>
            <w:r>
              <w:rPr>
                <w:color w:val="1C3A36"/>
                <w:sz w:val="15"/>
              </w:rPr>
              <w:t>NOT REACHED live. The January-2026 published country-premium file is used, and the rating-basis alternative is computed and published as a value</w:t>
            </w:r>
          </w:p>
        </w:tc>
      </w:tr>
      <w:tr>
        <w:tc>
          <w:tcPr>
            <w:tcW w:type="dxa" w:w="3312"/>
          </w:tcPr>
          <w:p>
            <w:pPr>
              <w:spacing w:after="20"/>
            </w:pPr>
            <w:r>
              <w:rPr>
                <w:color w:val="1C3A36"/>
                <w:sz w:val="15"/>
              </w:rPr>
              <w:t>Listed peer multiples for Egyptian or regional lubricant base-oil processors</w:t>
            </w:r>
          </w:p>
        </w:tc>
        <w:tc>
          <w:tcPr>
            <w:tcW w:type="dxa" w:w="2880"/>
          </w:tcPr>
          <w:p>
            <w:pPr>
              <w:spacing w:after="20"/>
            </w:pPr>
            <w:r>
              <w:rPr>
                <w:color w:val="1C3A36"/>
                <w:sz w:val="15"/>
              </w:rPr>
              <w:t>The relative lens</w:t>
            </w:r>
          </w:p>
        </w:tc>
        <w:tc>
          <w:tcPr>
            <w:tcW w:type="dxa" w:w="3816"/>
          </w:tcPr>
          <w:p>
            <w:pPr>
              <w:spacing w:after="20"/>
            </w:pPr>
            <w:r>
              <w:rPr>
                <w:color w:val="1C3A36"/>
                <w:sz w:val="15"/>
              </w:rPr>
              <w:t>NO DIRECT LISTED COMPARATOR EXISTS — the company is the only listed refinery on the exchange. The multiple range used is taken from the international Group I base-oil and independent-processor band and is disclosed as such rather than presented as a peer set</w:t>
            </w:r>
          </w:p>
        </w:tc>
      </w:tr>
    </w:tbl>
    <w:p>
      <w:pPr>
        <w:spacing w:after="40"/>
      </w:pPr>
    </w:p>
    <w:p>
      <w:pPr>
        <w:spacing w:after="80" w:before="240"/>
      </w:pPr>
      <w:r>
        <w:rPr>
          <w:b/>
          <w:i w:val="0"/>
          <w:color w:val="1C3A36"/>
          <w:sz w:val="26"/>
        </w:rPr>
        <w:t>Method note</w:t>
      </w:r>
    </w:p>
    <w:p>
      <w:pPr>
        <w:spacing w:after="100" w:before="0"/>
      </w:pPr>
      <w:r>
        <w:rPr>
          <w:b w:val="0"/>
          <w:i w:val="0"/>
          <w:color w:val="1C3A36"/>
          <w:sz w:val="20"/>
        </w:rPr>
        <w:t>All financial arithmetic in the study originates in an executed, asserting compute script. Every hardcoded figure enters through the four-field register reproduced above; the script refuses to emit its results unless the enterprise-to-equity bridge closes exactly, terminal value as a percentage of enterprise value is computed and printed, the implied fair value sits inside a stated plausibility band, and net debt and minority interests carry the correct signs into the bridge.</w:t>
      </w:r>
    </w:p>
    <w:p>
      <w:pPr>
        <w:spacing w:after="100" w:before="0"/>
      </w:pPr>
      <w:r>
        <w:rPr>
          <w:b w:val="0"/>
          <w:i w:val="0"/>
          <w:color w:val="1C3A36"/>
          <w:sz w:val="20"/>
        </w:rPr>
        <w:t>The companion workbook was verified on the DELIVERED file rather than on the script that wrote it: every formula cell was independently re-evaluated and required to reproduce the model's own value with none unresolvable and none unchecked, and every input was perturbed in place with the whole workbook re-evaluated to confirm it moves the headline in the asserted direction.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