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102.54. That end is the value-RAISING one, and it is stated rather than left off the table: a wider interval than the anchors show is a fact about how little this regression establishes, not a reason to print a narrower one.</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is 10.52% — the last forecast year's operating profit after tax against that capital, both measured at the same date. A figure of 11.3% appears in the earlier editions of this section and is NOT used here: it divides a profit already grown by one year of terminal growth by a capital base that has not grown, which flatters the return by 74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free cash flow at 2.5% for ever with no charge for keeping the plant standing. A perpetuity has to maintain its own capital: on replacement-cost capital of EGP 51,191 and the 20-year machinery life ARCC's own audited accounting-policies note discloses, that maintenance is EGP 2,560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66.53</w:t>
            </w:r>
          </w:p>
        </w:tc>
        <w:tc>
          <w:tcPr>
            <w:tcW w:type="dxa" w:w="1728"/>
          </w:tcPr>
          <w:p>
            <w:pPr>
              <w:spacing w:after="20"/>
              <w:jc w:val="right"/>
            </w:pPr>
            <w:r>
              <w:rPr>
                <w:color w:val="1C3A36"/>
                <w:sz w:val="17"/>
              </w:rPr>
              <w:t>-13.6%</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65.78</w:t>
            </w:r>
          </w:p>
        </w:tc>
        <w:tc>
          <w:tcPr>
            <w:tcW w:type="dxa" w:w="1728"/>
          </w:tcPr>
          <w:p>
            <w:pPr>
              <w:spacing w:after="20"/>
              <w:jc w:val="right"/>
            </w:pPr>
            <w:r>
              <w:rPr>
                <w:color w:val="1C3A36"/>
                <w:sz w:val="17"/>
              </w:rPr>
              <w:t>-14.6%</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45.09</w:t>
            </w:r>
          </w:p>
        </w:tc>
        <w:tc>
          <w:tcPr>
            <w:tcW w:type="dxa" w:w="1728"/>
          </w:tcPr>
          <w:p>
            <w:pPr>
              <w:spacing w:after="20"/>
              <w:jc w:val="right"/>
            </w:pPr>
            <w:r>
              <w:rPr>
                <w:color w:val="1C3A36"/>
                <w:sz w:val="17"/>
              </w:rPr>
              <w:t>-41.4%</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bl>
    <w:p>
      <w:pPr>
        <w:spacing w:after="40"/>
      </w:pPr>
    </w:p>
    <w:p>
      <w:pPr>
        <w:spacing w:after="200" w:before="0"/>
      </w:pPr>
      <w:r>
        <w:rPr>
          <w:b w:val="0"/>
          <w:i/>
          <w:color w:val="6E7B77"/>
          <w:sz w:val="17"/>
        </w:rPr>
        <w:t>Table 16 — What EFG’s margin view is worth, held against both volume assumptions. Their margin on OUR volumes reaches EGP 65.04, -15.5% against the latest close; their margin AND their volumes together reach EGP 45.09, -41.4%. NEITHER clears the price, and the volume assumption is worth 19.95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65.78, -14.6%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the 59.00 close of 2026-08-06</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 THE DATES DIFFER AND THAT MATTERS HERE: this read is built on price history ending 2026-08-06 at EGP 59.00, while the latest known market price used everywhere else in this study is EGP 77.00 on 2026-09-03, +30.5% higher. Every distance above is measured from the read's own close, because a level drawn on one day's history says nothing about a price on another. The whole ladder — the 52-week high included — sits BELOW the current price, so on this evidence the tape has moved clear of every level this structure identified and the read should be treated as describing a market the price has since left.</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Over 44 resolved three-month forecasts this name's price finished inside the 90% band 93.2% of the time, against a 90% target — a record long enough to read, and one on which nothing further is claimed either way. Its bands run 1.43 times the width of a naive carry-anchored random walk's, which is disclosed rather than judged: on this exchange that is the ordinary figure and a wider band is not automatically a worse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EGP 59.00 anchor</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