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130.05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58 and EGP 73 a share. Because the contested judgement below is carried BOTH ways and the two are never averaged, the study publishes TWO weighted centres: EGP 61.21 a share on the permanent-provision reading and EGP 68.70 on the normalising one. The market price is EGP 130.05.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61.21 and EGP 68.70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130.05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58 and EGP 73.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76419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76419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w:t>
            </w:r>
          </w:p>
        </w:tc>
        <w:tc>
          <w:tcPr>
            <w:tcW w:type="dxa" w:w="1512"/>
          </w:tcPr>
          <w:p>
            <w:pPr>
              <w:spacing w:after="20"/>
              <w:jc w:val="right"/>
            </w:pPr>
            <w:r>
              <w:rPr>
                <w:color w:val="1C3A36"/>
                <w:sz w:val="18"/>
              </w:rPr>
              <w:t>58.04</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terminal value 74% of core enterprise value, 62% of total</w:t>
            </w:r>
          </w:p>
        </w:tc>
      </w:tr>
      <w:tr>
        <w:tc>
          <w:tcPr>
            <w:tcW w:type="dxa" w:w="3384"/>
          </w:tcPr>
          <w:p>
            <w:pPr>
              <w:spacing w:after="20"/>
            </w:pPr>
            <w:r>
              <w:rPr>
                <w:color w:val="1C3A36"/>
                <w:sz w:val="18"/>
              </w:rPr>
              <w:t>Discounted cash flow — Frame B</w:t>
            </w:r>
          </w:p>
        </w:tc>
        <w:tc>
          <w:tcPr>
            <w:tcW w:type="dxa" w:w="1512"/>
          </w:tcPr>
          <w:p>
            <w:pPr>
              <w:spacing w:after="20"/>
              <w:jc w:val="right"/>
            </w:pPr>
            <w:r>
              <w:rPr>
                <w:color w:val="1C3A36"/>
                <w:sz w:val="18"/>
              </w:rPr>
              <w:t>73.03</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terminal value 75% of core enterprise value, 64% of total</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62.81</w:t>
            </w:r>
          </w:p>
        </w:tc>
        <w:tc>
          <w:tcPr>
            <w:tcW w:type="dxa" w:w="1224"/>
          </w:tcPr>
          <w:p>
            <w:pPr>
              <w:spacing w:after="20"/>
              <w:jc w:val="right"/>
            </w:pPr>
            <w:r>
              <w:rPr>
                <w:color w:val="1C3A36"/>
                <w:sz w:val="18"/>
              </w:rPr>
              <w:t>-52%</w:t>
            </w:r>
          </w:p>
        </w:tc>
        <w:tc>
          <w:tcPr>
            <w:tcW w:type="dxa" w:w="3960"/>
          </w:tcPr>
          <w:p>
            <w:pPr>
              <w:spacing w:after="20"/>
              <w:jc w:val="right"/>
            </w:pPr>
            <w:r>
              <w:rPr>
                <w:color w:val="1C3A36"/>
                <w:sz w:val="18"/>
              </w:rPr>
              <w:t>justified 1.70x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65.42</w:t>
            </w:r>
          </w:p>
        </w:tc>
        <w:tc>
          <w:tcPr>
            <w:tcW w:type="dxa" w:w="1224"/>
          </w:tcPr>
          <w:p>
            <w:pPr>
              <w:spacing w:after="20"/>
              <w:jc w:val="right"/>
            </w:pPr>
            <w:r>
              <w:rPr>
                <w:color w:val="1C3A36"/>
                <w:sz w:val="18"/>
              </w:rPr>
              <w:t>-50%</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65.40</w:t>
            </w:r>
          </w:p>
        </w:tc>
        <w:tc>
          <w:tcPr>
            <w:tcW w:type="dxa" w:w="1224"/>
          </w:tcPr>
          <w:p>
            <w:pPr>
              <w:spacing w:after="20"/>
              <w:jc w:val="right"/>
            </w:pPr>
            <w:r>
              <w:rPr>
                <w:color w:val="1C3A36"/>
                <w:sz w:val="18"/>
              </w:rPr>
              <w:t>-50%</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WEIGHTED CENTRE — Frame A</w:t>
            </w:r>
          </w:p>
        </w:tc>
        <w:tc>
          <w:tcPr>
            <w:tcW w:type="dxa" w:w="1512"/>
            <w:shd w:val="clear" w:color="auto" w:fill="F6F1E6"/>
          </w:tcPr>
          <w:p>
            <w:pPr>
              <w:spacing w:after="20"/>
              <w:jc w:val="right"/>
            </w:pPr>
            <w:r>
              <w:rPr>
                <w:b/>
                <w:color w:val="1C3A36"/>
                <w:sz w:val="18"/>
              </w:rPr>
              <w:t>61.21</w:t>
            </w:r>
          </w:p>
        </w:tc>
        <w:tc>
          <w:tcPr>
            <w:tcW w:type="dxa" w:w="1224"/>
            <w:shd w:val="clear" w:color="auto" w:fill="F6F1E6"/>
          </w:tcPr>
          <w:p>
            <w:pPr>
              <w:spacing w:after="20"/>
              <w:jc w:val="right"/>
            </w:pPr>
            <w:r>
              <w:rPr>
                <w:b/>
                <w:color w:val="1C3A36"/>
                <w:sz w:val="18"/>
              </w:rPr>
              <w:t>-53%</w:t>
            </w:r>
          </w:p>
        </w:tc>
        <w:tc>
          <w:tcPr>
            <w:tcW w:type="dxa" w:w="3960"/>
            <w:shd w:val="clear" w:color="auto" w:fill="F6F1E6"/>
          </w:tcPr>
          <w:p>
            <w:pPr>
              <w:spacing w:after="20"/>
              <w:jc w:val="right"/>
            </w:pPr>
            <w:r>
              <w:rPr>
                <w:b/>
                <w:color w:val="1C3A36"/>
                <w:sz w:val="18"/>
              </w:rPr>
              <w:t>Frame A at 50% weight beside the three lenses that do not turn on the judgement</w:t>
            </w:r>
          </w:p>
        </w:tc>
      </w:tr>
      <w:tr>
        <w:tc>
          <w:tcPr>
            <w:tcW w:type="dxa" w:w="3384"/>
            <w:shd w:val="clear" w:color="auto" w:fill="F6F1E6"/>
          </w:tcPr>
          <w:p>
            <w:pPr>
              <w:spacing w:after="20"/>
            </w:pPr>
            <w:r>
              <w:rPr>
                <w:b/>
                <w:color w:val="1C3A36"/>
                <w:sz w:val="18"/>
              </w:rPr>
              <w:t>WEIGHTED CENTRE — Frame B</w:t>
            </w:r>
          </w:p>
        </w:tc>
        <w:tc>
          <w:tcPr>
            <w:tcW w:type="dxa" w:w="1512"/>
            <w:shd w:val="clear" w:color="auto" w:fill="F6F1E6"/>
          </w:tcPr>
          <w:p>
            <w:pPr>
              <w:spacing w:after="20"/>
              <w:jc w:val="right"/>
            </w:pPr>
            <w:r>
              <w:rPr>
                <w:b/>
                <w:color w:val="1C3A36"/>
                <w:sz w:val="18"/>
              </w:rPr>
              <w:t>68.70</w:t>
            </w:r>
          </w:p>
        </w:tc>
        <w:tc>
          <w:tcPr>
            <w:tcW w:type="dxa" w:w="1224"/>
            <w:shd w:val="clear" w:color="auto" w:fill="F6F1E6"/>
          </w:tcPr>
          <w:p>
            <w:pPr>
              <w:spacing w:after="20"/>
              <w:jc w:val="right"/>
            </w:pPr>
            <w:r>
              <w:rPr>
                <w:b/>
                <w:color w:val="1C3A36"/>
                <w:sz w:val="18"/>
              </w:rPr>
              <w:t>-47%</w:t>
            </w:r>
          </w:p>
        </w:tc>
        <w:tc>
          <w:tcPr>
            <w:tcW w:type="dxa" w:w="3960"/>
            <w:shd w:val="clear" w:color="auto" w:fill="F6F1E6"/>
          </w:tcPr>
          <w:p>
            <w:pPr>
              <w:spacing w:after="20"/>
              <w:jc w:val="right"/>
            </w:pPr>
            <w:r>
              <w:rPr>
                <w:b/>
                <w:color w:val="1C3A36"/>
                <w:sz w:val="18"/>
              </w:rPr>
              <w:t>The same three lenses beside Frame B. The two centres are NEVER averaged</w:t>
            </w:r>
          </w:p>
        </w:tc>
      </w:tr>
      <w:tr>
        <w:tc>
          <w:tcPr>
            <w:tcW w:type="dxa" w:w="3384"/>
          </w:tcPr>
          <w:p>
            <w:pPr>
              <w:spacing w:after="20"/>
            </w:pPr>
            <w:r>
              <w:rPr>
                <w:color w:val="1C3A36"/>
                <w:sz w:val="18"/>
              </w:rPr>
              <w:t>Field low to field high</w:t>
            </w:r>
          </w:p>
        </w:tc>
        <w:tc>
          <w:tcPr>
            <w:tcW w:type="dxa" w:w="1512"/>
          </w:tcPr>
          <w:p>
            <w:pPr>
              <w:spacing w:after="20"/>
              <w:jc w:val="right"/>
            </w:pPr>
            <w:r>
              <w:rPr>
                <w:color w:val="1C3A36"/>
                <w:sz w:val="18"/>
              </w:rPr>
              <w:t>58.04 – 73.03</w:t>
            </w:r>
          </w:p>
        </w:tc>
        <w:tc>
          <w:tcPr>
            <w:tcW w:type="dxa" w:w="1224"/>
          </w:tcPr>
          <w:p>
            <w:pPr>
              <w:spacing w:after="20"/>
              <w:jc w:val="right"/>
            </w:pPr>
            <w:r>
              <w:rPr>
                <w:color w:val="1C3A36"/>
                <w:sz w:val="18"/>
              </w:rPr>
            </w:r>
          </w:p>
        </w:tc>
        <w:tc>
          <w:tcPr>
            <w:tcW w:type="dxa" w:w="3960"/>
          </w:tcPr>
          <w:p>
            <w:pPr>
              <w:spacing w:after="20"/>
              <w:jc w:val="right"/>
            </w:pPr>
            <w:r>
              <w:rPr>
                <w:color w:val="1C3A36"/>
                <w:sz w:val="18"/>
              </w:rPr>
              <w:t>The spread between the readings IS the uncertainty</w:t>
            </w:r>
          </w:p>
        </w:tc>
      </w:tr>
      <w:tr>
        <w:tc>
          <w:tcPr>
            <w:tcW w:type="dxa" w:w="3384"/>
            <w:shd w:val="clear" w:color="auto" w:fill="F6F1E6"/>
          </w:tcPr>
          <w:p>
            <w:pPr>
              <w:spacing w:after="20"/>
            </w:pPr>
            <w:r>
              <w:rPr>
                <w:b/>
                <w:color w:val="1C3A36"/>
                <w:sz w:val="18"/>
              </w:rPr>
              <w:t>Market price</w:t>
            </w:r>
          </w:p>
        </w:tc>
        <w:tc>
          <w:tcPr>
            <w:tcW w:type="dxa" w:w="1512"/>
            <w:shd w:val="clear" w:color="auto" w:fill="F6F1E6"/>
          </w:tcPr>
          <w:p>
            <w:pPr>
              <w:spacing w:after="20"/>
              <w:jc w:val="right"/>
            </w:pPr>
            <w:r>
              <w:rPr>
                <w:b/>
                <w:color w:val="1C3A36"/>
                <w:sz w:val="18"/>
              </w:rPr>
              <w:t>130.05</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Close of 6 August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21,947m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29,315m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15.22x on shares in issue, 14.62x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11.8x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25.57%</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22.75%</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13.56%</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29,600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10,397</w:t>
            </w:r>
          </w:p>
        </w:tc>
        <w:tc>
          <w:tcPr>
            <w:tcW w:type="dxa" w:w="1325"/>
          </w:tcPr>
          <w:p>
            <w:pPr>
              <w:spacing w:after="20"/>
              <w:jc w:val="right"/>
            </w:pPr>
            <w:r>
              <w:rPr>
                <w:color w:val="1C3A36"/>
                <w:sz w:val="17"/>
              </w:rPr>
              <w:t>12,063</w:t>
            </w:r>
          </w:p>
        </w:tc>
        <w:tc>
          <w:tcPr>
            <w:tcW w:type="dxa" w:w="1325"/>
          </w:tcPr>
          <w:p>
            <w:pPr>
              <w:spacing w:after="20"/>
              <w:jc w:val="right"/>
            </w:pPr>
            <w:r>
              <w:rPr>
                <w:color w:val="1C3A36"/>
                <w:sz w:val="17"/>
              </w:rPr>
              <w:t>13,863</w:t>
            </w:r>
          </w:p>
        </w:tc>
        <w:tc>
          <w:tcPr>
            <w:tcW w:type="dxa" w:w="1325"/>
          </w:tcPr>
          <w:p>
            <w:pPr>
              <w:spacing w:after="20"/>
              <w:jc w:val="right"/>
            </w:pPr>
            <w:r>
              <w:rPr>
                <w:color w:val="1C3A36"/>
                <w:sz w:val="17"/>
              </w:rPr>
              <w:t>15,688</w:t>
            </w:r>
          </w:p>
        </w:tc>
        <w:tc>
          <w:tcPr>
            <w:tcW w:type="dxa" w:w="1325"/>
          </w:tcPr>
          <w:p>
            <w:pPr>
              <w:spacing w:after="20"/>
              <w:jc w:val="right"/>
            </w:pPr>
            <w:r>
              <w:rPr>
                <w:color w:val="1C3A36"/>
                <w:sz w:val="17"/>
              </w:rPr>
              <w:t>17,468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2,573</w:t>
            </w:r>
          </w:p>
        </w:tc>
        <w:tc>
          <w:tcPr>
            <w:tcW w:type="dxa" w:w="1325"/>
          </w:tcPr>
          <w:p>
            <w:pPr>
              <w:spacing w:after="20"/>
              <w:jc w:val="right"/>
            </w:pPr>
            <w:r>
              <w:rPr>
                <w:color w:val="1C3A36"/>
                <w:sz w:val="17"/>
              </w:rPr>
              <w:t>2,972</w:t>
            </w:r>
          </w:p>
        </w:tc>
        <w:tc>
          <w:tcPr>
            <w:tcW w:type="dxa" w:w="1325"/>
          </w:tcPr>
          <w:p>
            <w:pPr>
              <w:spacing w:after="20"/>
              <w:jc w:val="right"/>
            </w:pPr>
            <w:r>
              <w:rPr>
                <w:color w:val="1C3A36"/>
                <w:sz w:val="17"/>
              </w:rPr>
              <w:t>3,437</w:t>
            </w:r>
          </w:p>
        </w:tc>
        <w:tc>
          <w:tcPr>
            <w:tcW w:type="dxa" w:w="1325"/>
          </w:tcPr>
          <w:p>
            <w:pPr>
              <w:spacing w:after="20"/>
              <w:jc w:val="right"/>
            </w:pPr>
            <w:r>
              <w:rPr>
                <w:color w:val="1C3A36"/>
                <w:sz w:val="17"/>
              </w:rPr>
              <w:t>3,891</w:t>
            </w:r>
          </w:p>
        </w:tc>
        <w:tc>
          <w:tcPr>
            <w:tcW w:type="dxa" w:w="1325"/>
          </w:tcPr>
          <w:p>
            <w:pPr>
              <w:spacing w:after="20"/>
              <w:jc w:val="right"/>
            </w:pPr>
            <w:r>
              <w:rPr>
                <w:color w:val="1C3A36"/>
                <w:sz w:val="17"/>
              </w:rPr>
              <w:t>4,317</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24.8%</w:t>
            </w:r>
          </w:p>
        </w:tc>
        <w:tc>
          <w:tcPr>
            <w:tcW w:type="dxa" w:w="1325"/>
          </w:tcPr>
          <w:p>
            <w:pPr>
              <w:spacing w:after="20"/>
              <w:jc w:val="right"/>
            </w:pPr>
            <w:r>
              <w:rPr>
                <w:color w:val="1C3A36"/>
                <w:sz w:val="17"/>
              </w:rPr>
              <w:t>24.6%</w:t>
            </w:r>
          </w:p>
        </w:tc>
        <w:tc>
          <w:tcPr>
            <w:tcW w:type="dxa" w:w="1325"/>
          </w:tcPr>
          <w:p>
            <w:pPr>
              <w:spacing w:after="20"/>
              <w:jc w:val="right"/>
            </w:pPr>
            <w:r>
              <w:rPr>
                <w:color w:val="1C3A36"/>
                <w:sz w:val="17"/>
              </w:rPr>
              <w:t>24.8%</w:t>
            </w:r>
          </w:p>
        </w:tc>
        <w:tc>
          <w:tcPr>
            <w:tcW w:type="dxa" w:w="1325"/>
          </w:tcPr>
          <w:p>
            <w:pPr>
              <w:spacing w:after="20"/>
              <w:jc w:val="right"/>
            </w:pPr>
            <w:r>
              <w:rPr>
                <w:color w:val="1C3A36"/>
                <w:sz w:val="17"/>
              </w:rPr>
              <w:t>24.8%</w:t>
            </w:r>
          </w:p>
        </w:tc>
        <w:tc>
          <w:tcPr>
            <w:tcW w:type="dxa" w:w="1325"/>
          </w:tcPr>
          <w:p>
            <w:pPr>
              <w:spacing w:after="20"/>
              <w:jc w:val="right"/>
            </w:pPr>
            <w:r>
              <w:rPr>
                <w:color w:val="1C3A36"/>
                <w:sz w:val="17"/>
              </w:rPr>
              <w:t>24.7%</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2,269</w:t>
            </w:r>
          </w:p>
        </w:tc>
        <w:tc>
          <w:tcPr>
            <w:tcW w:type="dxa" w:w="1325"/>
          </w:tcPr>
          <w:p>
            <w:pPr>
              <w:spacing w:after="20"/>
              <w:jc w:val="right"/>
            </w:pPr>
            <w:r>
              <w:rPr>
                <w:color w:val="1C3A36"/>
                <w:sz w:val="17"/>
              </w:rPr>
              <w:t>2,547</w:t>
            </w:r>
          </w:p>
        </w:tc>
        <w:tc>
          <w:tcPr>
            <w:tcW w:type="dxa" w:w="1325"/>
          </w:tcPr>
          <w:p>
            <w:pPr>
              <w:spacing w:after="20"/>
              <w:jc w:val="right"/>
            </w:pPr>
            <w:r>
              <w:rPr>
                <w:color w:val="1C3A36"/>
                <w:sz w:val="17"/>
              </w:rPr>
              <w:t>2,991</w:t>
            </w:r>
          </w:p>
        </w:tc>
        <w:tc>
          <w:tcPr>
            <w:tcW w:type="dxa" w:w="1325"/>
          </w:tcPr>
          <w:p>
            <w:pPr>
              <w:spacing w:after="20"/>
              <w:jc w:val="right"/>
            </w:pPr>
            <w:r>
              <w:rPr>
                <w:color w:val="1C3A36"/>
                <w:sz w:val="17"/>
              </w:rPr>
              <w:t>3,454</w:t>
            </w:r>
          </w:p>
        </w:tc>
        <w:tc>
          <w:tcPr>
            <w:tcW w:type="dxa" w:w="1325"/>
          </w:tcPr>
          <w:p>
            <w:pPr>
              <w:spacing w:after="20"/>
              <w:jc w:val="right"/>
            </w:pPr>
            <w:r>
              <w:rPr>
                <w:color w:val="1C3A36"/>
                <w:sz w:val="17"/>
              </w:rPr>
              <w:t>3,894</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1,736</w:t>
            </w:r>
          </w:p>
        </w:tc>
        <w:tc>
          <w:tcPr>
            <w:tcW w:type="dxa" w:w="1325"/>
          </w:tcPr>
          <w:p>
            <w:pPr>
              <w:spacing w:after="20"/>
              <w:jc w:val="right"/>
            </w:pPr>
            <w:r>
              <w:rPr>
                <w:color w:val="1C3A36"/>
                <w:sz w:val="17"/>
              </w:rPr>
              <w:t>1,948</w:t>
            </w:r>
          </w:p>
        </w:tc>
        <w:tc>
          <w:tcPr>
            <w:tcW w:type="dxa" w:w="1325"/>
          </w:tcPr>
          <w:p>
            <w:pPr>
              <w:spacing w:after="20"/>
              <w:jc w:val="right"/>
            </w:pPr>
            <w:r>
              <w:rPr>
                <w:color w:val="1C3A36"/>
                <w:sz w:val="17"/>
              </w:rPr>
              <w:t>2,288</w:t>
            </w:r>
          </w:p>
        </w:tc>
        <w:tc>
          <w:tcPr>
            <w:tcW w:type="dxa" w:w="1325"/>
          </w:tcPr>
          <w:p>
            <w:pPr>
              <w:spacing w:after="20"/>
              <w:jc w:val="right"/>
            </w:pPr>
            <w:r>
              <w:rPr>
                <w:color w:val="1C3A36"/>
                <w:sz w:val="17"/>
              </w:rPr>
              <w:t>2,642</w:t>
            </w:r>
          </w:p>
        </w:tc>
        <w:tc>
          <w:tcPr>
            <w:tcW w:type="dxa" w:w="1325"/>
          </w:tcPr>
          <w:p>
            <w:pPr>
              <w:spacing w:after="20"/>
              <w:jc w:val="right"/>
            </w:pPr>
            <w:r>
              <w:rPr>
                <w:color w:val="1C3A36"/>
                <w:sz w:val="17"/>
              </w:rPr>
              <w:t>2,979</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(1,300)</w:t>
            </w:r>
          </w:p>
        </w:tc>
        <w:tc>
          <w:tcPr>
            <w:tcW w:type="dxa" w:w="1325"/>
          </w:tcPr>
          <w:p>
            <w:pPr>
              <w:spacing w:after="20"/>
              <w:jc w:val="right"/>
            </w:pPr>
            <w:r>
              <w:rPr>
                <w:color w:val="1C3A36"/>
                <w:sz w:val="17"/>
              </w:rPr>
              <w:t>(543)</w:t>
            </w:r>
          </w:p>
        </w:tc>
        <w:tc>
          <w:tcPr>
            <w:tcW w:type="dxa" w:w="1325"/>
          </w:tcPr>
          <w:p>
            <w:pPr>
              <w:spacing w:after="20"/>
              <w:jc w:val="right"/>
            </w:pPr>
            <w:r>
              <w:rPr>
                <w:color w:val="1C3A36"/>
                <w:sz w:val="17"/>
              </w:rPr>
              <w:t>(485)</w:t>
            </w:r>
          </w:p>
        </w:tc>
        <w:tc>
          <w:tcPr>
            <w:tcW w:type="dxa" w:w="1325"/>
          </w:tcPr>
          <w:p>
            <w:pPr>
              <w:spacing w:after="20"/>
              <w:jc w:val="right"/>
            </w:pPr>
            <w:r>
              <w:rPr>
                <w:color w:val="1C3A36"/>
                <w:sz w:val="17"/>
              </w:rPr>
              <w:t>(502)</w:t>
            </w:r>
          </w:p>
        </w:tc>
        <w:tc>
          <w:tcPr>
            <w:tcW w:type="dxa" w:w="1325"/>
          </w:tcPr>
          <w:p>
            <w:pPr>
              <w:spacing w:after="20"/>
              <w:jc w:val="right"/>
            </w:pPr>
            <w:r>
              <w:rPr>
                <w:color w:val="1C3A36"/>
                <w:sz w:val="17"/>
              </w:rPr>
              <w:t>(524)</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(599)</w:t>
            </w:r>
          </w:p>
        </w:tc>
        <w:tc>
          <w:tcPr>
            <w:tcW w:type="dxa" w:w="1325"/>
          </w:tcPr>
          <w:p>
            <w:pPr>
              <w:spacing w:after="20"/>
              <w:jc w:val="right"/>
            </w:pPr>
            <w:r>
              <w:rPr>
                <w:color w:val="1C3A36"/>
                <w:sz w:val="17"/>
              </w:rPr>
              <w:t>(779)</w:t>
            </w:r>
          </w:p>
        </w:tc>
        <w:tc>
          <w:tcPr>
            <w:tcW w:type="dxa" w:w="1325"/>
          </w:tcPr>
          <w:p>
            <w:pPr>
              <w:spacing w:after="20"/>
              <w:jc w:val="right"/>
            </w:pPr>
            <w:r>
              <w:rPr>
                <w:color w:val="1C3A36"/>
                <w:sz w:val="17"/>
              </w:rPr>
              <w:t>(693)</w:t>
            </w:r>
          </w:p>
        </w:tc>
        <w:tc>
          <w:tcPr>
            <w:tcW w:type="dxa" w:w="1325"/>
          </w:tcPr>
          <w:p>
            <w:pPr>
              <w:spacing w:after="20"/>
              <w:jc w:val="right"/>
            </w:pPr>
            <w:r>
              <w:rPr>
                <w:color w:val="1C3A36"/>
                <w:sz w:val="17"/>
              </w:rPr>
              <w:t>(725)</w:t>
            </w:r>
          </w:p>
        </w:tc>
        <w:tc>
          <w:tcPr>
            <w:tcW w:type="dxa" w:w="1325"/>
          </w:tcPr>
          <w:p>
            <w:pPr>
              <w:spacing w:after="20"/>
              <w:jc w:val="right"/>
            </w:pPr>
            <w:r>
              <w:rPr>
                <w:color w:val="1C3A36"/>
                <w:sz w:val="17"/>
              </w:rPr>
              <w:t>(678)</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141</w:t>
            </w:r>
          </w:p>
        </w:tc>
        <w:tc>
          <w:tcPr>
            <w:tcW w:type="dxa" w:w="1325"/>
          </w:tcPr>
          <w:p>
            <w:pPr>
              <w:spacing w:after="20"/>
              <w:jc w:val="right"/>
            </w:pPr>
            <w:r>
              <w:rPr>
                <w:color w:val="1C3A36"/>
                <w:sz w:val="17"/>
              </w:rPr>
              <w:t>1,052</w:t>
            </w:r>
          </w:p>
        </w:tc>
        <w:tc>
          <w:tcPr>
            <w:tcW w:type="dxa" w:w="1325"/>
          </w:tcPr>
          <w:p>
            <w:pPr>
              <w:spacing w:after="20"/>
              <w:jc w:val="right"/>
            </w:pPr>
            <w:r>
              <w:rPr>
                <w:color w:val="1C3A36"/>
                <w:sz w:val="17"/>
              </w:rPr>
              <w:t>1,556</w:t>
            </w:r>
          </w:p>
        </w:tc>
        <w:tc>
          <w:tcPr>
            <w:tcW w:type="dxa" w:w="1325"/>
          </w:tcPr>
          <w:p>
            <w:pPr>
              <w:spacing w:after="20"/>
              <w:jc w:val="right"/>
            </w:pPr>
            <w:r>
              <w:rPr>
                <w:color w:val="1C3A36"/>
                <w:sz w:val="17"/>
              </w:rPr>
              <w:t>1,853</w:t>
            </w:r>
          </w:p>
        </w:tc>
        <w:tc>
          <w:tcPr>
            <w:tcW w:type="dxa" w:w="1325"/>
          </w:tcPr>
          <w:p>
            <w:pPr>
              <w:spacing w:after="20"/>
              <w:jc w:val="right"/>
            </w:pPr>
            <w:r>
              <w:rPr>
                <w:color w:val="1C3A36"/>
                <w:sz w:val="17"/>
              </w:rPr>
              <w:t>2,200</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22.75%</w:t>
            </w:r>
          </w:p>
        </w:tc>
        <w:tc>
          <w:tcPr>
            <w:tcW w:type="dxa" w:w="1325"/>
            <w:shd w:val="clear" w:color="auto" w:fill="F6F1E6"/>
          </w:tcPr>
          <w:p>
            <w:pPr>
              <w:spacing w:after="20"/>
              <w:jc w:val="right"/>
            </w:pPr>
            <w:r>
              <w:rPr>
                <w:b/>
                <w:color w:val="1C3A36"/>
                <w:sz w:val="17"/>
              </w:rPr>
              <w:t>20.29%</w:t>
            </w:r>
          </w:p>
        </w:tc>
        <w:tc>
          <w:tcPr>
            <w:tcW w:type="dxa" w:w="1325"/>
            <w:shd w:val="clear" w:color="auto" w:fill="F6F1E6"/>
          </w:tcPr>
          <w:p>
            <w:pPr>
              <w:spacing w:after="20"/>
              <w:jc w:val="right"/>
            </w:pPr>
            <w:r>
              <w:rPr>
                <w:b/>
                <w:color w:val="1C3A36"/>
                <w:sz w:val="17"/>
              </w:rPr>
              <w:t>17.60%</w:t>
            </w:r>
          </w:p>
        </w:tc>
        <w:tc>
          <w:tcPr>
            <w:tcW w:type="dxa" w:w="1325"/>
            <w:shd w:val="clear" w:color="auto" w:fill="F6F1E6"/>
          </w:tcPr>
          <w:p>
            <w:pPr>
              <w:spacing w:after="20"/>
              <w:jc w:val="right"/>
            </w:pPr>
            <w:r>
              <w:rPr>
                <w:b/>
                <w:color w:val="1C3A36"/>
                <w:sz w:val="17"/>
              </w:rPr>
              <w:t>15.35%</w:t>
            </w:r>
          </w:p>
        </w:tc>
        <w:tc>
          <w:tcPr>
            <w:tcW w:type="dxa" w:w="1325"/>
            <w:shd w:val="clear" w:color="auto" w:fill="F6F1E6"/>
          </w:tcPr>
          <w:p>
            <w:pPr>
              <w:spacing w:after="20"/>
              <w:jc w:val="right"/>
            </w:pPr>
            <w:r>
              <w:rPr>
                <w:b/>
                <w:color w:val="1C3A36"/>
                <w:sz w:val="17"/>
              </w:rPr>
              <w:t>13.56%</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0.8146</w:t>
            </w:r>
          </w:p>
        </w:tc>
        <w:tc>
          <w:tcPr>
            <w:tcW w:type="dxa" w:w="1325"/>
          </w:tcPr>
          <w:p>
            <w:pPr>
              <w:spacing w:after="20"/>
              <w:jc w:val="right"/>
            </w:pPr>
            <w:r>
              <w:rPr>
                <w:color w:val="1C3A36"/>
                <w:sz w:val="17"/>
              </w:rPr>
              <w:t>0.6772</w:t>
            </w:r>
          </w:p>
        </w:tc>
        <w:tc>
          <w:tcPr>
            <w:tcW w:type="dxa" w:w="1325"/>
          </w:tcPr>
          <w:p>
            <w:pPr>
              <w:spacing w:after="20"/>
              <w:jc w:val="right"/>
            </w:pPr>
            <w:r>
              <w:rPr>
                <w:color w:val="1C3A36"/>
                <w:sz w:val="17"/>
              </w:rPr>
              <w:t>0.5759</w:t>
            </w:r>
          </w:p>
        </w:tc>
        <w:tc>
          <w:tcPr>
            <w:tcW w:type="dxa" w:w="1325"/>
          </w:tcPr>
          <w:p>
            <w:pPr>
              <w:spacing w:after="20"/>
              <w:jc w:val="right"/>
            </w:pPr>
            <w:r>
              <w:rPr>
                <w:color w:val="1C3A36"/>
                <w:sz w:val="17"/>
              </w:rPr>
              <w:t>0.4992</w:t>
            </w:r>
          </w:p>
        </w:tc>
        <w:tc>
          <w:tcPr>
            <w:tcW w:type="dxa" w:w="1325"/>
          </w:tcPr>
          <w:p>
            <w:pPr>
              <w:spacing w:after="20"/>
              <w:jc w:val="right"/>
            </w:pPr>
            <w:r>
              <w:rPr>
                <w:color w:val="1C3A36"/>
                <w:sz w:val="17"/>
              </w:rPr>
              <w:t>0.4396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115</w:t>
            </w:r>
          </w:p>
        </w:tc>
        <w:tc>
          <w:tcPr>
            <w:tcW w:type="dxa" w:w="1325"/>
          </w:tcPr>
          <w:p>
            <w:pPr>
              <w:spacing w:after="20"/>
              <w:jc w:val="right"/>
            </w:pPr>
            <w:r>
              <w:rPr>
                <w:color w:val="1C3A36"/>
                <w:sz w:val="17"/>
              </w:rPr>
              <w:t>712</w:t>
            </w:r>
          </w:p>
        </w:tc>
        <w:tc>
          <w:tcPr>
            <w:tcW w:type="dxa" w:w="1325"/>
          </w:tcPr>
          <w:p>
            <w:pPr>
              <w:spacing w:after="20"/>
              <w:jc w:val="right"/>
            </w:pPr>
            <w:r>
              <w:rPr>
                <w:color w:val="1C3A36"/>
                <w:sz w:val="17"/>
              </w:rPr>
              <w:t>896</w:t>
            </w:r>
          </w:p>
        </w:tc>
        <w:tc>
          <w:tcPr>
            <w:tcW w:type="dxa" w:w="1325"/>
          </w:tcPr>
          <w:p>
            <w:pPr>
              <w:spacing w:after="20"/>
              <w:jc w:val="right"/>
            </w:pPr>
            <w:r>
              <w:rPr>
                <w:color w:val="1C3A36"/>
                <w:sz w:val="17"/>
              </w:rPr>
              <w:t>925</w:t>
            </w:r>
          </w:p>
        </w:tc>
        <w:tc>
          <w:tcPr>
            <w:tcW w:type="dxa" w:w="1325"/>
          </w:tcPr>
          <w:p>
            <w:pPr>
              <w:spacing w:after="20"/>
              <w:jc w:val="right"/>
            </w:pPr>
            <w:r>
              <w:rPr>
                <w:color w:val="1C3A36"/>
                <w:sz w:val="17"/>
              </w:rPr>
              <w:t>967</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3,616</w:t>
            </w:r>
          </w:p>
        </w:tc>
        <w:tc>
          <w:tcPr>
            <w:tcW w:type="dxa" w:w="2232"/>
          </w:tcPr>
          <w:p>
            <w:pPr>
              <w:spacing w:after="20"/>
              <w:jc w:val="right"/>
            </w:pPr>
            <w:r>
              <w:rPr>
                <w:color w:val="1C3A36"/>
                <w:sz w:val="18"/>
              </w:rPr>
              <w:t>21.43</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10,557</w:t>
            </w:r>
          </w:p>
        </w:tc>
        <w:tc>
          <w:tcPr>
            <w:tcW w:type="dxa" w:w="2232"/>
          </w:tcPr>
          <w:p>
            <w:pPr>
              <w:spacing w:after="20"/>
              <w:jc w:val="right"/>
            </w:pPr>
            <w:r>
              <w:rPr>
                <w:color w:val="1C3A36"/>
                <w:sz w:val="18"/>
              </w:rPr>
              <w:t>62.56</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14,173</w:t>
            </w:r>
          </w:p>
        </w:tc>
        <w:tc>
          <w:tcPr>
            <w:tcW w:type="dxa" w:w="2232"/>
          </w:tcPr>
          <w:p>
            <w:pPr>
              <w:spacing w:after="20"/>
              <w:jc w:val="right"/>
            </w:pPr>
            <w:r>
              <w:rPr>
                <w:color w:val="1C3A36"/>
                <w:sz w:val="18"/>
              </w:rPr>
              <w:t>83.98</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74%</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17,163</w:t>
            </w:r>
          </w:p>
        </w:tc>
        <w:tc>
          <w:tcPr>
            <w:tcW w:type="dxa" w:w="2232"/>
          </w:tcPr>
          <w:p>
            <w:pPr>
              <w:spacing w:after="20"/>
              <w:jc w:val="right"/>
            </w:pPr>
            <w:r>
              <w:rPr>
                <w:color w:val="1C3A36"/>
                <w:sz w:val="18"/>
              </w:rPr>
              <w:t>101.71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62%</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9,795</w:t>
            </w:r>
          </w:p>
        </w:tc>
        <w:tc>
          <w:tcPr>
            <w:tcW w:type="dxa" w:w="2232"/>
          </w:tcPr>
          <w:p>
            <w:pPr>
              <w:spacing w:after="20"/>
              <w:jc w:val="right"/>
            </w:pPr>
            <w:r>
              <w:rPr>
                <w:color w:val="1C3A36"/>
                <w:sz w:val="18"/>
              </w:rPr>
              <w:t>58.04</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12,325</w:t>
            </w:r>
          </w:p>
        </w:tc>
        <w:tc>
          <w:tcPr>
            <w:tcW w:type="dxa" w:w="2232"/>
            <w:shd w:val="clear" w:color="auto" w:fill="F6F1E6"/>
          </w:tcPr>
          <w:p>
            <w:pPr>
              <w:spacing w:after="20"/>
              <w:jc w:val="right"/>
            </w:pPr>
            <w:r>
              <w:rPr>
                <w:b/>
                <w:color w:val="1C3A36"/>
                <w:sz w:val="18"/>
              </w:rPr>
              <w:t>73.03</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74% of the CORE operating value and 62%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15.5% / 17.4% / 20.3% / 22.2% / 23.0% — it RISES through the window rather than settling, so the sustainable return used here is the mean of its last three years, 21.81%, read off that path rather than chosen. A business earning 21.8% on equity while its perpetual cost of equity is 14.90% is worth more than its book: the multiple that relationship justifies is (return less growth) over (cost of equity less growth), or 1.70 times book — EGP 62.81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130.05 the shares trade on 15.22 times trailing attributable earnings on the count in issue today, or 14.62 times on the audited weighted average — both readings are legitimate and both are given — and 11.8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7.78x</w:t>
            </w:r>
          </w:p>
        </w:tc>
        <w:tc>
          <w:tcPr>
            <w:tcW w:type="dxa" w:w="1368"/>
          </w:tcPr>
          <w:p>
            <w:pPr>
              <w:spacing w:after="20"/>
              <w:jc w:val="right"/>
            </w:pPr>
            <w:r>
              <w:rPr>
                <w:color w:val="1C3A36"/>
                <w:sz w:val="17"/>
              </w:rPr>
              <w:t>48.04</w:t>
            </w:r>
          </w:p>
        </w:tc>
        <w:tc>
          <w:tcPr>
            <w:tcW w:type="dxa" w:w="4320"/>
          </w:tcPr>
          <w:p>
            <w:pPr>
              <w:spacing w:after="20"/>
              <w:jc w:val="right"/>
            </w:pPr>
            <w:r>
              <w:rPr>
                <w:color w:val="1C3A36"/>
                <w:sz w:val="17"/>
              </w:rPr>
              <w:t>a FORWARD multiple on FORWARD earnings of EGP 6.17. Retention must equal growth 5% over sustainable return 21.8%, so payout is 77%</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10.78x</w:t>
            </w:r>
          </w:p>
        </w:tc>
        <w:tc>
          <w:tcPr>
            <w:tcW w:type="dxa" w:w="1368"/>
          </w:tcPr>
          <w:p>
            <w:pPr>
              <w:spacing w:after="20"/>
              <w:jc w:val="right"/>
            </w:pPr>
            <w:r>
              <w:rPr>
                <w:color w:val="1C3A36"/>
                <w:sz w:val="17"/>
              </w:rPr>
              <w:t>92.09</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14.9%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8.38x</w:t>
            </w:r>
          </w:p>
        </w:tc>
        <w:tc>
          <w:tcPr>
            <w:tcW w:type="dxa" w:w="1368"/>
            <w:shd w:val="clear" w:color="auto" w:fill="F6F1E6"/>
          </w:tcPr>
          <w:p>
            <w:pPr>
              <w:spacing w:after="20"/>
              <w:jc w:val="right"/>
            </w:pPr>
            <w:r>
              <w:rPr>
                <w:b/>
                <w:color w:val="1C3A36"/>
                <w:sz w:val="17"/>
              </w:rPr>
              <w:t>65.42</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8.40 a share of sustainable earnings. Capitalised at the PERPETUAL cost of equity of 14.90% less 5% growth, on the 77% payout that growth rate permits, that is EGP 65.40 a share. Using today's crisis-level cost of equity of 25.57%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58 to EGP 73.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61.21 a share on Frame A and EGP 68.70 on Frame B, against a market price of EGP 130.05.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50.5</w:t>
            </w:r>
          </w:p>
        </w:tc>
        <w:tc>
          <w:tcPr>
            <w:tcW w:type="dxa" w:w="1325"/>
          </w:tcPr>
          <w:p>
            <w:pPr>
              <w:spacing w:after="20"/>
              <w:jc w:val="right"/>
            </w:pPr>
            <w:r>
              <w:rPr>
                <w:color w:val="1C3A36"/>
                <w:sz w:val="17"/>
              </w:rPr>
              <w:t>52.5</w:t>
            </w:r>
          </w:p>
        </w:tc>
        <w:tc>
          <w:tcPr>
            <w:tcW w:type="dxa" w:w="1325"/>
          </w:tcPr>
          <w:p>
            <w:pPr>
              <w:spacing w:after="20"/>
              <w:jc w:val="right"/>
            </w:pPr>
            <w:r>
              <w:rPr>
                <w:color w:val="1C3A36"/>
                <w:sz w:val="17"/>
              </w:rPr>
              <w:t>54.3</w:t>
            </w:r>
          </w:p>
        </w:tc>
        <w:tc>
          <w:tcPr>
            <w:tcW w:type="dxa" w:w="1325"/>
          </w:tcPr>
          <w:p>
            <w:pPr>
              <w:spacing w:after="20"/>
              <w:jc w:val="right"/>
            </w:pPr>
            <w:r>
              <w:rPr>
                <w:color w:val="1C3A36"/>
                <w:sz w:val="17"/>
              </w:rPr>
              <w:t>56.0</w:t>
            </w:r>
          </w:p>
        </w:tc>
        <w:tc>
          <w:tcPr>
            <w:tcW w:type="dxa" w:w="1325"/>
          </w:tcPr>
          <w:p>
            <w:pPr>
              <w:spacing w:after="20"/>
              <w:jc w:val="right"/>
            </w:pPr>
            <w:r>
              <w:rPr>
                <w:color w:val="1C3A36"/>
                <w:sz w:val="17"/>
              </w:rPr>
              <w:t>57.7</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10,397</w:t>
            </w:r>
          </w:p>
        </w:tc>
        <w:tc>
          <w:tcPr>
            <w:tcW w:type="dxa" w:w="1325"/>
          </w:tcPr>
          <w:p>
            <w:pPr>
              <w:spacing w:after="20"/>
              <w:jc w:val="right"/>
            </w:pPr>
            <w:r>
              <w:rPr>
                <w:color w:val="1C3A36"/>
                <w:sz w:val="17"/>
              </w:rPr>
              <w:t>12,063</w:t>
            </w:r>
          </w:p>
        </w:tc>
        <w:tc>
          <w:tcPr>
            <w:tcW w:type="dxa" w:w="1325"/>
          </w:tcPr>
          <w:p>
            <w:pPr>
              <w:spacing w:after="20"/>
              <w:jc w:val="right"/>
            </w:pPr>
            <w:r>
              <w:rPr>
                <w:color w:val="1C3A36"/>
                <w:sz w:val="17"/>
              </w:rPr>
              <w:t>13,863</w:t>
            </w:r>
          </w:p>
        </w:tc>
        <w:tc>
          <w:tcPr>
            <w:tcW w:type="dxa" w:w="1325"/>
          </w:tcPr>
          <w:p>
            <w:pPr>
              <w:spacing w:after="20"/>
              <w:jc w:val="right"/>
            </w:pPr>
            <w:r>
              <w:rPr>
                <w:color w:val="1C3A36"/>
                <w:sz w:val="17"/>
              </w:rPr>
              <w:t>15,688</w:t>
            </w:r>
          </w:p>
        </w:tc>
        <w:tc>
          <w:tcPr>
            <w:tcW w:type="dxa" w:w="1325"/>
          </w:tcPr>
          <w:p>
            <w:pPr>
              <w:spacing w:after="20"/>
              <w:jc w:val="right"/>
            </w:pPr>
            <w:r>
              <w:rPr>
                <w:color w:val="1C3A36"/>
                <w:sz w:val="17"/>
              </w:rPr>
              <w:t>17,468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41.3%</w:t>
            </w:r>
          </w:p>
        </w:tc>
        <w:tc>
          <w:tcPr>
            <w:tcW w:type="dxa" w:w="1325"/>
            <w:shd w:val="clear" w:color="auto" w:fill="F6F1E6"/>
          </w:tcPr>
          <w:p>
            <w:pPr>
              <w:spacing w:after="20"/>
              <w:jc w:val="right"/>
            </w:pPr>
            <w:r>
              <w:rPr>
                <w:b/>
                <w:color w:val="1C3A36"/>
                <w:sz w:val="17"/>
              </w:rPr>
              <w:t>40.6%</w:t>
            </w:r>
          </w:p>
        </w:tc>
        <w:tc>
          <w:tcPr>
            <w:tcW w:type="dxa" w:w="1325"/>
            <w:shd w:val="clear" w:color="auto" w:fill="F6F1E6"/>
          </w:tcPr>
          <w:p>
            <w:pPr>
              <w:spacing w:after="20"/>
              <w:jc w:val="right"/>
            </w:pPr>
            <w:r>
              <w:rPr>
                <w:b/>
                <w:color w:val="1C3A36"/>
                <w:sz w:val="17"/>
              </w:rPr>
              <w:t>40.8%</w:t>
            </w:r>
          </w:p>
        </w:tc>
        <w:tc>
          <w:tcPr>
            <w:tcW w:type="dxa" w:w="1325"/>
            <w:shd w:val="clear" w:color="auto" w:fill="F6F1E6"/>
          </w:tcPr>
          <w:p>
            <w:pPr>
              <w:spacing w:after="20"/>
              <w:jc w:val="right"/>
            </w:pPr>
            <w:r>
              <w:rPr>
                <w:b/>
                <w:color w:val="1C3A36"/>
                <w:sz w:val="17"/>
              </w:rPr>
              <w:t>41.0%</w:t>
            </w:r>
          </w:p>
        </w:tc>
        <w:tc>
          <w:tcPr>
            <w:tcW w:type="dxa" w:w="1325"/>
            <w:shd w:val="clear" w:color="auto" w:fill="F6F1E6"/>
          </w:tcPr>
          <w:p>
            <w:pPr>
              <w:spacing w:after="20"/>
              <w:jc w:val="right"/>
            </w:pPr>
            <w:r>
              <w:rPr>
                <w:b/>
                <w:color w:val="1C3A36"/>
                <w:sz w:val="17"/>
              </w:rPr>
              <w:t>41.1%</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6,931 million of revenue by FY2030 at a 45% contribution margin closes the gap from EGP 58.04 to EGP 130.05. That is 28% of FY2030 revenue, or about USD 120 million a year — 1.20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120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130.05 the market is paying EGP 72.01 a share — EGP 12,152 million, 55% of the entire share price — for a plant this study values at nothing, against a stated build cost of USD 100 million, about EGP 5,770 million. The market is not merely paying for the plant to work; it is paying roughly 2.1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120 million a year of biosimilar revenue by 2030 is a figure the company will eventually disclose, and a reader can check this study against it. An asset turn of 1.20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10,397</w:t>
            </w:r>
          </w:p>
        </w:tc>
        <w:tc>
          <w:tcPr>
            <w:tcW w:type="dxa" w:w="3312"/>
          </w:tcPr>
          <w:p>
            <w:pPr>
              <w:spacing w:after="20"/>
              <w:jc w:val="right"/>
            </w:pPr>
            <w:r>
              <w:rPr>
                <w:color w:val="1C3A36"/>
                <w:sz w:val="16"/>
              </w:rPr>
              <w:t>-0.0%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41.3%</w:t>
            </w:r>
          </w:p>
        </w:tc>
        <w:tc>
          <w:tcPr>
            <w:tcW w:type="dxa" w:w="3312"/>
          </w:tcPr>
          <w:p>
            <w:pPr>
              <w:spacing w:after="20"/>
              <w:jc w:val="right"/>
            </w:pPr>
            <w:r>
              <w:rPr>
                <w:color w:val="1C3A36"/>
                <w:sz w:val="16"/>
              </w:rPr>
              <w:t>within 109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1,300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1,012</w:t>
            </w:r>
          </w:p>
        </w:tc>
        <w:tc>
          <w:tcPr>
            <w:tcW w:type="dxa" w:w="3312"/>
          </w:tcPr>
          <w:p>
            <w:pPr>
              <w:spacing w:after="20"/>
              <w:jc w:val="right"/>
            </w:pPr>
            <w:r>
              <w:rPr>
                <w:color w:val="1C3A36"/>
                <w:sz w:val="16"/>
              </w:rPr>
              <w:t>the study is -21%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6.00</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28.99%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25.57%</w:t>
            </w:r>
          </w:p>
        </w:tc>
        <w:tc>
          <w:tcPr>
            <w:tcW w:type="dxa" w:w="1368"/>
            <w:shd w:val="clear" w:color="auto" w:fill="F6F1E6"/>
          </w:tcPr>
          <w:p>
            <w:pPr>
              <w:spacing w:after="20"/>
              <w:jc w:val="right"/>
            </w:pPr>
            <w:r>
              <w:rPr>
                <w:b/>
                <w:color w:val="1C3A36"/>
                <w:sz w:val="16"/>
              </w:rPr>
              <w:t>25.51%</w:t>
            </w:r>
          </w:p>
        </w:tc>
        <w:tc>
          <w:tcPr>
            <w:tcW w:type="dxa" w:w="4536"/>
            <w:shd w:val="clear" w:color="auto" w:fill="F6F1E6"/>
          </w:tcPr>
          <w:p>
            <w:pPr>
              <w:spacing w:after="20"/>
              <w:jc w:val="right"/>
            </w:pPr>
            <w:r>
              <w:rPr>
                <w:b/>
                <w:color w:val="1C3A36"/>
                <w:sz w:val="16"/>
              </w:rPr>
              <w:t>The two bases agree to 6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75% / 25%</w:t>
            </w:r>
          </w:p>
        </w:tc>
        <w:tc>
          <w:tcPr>
            <w:tcW w:type="dxa" w:w="1368"/>
          </w:tcPr>
          <w:p>
            <w:pPr>
              <w:spacing w:after="20"/>
              <w:jc w:val="right"/>
            </w:pPr>
            <w:r>
              <w:rPr>
                <w:color w:val="1C3A36"/>
                <w:sz w:val="16"/>
              </w:rPr>
              <w:t>75% / 25%</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22.75%</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22.36%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13.56%</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14.90%, cost of debt after tax 9.56%, DERIVED debt weight 25.1% on today's market values. The forecast balance sheet, once funded, carries 39.8% on book at FY2030E, which would give 12.77%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22.75%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58.04</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50.41</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71.47</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58.65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73</w:t>
            </w:r>
          </w:p>
        </w:tc>
        <w:tc>
          <w:tcPr>
            <w:tcW w:type="dxa" w:w="1368"/>
          </w:tcPr>
          <w:p>
            <w:pPr>
              <w:spacing w:after="20"/>
              <w:jc w:val="right"/>
            </w:pPr>
            <w:r>
              <w:rPr>
                <w:color w:val="1C3A36"/>
                <w:sz w:val="17"/>
              </w:rPr>
              <w:t>77</w:t>
            </w:r>
          </w:p>
        </w:tc>
        <w:tc>
          <w:tcPr>
            <w:tcW w:type="dxa" w:w="1368"/>
          </w:tcPr>
          <w:p>
            <w:pPr>
              <w:spacing w:after="20"/>
              <w:jc w:val="right"/>
            </w:pPr>
            <w:r>
              <w:rPr>
                <w:color w:val="1C3A36"/>
                <w:sz w:val="17"/>
              </w:rPr>
              <w:t>83</w:t>
            </w:r>
          </w:p>
        </w:tc>
        <w:tc>
          <w:tcPr>
            <w:tcW w:type="dxa" w:w="1368"/>
          </w:tcPr>
          <w:p>
            <w:pPr>
              <w:spacing w:after="20"/>
              <w:jc w:val="right"/>
            </w:pPr>
            <w:r>
              <w:rPr>
                <w:color w:val="1C3A36"/>
                <w:sz w:val="17"/>
              </w:rPr>
              <w:t>91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61</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71</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56</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61</w:t>
            </w:r>
          </w:p>
        </w:tc>
        <w:tc>
          <w:tcPr>
            <w:tcW w:type="dxa" w:w="1368"/>
          </w:tcPr>
          <w:p>
            <w:pPr>
              <w:spacing w:after="20"/>
              <w:jc w:val="right"/>
            </w:pPr>
            <w:r>
              <w:rPr>
                <w:color w:val="1C3A36"/>
                <w:sz w:val="17"/>
              </w:rPr>
              <w:t>64</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49</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52</w:t>
            </w:r>
          </w:p>
        </w:tc>
        <w:tc>
          <w:tcPr>
            <w:tcW w:type="dxa" w:w="1368"/>
          </w:tcPr>
          <w:p>
            <w:pPr>
              <w:spacing w:after="20"/>
              <w:jc w:val="right"/>
            </w:pPr>
            <w:r>
              <w:rPr>
                <w:color w:val="1C3A36"/>
                <w:sz w:val="17"/>
              </w:rPr>
              <w:t>54</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43</w:t>
            </w:r>
          </w:p>
        </w:tc>
        <w:tc>
          <w:tcPr>
            <w:tcW w:type="dxa" w:w="1368"/>
          </w:tcPr>
          <w:p>
            <w:pPr>
              <w:spacing w:after="20"/>
              <w:jc w:val="right"/>
            </w:pPr>
            <w:r>
              <w:rPr>
                <w:color w:val="1C3A36"/>
                <w:sz w:val="17"/>
              </w:rPr>
              <w:t>44</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46</w:t>
            </w:r>
          </w:p>
        </w:tc>
        <w:tc>
          <w:tcPr>
            <w:tcW w:type="dxa" w:w="1368"/>
          </w:tcPr>
          <w:p>
            <w:pPr>
              <w:spacing w:after="20"/>
              <w:jc w:val="right"/>
            </w:pPr>
            <w:r>
              <w:rPr>
                <w:color w:val="1C3A36"/>
                <w:sz w:val="17"/>
              </w:rPr>
              <w:t>47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43 to EGP 91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1,733 million of FY2030 sales, or USD 30 million a year — is worth about EGP 18.00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20.0%</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15.3%</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7.7%</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130.05</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-29.0%</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-32.0%</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-34.3%</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-29%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619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619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58.04</w:t>
            </w:r>
          </w:p>
        </w:tc>
        <w:tc>
          <w:tcPr>
            <w:tcW w:type="dxa" w:w="2952"/>
          </w:tcPr>
          <w:p>
            <w:pPr>
              <w:spacing w:after="20"/>
              <w:jc w:val="right"/>
            </w:pPr>
            <w:r>
              <w:rPr>
                <w:color w:val="1C3A36"/>
                <w:sz w:val="16"/>
              </w:rPr>
              <w:t>the terminal discount rate and the terminal growth rate — 74%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73.03</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62.81</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65.42</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65.40</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58.04; the highest is the cash-flow reading on the normalising frame at EGP 73.03. The cash-flow readings charge the new plant's full cost and credit it with nothing, so they sit low despite capturing five years of the volume and price growth the existing business is already delivering. The relative lens prices the company on what a 21.8% return and a 14.9% perpetual cost of equity can justify, which supports about 7.78 times forward earnings against the 15.22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120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61.21 and EGP 68.70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16.03% in FY2030E. It now READS the model's own final year, so terminal reinvestment rises from 25.0% to 31.2%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2,955 million of construction is still parked at FY2030E and had never entered the depreciable base. A perpetuity cannot capitalise profit on capital it never charges, so EGP 183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25.1% on today's market values, 39.8%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61.21 on Frame A (-23%) and EGP 68.70 on Frame B (-14%)</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11.16%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beta composite contains the subject itself</w:t>
            </w:r>
          </w:p>
        </w:tc>
        <w:tc>
          <w:tcPr>
            <w:tcW w:type="dxa" w:w="4824"/>
          </w:tcPr>
          <w:p>
            <w:pPr>
              <w:spacing w:after="20"/>
              <w:jc w:val="right"/>
            </w:pPr>
            <w:r>
              <w:rPr>
                <w:color w:val="1C3A36"/>
                <w:sz w:val="16"/>
              </w:rPr>
              <w:t>the 36-name equal-weighted local composite the beta is regressed against includes this company at about 2.8% weight, which biases the coefficient toward one. Removing it gives 0.565 rather than 0.629, which would RAISE the two centres by about EGP 3.83 and EGP 4.16 a share. The in-index coefficient is carried because it is the more conservative of the two and because it is what a real local index produces; both are published in the bibliography</w:t>
            </w:r>
          </w:p>
        </w:tc>
        <w:tc>
          <w:tcPr>
            <w:tcW w:type="dxa" w:w="2376"/>
          </w:tcPr>
          <w:p>
            <w:pPr>
              <w:spacing w:after="20"/>
              <w:jc w:val="right"/>
            </w:pPr>
            <w:r>
              <w:rPr>
                <w:color w:val="1C3A36"/>
                <w:sz w:val="16"/>
              </w:rPr>
              <w:t>a published local index that excludes the constituent under study</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120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10,397</w:t>
            </w:r>
          </w:p>
        </w:tc>
        <w:tc>
          <w:tcPr>
            <w:tcW w:type="dxa" w:w="1037"/>
          </w:tcPr>
          <w:p>
            <w:pPr>
              <w:spacing w:after="20"/>
              <w:jc w:val="right"/>
            </w:pPr>
            <w:r>
              <w:rPr>
                <w:color w:val="1C3A36"/>
                <w:sz w:val="15"/>
              </w:rPr>
              <w:t>12,063</w:t>
            </w:r>
          </w:p>
        </w:tc>
        <w:tc>
          <w:tcPr>
            <w:tcW w:type="dxa" w:w="1037"/>
          </w:tcPr>
          <w:p>
            <w:pPr>
              <w:spacing w:after="20"/>
              <w:jc w:val="right"/>
            </w:pPr>
            <w:r>
              <w:rPr>
                <w:color w:val="1C3A36"/>
                <w:sz w:val="15"/>
              </w:rPr>
              <w:t>13,863</w:t>
            </w:r>
          </w:p>
        </w:tc>
        <w:tc>
          <w:tcPr>
            <w:tcW w:type="dxa" w:w="1037"/>
          </w:tcPr>
          <w:p>
            <w:pPr>
              <w:spacing w:after="20"/>
              <w:jc w:val="right"/>
            </w:pPr>
            <w:r>
              <w:rPr>
                <w:color w:val="1C3A36"/>
                <w:sz w:val="15"/>
              </w:rPr>
              <w:t>15,688</w:t>
            </w:r>
          </w:p>
        </w:tc>
        <w:tc>
          <w:tcPr>
            <w:tcW w:type="dxa" w:w="1037"/>
          </w:tcPr>
          <w:p>
            <w:pPr>
              <w:spacing w:after="20"/>
              <w:jc w:val="right"/>
            </w:pPr>
            <w:r>
              <w:rPr>
                <w:color w:val="1C3A36"/>
                <w:sz w:val="15"/>
              </w:rPr>
              <w:t>17,468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6,103</w:t>
            </w:r>
          </w:p>
        </w:tc>
        <w:tc>
          <w:tcPr>
            <w:tcW w:type="dxa" w:w="1037"/>
          </w:tcPr>
          <w:p>
            <w:pPr>
              <w:spacing w:after="20"/>
              <w:jc w:val="right"/>
            </w:pPr>
            <w:r>
              <w:rPr>
                <w:color w:val="1C3A36"/>
                <w:sz w:val="15"/>
              </w:rPr>
              <w:t>7,171</w:t>
            </w:r>
          </w:p>
        </w:tc>
        <w:tc>
          <w:tcPr>
            <w:tcW w:type="dxa" w:w="1037"/>
          </w:tcPr>
          <w:p>
            <w:pPr>
              <w:spacing w:after="20"/>
              <w:jc w:val="right"/>
            </w:pPr>
            <w:r>
              <w:rPr>
                <w:color w:val="1C3A36"/>
                <w:sz w:val="15"/>
              </w:rPr>
              <w:t>8,214</w:t>
            </w:r>
          </w:p>
        </w:tc>
        <w:tc>
          <w:tcPr>
            <w:tcW w:type="dxa" w:w="1037"/>
          </w:tcPr>
          <w:p>
            <w:pPr>
              <w:spacing w:after="20"/>
              <w:jc w:val="right"/>
            </w:pPr>
            <w:r>
              <w:rPr>
                <w:color w:val="1C3A36"/>
                <w:sz w:val="15"/>
              </w:rPr>
              <w:t>9,251</w:t>
            </w:r>
          </w:p>
        </w:tc>
        <w:tc>
          <w:tcPr>
            <w:tcW w:type="dxa" w:w="1037"/>
          </w:tcPr>
          <w:p>
            <w:pPr>
              <w:spacing w:after="20"/>
              <w:jc w:val="right"/>
            </w:pPr>
            <w:r>
              <w:rPr>
                <w:color w:val="1C3A36"/>
                <w:sz w:val="15"/>
              </w:rPr>
              <w:t>10,288</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4,294</w:t>
            </w:r>
          </w:p>
        </w:tc>
        <w:tc>
          <w:tcPr>
            <w:tcW w:type="dxa" w:w="1037"/>
            <w:shd w:val="clear" w:color="auto" w:fill="F6F1E6"/>
          </w:tcPr>
          <w:p>
            <w:pPr>
              <w:spacing w:after="20"/>
              <w:jc w:val="right"/>
            </w:pPr>
            <w:r>
              <w:rPr>
                <w:b/>
                <w:color w:val="1C3A36"/>
                <w:sz w:val="15"/>
              </w:rPr>
              <w:t>4,892</w:t>
            </w:r>
          </w:p>
        </w:tc>
        <w:tc>
          <w:tcPr>
            <w:tcW w:type="dxa" w:w="1037"/>
            <w:shd w:val="clear" w:color="auto" w:fill="F6F1E6"/>
          </w:tcPr>
          <w:p>
            <w:pPr>
              <w:spacing w:after="20"/>
              <w:jc w:val="right"/>
            </w:pPr>
            <w:r>
              <w:rPr>
                <w:b/>
                <w:color w:val="1C3A36"/>
                <w:sz w:val="15"/>
              </w:rPr>
              <w:t>5,649</w:t>
            </w:r>
          </w:p>
        </w:tc>
        <w:tc>
          <w:tcPr>
            <w:tcW w:type="dxa" w:w="1037"/>
            <w:shd w:val="clear" w:color="auto" w:fill="F6F1E6"/>
          </w:tcPr>
          <w:p>
            <w:pPr>
              <w:spacing w:after="20"/>
              <w:jc w:val="right"/>
            </w:pPr>
            <w:r>
              <w:rPr>
                <w:b/>
                <w:color w:val="1C3A36"/>
                <w:sz w:val="15"/>
              </w:rPr>
              <w:t>6,437</w:t>
            </w:r>
          </w:p>
        </w:tc>
        <w:tc>
          <w:tcPr>
            <w:tcW w:type="dxa" w:w="1037"/>
            <w:shd w:val="clear" w:color="auto" w:fill="F6F1E6"/>
          </w:tcPr>
          <w:p>
            <w:pPr>
              <w:spacing w:after="20"/>
              <w:jc w:val="right"/>
            </w:pPr>
            <w:r>
              <w:rPr>
                <w:b/>
                <w:color w:val="1C3A36"/>
                <w:sz w:val="15"/>
              </w:rPr>
              <w:t>7,180</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41.3%</w:t>
            </w:r>
          </w:p>
        </w:tc>
        <w:tc>
          <w:tcPr>
            <w:tcW w:type="dxa" w:w="1037"/>
          </w:tcPr>
          <w:p>
            <w:pPr>
              <w:spacing w:after="20"/>
              <w:jc w:val="right"/>
            </w:pPr>
            <w:r>
              <w:rPr>
                <w:color w:val="1C3A36"/>
                <w:sz w:val="15"/>
              </w:rPr>
              <w:t>40.6%</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41.1%</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1,081</w:t>
            </w:r>
          </w:p>
        </w:tc>
        <w:tc>
          <w:tcPr>
            <w:tcW w:type="dxa" w:w="1037"/>
          </w:tcPr>
          <w:p>
            <w:pPr>
              <w:spacing w:after="20"/>
              <w:jc w:val="right"/>
            </w:pPr>
            <w:r>
              <w:rPr>
                <w:color w:val="1C3A36"/>
                <w:sz w:val="15"/>
              </w:rPr>
              <w:t>1,230</w:t>
            </w:r>
          </w:p>
        </w:tc>
        <w:tc>
          <w:tcPr>
            <w:tcW w:type="dxa" w:w="1037"/>
          </w:tcPr>
          <w:p>
            <w:pPr>
              <w:spacing w:after="20"/>
              <w:jc w:val="right"/>
            </w:pPr>
            <w:r>
              <w:rPr>
                <w:color w:val="1C3A36"/>
                <w:sz w:val="15"/>
              </w:rPr>
              <w:t>1,386</w:t>
            </w:r>
          </w:p>
        </w:tc>
        <w:tc>
          <w:tcPr>
            <w:tcW w:type="dxa" w:w="1037"/>
          </w:tcPr>
          <w:p>
            <w:pPr>
              <w:spacing w:after="20"/>
              <w:jc w:val="right"/>
            </w:pPr>
            <w:r>
              <w:rPr>
                <w:color w:val="1C3A36"/>
                <w:sz w:val="15"/>
              </w:rPr>
              <w:t>1,553</w:t>
            </w:r>
          </w:p>
        </w:tc>
        <w:tc>
          <w:tcPr>
            <w:tcW w:type="dxa" w:w="1037"/>
          </w:tcPr>
          <w:p>
            <w:pPr>
              <w:spacing w:after="20"/>
              <w:jc w:val="right"/>
            </w:pPr>
            <w:r>
              <w:rPr>
                <w:color w:val="1C3A36"/>
                <w:sz w:val="15"/>
              </w:rPr>
              <w:t>1,712</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88.4</w:t>
            </w:r>
          </w:p>
        </w:tc>
        <w:tc>
          <w:tcPr>
            <w:tcW w:type="dxa" w:w="1037"/>
          </w:tcPr>
          <w:p>
            <w:pPr>
              <w:spacing w:after="20"/>
              <w:jc w:val="right"/>
            </w:pPr>
            <w:r>
              <w:rPr>
                <w:color w:val="1C3A36"/>
                <w:sz w:val="15"/>
              </w:rPr>
              <w:t>108.6</w:t>
            </w:r>
          </w:p>
        </w:tc>
        <w:tc>
          <w:tcPr>
            <w:tcW w:type="dxa" w:w="1037"/>
          </w:tcPr>
          <w:p>
            <w:pPr>
              <w:spacing w:after="20"/>
              <w:jc w:val="right"/>
            </w:pPr>
            <w:r>
              <w:rPr>
                <w:color w:val="1C3A36"/>
                <w:sz w:val="15"/>
              </w:rPr>
              <w:t>131.7</w:t>
            </w:r>
          </w:p>
        </w:tc>
        <w:tc>
          <w:tcPr>
            <w:tcW w:type="dxa" w:w="1037"/>
          </w:tcPr>
          <w:p>
            <w:pPr>
              <w:spacing w:after="20"/>
              <w:jc w:val="right"/>
            </w:pPr>
            <w:r>
              <w:rPr>
                <w:color w:val="1C3A36"/>
                <w:sz w:val="15"/>
              </w:rPr>
              <w:t>156.9</w:t>
            </w:r>
          </w:p>
        </w:tc>
        <w:tc>
          <w:tcPr>
            <w:tcW w:type="dxa" w:w="1037"/>
          </w:tcPr>
          <w:p>
            <w:pPr>
              <w:spacing w:after="20"/>
              <w:jc w:val="right"/>
            </w:pPr>
            <w:r>
              <w:rPr>
                <w:color w:val="1C3A36"/>
                <w:sz w:val="15"/>
              </w:rPr>
              <w:t>174.7</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244.3</w:t>
            </w:r>
          </w:p>
        </w:tc>
        <w:tc>
          <w:tcPr>
            <w:tcW w:type="dxa" w:w="1037"/>
          </w:tcPr>
          <w:p>
            <w:pPr>
              <w:spacing w:after="20"/>
              <w:jc w:val="right"/>
            </w:pPr>
            <w:r>
              <w:rPr>
                <w:color w:val="1C3A36"/>
                <w:sz w:val="15"/>
              </w:rPr>
              <w:t>283.5</w:t>
            </w:r>
          </w:p>
        </w:tc>
        <w:tc>
          <w:tcPr>
            <w:tcW w:type="dxa" w:w="1037"/>
          </w:tcPr>
          <w:p>
            <w:pPr>
              <w:spacing w:after="20"/>
              <w:jc w:val="right"/>
            </w:pPr>
            <w:r>
              <w:rPr>
                <w:color w:val="1C3A36"/>
                <w:sz w:val="15"/>
              </w:rPr>
              <w:t>318.8</w:t>
            </w:r>
          </w:p>
        </w:tc>
        <w:tc>
          <w:tcPr>
            <w:tcW w:type="dxa" w:w="1037"/>
          </w:tcPr>
          <w:p>
            <w:pPr>
              <w:spacing w:after="20"/>
              <w:jc w:val="right"/>
            </w:pPr>
            <w:r>
              <w:rPr>
                <w:color w:val="1C3A36"/>
                <w:sz w:val="15"/>
              </w:rPr>
              <w:t>357.7</w:t>
            </w:r>
          </w:p>
        </w:tc>
        <w:tc>
          <w:tcPr>
            <w:tcW w:type="dxa" w:w="1037"/>
          </w:tcPr>
          <w:p>
            <w:pPr>
              <w:spacing w:after="20"/>
              <w:jc w:val="right"/>
            </w:pPr>
            <w:r>
              <w:rPr>
                <w:color w:val="1C3A36"/>
                <w:sz w:val="15"/>
              </w:rPr>
              <w:t>393.0</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546</w:t>
            </w:r>
          </w:p>
        </w:tc>
        <w:tc>
          <w:tcPr>
            <w:tcW w:type="dxa" w:w="1037"/>
          </w:tcPr>
          <w:p>
            <w:pPr>
              <w:spacing w:after="20"/>
              <w:jc w:val="right"/>
            </w:pPr>
            <w:r>
              <w:rPr>
                <w:color w:val="1C3A36"/>
                <w:sz w:val="15"/>
              </w:rPr>
              <w:t>633</w:t>
            </w:r>
          </w:p>
        </w:tc>
        <w:tc>
          <w:tcPr>
            <w:tcW w:type="dxa" w:w="1037"/>
          </w:tcPr>
          <w:p>
            <w:pPr>
              <w:spacing w:after="20"/>
              <w:jc w:val="right"/>
            </w:pPr>
            <w:r>
              <w:rPr>
                <w:color w:val="1C3A36"/>
                <w:sz w:val="15"/>
              </w:rPr>
              <w:t>728</w:t>
            </w:r>
          </w:p>
        </w:tc>
        <w:tc>
          <w:tcPr>
            <w:tcW w:type="dxa" w:w="1037"/>
          </w:tcPr>
          <w:p>
            <w:pPr>
              <w:spacing w:after="20"/>
              <w:jc w:val="right"/>
            </w:pPr>
            <w:r>
              <w:rPr>
                <w:color w:val="1C3A36"/>
                <w:sz w:val="15"/>
              </w:rPr>
              <w:t>824</w:t>
            </w:r>
          </w:p>
        </w:tc>
        <w:tc>
          <w:tcPr>
            <w:tcW w:type="dxa" w:w="1037"/>
          </w:tcPr>
          <w:p>
            <w:pPr>
              <w:spacing w:after="20"/>
              <w:jc w:val="right"/>
            </w:pPr>
            <w:r>
              <w:rPr>
                <w:color w:val="1C3A36"/>
                <w:sz w:val="15"/>
              </w:rPr>
              <w:t>917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2,269</w:t>
            </w:r>
          </w:p>
        </w:tc>
        <w:tc>
          <w:tcPr>
            <w:tcW w:type="dxa" w:w="1037"/>
            <w:shd w:val="clear" w:color="auto" w:fill="F6F1E6"/>
          </w:tcPr>
          <w:p>
            <w:pPr>
              <w:spacing w:after="20"/>
              <w:jc w:val="right"/>
            </w:pPr>
            <w:r>
              <w:rPr>
                <w:b/>
                <w:color w:val="1C3A36"/>
                <w:sz w:val="15"/>
              </w:rPr>
              <w:t>2,547</w:t>
            </w:r>
          </w:p>
        </w:tc>
        <w:tc>
          <w:tcPr>
            <w:tcW w:type="dxa" w:w="1037"/>
            <w:shd w:val="clear" w:color="auto" w:fill="F6F1E6"/>
          </w:tcPr>
          <w:p>
            <w:pPr>
              <w:spacing w:after="20"/>
              <w:jc w:val="right"/>
            </w:pPr>
            <w:r>
              <w:rPr>
                <w:b/>
                <w:color w:val="1C3A36"/>
                <w:sz w:val="15"/>
              </w:rPr>
              <w:t>2,991</w:t>
            </w:r>
          </w:p>
        </w:tc>
        <w:tc>
          <w:tcPr>
            <w:tcW w:type="dxa" w:w="1037"/>
            <w:shd w:val="clear" w:color="auto" w:fill="F6F1E6"/>
          </w:tcPr>
          <w:p>
            <w:pPr>
              <w:spacing w:after="20"/>
              <w:jc w:val="right"/>
            </w:pPr>
            <w:r>
              <w:rPr>
                <w:b/>
                <w:color w:val="1C3A36"/>
                <w:sz w:val="15"/>
              </w:rPr>
              <w:t>3,454</w:t>
            </w:r>
          </w:p>
        </w:tc>
        <w:tc>
          <w:tcPr>
            <w:tcW w:type="dxa" w:w="1037"/>
            <w:shd w:val="clear" w:color="auto" w:fill="F6F1E6"/>
          </w:tcPr>
          <w:p>
            <w:pPr>
              <w:spacing w:after="20"/>
              <w:jc w:val="right"/>
            </w:pPr>
            <w:r>
              <w:rPr>
                <w:b/>
                <w:color w:val="1C3A36"/>
                <w:sz w:val="15"/>
              </w:rPr>
              <w:t>3,894</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2,573</w:t>
            </w:r>
          </w:p>
        </w:tc>
        <w:tc>
          <w:tcPr>
            <w:tcW w:type="dxa" w:w="1037"/>
          </w:tcPr>
          <w:p>
            <w:pPr>
              <w:spacing w:after="20"/>
              <w:jc w:val="right"/>
            </w:pPr>
            <w:r>
              <w:rPr>
                <w:color w:val="1C3A36"/>
                <w:sz w:val="15"/>
              </w:rPr>
              <w:t>2,972</w:t>
            </w:r>
          </w:p>
        </w:tc>
        <w:tc>
          <w:tcPr>
            <w:tcW w:type="dxa" w:w="1037"/>
          </w:tcPr>
          <w:p>
            <w:pPr>
              <w:spacing w:after="20"/>
              <w:jc w:val="right"/>
            </w:pPr>
            <w:r>
              <w:rPr>
                <w:color w:val="1C3A36"/>
                <w:sz w:val="15"/>
              </w:rPr>
              <w:t>3,437</w:t>
            </w:r>
          </w:p>
        </w:tc>
        <w:tc>
          <w:tcPr>
            <w:tcW w:type="dxa" w:w="1037"/>
          </w:tcPr>
          <w:p>
            <w:pPr>
              <w:spacing w:after="20"/>
              <w:jc w:val="right"/>
            </w:pPr>
            <w:r>
              <w:rPr>
                <w:color w:val="1C3A36"/>
                <w:sz w:val="15"/>
              </w:rPr>
              <w:t>3,891</w:t>
            </w:r>
          </w:p>
        </w:tc>
        <w:tc>
          <w:tcPr>
            <w:tcW w:type="dxa" w:w="1037"/>
          </w:tcPr>
          <w:p>
            <w:pPr>
              <w:spacing w:after="20"/>
              <w:jc w:val="right"/>
            </w:pPr>
            <w:r>
              <w:rPr>
                <w:color w:val="1C3A36"/>
                <w:sz w:val="15"/>
              </w:rPr>
              <w:t>4,317</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1,012</w:t>
            </w:r>
          </w:p>
        </w:tc>
        <w:tc>
          <w:tcPr>
            <w:tcW w:type="dxa" w:w="1037"/>
            <w:shd w:val="clear" w:color="auto" w:fill="F6F1E6"/>
          </w:tcPr>
          <w:p>
            <w:pPr>
              <w:spacing w:after="20"/>
              <w:jc w:val="right"/>
            </w:pPr>
            <w:r>
              <w:rPr>
                <w:b/>
                <w:color w:val="1C3A36"/>
                <w:sz w:val="15"/>
              </w:rPr>
              <w:t>1,255</w:t>
            </w:r>
          </w:p>
        </w:tc>
        <w:tc>
          <w:tcPr>
            <w:tcW w:type="dxa" w:w="1037"/>
            <w:shd w:val="clear" w:color="auto" w:fill="F6F1E6"/>
          </w:tcPr>
          <w:p>
            <w:pPr>
              <w:spacing w:after="20"/>
              <w:jc w:val="right"/>
            </w:pPr>
            <w:r>
              <w:rPr>
                <w:b/>
                <w:color w:val="1C3A36"/>
                <w:sz w:val="15"/>
              </w:rPr>
              <w:t>1,640</w:t>
            </w:r>
          </w:p>
        </w:tc>
        <w:tc>
          <w:tcPr>
            <w:tcW w:type="dxa" w:w="1037"/>
            <w:shd w:val="clear" w:color="auto" w:fill="F6F1E6"/>
          </w:tcPr>
          <w:p>
            <w:pPr>
              <w:spacing w:after="20"/>
              <w:jc w:val="right"/>
            </w:pPr>
            <w:r>
              <w:rPr>
                <w:b/>
                <w:color w:val="1C3A36"/>
                <w:sz w:val="15"/>
              </w:rPr>
              <w:t>2,040</w:t>
            </w:r>
          </w:p>
        </w:tc>
        <w:tc>
          <w:tcPr>
            <w:tcW w:type="dxa" w:w="1037"/>
            <w:shd w:val="clear" w:color="auto" w:fill="F6F1E6"/>
          </w:tcPr>
          <w:p>
            <w:pPr>
              <w:spacing w:after="20"/>
              <w:jc w:val="right"/>
            </w:pPr>
            <w:r>
              <w:rPr>
                <w:b/>
                <w:color w:val="1C3A36"/>
                <w:sz w:val="15"/>
              </w:rPr>
              <w:t>2,423</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6.00</w:t>
            </w:r>
          </w:p>
        </w:tc>
        <w:tc>
          <w:tcPr>
            <w:tcW w:type="dxa" w:w="1037"/>
          </w:tcPr>
          <w:p>
            <w:pPr>
              <w:spacing w:after="20"/>
              <w:jc w:val="right"/>
            </w:pPr>
            <w:r>
              <w:rPr>
                <w:color w:val="1C3A36"/>
                <w:sz w:val="15"/>
              </w:rPr>
              <w:t>7.43</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12.09</w:t>
            </w:r>
          </w:p>
        </w:tc>
        <w:tc>
          <w:tcPr>
            <w:tcW w:type="dxa" w:w="1037"/>
          </w:tcPr>
          <w:p>
            <w:pPr>
              <w:spacing w:after="20"/>
              <w:jc w:val="right"/>
            </w:pPr>
            <w:r>
              <w:rPr>
                <w:color w:val="1C3A36"/>
                <w:sz w:val="15"/>
              </w:rPr>
              <w:t>14.36</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607</w:t>
            </w:r>
          </w:p>
        </w:tc>
        <w:tc>
          <w:tcPr>
            <w:tcW w:type="dxa" w:w="1037"/>
          </w:tcPr>
          <w:p>
            <w:pPr>
              <w:spacing w:after="20"/>
              <w:jc w:val="right"/>
            </w:pPr>
            <w:r>
              <w:rPr>
                <w:color w:val="1C3A36"/>
                <w:sz w:val="15"/>
              </w:rPr>
              <w:t>753</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1,224</w:t>
            </w:r>
          </w:p>
        </w:tc>
        <w:tc>
          <w:tcPr>
            <w:tcW w:type="dxa" w:w="1037"/>
          </w:tcPr>
          <w:p>
            <w:pPr>
              <w:spacing w:after="20"/>
              <w:jc w:val="right"/>
            </w:pPr>
            <w:r>
              <w:rPr>
                <w:color w:val="1C3A36"/>
                <w:sz w:val="15"/>
              </w:rPr>
              <w:t>1,454</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2,801</w:t>
            </w:r>
          </w:p>
        </w:tc>
        <w:tc>
          <w:tcPr>
            <w:tcW w:type="dxa" w:w="1037"/>
          </w:tcPr>
          <w:p>
            <w:pPr>
              <w:spacing w:after="20"/>
              <w:jc w:val="right"/>
            </w:pPr>
            <w:r>
              <w:rPr>
                <w:color w:val="1C3A36"/>
                <w:sz w:val="15"/>
              </w:rPr>
              <w:t>2,244</w:t>
            </w:r>
          </w:p>
        </w:tc>
        <w:tc>
          <w:tcPr>
            <w:tcW w:type="dxa" w:w="1037"/>
          </w:tcPr>
          <w:p>
            <w:pPr>
              <w:spacing w:after="20"/>
              <w:jc w:val="right"/>
            </w:pPr>
            <w:r>
              <w:rPr>
                <w:color w:val="1C3A36"/>
                <w:sz w:val="15"/>
              </w:rPr>
              <w:t>2,329</w:t>
            </w:r>
          </w:p>
        </w:tc>
        <w:tc>
          <w:tcPr>
            <w:tcW w:type="dxa" w:w="1037"/>
          </w:tcPr>
          <w:p>
            <w:pPr>
              <w:spacing w:after="20"/>
              <w:jc w:val="right"/>
            </w:pPr>
            <w:r>
              <w:rPr>
                <w:color w:val="1C3A36"/>
                <w:sz w:val="15"/>
              </w:rPr>
              <w:t>2,631</w:t>
            </w:r>
          </w:p>
        </w:tc>
        <w:tc>
          <w:tcPr>
            <w:tcW w:type="dxa" w:w="1037"/>
          </w:tcPr>
          <w:p>
            <w:pPr>
              <w:spacing w:after="20"/>
              <w:jc w:val="right"/>
            </w:pPr>
            <w:r>
              <w:rPr>
                <w:color w:val="1C3A36"/>
                <w:sz w:val="15"/>
              </w:rPr>
              <w:t>2,955</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4,431</w:t>
            </w:r>
          </w:p>
        </w:tc>
        <w:tc>
          <w:tcPr>
            <w:tcW w:type="dxa" w:w="1037"/>
          </w:tcPr>
          <w:p>
            <w:pPr>
              <w:spacing w:after="20"/>
              <w:jc w:val="right"/>
            </w:pPr>
            <w:r>
              <w:rPr>
                <w:color w:val="1C3A36"/>
                <w:sz w:val="15"/>
              </w:rPr>
              <w:t>5,069</w:t>
            </w:r>
          </w:p>
        </w:tc>
        <w:tc>
          <w:tcPr>
            <w:tcW w:type="dxa" w:w="1037"/>
          </w:tcPr>
          <w:p>
            <w:pPr>
              <w:spacing w:after="20"/>
              <w:jc w:val="right"/>
            </w:pPr>
            <w:r>
              <w:rPr>
                <w:color w:val="1C3A36"/>
                <w:sz w:val="15"/>
              </w:rPr>
              <w:t>5,626</w:t>
            </w:r>
          </w:p>
        </w:tc>
        <w:tc>
          <w:tcPr>
            <w:tcW w:type="dxa" w:w="1037"/>
          </w:tcPr>
          <w:p>
            <w:pPr>
              <w:spacing w:after="20"/>
              <w:jc w:val="right"/>
            </w:pPr>
            <w:r>
              <w:rPr>
                <w:color w:val="1C3A36"/>
                <w:sz w:val="15"/>
              </w:rPr>
              <w:t>6,210</w:t>
            </w:r>
          </w:p>
        </w:tc>
        <w:tc>
          <w:tcPr>
            <w:tcW w:type="dxa" w:w="1037"/>
          </w:tcPr>
          <w:p>
            <w:pPr>
              <w:spacing w:after="20"/>
              <w:jc w:val="right"/>
            </w:pPr>
            <w:r>
              <w:rPr>
                <w:color w:val="1C3A36"/>
                <w:sz w:val="15"/>
              </w:rPr>
              <w:t>6,765</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3,589</w:t>
            </w:r>
          </w:p>
        </w:tc>
        <w:tc>
          <w:tcPr>
            <w:tcW w:type="dxa" w:w="1037"/>
          </w:tcPr>
          <w:p>
            <w:pPr>
              <w:spacing w:after="20"/>
              <w:jc w:val="right"/>
            </w:pPr>
            <w:r>
              <w:rPr>
                <w:color w:val="1C3A36"/>
                <w:sz w:val="15"/>
              </w:rPr>
              <w:t>4,032</w:t>
            </w:r>
          </w:p>
        </w:tc>
        <w:tc>
          <w:tcPr>
            <w:tcW w:type="dxa" w:w="1037"/>
          </w:tcPr>
          <w:p>
            <w:pPr>
              <w:spacing w:after="20"/>
              <w:jc w:val="right"/>
            </w:pPr>
            <w:r>
              <w:rPr>
                <w:color w:val="1C3A36"/>
                <w:sz w:val="15"/>
              </w:rPr>
              <w:t>4,482</w:t>
            </w:r>
          </w:p>
        </w:tc>
        <w:tc>
          <w:tcPr>
            <w:tcW w:type="dxa" w:w="1037"/>
          </w:tcPr>
          <w:p>
            <w:pPr>
              <w:spacing w:after="20"/>
              <w:jc w:val="right"/>
            </w:pPr>
            <w:r>
              <w:rPr>
                <w:color w:val="1C3A36"/>
                <w:sz w:val="15"/>
              </w:rPr>
              <w:t>4,943</w:t>
            </w:r>
          </w:p>
        </w:tc>
        <w:tc>
          <w:tcPr>
            <w:tcW w:type="dxa" w:w="1037"/>
          </w:tcPr>
          <w:p>
            <w:pPr>
              <w:spacing w:after="20"/>
              <w:jc w:val="right"/>
            </w:pPr>
            <w:r>
              <w:rPr>
                <w:color w:val="1C3A36"/>
                <w:sz w:val="15"/>
              </w:rPr>
              <w:t>5,360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920</w:t>
            </w:r>
          </w:p>
        </w:tc>
        <w:tc>
          <w:tcPr>
            <w:tcW w:type="dxa" w:w="1037"/>
          </w:tcPr>
          <w:p>
            <w:pPr>
              <w:spacing w:after="20"/>
              <w:jc w:val="right"/>
            </w:pPr>
            <w:r>
              <w:rPr>
                <w:color w:val="1C3A36"/>
                <w:sz w:val="15"/>
              </w:rPr>
              <w:t>1,100</w:t>
            </w:r>
          </w:p>
        </w:tc>
        <w:tc>
          <w:tcPr>
            <w:tcW w:type="dxa" w:w="1037"/>
          </w:tcPr>
          <w:p>
            <w:pPr>
              <w:spacing w:after="20"/>
              <w:jc w:val="right"/>
            </w:pPr>
            <w:r>
              <w:rPr>
                <w:color w:val="1C3A36"/>
                <w:sz w:val="15"/>
              </w:rPr>
              <w:t>1,283</w:t>
            </w:r>
          </w:p>
        </w:tc>
        <w:tc>
          <w:tcPr>
            <w:tcW w:type="dxa" w:w="1037"/>
          </w:tcPr>
          <w:p>
            <w:pPr>
              <w:spacing w:after="20"/>
              <w:jc w:val="right"/>
            </w:pPr>
            <w:r>
              <w:rPr>
                <w:color w:val="1C3A36"/>
                <w:sz w:val="15"/>
              </w:rPr>
              <w:t>1,470</w:t>
            </w:r>
          </w:p>
        </w:tc>
        <w:tc>
          <w:tcPr>
            <w:tcW w:type="dxa" w:w="1037"/>
          </w:tcPr>
          <w:p>
            <w:pPr>
              <w:spacing w:after="20"/>
              <w:jc w:val="right"/>
            </w:pPr>
            <w:r>
              <w:rPr>
                <w:color w:val="1C3A36"/>
                <w:sz w:val="15"/>
              </w:rPr>
              <w:t>1,635</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10,079</w:t>
            </w:r>
          </w:p>
        </w:tc>
        <w:tc>
          <w:tcPr>
            <w:tcW w:type="dxa" w:w="1037"/>
          </w:tcPr>
          <w:p>
            <w:pPr>
              <w:spacing w:after="20"/>
              <w:jc w:val="right"/>
            </w:pPr>
            <w:r>
              <w:rPr>
                <w:color w:val="1C3A36"/>
                <w:sz w:val="15"/>
              </w:rPr>
              <w:t>10,230</w:t>
            </w:r>
          </w:p>
        </w:tc>
        <w:tc>
          <w:tcPr>
            <w:tcW w:type="dxa" w:w="1037"/>
          </w:tcPr>
          <w:p>
            <w:pPr>
              <w:spacing w:after="20"/>
              <w:jc w:val="right"/>
            </w:pPr>
            <w:r>
              <w:rPr>
                <w:color w:val="1C3A36"/>
                <w:sz w:val="15"/>
              </w:rPr>
              <w:t>9,987</w:t>
            </w:r>
          </w:p>
        </w:tc>
        <w:tc>
          <w:tcPr>
            <w:tcW w:type="dxa" w:w="1037"/>
          </w:tcPr>
          <w:p>
            <w:pPr>
              <w:spacing w:after="20"/>
              <w:jc w:val="right"/>
            </w:pPr>
            <w:r>
              <w:rPr>
                <w:color w:val="1C3A36"/>
                <w:sz w:val="15"/>
              </w:rPr>
              <w:t>9,561</w:t>
            </w:r>
          </w:p>
        </w:tc>
        <w:tc>
          <w:tcPr>
            <w:tcW w:type="dxa" w:w="1037"/>
          </w:tcPr>
          <w:p>
            <w:pPr>
              <w:spacing w:after="20"/>
              <w:jc w:val="right"/>
            </w:pPr>
            <w:r>
              <w:rPr>
                <w:color w:val="1C3A36"/>
                <w:sz w:val="15"/>
              </w:rPr>
              <w:t>8,894</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8,645</w:t>
            </w:r>
          </w:p>
        </w:tc>
        <w:tc>
          <w:tcPr>
            <w:tcW w:type="dxa" w:w="1037"/>
          </w:tcPr>
          <w:p>
            <w:pPr>
              <w:spacing w:after="20"/>
              <w:jc w:val="right"/>
            </w:pPr>
            <w:r>
              <w:rPr>
                <w:color w:val="1C3A36"/>
                <w:sz w:val="15"/>
              </w:rPr>
              <w:t>8,797</w:t>
            </w:r>
          </w:p>
        </w:tc>
        <w:tc>
          <w:tcPr>
            <w:tcW w:type="dxa" w:w="1037"/>
          </w:tcPr>
          <w:p>
            <w:pPr>
              <w:spacing w:after="20"/>
              <w:jc w:val="right"/>
            </w:pPr>
            <w:r>
              <w:rPr>
                <w:color w:val="1C3A36"/>
                <w:sz w:val="15"/>
              </w:rPr>
              <w:t>8,554</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7,461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6,850</w:t>
            </w:r>
          </w:p>
        </w:tc>
        <w:tc>
          <w:tcPr>
            <w:tcW w:type="dxa" w:w="1037"/>
          </w:tcPr>
          <w:p>
            <w:pPr>
              <w:spacing w:after="20"/>
              <w:jc w:val="right"/>
            </w:pPr>
            <w:r>
              <w:rPr>
                <w:color w:val="1C3A36"/>
                <w:sz w:val="15"/>
              </w:rPr>
              <w:t>7,603</w:t>
            </w:r>
          </w:p>
        </w:tc>
        <w:tc>
          <w:tcPr>
            <w:tcW w:type="dxa" w:w="1037"/>
          </w:tcPr>
          <w:p>
            <w:pPr>
              <w:spacing w:after="20"/>
              <w:jc w:val="right"/>
            </w:pPr>
            <w:r>
              <w:rPr>
                <w:color w:val="1C3A36"/>
                <w:sz w:val="15"/>
              </w:rPr>
              <w:t>8,587</w:t>
            </w:r>
          </w:p>
        </w:tc>
        <w:tc>
          <w:tcPr>
            <w:tcW w:type="dxa" w:w="1037"/>
          </w:tcPr>
          <w:p>
            <w:pPr>
              <w:spacing w:after="20"/>
              <w:jc w:val="right"/>
            </w:pPr>
            <w:r>
              <w:rPr>
                <w:color w:val="1C3A36"/>
                <w:sz w:val="15"/>
              </w:rPr>
              <w:t>9,811</w:t>
            </w:r>
          </w:p>
        </w:tc>
        <w:tc>
          <w:tcPr>
            <w:tcW w:type="dxa" w:w="1037"/>
          </w:tcPr>
          <w:p>
            <w:pPr>
              <w:spacing w:after="20"/>
              <w:jc w:val="right"/>
            </w:pPr>
            <w:r>
              <w:rPr>
                <w:color w:val="1C3A36"/>
                <w:sz w:val="15"/>
              </w:rPr>
              <w:t>11,265</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40.59</w:t>
            </w:r>
          </w:p>
        </w:tc>
        <w:tc>
          <w:tcPr>
            <w:tcW w:type="dxa" w:w="1037"/>
            <w:shd w:val="clear" w:color="auto" w:fill="F6F1E6"/>
          </w:tcPr>
          <w:p>
            <w:pPr>
              <w:spacing w:after="20"/>
              <w:jc w:val="right"/>
            </w:pPr>
            <w:r>
              <w:rPr>
                <w:b/>
                <w:color w:val="1C3A36"/>
                <w:sz w:val="15"/>
              </w:rPr>
              <w:t>45.05</w:t>
            </w:r>
          </w:p>
        </w:tc>
        <w:tc>
          <w:tcPr>
            <w:tcW w:type="dxa" w:w="1037"/>
            <w:shd w:val="clear" w:color="auto" w:fill="F6F1E6"/>
          </w:tcPr>
          <w:p>
            <w:pPr>
              <w:spacing w:after="20"/>
              <w:jc w:val="right"/>
            </w:pPr>
            <w:r>
              <w:rPr>
                <w:b/>
                <w:color w:val="1C3A36"/>
                <w:sz w:val="15"/>
              </w:rPr>
              <w:t>50.89</w:t>
            </w:r>
          </w:p>
        </w:tc>
        <w:tc>
          <w:tcPr>
            <w:tcW w:type="dxa" w:w="1037"/>
            <w:shd w:val="clear" w:color="auto" w:fill="F6F1E6"/>
          </w:tcPr>
          <w:p>
            <w:pPr>
              <w:spacing w:after="20"/>
              <w:jc w:val="right"/>
            </w:pPr>
            <w:r>
              <w:rPr>
                <w:b/>
                <w:color w:val="1C3A36"/>
                <w:sz w:val="15"/>
              </w:rPr>
              <w:t>58.14</w:t>
            </w:r>
          </w:p>
        </w:tc>
        <w:tc>
          <w:tcPr>
            <w:tcW w:type="dxa" w:w="1037"/>
            <w:shd w:val="clear" w:color="auto" w:fill="F6F1E6"/>
          </w:tcPr>
          <w:p>
            <w:pPr>
              <w:spacing w:after="20"/>
              <w:jc w:val="right"/>
            </w:pPr>
            <w:r>
              <w:rPr>
                <w:b/>
                <w:color w:val="1C3A36"/>
                <w:sz w:val="15"/>
              </w:rPr>
              <w:t>66.76</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1,300</w:t>
            </w:r>
          </w:p>
        </w:tc>
        <w:tc>
          <w:tcPr>
            <w:tcW w:type="dxa" w:w="1224"/>
          </w:tcPr>
          <w:p>
            <w:pPr>
              <w:spacing w:after="20"/>
              <w:jc w:val="right"/>
            </w:pPr>
            <w:r>
              <w:rPr>
                <w:color w:val="1C3A36"/>
                <w:sz w:val="16"/>
              </w:rPr>
              <w:t>543</w:t>
            </w:r>
          </w:p>
        </w:tc>
        <w:tc>
          <w:tcPr>
            <w:tcW w:type="dxa" w:w="1224"/>
          </w:tcPr>
          <w:p>
            <w:pPr>
              <w:spacing w:after="20"/>
              <w:jc w:val="right"/>
            </w:pPr>
            <w:r>
              <w:rPr>
                <w:color w:val="1C3A36"/>
                <w:sz w:val="16"/>
              </w:rPr>
              <w:t>485</w:t>
            </w:r>
          </w:p>
        </w:tc>
        <w:tc>
          <w:tcPr>
            <w:tcW w:type="dxa" w:w="1224"/>
          </w:tcPr>
          <w:p>
            <w:pPr>
              <w:spacing w:after="20"/>
              <w:jc w:val="right"/>
            </w:pPr>
            <w:r>
              <w:rPr>
                <w:color w:val="1C3A36"/>
                <w:sz w:val="16"/>
              </w:rPr>
              <w:t>502</w:t>
            </w:r>
          </w:p>
        </w:tc>
        <w:tc>
          <w:tcPr>
            <w:tcW w:type="dxa" w:w="1224"/>
          </w:tcPr>
          <w:p>
            <w:pPr>
              <w:spacing w:after="20"/>
              <w:jc w:val="right"/>
            </w:pPr>
            <w:r>
              <w:rPr>
                <w:color w:val="1C3A36"/>
                <w:sz w:val="16"/>
              </w:rPr>
              <w:t>524</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141</w:t>
            </w:r>
          </w:p>
        </w:tc>
        <w:tc>
          <w:tcPr>
            <w:tcW w:type="dxa" w:w="1224"/>
          </w:tcPr>
          <w:p>
            <w:pPr>
              <w:spacing w:after="20"/>
              <w:jc w:val="right"/>
            </w:pPr>
            <w:r>
              <w:rPr>
                <w:color w:val="1C3A36"/>
                <w:sz w:val="16"/>
              </w:rPr>
              <w:t>1,052</w:t>
            </w:r>
          </w:p>
        </w:tc>
        <w:tc>
          <w:tcPr>
            <w:tcW w:type="dxa" w:w="1224"/>
          </w:tcPr>
          <w:p>
            <w:pPr>
              <w:spacing w:after="20"/>
              <w:jc w:val="right"/>
            </w:pPr>
            <w:r>
              <w:rPr>
                <w:color w:val="1C3A36"/>
                <w:sz w:val="16"/>
              </w:rPr>
              <w:t>1,556</w:t>
            </w:r>
          </w:p>
        </w:tc>
        <w:tc>
          <w:tcPr>
            <w:tcW w:type="dxa" w:w="1224"/>
          </w:tcPr>
          <w:p>
            <w:pPr>
              <w:spacing w:after="20"/>
              <w:jc w:val="right"/>
            </w:pPr>
            <w:r>
              <w:rPr>
                <w:color w:val="1C3A36"/>
                <w:sz w:val="16"/>
              </w:rPr>
              <w:t>1,853</w:t>
            </w:r>
          </w:p>
        </w:tc>
        <w:tc>
          <w:tcPr>
            <w:tcW w:type="dxa" w:w="1224"/>
          </w:tcPr>
          <w:p>
            <w:pPr>
              <w:spacing w:after="20"/>
              <w:jc w:val="right"/>
            </w:pPr>
            <w:r>
              <w:rPr>
                <w:color w:val="1C3A36"/>
                <w:sz w:val="16"/>
              </w:rPr>
              <w:t>2,200</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15.22x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14.62x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23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50.41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74%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3,616</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2,056</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13.56% − 5% = 8.56%</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24,014</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10,557</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14,173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9,795</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58.04</w:t>
            </w:r>
          </w:p>
        </w:tc>
      </w:tr>
    </w:tbl>
    <w:p>
      <w:pPr>
        <w:spacing w:after="40"/>
      </w:pPr>
    </w:p>
    <w:p>
      <w:pPr>
        <w:spacing w:after="120" w:before="0"/>
      </w:pPr>
      <w:r>
        <w:rPr>
          <w:b w:val="0"/>
          <w:i w:val="0"/>
          <w:color w:val="1C3A36"/>
          <w:sz w:val="21"/>
        </w:rPr>
        <w:t>Named sensitivity: the terminal discount rate. Every 100 basis points on it is worth roughly EGP 7 a share. At 74% terminal weight, this expert is mostly forecasting one number.</w:t>
      </w:r>
    </w:p>
    <w:p>
      <w:pPr>
        <w:spacing w:after="120" w:before="0"/>
      </w:pPr>
      <w:r>
        <w:rPr>
          <w:b w:val="0"/>
          <w:i w:val="0"/>
          <w:color w:val="1C3A36"/>
          <w:sz w:val="21"/>
        </w:rPr>
        <w:t>Falsifier, stated in advance: "If free cash flow to the firm in FY2027 comes in below EGP 736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21.8%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14.90%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5%</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1.70x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62.81</w:t>
            </w:r>
          </w:p>
        </w:tc>
      </w:tr>
    </w:tbl>
    <w:p>
      <w:pPr>
        <w:spacing w:after="40"/>
      </w:pPr>
    </w:p>
    <w:p>
      <w:pPr>
        <w:spacing w:after="120" w:before="0"/>
      </w:pPr>
      <w:r>
        <w:rPr>
          <w:b w:val="0"/>
          <w:i w:val="0"/>
          <w:color w:val="1C3A36"/>
          <w:sz w:val="21"/>
        </w:rPr>
        <w:t>Named sensitivity: the sustainable return. If it settles at 20% rather than 21.8%, the justified multiple falls to 1.51 times and the value to EGP 56.04 a share.</w:t>
      </w:r>
    </w:p>
    <w:p>
      <w:pPr>
        <w:spacing w:after="120" w:before="0"/>
      </w:pPr>
      <w:r>
        <w:rPr>
          <w:b w:val="0"/>
          <w:i w:val="0"/>
          <w:color w:val="1C3A36"/>
          <w:sz w:val="21"/>
        </w:rPr>
        <w:t>Falsifier: "If return on average equity falls below 18% in either FY2026 or FY2027, the 21.8%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21.8%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130.05</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58.04</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72.01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12,152m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6,931m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28%</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120m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1.20x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130.05</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8,911 million, or USD 154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43 to EGP 91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58.04 to EGP 62.81 a share, and the study's own two centres, EGP 61.21 and EGP 68.70,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58.04. Expert 2 says: nothing until it produces a return, so EGP 62.81. Expert 3 says: the market says EGP 72.01 a share, which requires USD 120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72099"/>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72099"/>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-4.76</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72.01</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-14.99</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-68.84</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-61.35</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-7.50</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24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