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611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two readings of the same figure disagreed.</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575</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11</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14</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3</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8</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173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41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8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4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3,883 daily sessions from 2 Jan 2011 to 24 Jul 2026, checked session by session against the exchange's own trading calendar before use. This is the capitalisation-weighted index of the exchange the share is listed on, which is the market measurement the method calls for. Regressed on it, the stock's weekly returns give a slope of 1.085.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the 161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60" w:before="180"/>
      </w:pPr>
      <w:r>
        <w:rPr>
          <w:b/>
          <w:i w:val="0"/>
          <w:color w:val="1C3A36"/>
          <w:sz w:val="22"/>
        </w:rPr>
        <w:t>A quotation this study turns on</w:t>
      </w:r>
    </w:p>
    <w:p>
      <w:pPr>
        <w:spacing w:after="100" w:before="0"/>
      </w:pPr>
      <w:r>
        <w:rPr>
          <w:b w:val="0"/>
          <w:i w:val="0"/>
          <w:color w:val="1C3A36"/>
          <w:sz w:val="19"/>
        </w:rPr>
        <w:t>One sentence spoken on an earnings call changed the shape of the model more than any document in the tables above, so it is reproduced here in full with its context rather than cited. On the first-quarter 2026 call, an analyst asked how the reported rate for the largest tanker class squared with what the spot market was paying at the time. The chief financial officer answered:</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color w:val="1C3A36"/>
                <w:sz w:val="19"/>
              </w:rPr>
              <w:t>“… was related to our full fleet of 8, and it includes all the vessels on long-term charter as well … it's a blended rate that we give there, which is obviously less than the spot rate.”</w:t>
            </w:r>
          </w:p>
        </w:tc>
      </w:tr>
    </w:tbl>
    <w:p>
      <w:pPr>
        <w:spacing w:after="40"/>
      </w:pP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712"/>
      </w:tblGrid>
      <w:tr>
        <w:trPr>
          <w:cantSplit w:val="true"/>
          <w:tblHeader w:val="true"/>
        </w:trPr>
        <w:tc>
          <w:tcPr>
            <w:tcW w:type="dxa" w:w="1512"/>
            <w:shd w:val="clear" w:color="auto" w:fill="EAF0EE"/>
          </w:tcPr>
          <w:p>
            <w:pPr>
              <w:spacing w:after="20" w:before="0" w:line="240" w:lineRule="auto"/>
            </w:pPr>
            <w:r>
              <w:rPr>
                <w:b/>
                <w:color w:val="1C3A36"/>
                <w:sz w:val="15"/>
              </w:rPr>
              <w:t>Field</w:t>
            </w:r>
          </w:p>
        </w:tc>
        <w:tc>
          <w:tcPr>
            <w:tcW w:type="dxa" w:w="8712"/>
            <w:shd w:val="clear" w:color="auto" w:fill="EAF0EE"/>
          </w:tcPr>
          <w:p>
            <w:pPr>
              <w:spacing w:after="20" w:before="0" w:line="240" w:lineRule="auto"/>
            </w:pPr>
            <w:r>
              <w:rPr>
                <w:b/>
                <w:color w:val="1C3A36"/>
                <w:sz w:val="15"/>
              </w:rPr>
              <w:t>Detail</w:t>
            </w:r>
          </w:p>
        </w:tc>
      </w:tr>
      <w:tr>
        <w:trPr>
          <w:cantSplit w:val="true"/>
        </w:trPr>
        <w:tc>
          <w:tcPr>
            <w:tcW w:type="dxa" w:w="1512"/>
          </w:tcPr>
          <w:p>
            <w:pPr>
              <w:spacing w:after="20" w:before="0" w:line="240" w:lineRule="auto"/>
            </w:pPr>
            <w:r>
              <w:rPr>
                <w:color w:val="1C3A36"/>
                <w:sz w:val="15"/>
              </w:rPr>
              <w:t>Source</w:t>
            </w:r>
          </w:p>
        </w:tc>
        <w:tc>
          <w:tcPr>
            <w:tcW w:type="dxa" w:w="8712"/>
          </w:tcPr>
          <w:p>
            <w:pPr>
              <w:spacing w:after="20" w:before="0" w:line="240" w:lineRule="auto"/>
            </w:pPr>
            <w:r>
              <w:rPr>
                <w:color w:val="1C3A36"/>
                <w:sz w:val="15"/>
              </w:rPr>
              <w:t>Q1 2026 earnings call transcript, ADNOC Logistics &amp; Services plc</w:t>
            </w:r>
          </w:p>
        </w:tc>
      </w:tr>
      <w:tr>
        <w:trPr>
          <w:cantSplit w:val="true"/>
        </w:trPr>
        <w:tc>
          <w:tcPr>
            <w:tcW w:type="dxa" w:w="1512"/>
          </w:tcPr>
          <w:p>
            <w:pPr>
              <w:spacing w:after="20" w:before="0" w:line="240" w:lineRule="auto"/>
            </w:pPr>
            <w:r>
              <w:rPr>
                <w:color w:val="1C3A36"/>
                <w:sz w:val="15"/>
              </w:rPr>
              <w:t>Date</w:t>
            </w:r>
          </w:p>
        </w:tc>
        <w:tc>
          <w:tcPr>
            <w:tcW w:type="dxa" w:w="8712"/>
          </w:tcPr>
          <w:p>
            <w:pPr>
              <w:spacing w:after="20" w:before="0" w:line="240" w:lineRule="auto"/>
            </w:pPr>
            <w:r>
              <w:rPr>
                <w:color w:val="1C3A36"/>
                <w:sz w:val="15"/>
              </w:rPr>
              <w:t>14 May 2026</w:t>
            </w:r>
          </w:p>
        </w:tc>
      </w:tr>
      <w:tr>
        <w:trPr>
          <w:cantSplit w:val="true"/>
        </w:trPr>
        <w:tc>
          <w:tcPr>
            <w:tcW w:type="dxa" w:w="1512"/>
          </w:tcPr>
          <w:p>
            <w:pPr>
              <w:spacing w:after="20" w:before="0" w:line="240" w:lineRule="auto"/>
            </w:pPr>
            <w:r>
              <w:rPr>
                <w:color w:val="1C3A36"/>
                <w:sz w:val="15"/>
              </w:rPr>
              <w:t>File held</w:t>
            </w:r>
          </w:p>
        </w:tc>
        <w:tc>
          <w:tcPr>
            <w:tcW w:type="dxa" w:w="8712"/>
          </w:tcPr>
          <w:p>
            <w:pPr>
              <w:spacing w:after="20" w:before="0" w:line="240" w:lineRule="auto"/>
            </w:pPr>
            <w:r>
              <w:rPr>
                <w:color w:val="1C3A36"/>
                <w:sz w:val="15"/>
              </w:rPr>
              <w:t>CALL_Q1_2026.pdf</w:t>
            </w:r>
          </w:p>
        </w:tc>
      </w:tr>
      <w:tr>
        <w:trPr>
          <w:cantSplit w:val="true"/>
        </w:trPr>
        <w:tc>
          <w:tcPr>
            <w:tcW w:type="dxa" w:w="1512"/>
          </w:tcPr>
          <w:p>
            <w:pPr>
              <w:spacing w:after="20" w:before="0" w:line="240" w:lineRule="auto"/>
            </w:pPr>
            <w:r>
              <w:rPr>
                <w:color w:val="1C3A36"/>
                <w:sz w:val="15"/>
              </w:rPr>
              <w:t>Speaker</w:t>
            </w:r>
          </w:p>
        </w:tc>
        <w:tc>
          <w:tcPr>
            <w:tcW w:type="dxa" w:w="8712"/>
          </w:tcPr>
          <w:p>
            <w:pPr>
              <w:spacing w:after="20" w:before="0" w:line="240" w:lineRule="auto"/>
            </w:pPr>
            <w:r>
              <w:rPr>
                <w:color w:val="1C3A36"/>
                <w:sz w:val="15"/>
              </w:rPr>
              <w:t>The chief financial officer, answering an analyst question on the rate reported for very large crude carriers in the first quarter</w:t>
            </w:r>
          </w:p>
        </w:tc>
      </w:tr>
      <w:tr>
        <w:trPr>
          <w:cantSplit w:val="true"/>
        </w:trPr>
        <w:tc>
          <w:tcPr>
            <w:tcW w:type="dxa" w:w="1512"/>
          </w:tcPr>
          <w:p>
            <w:pPr>
              <w:spacing w:after="20" w:before="0" w:line="240" w:lineRule="auto"/>
            </w:pPr>
            <w:r>
              <w:rPr>
                <w:color w:val="1C3A36"/>
                <w:sz w:val="15"/>
              </w:rPr>
              <w:t>What it establishes</w:t>
            </w:r>
          </w:p>
        </w:tc>
        <w:tc>
          <w:tcPr>
            <w:tcW w:type="dxa" w:w="8712"/>
          </w:tcPr>
          <w:p>
            <w:pPr>
              <w:spacing w:after="20" w:before="0" w:line="240" w:lineRule="auto"/>
            </w:pPr>
            <w:r>
              <w:rPr>
                <w:color w:val="1C3A36"/>
                <w:sz w:val="15"/>
              </w:rPr>
              <w:t>That the single rate the company publishes for each vessel class each quarter is an average across the whole class, taken over the vessels trading in the open market AND the vessels already committed on charters out at rates fixed earlier. It is therefore lower than what an uncommitted vessel earns, by an amount that depends on how many of the class are committed and at what rates.</w:t>
            </w:r>
          </w:p>
        </w:tc>
      </w:tr>
      <w:tr>
        <w:trPr>
          <w:cantSplit w:val="true"/>
        </w:trPr>
        <w:tc>
          <w:tcPr>
            <w:tcW w:type="dxa" w:w="1512"/>
          </w:tcPr>
          <w:p>
            <w:pPr>
              <w:spacing w:after="20" w:before="0" w:line="240" w:lineRule="auto"/>
            </w:pPr>
            <w:r>
              <w:rPr>
                <w:color w:val="1C3A36"/>
                <w:sz w:val="15"/>
              </w:rPr>
              <w:t>What it changed</w:t>
            </w:r>
          </w:p>
        </w:tc>
        <w:tc>
          <w:tcPr>
            <w:tcW w:type="dxa" w:w="8712"/>
          </w:tcPr>
          <w:p>
            <w:pPr>
              <w:spacing w:after="20" w:before="0" w:line="240" w:lineRule="auto"/>
            </w:pPr>
            <w:r>
              <w:rPr>
                <w:color w:val="1C3A36"/>
                <w:sz w:val="15"/>
              </w:rPr>
              <w:t>The first edition of the study read the published figure as the open-market rate and then added the chartered vessels beside it at their own, lower, disclosed rates — charging the same drag twice. The model now carries each of the 12 chartered vessels individually for exactly the days its own contract runs, and solves the open-market rate out of the published average instead of assuming it. For the largest class in the first quarter of 2026 the solved figure is 199,838/day against a published 145,000/day.</w:t>
            </w:r>
          </w:p>
        </w:tc>
      </w:tr>
      <w:tr>
        <w:trPr>
          <w:cantSplit w:val="true"/>
        </w:trPr>
        <w:tc>
          <w:tcPr>
            <w:tcW w:type="dxa" w:w="1512"/>
          </w:tcPr>
          <w:p>
            <w:pPr>
              <w:spacing w:after="20" w:before="0" w:line="240" w:lineRule="auto"/>
            </w:pPr>
            <w:r>
              <w:rPr>
                <w:color w:val="1C3A36"/>
                <w:sz w:val="15"/>
              </w:rPr>
              <w:t>How it is used</w:t>
            </w:r>
          </w:p>
        </w:tc>
        <w:tc>
          <w:tcPr>
            <w:tcW w:type="dxa" w:w="8712"/>
          </w:tcPr>
          <w:p>
            <w:pPr>
              <w:spacing w:after="20" w:before="0" w:line="240" w:lineRule="auto"/>
            </w:pPr>
            <w:r>
              <w:rPr>
                <w:color w:val="1C3A36"/>
                <w:sz w:val="15"/>
              </w:rPr>
              <w:t>As evidence about what a disclosed figure means, not as the source of a figure. Every rate in the model still comes from a published table; what the quotation changes is the arithmetic applied to those tables.</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pPr>
        <w:pageBreakBefore/>
        <w:spacing w:after="100" w:before="260"/>
      </w:pPr>
      <w:r>
        <w:rPr>
          <w:b/>
          <w:i w:val="0"/>
          <w:color w:val="1C3A36"/>
          <w:sz w:val="28"/>
        </w:rPr>
        <w:t>The input register — every figure the model uses</w:t>
      </w:r>
    </w:p>
    <w:p>
      <w:pPr>
        <w:spacing w:after="100" w:before="0"/>
      </w:pPr>
      <w:r>
        <w:rPr>
          <w:b w:val="0"/>
          <w:i w:val="0"/>
          <w:color w:val="6E7B77"/>
          <w:sz w:val="19"/>
        </w:rPr>
        <w:t>All 611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575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charter navig8 macallister</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Macallister, a LR1 fixed for 20 months to 28 Mar 2027</w:t>
            </w:r>
          </w:p>
        </w:tc>
      </w:tr>
      <w:tr>
        <w:trPr>
          <w:cantSplit w:val="true"/>
        </w:trPr>
        <w:tc>
          <w:tcPr>
            <w:tcW w:type="dxa" w:w="2088"/>
          </w:tcPr>
          <w:p>
            <w:pPr>
              <w:spacing w:after="20" w:before="0" w:line="240" w:lineRule="auto"/>
            </w:pPr>
            <w:r>
              <w:rPr>
                <w:color w:val="1C3A36"/>
                <w:sz w:val="14"/>
              </w:rPr>
              <w:t>charter navig8 martinez</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Martinez, a LR1 fixed for 32 months to 28 Mar 2028</w:t>
            </w:r>
          </w:p>
        </w:tc>
      </w:tr>
      <w:tr>
        <w:trPr>
          <w:cantSplit w:val="true"/>
        </w:trPr>
        <w:tc>
          <w:tcPr>
            <w:tcW w:type="dxa" w:w="2088"/>
          </w:tcPr>
          <w:p>
            <w:pPr>
              <w:spacing w:after="20" w:before="0" w:line="240" w:lineRule="auto"/>
            </w:pPr>
            <w:r>
              <w:rPr>
                <w:color w:val="1C3A36"/>
                <w:sz w:val="14"/>
              </w:rPr>
              <w:t>charter navig8 prosperity</w:t>
            </w:r>
          </w:p>
        </w:tc>
        <w:tc>
          <w:tcPr>
            <w:tcW w:type="dxa" w:w="1238"/>
          </w:tcPr>
          <w:p>
            <w:pPr>
              <w:spacing w:after="20" w:before="0" w:line="240" w:lineRule="auto"/>
              <w:jc w:val="right"/>
            </w:pPr>
            <w:r>
              <w:rPr>
                <w:color w:val="1C3A36"/>
                <w:sz w:val="14"/>
              </w:rPr>
              <w:t>30,561/day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Prosperity, a LR2 fixed for 36 months to 04 May 2026</w:t>
            </w:r>
          </w:p>
        </w:tc>
      </w:tr>
      <w:tr>
        <w:trPr>
          <w:cantSplit w:val="true"/>
        </w:trPr>
        <w:tc>
          <w:tcPr>
            <w:tcW w:type="dxa" w:w="2088"/>
          </w:tcPr>
          <w:p>
            <w:pPr>
              <w:spacing w:after="20" w:before="0" w:line="240" w:lineRule="auto"/>
            </w:pPr>
            <w:r>
              <w:rPr>
                <w:color w:val="1C3A36"/>
                <w:sz w:val="14"/>
              </w:rPr>
              <w:t>charter navig8 promise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Promise, a LR2 fixed for 12 months to 02 Jul 2026</w:t>
            </w:r>
          </w:p>
        </w:tc>
      </w:tr>
      <w:tr>
        <w:trPr>
          <w:cantSplit w:val="true"/>
        </w:trPr>
        <w:tc>
          <w:tcPr>
            <w:tcW w:type="dxa" w:w="2088"/>
          </w:tcPr>
          <w:p>
            <w:pPr>
              <w:spacing w:after="20" w:before="0" w:line="240" w:lineRule="auto"/>
            </w:pPr>
            <w:r>
              <w:rPr>
                <w:color w:val="1C3A36"/>
                <w:sz w:val="14"/>
              </w:rPr>
              <w:t>charter navig8 pride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Pride, a LR2 fixed for 12 months to 09 Jul 2026</w:t>
            </w:r>
          </w:p>
        </w:tc>
      </w:tr>
      <w:tr>
        <w:trPr>
          <w:cantSplit w:val="true"/>
        </w:trPr>
        <w:tc>
          <w:tcPr>
            <w:tcW w:type="dxa" w:w="2088"/>
          </w:tcPr>
          <w:p>
            <w:pPr>
              <w:spacing w:after="20" w:before="0" w:line="240" w:lineRule="auto"/>
            </w:pPr>
            <w:r>
              <w:rPr>
                <w:color w:val="1C3A36"/>
                <w:sz w:val="14"/>
              </w:rPr>
              <w:t>charter navig8 prestige</w:t>
            </w:r>
          </w:p>
        </w:tc>
        <w:tc>
          <w:tcPr>
            <w:tcW w:type="dxa" w:w="1238"/>
          </w:tcPr>
          <w:p>
            <w:pPr>
              <w:spacing w:after="20" w:before="0" w:line="240" w:lineRule="auto"/>
              <w:jc w:val="right"/>
            </w:pPr>
            <w:r>
              <w:rPr>
                <w:color w:val="1C3A36"/>
                <w:sz w:val="14"/>
              </w:rPr>
              <w:t>36,850/day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Prestige, a LR2 fixed for 12 months to 08 Oct 2026</w:t>
            </w:r>
          </w:p>
        </w:tc>
      </w:tr>
      <w:tr>
        <w:trPr>
          <w:cantSplit w:val="true"/>
        </w:trPr>
        <w:tc>
          <w:tcPr>
            <w:tcW w:type="dxa" w:w="2088"/>
          </w:tcPr>
          <w:p>
            <w:pPr>
              <w:spacing w:after="20" w:before="0" w:line="240" w:lineRule="auto"/>
            </w:pPr>
            <w:r>
              <w:rPr>
                <w:color w:val="1C3A36"/>
                <w:sz w:val="14"/>
              </w:rPr>
              <w:t>charter navig8 providence</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Providence, a LR2 fixed for 12 months to 31 Jan 2027</w:t>
            </w:r>
          </w:p>
        </w:tc>
      </w:tr>
      <w:tr>
        <w:trPr>
          <w:cantSplit w:val="true"/>
        </w:trPr>
        <w:tc>
          <w:tcPr>
            <w:tcW w:type="dxa" w:w="2088"/>
          </w:tcPr>
          <w:p>
            <w:pPr>
              <w:spacing w:after="20" w:before="0" w:line="240" w:lineRule="auto"/>
            </w:pPr>
            <w:r>
              <w:rPr>
                <w:color w:val="1C3A36"/>
                <w:sz w:val="14"/>
              </w:rPr>
              <w:t>charter navig8 passion</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Passion, a LR2 fixed for 12 months to 06 Feb 2027</w:t>
            </w:r>
          </w:p>
        </w:tc>
      </w:tr>
      <w:tr>
        <w:trPr>
          <w:cantSplit w:val="true"/>
        </w:trPr>
        <w:tc>
          <w:tcPr>
            <w:tcW w:type="dxa" w:w="2088"/>
          </w:tcPr>
          <w:p>
            <w:pPr>
              <w:spacing w:after="20" w:before="0" w:line="240" w:lineRule="auto"/>
            </w:pPr>
            <w:r>
              <w:rPr>
                <w:color w:val="1C3A36"/>
                <w:sz w:val="14"/>
              </w:rPr>
              <w:t>charter zakum</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Zakum, a VLCC fixed for 22 months to 02 Sep 2027</w:t>
            </w:r>
          </w:p>
        </w:tc>
      </w:tr>
      <w:tr>
        <w:trPr>
          <w:cantSplit w:val="true"/>
        </w:trPr>
        <w:tc>
          <w:tcPr>
            <w:tcW w:type="dxa" w:w="2088"/>
          </w:tcPr>
          <w:p>
            <w:pPr>
              <w:spacing w:after="20" w:before="0" w:line="240" w:lineRule="auto"/>
            </w:pPr>
            <w:r>
              <w:rPr>
                <w:color w:val="1C3A36"/>
                <w:sz w:val="14"/>
              </w:rPr>
              <w:t>charter hili</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Hili, a VLCC fixed for 22 months to 16 Sep 2027</w:t>
            </w:r>
          </w:p>
        </w:tc>
      </w:tr>
      <w:tr>
        <w:trPr>
          <w:cantSplit w:val="true"/>
        </w:trPr>
        <w:tc>
          <w:tcPr>
            <w:tcW w:type="dxa" w:w="2088"/>
          </w:tcPr>
          <w:p>
            <w:pPr>
              <w:spacing w:after="20" w:before="0" w:line="240" w:lineRule="auto"/>
            </w:pPr>
            <w:r>
              <w:rPr>
                <w:color w:val="1C3A36"/>
                <w:sz w:val="14"/>
              </w:rPr>
              <w:t>charter arzanah</w:t>
            </w:r>
          </w:p>
        </w:tc>
        <w:tc>
          <w:tcPr>
            <w:tcW w:type="dxa" w:w="1238"/>
          </w:tcPr>
          <w:p>
            <w:pPr>
              <w:spacing w:after="20" w:before="0" w:line="240" w:lineRule="auto"/>
              <w:jc w:val="right"/>
            </w:pPr>
            <w:r>
              <w:rPr>
                <w:color w:val="1C3A36"/>
                <w:sz w:val="14"/>
              </w:rPr>
              <w:t>70,000/day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Arzanah, a VLCC fixed for 12 months to 01 Feb 2027</w:t>
            </w:r>
          </w:p>
        </w:tc>
      </w:tr>
      <w:tr>
        <w:trPr>
          <w:cantSplit w:val="true"/>
        </w:trPr>
        <w:tc>
          <w:tcPr>
            <w:tcW w:type="dxa" w:w="2088"/>
          </w:tcPr>
          <w:p>
            <w:pPr>
              <w:spacing w:after="20" w:before="0" w:line="240" w:lineRule="auto"/>
            </w:pPr>
            <w:r>
              <w:rPr>
                <w:color w:val="1C3A36"/>
                <w:sz w:val="14"/>
              </w:rPr>
              <w:t>charter habshan</w:t>
            </w:r>
          </w:p>
        </w:tc>
        <w:tc>
          <w:tcPr>
            <w:tcW w:type="dxa" w:w="1238"/>
          </w:tcPr>
          <w:p>
            <w:pPr>
              <w:spacing w:after="20" w:before="0" w:line="240" w:lineRule="auto"/>
              <w:jc w:val="right"/>
            </w:pPr>
            <w:r>
              <w:rPr>
                <w:color w:val="1C3A36"/>
                <w:sz w:val="14"/>
              </w:rPr>
              <w:t>72,500/day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Habshan, a VLCC fixed for 12 months to 21 Feb 2027</w:t>
            </w:r>
          </w:p>
        </w:tc>
      </w:tr>
      <w:tr>
        <w:trPr>
          <w:cantSplit w:val="true"/>
        </w:trPr>
        <w:tc>
          <w:tcPr>
            <w:tcW w:type="dxa" w:w="2088"/>
          </w:tcPr>
          <w:p>
            <w:pPr>
              <w:spacing w:after="20" w:before="0" w:line="240" w:lineRule="auto"/>
            </w:pPr>
            <w:r>
              <w:rPr>
                <w:color w:val="1C3A36"/>
                <w:sz w:val="14"/>
              </w:rPr>
              <w:t>vlcc sold jan26</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2017-built very large crude carrier sold in January 2026, which reduces the owned fleet between the year end and the valuation date</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9,355/day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 fleet's charter-equivalent revenue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2.72x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presentational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10.75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jv gas fy25</w:t>
            </w:r>
          </w:p>
        </w:tc>
        <w:tc>
          <w:tcPr>
            <w:tcW w:type="dxa" w:w="1238"/>
          </w:tcPr>
          <w:p>
            <w:pPr>
              <w:spacing w:after="20" w:before="0" w:line="240" w:lineRule="auto"/>
              <w:jc w:val="right"/>
            </w:pPr>
            <w:r>
              <w:rPr>
                <w:color w:val="1C3A36"/>
                <w:sz w:val="14"/>
              </w:rPr>
              <w:t>21,313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the AW Shipping joint venture carried inside the disclosed Gas Carriers earnings</w:t>
            </w:r>
          </w:p>
        </w:tc>
      </w:tr>
      <w:tr>
        <w:trPr>
          <w:cantSplit w:val="true"/>
        </w:trPr>
        <w:tc>
          <w:tcPr>
            <w:tcW w:type="dxa" w:w="2088"/>
          </w:tcPr>
          <w:p>
            <w:pPr>
              <w:spacing w:after="20" w:before="0" w:line="240" w:lineRule="auto"/>
            </w:pPr>
            <w:r>
              <w:rPr>
                <w:color w:val="1C3A36"/>
                <w:sz w:val="14"/>
              </w:rPr>
              <w:t>jv services fy25</w:t>
            </w:r>
          </w:p>
        </w:tc>
        <w:tc>
          <w:tcPr>
            <w:tcW w:type="dxa" w:w="1238"/>
          </w:tcPr>
          <w:p>
            <w:pPr>
              <w:spacing w:after="20" w:before="0" w:line="240" w:lineRule="auto"/>
              <w:jc w:val="right"/>
            </w:pPr>
            <w:r>
              <w:rPr>
                <w:color w:val="1C3A36"/>
                <w:sz w:val="14"/>
              </w:rPr>
              <w:t>16,079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joint ventures and associates carried inside the disclosed Services earnings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108.4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nci navig8</w:t>
            </w:r>
          </w:p>
        </w:tc>
        <w:tc>
          <w:tcPr>
            <w:tcW w:type="dxa" w:w="1238"/>
          </w:tcPr>
          <w:p>
            <w:pPr>
              <w:spacing w:after="20" w:before="0" w:line="240" w:lineRule="auto"/>
              <w:jc w:val="right"/>
            </w:pPr>
            <w:r>
              <w:rPr>
                <w:color w:val="1C3A36"/>
                <w:sz w:val="14"/>
              </w:rPr>
              <w:t>251,985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statement of changes in equity: non-controlling interests arising on business combinations, being the 20% of the acquired tanker business</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11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Running-cost escalation applied to crew, technical management, insurance and repairs — a domestic services and wage escalator, not a commodity index, because those are the physical drivers of the line</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implied spot rate, against the rate implied by the first quarter of 2026, in setting the second half of 2026</w:t>
            </w:r>
          </w:p>
        </w:tc>
      </w:tr>
      <w:tr>
        <w:trPr>
          <w:cantSplit w:val="true"/>
        </w:trPr>
        <w:tc>
          <w:tcPr>
            <w:tcW w:type="dxa" w:w="2088"/>
          </w:tcPr>
          <w:p>
            <w:pPr>
              <w:spacing w:after="20" w:before="0" w:line="240" w:lineRule="auto"/>
            </w:pPr>
            <w:r>
              <w:rPr>
                <w:color w:val="1C3A36"/>
                <w:sz w:val="14"/>
              </w:rPr>
              <w:t>ri fade</w:t>
            </w:r>
          </w:p>
        </w:tc>
        <w:tc>
          <w:tcPr>
            <w:tcW w:type="dxa" w:w="1238"/>
          </w:tcPr>
          <w:p>
            <w:pPr>
              <w:spacing w:after="20" w:before="0" w:line="240" w:lineRule="auto"/>
              <w:jc w:val="right"/>
            </w:pPr>
            <w:r>
              <w:rPr>
                <w:color w:val="1C3A36"/>
                <w:sz w:val="14"/>
              </w:rPr>
              <w:t>10%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Rate at which the return above the cost of equity is assumed to decay beyond the forecast. A fleet has to be replaced at market prices rather than at the book value it is carried at, so an excess return cannot persist unchanged; a fifth a year is the house convention for an asset-heavy business and is sensitised from 5% to 30% in the sensitivity section</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r>
        <w:trPr>
          <w:cantSplit w:val="true"/>
        </w:trPr>
        <w:tc>
          <w:tcPr>
            <w:tcW w:type="dxa" w:w="2088"/>
          </w:tcPr>
          <w:p>
            <w:pPr>
              <w:spacing w:after="20" w:before="0" w:line="240" w:lineRule="auto"/>
            </w:pPr>
            <w:r>
              <w:rPr>
                <w:color w:val="1C3A36"/>
                <w:sz w:val="14"/>
              </w:rPr>
              <w:t>lens weight dcf</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relative</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normalized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book</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bl>
    <w:p>
      <w:pPr>
        <w:spacing w:after="40"/>
      </w:pPr>
    </w:p>
    <w:p>
      <w:pPr>
        <w:spacing w:after="60" w:before="180"/>
      </w:pPr>
      <w:r>
        <w:rPr>
          <w:b/>
          <w:i w:val="0"/>
          <w:color w:val="1C3A36"/>
          <w:sz w:val="22"/>
        </w:rPr>
        <w:t>Country layer — 14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3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Long-run nominal anchor for a dollar-pegged economy: a 2% inflation objective plus a 1.25% long-run real policy rate, the same construction the terminal growth rate rests on</w:t>
            </w:r>
          </w:p>
        </w:tc>
      </w:tr>
    </w:tbl>
    <w:p>
      <w:pPr>
        <w:spacing w:after="40"/>
      </w:pPr>
    </w:p>
    <w:p>
      <w:pPr>
        <w:spacing w:after="60" w:before="180"/>
      </w:pPr>
      <w:r>
        <w:rPr>
          <w:b/>
          <w:i w:val="0"/>
          <w:color w:val="1C3A36"/>
          <w:sz w:val="22"/>
        </w:rPr>
        <w:t>Market layer — 8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1.085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stock's own returns on the FTSE ADX General Index — the published index of the exchange the share is listed on — over the full listed history to the index's last available session</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0.199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dimson</w:t>
            </w:r>
          </w:p>
        </w:tc>
        <w:tc>
          <w:tcPr>
            <w:tcW w:type="dxa" w:w="1238"/>
          </w:tcPr>
          <w:p>
            <w:pPr>
              <w:spacing w:after="20" w:before="0" w:line="240" w:lineRule="auto"/>
              <w:jc w:val="right"/>
            </w:pPr>
            <w:r>
              <w:rPr>
                <w:color w:val="1C3A36"/>
                <w:sz w:val="14"/>
              </w:rPr>
              <w:t>1.164</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Lead-lag sum beta from the same series, one lead and two lags — the correction for co-movement a share books late because it does not trade every session</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0.705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same regression run against an equal-weight composite of the exchange's own listed names instead of the published index.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0.758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1.412</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pageBreakBefore/>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6.03 a share, rates settling 30% above that gives AED 7.39.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How the tanker fleet is built, vessel by vessel, off the published charter table</w:t>
            </w:r>
          </w:p>
        </w:tc>
        <w:tc>
          <w:tcPr>
            <w:tcW w:type="dxa" w:w="3917"/>
          </w:tcPr>
          <w:p>
            <w:pPr>
              <w:spacing w:after="20" w:before="0" w:line="240" w:lineRule="auto"/>
            </w:pPr>
            <w:r>
              <w:rPr>
                <w:color w:val="1C3A36"/>
                <w:sz w:val="15"/>
              </w:rPr>
              <w:t>Each of the 12 vessels chartered out is carried at its own disclosed rate for exactly the days its own contract runs, and the rate an uncommitted vessel earns is SOLVED out of the class average the company publishes rather than assumed — the average multiplied by the class's vessel-days, less what the committed vessels earned, over the days the uncommitted vessels had. Nothing about the market rate is assumed. What IS judged is that the published average is a straight vessel-day average of the whole class, which is what the chief financial officer's own description of it implies. Only the expiry and the period are published for each charter, so each start date is the expiry less the period; no date is invented.</w:t>
            </w:r>
          </w:p>
        </w:tc>
        <w:tc>
          <w:tcPr>
            <w:tcW w:type="dxa" w:w="4262"/>
          </w:tcPr>
          <w:p>
            <w:pPr>
              <w:spacing w:after="20" w:before="0" w:line="240" w:lineRule="auto"/>
            </w:pPr>
            <w:r>
              <w:rPr>
                <w:color w:val="1C3A36"/>
                <w:sz w:val="15"/>
              </w:rPr>
              <w:t>A disclosed split between committed and uncommitted earnings, which the company does not publish, would replace the construction outright. Failing that, the check available is internal and it passes: where a class has no vessel on charter out, the published average and the solved rate come out identical. If the company weights its published average differently — by revenue rather than by vessel-days, say, or excluding off-hire — the solved rate is too high by the amount the average is understated, and a reported half-year would show it.</w:t>
            </w:r>
          </w:p>
        </w:tc>
      </w:tr>
      <w:tr>
        <w:trPr>
          <w:cantSplit w:val="true"/>
        </w:trPr>
        <w:tc>
          <w:tcPr>
            <w:tcW w:type="dxa" w:w="2045"/>
          </w:tcPr>
          <w:p>
            <w:pPr>
              <w:spacing w:after="20" w:before="0" w:line="240" w:lineRule="auto"/>
            </w:pPr>
            <w:r>
              <w:rPr>
                <w:color w:val="1C3A36"/>
                <w:sz w:val="15"/>
              </w:rPr>
              <w:t>The rate at which the excess return fades in the asset lens</w:t>
            </w:r>
          </w:p>
        </w:tc>
        <w:tc>
          <w:tcPr>
            <w:tcW w:type="dxa" w:w="3917"/>
          </w:tcPr>
          <w:p>
            <w:pPr>
              <w:spacing w:after="20" w:before="0" w:line="240" w:lineRule="auto"/>
            </w:pPr>
            <w:r>
              <w:rPr>
                <w:color w:val="1C3A36"/>
                <w:sz w:val="15"/>
              </w:rPr>
              <w:t>10% a year. The asset lens is built as residual income — opening ordinary book, plus the return earned above the cost of equity on that book for five years discounted, plus a remainder beyond the forecast in which the excess return decays at this rate. The remainder is 8% of what the lens produces. The economic case for a fade is that a fleet has to be replaced at market prices rather than at the value it is carried at, so a return above the cost of equity cannot persist unchanged; the SPEED is chosen rather than measured.</w:t>
            </w:r>
          </w:p>
        </w:tc>
        <w:tc>
          <w:tcPr>
            <w:tcW w:type="dxa" w:w="4262"/>
          </w:tcPr>
          <w:p>
            <w:pPr>
              <w:spacing w:after="20" w:before="0" w:line="240" w:lineRule="auto"/>
            </w:pPr>
            <w:r>
              <w:rPr>
                <w:color w:val="1C3A36"/>
                <w:sz w:val="15"/>
              </w:rPr>
              <w:t>Nothing observable fixes it, and that is the honest answer. A longer record of this company earning above its cost of equity through a full rate cycle would argue for a slower fade; a period of newbuild deliveries competing the return away would argue for a faster one. A slower fade raises this lens and a faster one lowers it, which is one reason it carries the lowest weight of the four.</w:t>
            </w:r>
          </w:p>
        </w:tc>
      </w:tr>
      <w:tr>
        <w:trPr>
          <w:cantSplit w:val="true"/>
        </w:trPr>
        <w:tc>
          <w:tcPr>
            <w:tcW w:type="dxa" w:w="2045"/>
          </w:tcPr>
          <w:p>
            <w:pPr>
              <w:spacing w:after="20" w:before="0" w:line="240" w:lineRule="auto"/>
            </w:pPr>
            <w:r>
              <w:rPr>
                <w:color w:val="1C3A36"/>
                <w:sz w:val="15"/>
              </w:rPr>
              <w:t>How the minority interests are deducted</w:t>
            </w:r>
          </w:p>
        </w:tc>
        <w:tc>
          <w:tcPr>
            <w:tcW w:type="dxa" w:w="3917"/>
          </w:tcPr>
          <w:p>
            <w:pPr>
              <w:spacing w:after="20" w:before="0" w:line="240" w:lineRule="auto"/>
            </w:pPr>
            <w:r>
              <w:rPr>
                <w:color w:val="1C3A36"/>
                <w:sz w:val="15"/>
              </w:rPr>
              <w:t>Not at book, and not at a flat share of equity value either. Of the USD 272.1m of minority book at the valuation date (USD 264.5m at the 2025 year end), USD 252.0m arose on the tanker combination, and that 20% is contracted for purchase in mid-2027 at a price already carried in the bridge as deferred consideration (USD 301.5m). Deducting it again at a share of equity value would count the same claim twice, so it stays at book. Only the remaining USD 20.1m is lifted from book to its share of value, giving a total deduction of USD 333.3m.</w:t>
            </w:r>
          </w:p>
        </w:tc>
        <w:tc>
          <w:tcPr>
            <w:tcW w:type="dxa" w:w="4262"/>
          </w:tcPr>
          <w:p>
            <w:pPr>
              <w:spacing w:after="20" w:before="0" w:line="240" w:lineRule="auto"/>
            </w:pPr>
            <w:r>
              <w:rPr>
                <w:color w:val="1C3A36"/>
                <w:sz w:val="15"/>
              </w:rPr>
              <w:t>A review of the first edition called it a critical failure that minorities were deducted at book when they take 8.80% of profit. The premise is right and the conclusion is not, and the arithmetic is published so a reader can decide for themselves: at book the deduction is USD 272.1m, as taken here it is USD 333.3m, and applying the profit share to the whole equity value with nothing netted off would make it USD 1,098.1m. What would overturn it is the purchase not completing, or completing at a different price — at which point the deferred-consideration line changes and this one follows it.</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the FTSE ADX General Index — because that is the market the share actually trades in and the measurement the method calls for. Weekly returns over the full listed history give a slope of 1.085 (161 paired observations, R-squared 0.158, standard error 0.199) and a cost of equity of 9.34%. The same returns over the same window, measured against an equal-weight composite of that exchange's own names instead, give 0.705, a cost of equity of 7.49% and a central figure of AED 7.60 against the published AED 6.58.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listed record is only 3.18 years,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with the empty searches that follow.</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1.412 in the low case and 0.758 in the high case. A higher slope discounts harder, so the upper bound is what belongs in the low case. On the cash-flow lens those give AED 3.79 and AED 9.27 a share against a base of AED 6.03.</w:t>
            </w:r>
          </w:p>
        </w:tc>
        <w:tc>
          <w:tcPr>
            <w:tcW w:type="dxa" w:w="4262"/>
          </w:tcPr>
          <w:p>
            <w:pPr>
              <w:spacing w:after="20" w:before="0" w:line="240" w:lineRule="auto"/>
            </w:pPr>
            <w:r>
              <w:rPr>
                <w:color w:val="1C3A36"/>
                <w:sz w:val="15"/>
              </w:rPr>
              <w:t>A tighter interval, which only more observations give. The standard error is 0.199 on a slope of 1.085, so the two bounds are 60% of the estimate apart and the cases inherit that width honestly. Round betas chosen by hand would look tidier and would be telling the reader less. The lead-lag variant of the same regression, at 1.164,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6.41 a share against the published AED 6.58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Two things at once, and they are the two halves of one treatment. They are deducted in full — USD 1,978.6m — in the bridge from enterprise to equity value, because they rank ahead of the ordinary shares however the company classifies them; and they are WEIGHTED in the cost of capital at 12.8% of total capital at their own coupon of 4.90%, because they are a third kind of capital funding the same enterprise. That coupon floats, so it normalises with the risk-free rate in the terminal, at 4.50%. Their coupons never touch the income statement, so earnings available to ordinary holders are struck after them.</w:t>
            </w:r>
          </w:p>
        </w:tc>
        <w:tc>
          <w:tcPr>
            <w:tcW w:type="dxa" w:w="4262"/>
          </w:tcPr>
          <w:p>
            <w:pPr>
              <w:spacing w:after="20" w:before="0" w:line="240" w:lineRule="auto"/>
            </w:pPr>
            <w:r>
              <w:rPr>
                <w:color w:val="1C3A36"/>
                <w:sz w:val="15"/>
              </w:rPr>
              <w:t>The first edition deducted them but did NOT weight them, on the ground that doing both would charge for them twice. That was wrong, and two independent reviews said so: deducting a claim from value and pricing the capital it supplies are different operations, and doing only the first removed a cheap tranche of funding from the enterprise without letting it lower the rate the enterprise is discounted at. Correcting it moves the cost of capital to 8.49% and the terminal rate to 7.73%. Treating the securities as ordinary equity instead — deducting nothing — would add about AED 0.98 a share. A redemption, or a coupon actually deferred, would resolve the classification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78%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5.82%,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9,355/day,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17.8%,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108.4,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pageBreakBefore/>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The index series obtained ends 24 Jul 2026, while the stock's own history runs to 7 Aug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0.907 against 0.705. The difference of 0.203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What the published rate per vessel class actually is</w:t>
            </w:r>
          </w:p>
        </w:tc>
        <w:tc>
          <w:tcPr>
            <w:tcW w:type="dxa" w:w="2664"/>
          </w:tcPr>
          <w:p>
            <w:pPr>
              <w:spacing w:after="20" w:before="0" w:line="240" w:lineRule="auto"/>
            </w:pPr>
            <w:r>
              <w:rPr>
                <w:color w:val="1C3A36"/>
                <w:sz w:val="15"/>
              </w:rPr>
              <w:t>Read as the rate a vessel earns in the open market. On that reading the largest class earned 145,000/day in the first quarter of 2026, and the vessels on charter out are a separate, lower, additional exposure. This is how the first edition of this study read it, and it is how the figure is usually quoted.</w:t>
            </w:r>
          </w:p>
        </w:tc>
        <w:tc>
          <w:tcPr>
            <w:tcW w:type="dxa" w:w="3024"/>
          </w:tcPr>
          <w:p>
            <w:pPr>
              <w:spacing w:after="20" w:before="0" w:line="240" w:lineRule="auto"/>
            </w:pPr>
            <w:r>
              <w:rPr>
                <w:color w:val="1C3A36"/>
                <w:sz w:val="15"/>
              </w:rPr>
              <w:t>A BLEND across the whole class, including the vessels already on charter out. The company said so itself on the first-quarter call — the quotation is set out in full with the documents above. Taking the 12 charters back out at their own disclosed rates, the rate an uncommitted vessel must have earned in the same quarter is 199,838/day.</w:t>
            </w:r>
          </w:p>
        </w:tc>
        <w:tc>
          <w:tcPr>
            <w:tcW w:type="dxa" w:w="3024"/>
          </w:tcPr>
          <w:p>
            <w:pPr>
              <w:spacing w:after="20" w:before="0" w:line="240" w:lineRule="auto"/>
            </w:pPr>
            <w:r>
              <w:rPr>
                <w:color w:val="1C3A36"/>
                <w:sz w:val="15"/>
              </w:rPr>
              <w:t>The company's own description of its own disclosure. This is not two sources disagreeing: there is one figure and two readings of what it covers, and only one of them is the company's. The consequence of the wrong reading was not a wrong rate but a double count — the first edition applied the blended rate to the whole class AND added the chartered vessels again at their own rates, charging the drag of the charters twice and understating the fleet. The correction is set out in the study's own section on what changed in this edition.</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0.705 over the same window (R-squared 0.172, standard error 0.122, 163 observations). This is the measurement the study used before the published index could be obtained.</w:t>
            </w:r>
          </w:p>
        </w:tc>
        <w:tc>
          <w:tcPr>
            <w:tcW w:type="dxa" w:w="3024"/>
          </w:tcPr>
          <w:p>
            <w:pPr>
              <w:spacing w:after="20" w:before="0" w:line="240" w:lineRule="auto"/>
            </w:pPr>
            <w:r>
              <w:rPr>
                <w:color w:val="1C3A36"/>
                <w:sz w:val="15"/>
              </w:rPr>
              <w:t>The FTSE ADX General Index, the capitalisation-weighted index the exchange itself publishes and the share is a constituent of, gives 1.085 on the same returns over the same window (R-squared 0.158, standard error 0.199, 161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704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721.3m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pageBreakBefore/>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the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