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rlito" w:hAnsi="Carlito"/>
          <w:b/>
          <w:color w:val="1C3A36"/>
          <w:sz w:val="22"/>
        </w:rPr>
        <w:t>TESTAHIL  ·  Independent Valuation Study — Educational Analysis</w:t>
      </w:r>
    </w:p>
    <w:p>
      <w:pPr>
        <w:jc w:val="center"/>
      </w:pPr>
      <w:r>
        <w:rPr>
          <w:i/>
          <w:color w:val="896F36"/>
          <w:sz w:val="18"/>
        </w:rPr>
        <w:t>Not investment advice  ·  distributions, not tips</w:t>
      </w:r>
    </w:p>
    <w:p>
      <w:pPr>
        <w:pBdr>
          <w:bottom w:val="single" w:sz="18" w:space="1" w:color="C0A45F"/>
        </w:pBdr>
        <w:spacing w:after="160"/>
      </w:pPr>
    </w:p>
    <w:p>
      <w:pPr>
        <w:jc w:val="center"/>
      </w:pPr>
      <w:r>
        <w:rPr>
          <w:rFonts w:ascii="Carlito" w:hAnsi="Carlito"/>
          <w:b/>
          <w:color w:val="1C3A36"/>
          <w:sz w:val="38"/>
        </w:rPr>
        <w:t>Saudi Basic Industries Corporation  (Tadawul: 2010)</w:t>
      </w:r>
    </w:p>
    <w:p>
      <w:pPr>
        <w:jc w:val="center"/>
      </w:pPr>
      <w:r>
        <w:rPr>
          <w:i/>
          <w:color w:val="896F36"/>
          <w:sz w:val="21"/>
        </w:rPr>
        <w:t>Fundamental analysis · Technical analysis · Monte Carlo simulation — one integrated read</w:t>
      </w:r>
    </w:p>
    <w:p>
      <w:pPr>
        <w:spacing w:before="120"/>
      </w:pPr>
      <w:r>
        <w:rPr>
          <w:b/>
          <w:sz w:val="20"/>
        </w:rPr>
        <w:t xml:space="preserve">Anchor: </w:t>
      </w:r>
      <w:r>
        <w:rPr>
          <w:sz w:val="20"/>
        </w:rPr>
        <w:t>SAR 51.80 (7 Jul 2026 close) · 3,000 mn shares · market cap ~SAR 155.4 bn · Saudi Arabia's national petrochemical champion, 70%-owned by Saudi Aramco, spanning petrochemicals &amp; polymers, agri-nutrients (listed SABIC Agri-Nutrients) and specialties · prices and probabilities computed 7 Jul 2026 from the attached daily history · primary lens: a normalized mid-cycle discounted-cash-flow model (petrochemical). The product–feedstock spread and the timing of the margin-cycle recovery are the swing factors.</w:t>
      </w:r>
    </w:p>
    <w:tbl>
      <w:tblPr>
        <w:tblW w:type="auto" w:w="0"/>
        <w:jc w:val="center"/>
        <w:tblLook w:firstColumn="1" w:firstRow="1" w:lastColumn="0" w:lastRow="0" w:noHBand="0" w:noVBand="1" w:val="04A0"/>
        <w:tblBorders>
          <w:top w:val="single" w:sz="10" w:space="0" w:color="896F36"/>
          <w:left w:val="single" w:sz="10" w:space="0" w:color="896F36"/>
          <w:bottom w:val="single" w:sz="10" w:space="0" w:color="896F36"/>
          <w:right w:val="single" w:sz="10" w:space="0" w:color="896F36"/>
          <w:insideH w:val="single" w:sz="10" w:space="0" w:color="896F36"/>
          <w:insideV w:val="single" w:sz="10" w:space="0" w:color="896F36"/>
        </w:tblBorders>
      </w:tblPr>
      <w:tblGrid>
        <w:gridCol w:w="8640"/>
      </w:tblGrid>
      <w:tr>
        <w:tc>
          <w:tcPr>
            <w:tcW w:type="dxa" w:w="8640"/>
            <w:shd w:val="clear" w:fill="F1EEE4"/>
          </w:tcPr>
          <w:p>
            <w:pPr>
              <w:spacing w:after="40"/>
            </w:pPr>
            <w:r/>
            <w:r>
              <w:rPr>
                <w:b/>
                <w:color w:val="1C3A36"/>
                <w:sz w:val="19"/>
              </w:rPr>
              <w:t xml:space="preserve">READ FIRST — what this document is, and is not.  </w:t>
            </w:r>
            <w:r>
              <w:rPr>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(FY2025 results, released Feb 2026, and the FY2025 integrated report); forward-looking inputs — the mid-cycle margin, the multiples, the DCF and the Monte-Carlo factor probabilities — are the preparer's judgments and are flagged throughout. A note on the 2025 print: SABIC reported a net loss of SAR 25.8 bn for 2025, driven by one-off, non-cash fair-value writedowns on the European petrochemical and engineering-thermoplastics assets being divested; the through-cycle analysis uses ADJUSTED EBITDA and net income. Consult a licensed financial advisor before any investment decision.</w:t>
            </w:r>
          </w:p>
        </w:tc>
      </w:tr>
    </w:tbl>
    <w:p>
      <w:pPr>
        <w:spacing w:after="80"/>
      </w:pPr>
    </w:p>
    <w:p>
      <w:pPr>
        <w:spacing w:before="280" w:after="80"/>
        <w:pBdr>
          <w:bottom w:val="single" w:sz="8" w:space="2" w:color="C0A45F"/>
        </w:pBdr>
      </w:pPr>
      <w:r>
        <w:rPr>
          <w:rFonts w:ascii="Carlito" w:hAnsi="Carlito"/>
          <w:b/>
          <w:color w:val="1C3A36"/>
          <w:sz w:val="30"/>
        </w:rPr>
        <w:t>Headline</w:t>
      </w:r>
    </w:p>
    <w:p>
      <w:r>
        <w:rPr>
          <w:rFonts w:ascii="Carlito" w:hAnsi="Carlito"/>
          <w:b/>
          <w:sz w:val="21"/>
        </w:rPr>
        <w:t xml:space="preserve">The model's read: modestly undervalued at a cyclical trough, with the upside resting on the product–feedstock spread normalising. </w:t>
      </w:r>
      <w:r>
        <w:rPr>
          <w:rFonts w:ascii="Carlito" w:hAnsi="Carlito"/>
          <w:i w:val="0"/>
          <w:sz w:val="21"/>
        </w:rPr>
        <w:t xml:space="preserve">At SAR 51.80 the shares sit about 7% below our weighted central estimate of SAR 55.5, near the bottom of a deep petrochemical margin cycle. </w:t>
      </w:r>
    </w:p>
    <w:p>
      <w:r>
        <w:rPr>
          <w:rFonts w:ascii="Carlito" w:hAnsi="Carlito"/>
          <w:i w:val="0"/>
          <w:sz w:val="21"/>
        </w:rPr>
        <w:t>The primary lens — a normalized mid-cycle DCF — lands at SAR 60.3, above spot, because it credits a partial recovery in the EBITDA margin from a trough 15.3% (2025 adjusted) toward a through-cycle ~19%. A relative EV/EBITDA read on trough earnings marks the floor at ~SAR 42–48, an asset/replacement (P/B) read anchors near book at SAR 51.5, and a normalized-dividend read lands at SAR 56.4 on a covered SAR 3.0 payout (a 5.8% yield at spot). The whole answer turns on one variable: where the petrochemical spread — ethylene and polyethylene against a fixed, advantaged Saudi gas feedstock — settles through the cycle. 2025 was a genuine trough (Chinese oversupply, weak global demand, a compressed spread), and the case rests on whether the margin normalises as the company completes its European divestitures and leans on its feedstock advantage. Technically the tape mirrors the fundamentals in reverse — below every major moving average, RSI near 30, MACD marginally negative — so price and value are pulling in opposite directions. Over three months the Monte Carlo places the 5th–95th percentile band at roughly SAR 41–64, with the median at spot and a slight right-tail skew.</w:t>
      </w:r>
    </w:p>
    <w:p>
      <w:pPr>
        <w:spacing w:before="280" w:after="80"/>
        <w:pBdr>
          <w:bottom w:val="single" w:sz="8" w:space="2" w:color="C0A45F"/>
        </w:pBdr>
      </w:pPr>
      <w:r>
        <w:rPr>
          <w:rFonts w:ascii="Carlito" w:hAnsi="Carlito"/>
          <w:b/>
          <w:color w:val="1C3A36"/>
          <w:sz w:val="30"/>
        </w:rPr>
        <w:t>Valuation summary — every read at a glance</w:t>
      </w:r>
    </w:p>
    <w:p>
      <w:r>
        <w:rPr>
          <w:rFonts w:ascii="Carlito" w:hAnsi="Carlito"/>
          <w:i w:val="0"/>
          <w:sz w:val="21"/>
        </w:rPr>
        <w:t>One table for the four reads that follow — what the business is worth (fundamental), what the tape is doing (technical), where price could travel over three months (Monte Carlo), and how four independent expert methods land. Every row is developed in the sections and appendices below.</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2160"/>
        <w:gridCol w:w="2160"/>
        <w:gridCol w:w="2160"/>
        <w:gridCol w:w="2160"/>
      </w:tblGrid>
      <w:tr>
        <w:tc>
          <w:tcPr>
            <w:tcW w:type="dxa" w:w="2880"/>
            <w:shd w:val="clear" w:fill="1C3A36"/>
          </w:tcPr>
          <w:p>
            <w:pPr>
              <w:spacing w:after="20" w:before="20"/>
              <w:jc w:val="left"/>
            </w:pPr>
            <w:r/>
            <w:r>
              <w:rPr>
                <w:rFonts w:ascii="Carlito" w:hAnsi="Carlito"/>
                <w:b/>
                <w:i w:val="0"/>
                <w:color w:val="FFFFFF"/>
                <w:sz w:val="19"/>
              </w:rPr>
              <w:t>Lens / read</w:t>
            </w:r>
          </w:p>
        </w:tc>
        <w:tc>
          <w:tcPr>
            <w:tcW w:type="dxa" w:w="3456"/>
            <w:shd w:val="clear" w:fill="1C3A36"/>
          </w:tcPr>
          <w:p>
            <w:pPr>
              <w:spacing w:after="20" w:before="20"/>
              <w:jc w:val="center"/>
            </w:pPr>
            <w:r/>
            <w:r>
              <w:rPr>
                <w:rFonts w:ascii="Carlito" w:hAnsi="Carlito"/>
                <w:b/>
                <w:i w:val="0"/>
                <w:color w:val="FFFFFF"/>
                <w:sz w:val="19"/>
              </w:rPr>
              <w:t>What it measures</w:t>
            </w:r>
          </w:p>
        </w:tc>
        <w:tc>
          <w:tcPr>
            <w:tcW w:type="dxa" w:w="1440"/>
            <w:shd w:val="clear" w:fill="1C3A36"/>
          </w:tcPr>
          <w:p>
            <w:pPr>
              <w:spacing w:after="20" w:before="20"/>
              <w:jc w:val="center"/>
            </w:pPr>
            <w:r/>
            <w:r>
              <w:rPr>
                <w:rFonts w:ascii="Carlito" w:hAnsi="Carlito"/>
                <w:b/>
                <w:i w:val="0"/>
                <w:color w:val="FFFFFF"/>
                <w:sz w:val="19"/>
              </w:rPr>
              <w:t>Output (SAR)</w:t>
            </w:r>
          </w:p>
        </w:tc>
        <w:tc>
          <w:tcPr>
            <w:tcW w:type="dxa" w:w="2160"/>
            <w:shd w:val="clear" w:fill="1C3A36"/>
          </w:tcPr>
          <w:p>
            <w:pPr>
              <w:spacing w:after="20" w:before="20"/>
              <w:jc w:val="center"/>
            </w:pPr>
            <w:r/>
            <w:r>
              <w:rPr>
                <w:rFonts w:ascii="Carlito" w:hAnsi="Carlito"/>
                <w:b/>
                <w:i w:val="0"/>
                <w:color w:val="FFFFFF"/>
                <w:sz w:val="19"/>
              </w:rPr>
              <w:t>Takeaway</w:t>
            </w:r>
          </w:p>
        </w:tc>
      </w:tr>
      <w:tr>
        <w:tc>
          <w:tcPr>
            <w:tcW w:type="dxa" w:w="2160"/>
            <w:gridSpan w:val="4"/>
            <w:shd w:val="clear" w:fill="896F36"/>
          </w:tcPr>
          <w:p>
            <w:pPr>
              <w:spacing w:after="20" w:before="20"/>
              <w:jc w:val="left"/>
            </w:pPr>
            <w:r/>
            <w:r>
              <w:rPr>
                <w:rFonts w:ascii="Carlito" w:hAnsi="Carlito"/>
                <w:b/>
                <w:i w:val="0"/>
                <w:color w:val="FFFFFF"/>
                <w:sz w:val="19"/>
              </w:rPr>
              <w:t>FUNDAMENTAL — what the business is worth (the anchor)</w:t>
            </w:r>
          </w:p>
        </w:tc>
      </w:tr>
      <w:tr>
        <w:tc>
          <w:tcPr>
            <w:tcW w:type="dxa" w:w="2880"/>
          </w:tcPr>
          <w:p>
            <w:pPr>
              <w:spacing w:after="20" w:before="20"/>
              <w:jc w:val="left"/>
            </w:pPr>
            <w:r/>
            <w:r>
              <w:rPr>
                <w:rFonts w:ascii="Carlito" w:hAnsi="Carlito"/>
                <w:b w:val="0"/>
                <w:i w:val="0"/>
                <w:sz w:val="19"/>
              </w:rPr>
              <w:t>DCF (mid-cycle, primary)</w:t>
            </w:r>
          </w:p>
        </w:tc>
        <w:tc>
          <w:tcPr>
            <w:tcW w:type="dxa" w:w="3456"/>
          </w:tcPr>
          <w:p>
            <w:pPr>
              <w:spacing w:after="20" w:before="20"/>
              <w:jc w:val="center"/>
            </w:pPr>
            <w:r/>
            <w:r>
              <w:rPr>
                <w:rFonts w:ascii="Carlito" w:hAnsi="Carlito"/>
                <w:b w:val="0"/>
                <w:i w:val="0"/>
                <w:sz w:val="19"/>
              </w:rPr>
              <w:t>Discounted 5-yr FCFF, normalized margin</w:t>
            </w:r>
          </w:p>
        </w:tc>
        <w:tc>
          <w:tcPr>
            <w:tcW w:type="dxa" w:w="1440"/>
          </w:tcPr>
          <w:p>
            <w:pPr>
              <w:spacing w:after="20" w:before="20"/>
              <w:jc w:val="center"/>
            </w:pPr>
            <w:r/>
            <w:r>
              <w:rPr>
                <w:rFonts w:ascii="Carlito" w:hAnsi="Carlito"/>
                <w:b w:val="0"/>
                <w:i w:val="0"/>
                <w:sz w:val="19"/>
              </w:rPr>
              <w:t>60.3</w:t>
            </w:r>
          </w:p>
        </w:tc>
        <w:tc>
          <w:tcPr>
            <w:tcW w:type="dxa" w:w="2160"/>
          </w:tcPr>
          <w:p>
            <w:pPr>
              <w:spacing w:after="20" w:before="20"/>
              <w:jc w:val="center"/>
            </w:pPr>
            <w:r/>
            <w:r>
              <w:rPr>
                <w:rFonts w:ascii="Carlito" w:hAnsi="Carlito"/>
                <w:b w:val="0"/>
                <w:i w:val="0"/>
                <w:sz w:val="19"/>
              </w:rPr>
              <w:t>+16% · recovery lens</w:t>
            </w:r>
          </w:p>
        </w:tc>
      </w:tr>
      <w:tr>
        <w:tc>
          <w:tcPr>
            <w:tcW w:type="dxa" w:w="2880"/>
          </w:tcPr>
          <w:p>
            <w:pPr>
              <w:spacing w:after="20" w:before="20"/>
              <w:jc w:val="left"/>
            </w:pPr>
            <w:r/>
            <w:r>
              <w:rPr>
                <w:rFonts w:ascii="Carlito" w:hAnsi="Carlito"/>
                <w:b w:val="0"/>
                <w:i w:val="0"/>
                <w:sz w:val="19"/>
              </w:rPr>
              <w:t>EV/EBITDA relative</w:t>
            </w:r>
          </w:p>
        </w:tc>
        <w:tc>
          <w:tcPr>
            <w:tcW w:type="dxa" w:w="3456"/>
          </w:tcPr>
          <w:p>
            <w:pPr>
              <w:spacing w:after="20" w:before="20"/>
              <w:jc w:val="center"/>
            </w:pPr>
            <w:r/>
            <w:r>
              <w:rPr>
                <w:rFonts w:ascii="Carlito" w:hAnsi="Carlito"/>
                <w:b w:val="0"/>
                <w:i w:val="0"/>
                <w:sz w:val="19"/>
              </w:rPr>
              <w:t>Trough → mid-cycle EBITDA × peer multiple</w:t>
            </w:r>
          </w:p>
        </w:tc>
        <w:tc>
          <w:tcPr>
            <w:tcW w:type="dxa" w:w="1440"/>
          </w:tcPr>
          <w:p>
            <w:pPr>
              <w:spacing w:after="20" w:before="20"/>
              <w:jc w:val="center"/>
            </w:pPr>
            <w:r/>
            <w:r>
              <w:rPr>
                <w:rFonts w:ascii="Carlito" w:hAnsi="Carlito"/>
                <w:b w:val="0"/>
                <w:i w:val="0"/>
                <w:sz w:val="19"/>
              </w:rPr>
              <w:t>47.8</w:t>
            </w:r>
          </w:p>
        </w:tc>
        <w:tc>
          <w:tcPr>
            <w:tcW w:type="dxa" w:w="2160"/>
          </w:tcPr>
          <w:p>
            <w:pPr>
              <w:spacing w:after="20" w:before="20"/>
              <w:jc w:val="center"/>
            </w:pPr>
            <w:r/>
            <w:r>
              <w:rPr>
                <w:rFonts w:ascii="Carlito" w:hAnsi="Carlito"/>
                <w:b w:val="0"/>
                <w:i w:val="0"/>
                <w:sz w:val="19"/>
              </w:rPr>
              <w:t>−8% · the floor</w:t>
            </w:r>
          </w:p>
        </w:tc>
      </w:tr>
      <w:tr>
        <w:tc>
          <w:tcPr>
            <w:tcW w:type="dxa" w:w="2880"/>
          </w:tcPr>
          <w:p>
            <w:pPr>
              <w:spacing w:after="20" w:before="20"/>
              <w:jc w:val="left"/>
            </w:pPr>
            <w:r/>
            <w:r>
              <w:rPr>
                <w:rFonts w:ascii="Carlito" w:hAnsi="Carlito"/>
                <w:b w:val="0"/>
                <w:i w:val="0"/>
                <w:sz w:val="19"/>
              </w:rPr>
              <w:t>P/B (asset / replacement)</w:t>
            </w:r>
          </w:p>
        </w:tc>
        <w:tc>
          <w:tcPr>
            <w:tcW w:type="dxa" w:w="3456"/>
          </w:tcPr>
          <w:p>
            <w:pPr>
              <w:spacing w:after="20" w:before="20"/>
              <w:jc w:val="center"/>
            </w:pPr>
            <w:r/>
            <w:r>
              <w:rPr>
                <w:rFonts w:ascii="Carlito" w:hAnsi="Carlito"/>
                <w:b w:val="0"/>
                <w:i w:val="0"/>
                <w:sz w:val="19"/>
              </w:rPr>
              <w:t>Book / replacement value of the asset base</w:t>
            </w:r>
          </w:p>
        </w:tc>
        <w:tc>
          <w:tcPr>
            <w:tcW w:type="dxa" w:w="1440"/>
          </w:tcPr>
          <w:p>
            <w:pPr>
              <w:spacing w:after="20" w:before="20"/>
              <w:jc w:val="center"/>
            </w:pPr>
            <w:r/>
            <w:r>
              <w:rPr>
                <w:rFonts w:ascii="Carlito" w:hAnsi="Carlito"/>
                <w:b w:val="0"/>
                <w:i w:val="0"/>
                <w:sz w:val="19"/>
              </w:rPr>
              <w:t>51.5</w:t>
            </w:r>
          </w:p>
        </w:tc>
        <w:tc>
          <w:tcPr>
            <w:tcW w:type="dxa" w:w="2160"/>
          </w:tcPr>
          <w:p>
            <w:pPr>
              <w:spacing w:after="20" w:before="20"/>
              <w:jc w:val="center"/>
            </w:pPr>
            <w:r/>
            <w:r>
              <w:rPr>
                <w:rFonts w:ascii="Carlito" w:hAnsi="Carlito"/>
                <w:b w:val="0"/>
                <w:i w:val="0"/>
                <w:sz w:val="19"/>
              </w:rPr>
              <w:t>−1% · book anchor</w:t>
            </w:r>
          </w:p>
        </w:tc>
      </w:tr>
      <w:tr>
        <w:tc>
          <w:tcPr>
            <w:tcW w:type="dxa" w:w="2880"/>
          </w:tcPr>
          <w:p>
            <w:pPr>
              <w:spacing w:after="20" w:before="20"/>
              <w:jc w:val="left"/>
            </w:pPr>
            <w:r/>
            <w:r>
              <w:rPr>
                <w:rFonts w:ascii="Carlito" w:hAnsi="Carlito"/>
                <w:b w:val="0"/>
                <w:i w:val="0"/>
                <w:sz w:val="19"/>
              </w:rPr>
              <w:t>Dividend yield (normalized)</w:t>
            </w:r>
          </w:p>
        </w:tc>
        <w:tc>
          <w:tcPr>
            <w:tcW w:type="dxa" w:w="3456"/>
          </w:tcPr>
          <w:p>
            <w:pPr>
              <w:spacing w:after="20" w:before="20"/>
              <w:jc w:val="center"/>
            </w:pPr>
            <w:r/>
            <w:r>
              <w:rPr>
                <w:rFonts w:ascii="Carlito" w:hAnsi="Carlito"/>
                <w:b w:val="0"/>
                <w:i w:val="0"/>
                <w:sz w:val="19"/>
              </w:rPr>
              <w:t>Covered DPS ÷ target yield</w:t>
            </w:r>
          </w:p>
        </w:tc>
        <w:tc>
          <w:tcPr>
            <w:tcW w:type="dxa" w:w="1440"/>
          </w:tcPr>
          <w:p>
            <w:pPr>
              <w:spacing w:after="20" w:before="20"/>
              <w:jc w:val="center"/>
            </w:pPr>
            <w:r/>
            <w:r>
              <w:rPr>
                <w:rFonts w:ascii="Carlito" w:hAnsi="Carlito"/>
                <w:b w:val="0"/>
                <w:i w:val="0"/>
                <w:sz w:val="19"/>
              </w:rPr>
              <w:t>56.4</w:t>
            </w:r>
          </w:p>
        </w:tc>
        <w:tc>
          <w:tcPr>
            <w:tcW w:type="dxa" w:w="2160"/>
          </w:tcPr>
          <w:p>
            <w:pPr>
              <w:spacing w:after="20" w:before="20"/>
              <w:jc w:val="center"/>
            </w:pPr>
            <w:r/>
            <w:r>
              <w:rPr>
                <w:rFonts w:ascii="Carlito" w:hAnsi="Carlito"/>
                <w:b w:val="0"/>
                <w:i w:val="0"/>
                <w:sz w:val="19"/>
              </w:rPr>
              <w:t>+9% · income anchor</w:t>
            </w:r>
          </w:p>
        </w:tc>
      </w:tr>
      <w:tr>
        <w:tc>
          <w:tcPr>
            <w:tcW w:type="dxa" w:w="2880"/>
            <w:shd w:val="clear" w:fill="C0A45F"/>
          </w:tcPr>
          <w:p>
            <w:pPr>
              <w:spacing w:after="20" w:before="20"/>
              <w:jc w:val="left"/>
            </w:pPr>
            <w:r/>
            <w:r>
              <w:rPr>
                <w:rFonts w:ascii="Carlito" w:hAnsi="Carlito"/>
                <w:b/>
                <w:i w:val="0"/>
                <w:color w:val="1C3A36"/>
                <w:sz w:val="19"/>
              </w:rPr>
              <w:t>Weighted central</w:t>
            </w:r>
          </w:p>
        </w:tc>
        <w:tc>
          <w:tcPr>
            <w:tcW w:type="dxa" w:w="3456"/>
            <w:shd w:val="clear" w:fill="C0A45F"/>
          </w:tcPr>
          <w:p>
            <w:pPr>
              <w:spacing w:after="20" w:before="20"/>
              <w:jc w:val="center"/>
            </w:pPr>
            <w:r/>
            <w:r>
              <w:rPr>
                <w:rFonts w:ascii="Carlito" w:hAnsi="Carlito"/>
                <w:b/>
                <w:i w:val="0"/>
                <w:color w:val="1C3A36"/>
                <w:sz w:val="19"/>
              </w:rPr>
              <w:t>Blend 40 / 20 / 15 / 25</w:t>
            </w:r>
          </w:p>
        </w:tc>
        <w:tc>
          <w:tcPr>
            <w:tcW w:type="dxa" w:w="1440"/>
            <w:shd w:val="clear" w:fill="C0A45F"/>
          </w:tcPr>
          <w:p>
            <w:pPr>
              <w:spacing w:after="20" w:before="20"/>
              <w:jc w:val="center"/>
            </w:pPr>
            <w:r/>
            <w:r>
              <w:rPr>
                <w:rFonts w:ascii="Carlito" w:hAnsi="Carlito"/>
                <w:b/>
                <w:i w:val="0"/>
                <w:color w:val="1C3A36"/>
                <w:sz w:val="19"/>
              </w:rPr>
              <w:t>55.5</w:t>
            </w:r>
          </w:p>
        </w:tc>
        <w:tc>
          <w:tcPr>
            <w:tcW w:type="dxa" w:w="2160"/>
            <w:shd w:val="clear" w:fill="C0A45F"/>
          </w:tcPr>
          <w:p>
            <w:pPr>
              <w:spacing w:after="20" w:before="20"/>
              <w:jc w:val="center"/>
            </w:pPr>
            <w:r/>
            <w:r>
              <w:rPr>
                <w:rFonts w:ascii="Carlito" w:hAnsi="Carlito"/>
                <w:b/>
                <w:i w:val="0"/>
                <w:color w:val="1C3A36"/>
                <w:sz w:val="19"/>
              </w:rPr>
              <w:t>+7% vs 51.80</w:t>
            </w:r>
          </w:p>
        </w:tc>
      </w:tr>
      <w:tr>
        <w:tc>
          <w:tcPr>
            <w:tcW w:type="dxa" w:w="2160"/>
            <w:gridSpan w:val="4"/>
            <w:shd w:val="clear" w:fill="896F36"/>
          </w:tcPr>
          <w:p>
            <w:pPr>
              <w:spacing w:after="20" w:before="20"/>
              <w:jc w:val="left"/>
            </w:pPr>
            <w:r/>
            <w:r>
              <w:rPr>
                <w:rFonts w:ascii="Carlito" w:hAnsi="Carlito"/>
                <w:b/>
                <w:i w:val="0"/>
                <w:color w:val="FFFFFF"/>
                <w:sz w:val="19"/>
              </w:rPr>
              <w:t>TECHNICAL — what the tape is doing (timing, not value)</w:t>
            </w:r>
          </w:p>
        </w:tc>
      </w:tr>
      <w:tr>
        <w:tc>
          <w:tcPr>
            <w:tcW w:type="dxa" w:w="2880"/>
          </w:tcPr>
          <w:p>
            <w:pPr>
              <w:spacing w:after="20" w:before="20"/>
              <w:jc w:val="left"/>
            </w:pPr>
            <w:r/>
            <w:r>
              <w:rPr>
                <w:rFonts w:ascii="Carlito" w:hAnsi="Carlito"/>
                <w:b w:val="0"/>
                <w:i w:val="0"/>
                <w:sz w:val="19"/>
              </w:rPr>
              <w:t>Trend &amp; momentum</w:t>
            </w:r>
          </w:p>
        </w:tc>
        <w:tc>
          <w:tcPr>
            <w:tcW w:type="dxa" w:w="3456"/>
          </w:tcPr>
          <w:p>
            <w:pPr>
              <w:spacing w:after="20" w:before="20"/>
              <w:jc w:val="center"/>
            </w:pPr>
            <w:r/>
            <w:r>
              <w:rPr>
                <w:rFonts w:ascii="Carlito" w:hAnsi="Carlito"/>
                <w:b w:val="0"/>
                <w:i w:val="0"/>
                <w:sz w:val="19"/>
              </w:rPr>
              <w:t>Price vs the 20/50/100/200-day averages</w:t>
            </w:r>
          </w:p>
        </w:tc>
        <w:tc>
          <w:tcPr>
            <w:tcW w:type="dxa" w:w="1440"/>
          </w:tcPr>
          <w:p>
            <w:pPr>
              <w:spacing w:after="20" w:before="20"/>
              <w:jc w:val="center"/>
            </w:pPr>
            <w:r/>
            <w:r>
              <w:rPr>
                <w:rFonts w:ascii="Carlito" w:hAnsi="Carlito"/>
                <w:b w:val="0"/>
                <w:i w:val="0"/>
                <w:sz w:val="19"/>
              </w:rPr>
              <w:t>Below all four</w:t>
            </w:r>
          </w:p>
        </w:tc>
        <w:tc>
          <w:tcPr>
            <w:tcW w:type="dxa" w:w="2160"/>
          </w:tcPr>
          <w:p>
            <w:pPr>
              <w:spacing w:after="20" w:before="20"/>
              <w:jc w:val="center"/>
            </w:pPr>
            <w:r/>
            <w:r>
              <w:rPr>
                <w:rFonts w:ascii="Carlito" w:hAnsi="Carlito"/>
                <w:b w:val="0"/>
                <w:i w:val="0"/>
                <w:sz w:val="19"/>
              </w:rPr>
              <w:t>Weak, corrective</w:t>
            </w:r>
          </w:p>
        </w:tc>
      </w:tr>
      <w:tr>
        <w:tc>
          <w:tcPr>
            <w:tcW w:type="dxa" w:w="2880"/>
          </w:tcPr>
          <w:p>
            <w:pPr>
              <w:spacing w:after="20" w:before="20"/>
              <w:jc w:val="left"/>
            </w:pPr>
            <w:r/>
            <w:r>
              <w:rPr>
                <w:rFonts w:ascii="Carlito" w:hAnsi="Carlito"/>
                <w:b w:val="0"/>
                <w:i w:val="0"/>
                <w:sz w:val="19"/>
              </w:rPr>
              <w:t>Momentum / range</w:t>
            </w:r>
          </w:p>
        </w:tc>
        <w:tc>
          <w:tcPr>
            <w:tcW w:type="dxa" w:w="3456"/>
          </w:tcPr>
          <w:p>
            <w:pPr>
              <w:spacing w:after="20" w:before="20"/>
              <w:jc w:val="center"/>
            </w:pPr>
            <w:r/>
            <w:r>
              <w:rPr>
                <w:rFonts w:ascii="Carlito" w:hAnsi="Carlito"/>
                <w:b w:val="0"/>
                <w:i w:val="0"/>
                <w:sz w:val="19"/>
              </w:rPr>
              <w:t>RSI · MACD · 52-week range</w:t>
            </w:r>
          </w:p>
        </w:tc>
        <w:tc>
          <w:tcPr>
            <w:tcW w:type="dxa" w:w="1440"/>
          </w:tcPr>
          <w:p>
            <w:pPr>
              <w:spacing w:after="20" w:before="20"/>
              <w:jc w:val="center"/>
            </w:pPr>
            <w:r/>
            <w:r>
              <w:rPr>
                <w:rFonts w:ascii="Carlito" w:hAnsi="Carlito"/>
                <w:b w:val="0"/>
                <w:i w:val="0"/>
                <w:sz w:val="19"/>
              </w:rPr>
              <w:t>RSI 31 · MACD −1.4 · 49.7–62.8</w:t>
            </w:r>
          </w:p>
        </w:tc>
        <w:tc>
          <w:tcPr>
            <w:tcW w:type="dxa" w:w="2160"/>
          </w:tcPr>
          <w:p>
            <w:pPr>
              <w:spacing w:after="20" w:before="20"/>
              <w:jc w:val="center"/>
            </w:pPr>
            <w:r/>
            <w:r>
              <w:rPr>
                <w:rFonts w:ascii="Carlito" w:hAnsi="Carlito"/>
                <w:b w:val="0"/>
                <w:i w:val="0"/>
                <w:sz w:val="19"/>
              </w:rPr>
              <w:t>Near oversold</w:t>
            </w:r>
          </w:p>
        </w:tc>
      </w:tr>
      <w:tr>
        <w:tc>
          <w:tcPr>
            <w:tcW w:type="dxa" w:w="2160"/>
            <w:gridSpan w:val="4"/>
            <w:shd w:val="clear" w:fill="896F36"/>
          </w:tcPr>
          <w:p>
            <w:pPr>
              <w:spacing w:after="20" w:before="20"/>
              <w:jc w:val="left"/>
            </w:pPr>
            <w:r/>
            <w:r>
              <w:rPr>
                <w:rFonts w:ascii="Carlito" w:hAnsi="Carlito"/>
                <w:b/>
                <w:i w:val="0"/>
                <w:color w:val="FFFFFF"/>
                <w:sz w:val="19"/>
              </w:rPr>
              <w:t>MONTE CARLO — where price could go in 3 months (paths from spot)</w:t>
            </w:r>
          </w:p>
        </w:tc>
      </w:tr>
      <w:tr>
        <w:tc>
          <w:tcPr>
            <w:tcW w:type="dxa" w:w="2880"/>
          </w:tcPr>
          <w:p>
            <w:pPr>
              <w:spacing w:after="20" w:before="20"/>
              <w:jc w:val="left"/>
            </w:pPr>
            <w:r/>
            <w:r>
              <w:rPr>
                <w:rFonts w:ascii="Carlito" w:hAnsi="Carlito"/>
                <w:b w:val="0"/>
                <w:i w:val="0"/>
                <w:sz w:val="19"/>
              </w:rPr>
              <w:t>T+20 sessions</w:t>
            </w:r>
          </w:p>
        </w:tc>
        <w:tc>
          <w:tcPr>
            <w:tcW w:type="dxa" w:w="3456"/>
          </w:tcPr>
          <w:p>
            <w:pPr>
              <w:spacing w:after="20" w:before="20"/>
              <w:jc w:val="center"/>
            </w:pPr>
            <w:r/>
            <w:r>
              <w:rPr>
                <w:rFonts w:ascii="Carlito" w:hAnsi="Carlito"/>
                <w:b w:val="0"/>
                <w:i w:val="0"/>
                <w:sz w:val="19"/>
              </w:rPr>
              <w:t>50,000 paths · 14 factors</w:t>
            </w:r>
          </w:p>
        </w:tc>
        <w:tc>
          <w:tcPr>
            <w:tcW w:type="dxa" w:w="1440"/>
          </w:tcPr>
          <w:p>
            <w:pPr>
              <w:spacing w:after="20" w:before="20"/>
              <w:jc w:val="center"/>
            </w:pPr>
            <w:r/>
            <w:r>
              <w:rPr>
                <w:rFonts w:ascii="Carlito" w:hAnsi="Carlito"/>
                <w:b w:val="0"/>
                <w:i w:val="0"/>
                <w:sz w:val="19"/>
              </w:rPr>
              <w:t>p5 45.2 · p50 51.8 · p95 58.8</w:t>
            </w:r>
          </w:p>
        </w:tc>
        <w:tc>
          <w:tcPr>
            <w:tcW w:type="dxa" w:w="2160"/>
          </w:tcPr>
          <w:p>
            <w:pPr>
              <w:spacing w:after="20" w:before="20"/>
              <w:jc w:val="center"/>
            </w:pPr>
            <w:r/>
            <w:r>
              <w:rPr>
                <w:rFonts w:ascii="Carlito" w:hAnsi="Carlito"/>
                <w:b w:val="0"/>
                <w:i w:val="0"/>
                <w:sz w:val="19"/>
              </w:rPr>
              <w:t>Median ≈ spot</w:t>
            </w:r>
          </w:p>
        </w:tc>
      </w:tr>
      <w:tr>
        <w:tc>
          <w:tcPr>
            <w:tcW w:type="dxa" w:w="2880"/>
          </w:tcPr>
          <w:p>
            <w:pPr>
              <w:spacing w:after="20" w:before="20"/>
              <w:jc w:val="left"/>
            </w:pPr>
            <w:r/>
            <w:r>
              <w:rPr>
                <w:rFonts w:ascii="Carlito" w:hAnsi="Carlito"/>
                <w:b w:val="0"/>
                <w:i w:val="0"/>
                <w:sz w:val="19"/>
              </w:rPr>
              <w:t>T+60 sessions</w:t>
            </w:r>
          </w:p>
        </w:tc>
        <w:tc>
          <w:tcPr>
            <w:tcW w:type="dxa" w:w="3456"/>
          </w:tcPr>
          <w:p>
            <w:pPr>
              <w:spacing w:after="20" w:before="20"/>
              <w:jc w:val="center"/>
            </w:pPr>
            <w:r/>
            <w:r>
              <w:rPr>
                <w:rFonts w:ascii="Carlito" w:hAnsi="Carlito"/>
                <w:b w:val="0"/>
                <w:i w:val="0"/>
                <w:sz w:val="19"/>
              </w:rPr>
              <w:t>same engine, longer horizon</w:t>
            </w:r>
          </w:p>
        </w:tc>
        <w:tc>
          <w:tcPr>
            <w:tcW w:type="dxa" w:w="1440"/>
          </w:tcPr>
          <w:p>
            <w:pPr>
              <w:spacing w:after="20" w:before="20"/>
              <w:jc w:val="center"/>
            </w:pPr>
            <w:r/>
            <w:r>
              <w:rPr>
                <w:rFonts w:ascii="Carlito" w:hAnsi="Carlito"/>
                <w:b w:val="0"/>
                <w:i w:val="0"/>
                <w:sz w:val="19"/>
              </w:rPr>
              <w:t>p5 41.3 · p50 51.7 · p95 64.2</w:t>
            </w:r>
          </w:p>
        </w:tc>
        <w:tc>
          <w:tcPr>
            <w:tcW w:type="dxa" w:w="2160"/>
          </w:tcPr>
          <w:p>
            <w:pPr>
              <w:spacing w:after="20" w:before="20"/>
              <w:jc w:val="center"/>
            </w:pPr>
            <w:r/>
            <w:r>
              <w:rPr>
                <w:rFonts w:ascii="Carlito" w:hAnsi="Carlito"/>
                <w:b w:val="0"/>
                <w:i w:val="0"/>
                <w:sz w:val="19"/>
              </w:rPr>
              <w:t>Wide, slight right-skew</w:t>
            </w:r>
          </w:p>
        </w:tc>
      </w:tr>
      <w:tr>
        <w:tc>
          <w:tcPr>
            <w:tcW w:type="dxa" w:w="2160"/>
            <w:gridSpan w:val="4"/>
            <w:shd w:val="clear" w:fill="896F36"/>
          </w:tcPr>
          <w:p>
            <w:pPr>
              <w:spacing w:after="20" w:before="20"/>
              <w:jc w:val="left"/>
            </w:pPr>
            <w:r/>
            <w:r>
              <w:rPr>
                <w:rFonts w:ascii="Carlito" w:hAnsi="Carlito"/>
                <w:b/>
                <w:i w:val="0"/>
                <w:color w:val="FFFFFF"/>
                <w:sz w:val="19"/>
              </w:rPr>
              <w:t>EXPERT PANEL — four independent methods (Appendix C)</w:t>
            </w:r>
          </w:p>
        </w:tc>
      </w:tr>
      <w:tr>
        <w:tc>
          <w:tcPr>
            <w:tcW w:type="dxa" w:w="2880"/>
          </w:tcPr>
          <w:p>
            <w:pPr>
              <w:spacing w:after="20" w:before="20"/>
              <w:jc w:val="left"/>
            </w:pPr>
            <w:r/>
            <w:r>
              <w:rPr>
                <w:rFonts w:ascii="Carlito" w:hAnsi="Carlito"/>
                <w:b w:val="0"/>
                <w:i w:val="0"/>
                <w:sz w:val="19"/>
              </w:rPr>
              <w:t>Expert 1 — earnings power</w:t>
            </w:r>
          </w:p>
        </w:tc>
        <w:tc>
          <w:tcPr>
            <w:tcW w:type="dxa" w:w="3456"/>
          </w:tcPr>
          <w:p>
            <w:pPr>
              <w:spacing w:after="20" w:before="20"/>
              <w:jc w:val="center"/>
            </w:pPr>
            <w:r/>
            <w:r>
              <w:rPr>
                <w:rFonts w:ascii="Carlito" w:hAnsi="Carlito"/>
                <w:b w:val="0"/>
                <w:i w:val="0"/>
                <w:sz w:val="19"/>
              </w:rPr>
              <w:t>Mid-cycle EBITDA × multiple</w:t>
            </w:r>
          </w:p>
        </w:tc>
        <w:tc>
          <w:tcPr>
            <w:tcW w:type="dxa" w:w="1440"/>
          </w:tcPr>
          <w:p>
            <w:pPr>
              <w:spacing w:after="20" w:before="20"/>
              <w:jc w:val="center"/>
            </w:pPr>
            <w:r/>
            <w:r>
              <w:rPr>
                <w:rFonts w:ascii="Carlito" w:hAnsi="Carlito"/>
                <w:b w:val="0"/>
                <w:i w:val="0"/>
                <w:sz w:val="19"/>
              </w:rPr>
              <w:t>51</w:t>
            </w:r>
          </w:p>
        </w:tc>
        <w:tc>
          <w:tcPr>
            <w:tcW w:type="dxa" w:w="2160"/>
          </w:tcPr>
          <w:p>
            <w:pPr>
              <w:spacing w:after="20" w:before="20"/>
              <w:jc w:val="center"/>
            </w:pPr>
            <w:r/>
            <w:r>
              <w:rPr>
                <w:rFonts w:ascii="Carlito" w:hAnsi="Carlito"/>
                <w:b w:val="0"/>
                <w:i w:val="0"/>
                <w:sz w:val="19"/>
              </w:rPr>
              <w:t>Cycle-normalized</w:t>
            </w:r>
          </w:p>
        </w:tc>
      </w:tr>
      <w:tr>
        <w:tc>
          <w:tcPr>
            <w:tcW w:type="dxa" w:w="2880"/>
          </w:tcPr>
          <w:p>
            <w:pPr>
              <w:spacing w:after="20" w:before="20"/>
              <w:jc w:val="left"/>
            </w:pPr>
            <w:r/>
            <w:r>
              <w:rPr>
                <w:rFonts w:ascii="Carlito" w:hAnsi="Carlito"/>
                <w:b w:val="0"/>
                <w:i w:val="0"/>
                <w:sz w:val="19"/>
              </w:rPr>
              <w:t>Expert 2 — accountant / RNAV</w:t>
            </w:r>
          </w:p>
        </w:tc>
        <w:tc>
          <w:tcPr>
            <w:tcW w:type="dxa" w:w="3456"/>
          </w:tcPr>
          <w:p>
            <w:pPr>
              <w:spacing w:after="20" w:before="20"/>
              <w:jc w:val="center"/>
            </w:pPr>
            <w:r/>
            <w:r>
              <w:rPr>
                <w:rFonts w:ascii="Carlito" w:hAnsi="Carlito"/>
                <w:b w:val="0"/>
                <w:i w:val="0"/>
                <w:sz w:val="19"/>
              </w:rPr>
              <w:t>Replacement value &amp; earnings quality</w:t>
            </w:r>
          </w:p>
        </w:tc>
        <w:tc>
          <w:tcPr>
            <w:tcW w:type="dxa" w:w="1440"/>
          </w:tcPr>
          <w:p>
            <w:pPr>
              <w:spacing w:after="20" w:before="20"/>
              <w:jc w:val="center"/>
            </w:pPr>
            <w:r/>
            <w:r>
              <w:rPr>
                <w:rFonts w:ascii="Carlito" w:hAnsi="Carlito"/>
                <w:b w:val="0"/>
                <w:i w:val="0"/>
                <w:sz w:val="19"/>
              </w:rPr>
              <w:t>52</w:t>
            </w:r>
          </w:p>
        </w:tc>
        <w:tc>
          <w:tcPr>
            <w:tcW w:type="dxa" w:w="2160"/>
          </w:tcPr>
          <w:p>
            <w:pPr>
              <w:spacing w:after="20" w:before="20"/>
              <w:jc w:val="center"/>
            </w:pPr>
            <w:r/>
            <w:r>
              <w:rPr>
                <w:rFonts w:ascii="Carlito" w:hAnsi="Carlito"/>
                <w:b w:val="0"/>
                <w:i w:val="0"/>
                <w:sz w:val="19"/>
              </w:rPr>
              <w:t>Book anchor</w:t>
            </w:r>
          </w:p>
        </w:tc>
      </w:tr>
      <w:tr>
        <w:tc>
          <w:tcPr>
            <w:tcW w:type="dxa" w:w="2880"/>
          </w:tcPr>
          <w:p>
            <w:pPr>
              <w:spacing w:after="20" w:before="20"/>
              <w:jc w:val="left"/>
            </w:pPr>
            <w:r/>
            <w:r>
              <w:rPr>
                <w:rFonts w:ascii="Carlito" w:hAnsi="Carlito"/>
                <w:b w:val="0"/>
                <w:i w:val="0"/>
                <w:sz w:val="19"/>
              </w:rPr>
              <w:t>Expert 3 — cash returns (DCF+ROIC)</w:t>
            </w:r>
          </w:p>
        </w:tc>
        <w:tc>
          <w:tcPr>
            <w:tcW w:type="dxa" w:w="3456"/>
          </w:tcPr>
          <w:p>
            <w:pPr>
              <w:spacing w:after="20" w:before="20"/>
              <w:jc w:val="center"/>
            </w:pPr>
            <w:r/>
            <w:r>
              <w:rPr>
                <w:rFonts w:ascii="Carlito" w:hAnsi="Carlito"/>
                <w:b w:val="0"/>
                <w:i w:val="0"/>
                <w:sz w:val="19"/>
              </w:rPr>
              <w:t>FCFF, ROIC vs WACC, dividend cover</w:t>
            </w:r>
          </w:p>
        </w:tc>
        <w:tc>
          <w:tcPr>
            <w:tcW w:type="dxa" w:w="1440"/>
          </w:tcPr>
          <w:p>
            <w:pPr>
              <w:spacing w:after="20" w:before="20"/>
              <w:jc w:val="center"/>
            </w:pPr>
            <w:r/>
            <w:r>
              <w:rPr>
                <w:rFonts w:ascii="Carlito" w:hAnsi="Carlito"/>
                <w:b w:val="0"/>
                <w:i w:val="0"/>
                <w:sz w:val="19"/>
              </w:rPr>
              <w:t>58</w:t>
            </w:r>
          </w:p>
        </w:tc>
        <w:tc>
          <w:tcPr>
            <w:tcW w:type="dxa" w:w="2160"/>
          </w:tcPr>
          <w:p>
            <w:pPr>
              <w:spacing w:after="20" w:before="20"/>
              <w:jc w:val="center"/>
            </w:pPr>
            <w:r/>
            <w:r>
              <w:rPr>
                <w:rFonts w:ascii="Carlito" w:hAnsi="Carlito"/>
                <w:b w:val="0"/>
                <w:i w:val="0"/>
                <w:sz w:val="19"/>
              </w:rPr>
              <w:t>Most bullish</w:t>
            </w:r>
          </w:p>
        </w:tc>
      </w:tr>
      <w:tr>
        <w:tc>
          <w:tcPr>
            <w:tcW w:type="dxa" w:w="2880"/>
          </w:tcPr>
          <w:p>
            <w:pPr>
              <w:spacing w:after="20" w:before="20"/>
              <w:jc w:val="left"/>
            </w:pPr>
            <w:r/>
            <w:r>
              <w:rPr>
                <w:rFonts w:ascii="Carlito" w:hAnsi="Carlito"/>
                <w:b w:val="0"/>
                <w:i w:val="0"/>
                <w:sz w:val="19"/>
              </w:rPr>
              <w:t>Expert 4 — macro / policy</w:t>
            </w:r>
          </w:p>
        </w:tc>
        <w:tc>
          <w:tcPr>
            <w:tcW w:type="dxa" w:w="3456"/>
          </w:tcPr>
          <w:p>
            <w:pPr>
              <w:spacing w:after="20" w:before="20"/>
              <w:jc w:val="center"/>
            </w:pPr>
            <w:r/>
            <w:r>
              <w:rPr>
                <w:rFonts w:ascii="Carlito" w:hAnsi="Carlito"/>
                <w:b w:val="0"/>
                <w:i w:val="0"/>
                <w:sz w:val="19"/>
              </w:rPr>
              <w:t>Oil, China, feedstock, Aramco</w:t>
            </w:r>
          </w:p>
        </w:tc>
        <w:tc>
          <w:tcPr>
            <w:tcW w:type="dxa" w:w="1440"/>
          </w:tcPr>
          <w:p>
            <w:pPr>
              <w:spacing w:after="20" w:before="20"/>
              <w:jc w:val="center"/>
            </w:pPr>
            <w:r/>
            <w:r>
              <w:rPr>
                <w:rFonts w:ascii="Carlito" w:hAnsi="Carlito"/>
                <w:b w:val="0"/>
                <w:i w:val="0"/>
                <w:sz w:val="19"/>
              </w:rPr>
              <w:t>49</w:t>
            </w:r>
          </w:p>
        </w:tc>
        <w:tc>
          <w:tcPr>
            <w:tcW w:type="dxa" w:w="2160"/>
          </w:tcPr>
          <w:p>
            <w:pPr>
              <w:spacing w:after="20" w:before="20"/>
              <w:jc w:val="center"/>
            </w:pPr>
            <w:r/>
            <w:r>
              <w:rPr>
                <w:rFonts w:ascii="Carlito" w:hAnsi="Carlito"/>
                <w:b w:val="0"/>
                <w:i w:val="0"/>
                <w:sz w:val="19"/>
              </w:rPr>
              <w:t>Most conservative</w:t>
            </w:r>
          </w:p>
        </w:tc>
      </w:tr>
      <w:tr>
        <w:tc>
          <w:tcPr>
            <w:tcW w:type="dxa" w:w="2880"/>
          </w:tcPr>
          <w:p>
            <w:pPr>
              <w:spacing w:after="20" w:before="20"/>
              <w:jc w:val="left"/>
            </w:pPr>
            <w:r/>
            <w:r>
              <w:rPr>
                <w:rFonts w:ascii="Carlito" w:hAnsi="Carlito"/>
                <w:b w:val="0"/>
                <w:i w:val="0"/>
                <w:sz w:val="19"/>
              </w:rPr>
              <w:t>Panel range</w:t>
            </w:r>
          </w:p>
        </w:tc>
        <w:tc>
          <w:tcPr>
            <w:tcW w:type="dxa" w:w="3456"/>
          </w:tcPr>
          <w:p>
            <w:pPr>
              <w:spacing w:after="20" w:before="20"/>
              <w:jc w:val="center"/>
            </w:pPr>
            <w:r/>
            <w:r>
              <w:rPr>
                <w:rFonts w:ascii="Carlito" w:hAnsi="Carlito"/>
                <w:b w:val="0"/>
                <w:i w:val="0"/>
                <w:sz w:val="19"/>
              </w:rPr>
              <w:t>Spread = the spread question</w:t>
            </w:r>
          </w:p>
        </w:tc>
        <w:tc>
          <w:tcPr>
            <w:tcW w:type="dxa" w:w="1440"/>
          </w:tcPr>
          <w:p>
            <w:pPr>
              <w:spacing w:after="20" w:before="20"/>
              <w:jc w:val="center"/>
            </w:pPr>
            <w:r/>
            <w:r>
              <w:rPr>
                <w:rFonts w:ascii="Carlito" w:hAnsi="Carlito"/>
                <w:b w:val="0"/>
                <w:i w:val="0"/>
                <w:sz w:val="19"/>
              </w:rPr>
              <w:t>49–58</w:t>
            </w:r>
          </w:p>
        </w:tc>
        <w:tc>
          <w:tcPr>
            <w:tcW w:type="dxa" w:w="2160"/>
          </w:tcPr>
          <w:p>
            <w:pPr>
              <w:spacing w:after="20" w:before="20"/>
              <w:jc w:val="center"/>
            </w:pPr>
            <w:r/>
            <w:r>
              <w:rPr>
                <w:rFonts w:ascii="Carlito" w:hAnsi="Carlito"/>
                <w:b w:val="0"/>
                <w:i w:val="0"/>
                <w:sz w:val="19"/>
              </w:rPr>
              <w:t>Centres ~52.5</w:t>
            </w:r>
          </w:p>
        </w:tc>
      </w:tr>
    </w:tbl>
    <w:p>
      <w:pPr>
        <w:spacing w:after="40"/>
      </w:pPr>
    </w:p>
    <w:p>
      <w:r>
        <w:rPr>
          <w:rFonts w:ascii="Carlito" w:hAnsi="Carlito"/>
          <w:b/>
          <w:sz w:val="21"/>
        </w:rPr>
        <w:t xml:space="preserve">Bottom line. </w:t>
      </w:r>
      <w:r>
        <w:rPr>
          <w:rFonts w:ascii="Carlito" w:hAnsi="Carlito"/>
          <w:i w:val="0"/>
          <w:sz w:val="21"/>
        </w:rPr>
        <w:t xml:space="preserve">Every read points the same way on value and disagrees only on magnitude. </w:t>
      </w:r>
    </w:p>
    <w:p>
      <w:r>
        <w:rPr>
          <w:rFonts w:ascii="Carlito" w:hAnsi="Carlito"/>
          <w:i w:val="0"/>
          <w:sz w:val="21"/>
        </w:rPr>
        <w:t>The fundamental central sits near SAR 55.5 — about 7% above spot — the four experts span SAR 49–58, and each one turns on a single question: whether the petrochemical margin normalises from its 2025 trough. The technical tape is the lone dissenter, oversold and below trend, which is why the three-month distribution centres near spot with a modest right tail rather than already at fair value.</w:t>
      </w:r>
    </w:p>
    <w:p>
      <w:pPr>
        <w:spacing w:before="280" w:after="80"/>
        <w:pBdr>
          <w:bottom w:val="single" w:sz="8" w:space="2" w:color="C0A45F"/>
        </w:pBdr>
      </w:pPr>
      <w:r>
        <w:rPr>
          <w:rFonts w:ascii="Carlito" w:hAnsi="Carlito"/>
          <w:b/>
          <w:color w:val="1C3A36"/>
          <w:sz w:val="30"/>
        </w:rPr>
        <w:t>Company overview — SABIC at a glance</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4320"/>
        <w:gridCol w:w="4320"/>
      </w:tblGrid>
      <w:tr>
        <w:tc>
          <w:tcPr>
            <w:tcW w:type="dxa" w:w="3312"/>
            <w:shd w:val="clear" w:fill="1C3A36"/>
          </w:tcPr>
          <w:p>
            <w:pPr>
              <w:spacing w:after="20" w:before="20"/>
              <w:jc w:val="left"/>
            </w:pPr>
            <w:r/>
            <w:r>
              <w:rPr>
                <w:rFonts w:ascii="Carlito" w:hAnsi="Carlito"/>
                <w:b/>
                <w:i w:val="0"/>
                <w:color w:val="FFFFFF"/>
                <w:sz w:val="19"/>
              </w:rPr>
              <w:t>Item</w:t>
            </w:r>
          </w:p>
        </w:tc>
        <w:tc>
          <w:tcPr>
            <w:tcW w:type="dxa" w:w="6336"/>
            <w:shd w:val="clear" w:fill="1C3A36"/>
          </w:tcPr>
          <w:p>
            <w:pPr>
              <w:spacing w:after="20" w:before="20"/>
              <w:jc w:val="center"/>
            </w:pPr>
            <w:r/>
            <w:r>
              <w:rPr>
                <w:rFonts w:ascii="Carlito" w:hAnsi="Carlito"/>
                <w:b/>
                <w:i w:val="0"/>
                <w:color w:val="FFFFFF"/>
                <w:sz w:val="19"/>
              </w:rPr>
              <w:t>Value</w:t>
            </w:r>
          </w:p>
        </w:tc>
      </w:tr>
      <w:tr>
        <w:tc>
          <w:tcPr>
            <w:tcW w:type="dxa" w:w="3312"/>
          </w:tcPr>
          <w:p>
            <w:pPr>
              <w:spacing w:after="20" w:before="20"/>
              <w:jc w:val="left"/>
            </w:pPr>
            <w:r/>
            <w:r>
              <w:rPr>
                <w:rFonts w:ascii="Carlito" w:hAnsi="Carlito"/>
                <w:b w:val="0"/>
                <w:i w:val="0"/>
                <w:sz w:val="19"/>
              </w:rPr>
              <w:t>Listed entity</w:t>
            </w:r>
          </w:p>
        </w:tc>
        <w:tc>
          <w:tcPr>
            <w:tcW w:type="dxa" w:w="6336"/>
          </w:tcPr>
          <w:p>
            <w:pPr>
              <w:spacing w:after="20" w:before="20"/>
              <w:jc w:val="center"/>
            </w:pPr>
            <w:r/>
            <w:r>
              <w:rPr>
                <w:rFonts w:ascii="Carlito" w:hAnsi="Carlito"/>
                <w:b w:val="0"/>
                <w:i w:val="0"/>
                <w:sz w:val="19"/>
              </w:rPr>
              <w:t>Saudi Basic Industries Corporation (Tadawul: 2010)</w:t>
            </w:r>
          </w:p>
        </w:tc>
      </w:tr>
      <w:tr>
        <w:tc>
          <w:tcPr>
            <w:tcW w:type="dxa" w:w="3312"/>
          </w:tcPr>
          <w:p>
            <w:pPr>
              <w:spacing w:after="20" w:before="20"/>
              <w:jc w:val="left"/>
            </w:pPr>
            <w:r/>
            <w:r>
              <w:rPr>
                <w:rFonts w:ascii="Carlito" w:hAnsi="Carlito"/>
                <w:b w:val="0"/>
                <w:i w:val="0"/>
                <w:sz w:val="19"/>
              </w:rPr>
              <w:t>What it owns</w:t>
            </w:r>
          </w:p>
        </w:tc>
        <w:tc>
          <w:tcPr>
            <w:tcW w:type="dxa" w:w="6336"/>
          </w:tcPr>
          <w:p>
            <w:pPr>
              <w:spacing w:after="20" w:before="20"/>
              <w:jc w:val="center"/>
            </w:pPr>
            <w:r/>
            <w:r>
              <w:rPr>
                <w:rFonts w:ascii="Carlito" w:hAnsi="Carlito"/>
                <w:b w:val="0"/>
                <w:i w:val="0"/>
                <w:sz w:val="19"/>
              </w:rPr>
              <w:t>Petrochemicals &amp; polymers (~70% of revenue) · Agri-Nutrients (listed SABIC AN) · Specialties</w:t>
            </w:r>
          </w:p>
        </w:tc>
      </w:tr>
      <w:tr>
        <w:tc>
          <w:tcPr>
            <w:tcW w:type="dxa" w:w="3312"/>
          </w:tcPr>
          <w:p>
            <w:pPr>
              <w:spacing w:after="20" w:before="20"/>
              <w:jc w:val="left"/>
            </w:pPr>
            <w:r/>
            <w:r>
              <w:rPr>
                <w:rFonts w:ascii="Carlito" w:hAnsi="Carlito"/>
                <w:b w:val="0"/>
                <w:i w:val="0"/>
                <w:sz w:val="19"/>
              </w:rPr>
              <w:t>Ownership</w:t>
            </w:r>
          </w:p>
        </w:tc>
        <w:tc>
          <w:tcPr>
            <w:tcW w:type="dxa" w:w="6336"/>
          </w:tcPr>
          <w:p>
            <w:pPr>
              <w:spacing w:after="20" w:before="20"/>
              <w:jc w:val="center"/>
            </w:pPr>
            <w:r/>
            <w:r>
              <w:rPr>
                <w:rFonts w:ascii="Carlito" w:hAnsi="Carlito"/>
                <w:b w:val="0"/>
                <w:i w:val="0"/>
                <w:sz w:val="19"/>
              </w:rPr>
              <w:t>70% Saudi Aramco (itself majority PIF/State); free float ~30%</w:t>
            </w:r>
          </w:p>
        </w:tc>
      </w:tr>
      <w:tr>
        <w:tc>
          <w:tcPr>
            <w:tcW w:type="dxa" w:w="3312"/>
          </w:tcPr>
          <w:p>
            <w:pPr>
              <w:spacing w:after="20" w:before="20"/>
              <w:jc w:val="left"/>
            </w:pPr>
            <w:r/>
            <w:r>
              <w:rPr>
                <w:rFonts w:ascii="Carlito" w:hAnsi="Carlito"/>
                <w:b w:val="0"/>
                <w:i w:val="0"/>
                <w:sz w:val="19"/>
              </w:rPr>
              <w:t>Spot / date</w:t>
            </w:r>
          </w:p>
        </w:tc>
        <w:tc>
          <w:tcPr>
            <w:tcW w:type="dxa" w:w="6336"/>
          </w:tcPr>
          <w:p>
            <w:pPr>
              <w:spacing w:after="20" w:before="20"/>
              <w:jc w:val="center"/>
            </w:pPr>
            <w:r/>
            <w:r>
              <w:rPr>
                <w:rFonts w:ascii="Carlito" w:hAnsi="Carlito"/>
                <w:b w:val="0"/>
                <w:i w:val="0"/>
                <w:sz w:val="19"/>
              </w:rPr>
              <w:t>SAR 51.80 · 7 Jul 2026 close</w:t>
            </w:r>
          </w:p>
        </w:tc>
      </w:tr>
      <w:tr>
        <w:tc>
          <w:tcPr>
            <w:tcW w:type="dxa" w:w="3312"/>
          </w:tcPr>
          <w:p>
            <w:pPr>
              <w:spacing w:after="20" w:before="20"/>
              <w:jc w:val="left"/>
            </w:pPr>
            <w:r/>
            <w:r>
              <w:rPr>
                <w:rFonts w:ascii="Carlito" w:hAnsi="Carlito"/>
                <w:b w:val="0"/>
                <w:i w:val="0"/>
                <w:sz w:val="19"/>
              </w:rPr>
              <w:t>Shares · market cap</w:t>
            </w:r>
          </w:p>
        </w:tc>
        <w:tc>
          <w:tcPr>
            <w:tcW w:type="dxa" w:w="6336"/>
          </w:tcPr>
          <w:p>
            <w:pPr>
              <w:spacing w:after="20" w:before="20"/>
              <w:jc w:val="center"/>
            </w:pPr>
            <w:r/>
            <w:r>
              <w:rPr>
                <w:rFonts w:ascii="Carlito" w:hAnsi="Carlito"/>
                <w:b w:val="0"/>
                <w:i w:val="0"/>
                <w:sz w:val="19"/>
              </w:rPr>
              <w:t>3,000 mn · SAR 155.4 bn</w:t>
            </w:r>
          </w:p>
        </w:tc>
      </w:tr>
      <w:tr>
        <w:tc>
          <w:tcPr>
            <w:tcW w:type="dxa" w:w="3312"/>
          </w:tcPr>
          <w:p>
            <w:pPr>
              <w:spacing w:after="20" w:before="20"/>
              <w:jc w:val="left"/>
            </w:pPr>
            <w:r/>
            <w:r>
              <w:rPr>
                <w:rFonts w:ascii="Carlito" w:hAnsi="Carlito"/>
                <w:b w:val="0"/>
                <w:i w:val="0"/>
                <w:sz w:val="19"/>
              </w:rPr>
              <w:t>Net debt</w:t>
            </w:r>
          </w:p>
        </w:tc>
        <w:tc>
          <w:tcPr>
            <w:tcW w:type="dxa" w:w="6336"/>
          </w:tcPr>
          <w:p>
            <w:pPr>
              <w:spacing w:after="20" w:before="20"/>
              <w:jc w:val="center"/>
            </w:pPr>
            <w:r/>
            <w:r>
              <w:rPr>
                <w:rFonts w:ascii="Carlito" w:hAnsi="Carlito"/>
                <w:b w:val="0"/>
                <w:i w:val="0"/>
                <w:sz w:val="19"/>
              </w:rPr>
              <w:t>Approx. net-cash-to-neutral (2023 net cash SAR 8.8 bn; 2025 ≈ neutral); modelled at 0</w:t>
            </w:r>
          </w:p>
        </w:tc>
      </w:tr>
      <w:tr>
        <w:tc>
          <w:tcPr>
            <w:tcW w:type="dxa" w:w="3312"/>
          </w:tcPr>
          <w:p>
            <w:pPr>
              <w:spacing w:after="20" w:before="20"/>
              <w:jc w:val="left"/>
            </w:pPr>
            <w:r/>
            <w:r>
              <w:rPr>
                <w:rFonts w:ascii="Carlito" w:hAnsi="Carlito"/>
                <w:b w:val="0"/>
                <w:i w:val="0"/>
                <w:sz w:val="19"/>
              </w:rPr>
              <w:t>FY2025 revenue / adj. EBITDA margin</w:t>
            </w:r>
          </w:p>
        </w:tc>
        <w:tc>
          <w:tcPr>
            <w:tcW w:type="dxa" w:w="6336"/>
          </w:tcPr>
          <w:p>
            <w:pPr>
              <w:spacing w:after="20" w:before="20"/>
              <w:jc w:val="center"/>
            </w:pPr>
            <w:r/>
            <w:r>
              <w:rPr>
                <w:rFonts w:ascii="Carlito" w:hAnsi="Carlito"/>
                <w:b w:val="0"/>
                <w:i w:val="0"/>
                <w:sz w:val="19"/>
              </w:rPr>
              <w:t>SAR 116.5 bn (continuing) · 15.3% adjusted (a trough year)</w:t>
            </w:r>
          </w:p>
        </w:tc>
      </w:tr>
      <w:tr>
        <w:tc>
          <w:tcPr>
            <w:tcW w:type="dxa" w:w="3312"/>
          </w:tcPr>
          <w:p>
            <w:pPr>
              <w:spacing w:after="20" w:before="20"/>
              <w:jc w:val="left"/>
            </w:pPr>
            <w:r/>
            <w:r>
              <w:rPr>
                <w:rFonts w:ascii="Carlito" w:hAnsi="Carlito"/>
                <w:b w:val="0"/>
                <w:i w:val="0"/>
                <w:sz w:val="19"/>
              </w:rPr>
              <w:t>FY2025 reported result</w:t>
            </w:r>
          </w:p>
        </w:tc>
        <w:tc>
          <w:tcPr>
            <w:tcW w:type="dxa" w:w="6336"/>
          </w:tcPr>
          <w:p>
            <w:pPr>
              <w:spacing w:after="20" w:before="20"/>
              <w:jc w:val="center"/>
            </w:pPr>
            <w:r/>
            <w:r>
              <w:rPr>
                <w:rFonts w:ascii="Carlito" w:hAnsi="Carlito"/>
                <w:b w:val="0"/>
                <w:i w:val="0"/>
                <w:sz w:val="19"/>
              </w:rPr>
              <w:t>Net loss SAR 25.8 bn — one-off non-cash writedowns on European / ET divestitures</w:t>
            </w:r>
          </w:p>
        </w:tc>
      </w:tr>
      <w:tr>
        <w:tc>
          <w:tcPr>
            <w:tcW w:type="dxa" w:w="3312"/>
          </w:tcPr>
          <w:p>
            <w:pPr>
              <w:spacing w:after="20" w:before="20"/>
              <w:jc w:val="left"/>
            </w:pPr>
            <w:r/>
            <w:r>
              <w:rPr>
                <w:rFonts w:ascii="Carlito" w:hAnsi="Carlito"/>
                <w:b w:val="0"/>
                <w:i w:val="0"/>
                <w:sz w:val="19"/>
              </w:rPr>
              <w:t>FY2025 adjusted net income / DPS</w:t>
            </w:r>
          </w:p>
        </w:tc>
        <w:tc>
          <w:tcPr>
            <w:tcW w:type="dxa" w:w="6336"/>
          </w:tcPr>
          <w:p>
            <w:pPr>
              <w:spacing w:after="20" w:before="20"/>
              <w:jc w:val="center"/>
            </w:pPr>
            <w:r/>
            <w:r>
              <w:rPr>
                <w:rFonts w:ascii="Carlito" w:hAnsi="Carlito"/>
                <w:b w:val="0"/>
                <w:i w:val="0"/>
                <w:sz w:val="19"/>
              </w:rPr>
              <w:t>SAR 2.07 bn · DPS SAR 3.00 (5.8% yield at spot)</w:t>
            </w:r>
          </w:p>
        </w:tc>
      </w:tr>
      <w:tr>
        <w:tc>
          <w:tcPr>
            <w:tcW w:type="dxa" w:w="3312"/>
          </w:tcPr>
          <w:p>
            <w:pPr>
              <w:spacing w:after="20" w:before="20"/>
              <w:jc w:val="left"/>
            </w:pPr>
            <w:r/>
            <w:r>
              <w:rPr>
                <w:rFonts w:ascii="Carlito" w:hAnsi="Carlito"/>
                <w:b w:val="0"/>
                <w:i w:val="0"/>
                <w:sz w:val="19"/>
              </w:rPr>
              <w:t>Credit rating</w:t>
            </w:r>
          </w:p>
        </w:tc>
        <w:tc>
          <w:tcPr>
            <w:tcW w:type="dxa" w:w="6336"/>
          </w:tcPr>
          <w:p>
            <w:pPr>
              <w:spacing w:after="20" w:before="20"/>
              <w:jc w:val="center"/>
            </w:pPr>
            <w:r/>
            <w:r>
              <w:rPr>
                <w:rFonts w:ascii="Carlito" w:hAnsi="Carlito"/>
                <w:b w:val="0"/>
                <w:i w:val="0"/>
                <w:sz w:val="19"/>
              </w:rPr>
              <w:t>A+ (S&amp;P) / A1 (Moody's) — investment grade, supported by Aramco</w:t>
            </w:r>
          </w:p>
        </w:tc>
      </w:tr>
      <w:tr>
        <w:tc>
          <w:tcPr>
            <w:tcW w:type="dxa" w:w="3312"/>
          </w:tcPr>
          <w:p>
            <w:pPr>
              <w:spacing w:after="20" w:before="20"/>
              <w:jc w:val="left"/>
            </w:pPr>
            <w:r/>
            <w:r>
              <w:rPr>
                <w:rFonts w:ascii="Carlito" w:hAnsi="Carlito"/>
                <w:b w:val="0"/>
                <w:i w:val="0"/>
                <w:sz w:val="19"/>
              </w:rPr>
              <w:t>52-week range</w:t>
            </w:r>
          </w:p>
        </w:tc>
        <w:tc>
          <w:tcPr>
            <w:tcW w:type="dxa" w:w="6336"/>
          </w:tcPr>
          <w:p>
            <w:pPr>
              <w:spacing w:after="20" w:before="20"/>
              <w:jc w:val="center"/>
            </w:pPr>
            <w:r/>
            <w:r>
              <w:rPr>
                <w:rFonts w:ascii="Carlito" w:hAnsi="Carlito"/>
                <w:b w:val="0"/>
                <w:i w:val="0"/>
                <w:sz w:val="19"/>
              </w:rPr>
              <w:t>SAR 49.74 – 62.80  (all-time high SAR ~139 pre-cycle)</w:t>
            </w:r>
          </w:p>
        </w:tc>
      </w:tr>
      <w:tr>
        <w:tc>
          <w:tcPr>
            <w:tcW w:type="dxa" w:w="3312"/>
          </w:tcPr>
          <w:p>
            <w:pPr>
              <w:spacing w:after="20" w:before="20"/>
              <w:jc w:val="left"/>
            </w:pPr>
            <w:r/>
            <w:r>
              <w:rPr>
                <w:rFonts w:ascii="Carlito" w:hAnsi="Carlito"/>
                <w:b w:val="0"/>
                <w:i w:val="0"/>
                <w:sz w:val="19"/>
              </w:rPr>
              <w:t>Book value / share 2025A</w:t>
            </w:r>
          </w:p>
        </w:tc>
        <w:tc>
          <w:tcPr>
            <w:tcW w:type="dxa" w:w="6336"/>
          </w:tcPr>
          <w:p>
            <w:pPr>
              <w:spacing w:after="20" w:before="20"/>
              <w:jc w:val="center"/>
            </w:pPr>
            <w:r/>
            <w:r>
              <w:rPr>
                <w:rFonts w:ascii="Carlito" w:hAnsi="Carlito"/>
                <w:b w:val="0"/>
                <w:i w:val="0"/>
                <w:sz w:val="19"/>
              </w:rPr>
              <w:t>SAR 42.9  (spot P/B ~1.21×)</w:t>
            </w:r>
          </w:p>
        </w:tc>
      </w:tr>
    </w:tbl>
    <w:p>
      <w:pPr>
        <w:spacing w:after="40"/>
      </w:pPr>
    </w:p>
    <w:p>
      <w:r>
        <w:rPr>
          <w:rFonts w:ascii="Carlito" w:hAnsi="Carlito"/>
          <w:i/>
          <w:sz w:val="17"/>
        </w:rPr>
        <w:t>Source: SABIC FY2025 earnings release &amp; integrated report, Tadawul disclosures. Values rounded.</w:t>
      </w:r>
    </w:p>
    <w:p>
      <w:pPr>
        <w:spacing w:before="280" w:after="80"/>
        <w:pBdr>
          <w:bottom w:val="single" w:sz="8" w:space="2" w:color="C0A45F"/>
        </w:pBdr>
      </w:pPr>
      <w:r>
        <w:rPr>
          <w:rFonts w:ascii="Carlito" w:hAnsi="Carlito"/>
          <w:b/>
          <w:color w:val="C0A45F"/>
          <w:sz w:val="30"/>
        </w:rPr>
        <w:t xml:space="preserve">1  </w:t>
      </w:r>
      <w:r>
        <w:rPr>
          <w:rFonts w:ascii="Carlito" w:hAnsi="Carlito"/>
          <w:b/>
          <w:color w:val="1C3A36"/>
          <w:sz w:val="30"/>
        </w:rPr>
        <w:t>Fundamental valuation</w:t>
      </w:r>
    </w:p>
    <w:p>
      <w:r>
        <w:rPr>
          <w:rFonts w:ascii="Carlito" w:hAnsi="Carlito"/>
          <w:i w:val="0"/>
          <w:sz w:val="21"/>
        </w:rPr>
        <w:t>We value SABIC as a through-cycle petrochemical producer and triangulate four lenses. The primary lens is a normalized mid-cycle discounted-cash-flow model, because a commodity chemical maker is worth the mid-cycle cash it generates, not its trough or peak print. An EV/EBITDA relative cross-check, an asset/replacement (P/B) read and a normalized-dividend read complete the set. The weights and the football field are in §1.5; the swing factor — the product–feedstock spread — is dissected in §1.7 and the sensitivity grids in §1.9. Petrochemical earnings are cyclical, so §1.4 replaces a single 'normalized-earnings' number with an explicit statement of where the cycle sits.</w:t>
      </w:r>
    </w:p>
    <w:p>
      <w:pPr>
        <w:spacing w:before="200" w:after="60"/>
      </w:pPr>
      <w:r>
        <w:rPr>
          <w:rFonts w:ascii="Carlito" w:hAnsi="Carlito"/>
          <w:b/>
          <w:color w:val="896F36"/>
          <w:sz w:val="23"/>
        </w:rPr>
        <w:t>1.1  Normalized mid-cycle DCF — the primary lens</w:t>
      </w:r>
    </w:p>
    <w:p>
      <w:r>
        <w:rPr>
          <w:rFonts w:ascii="Carlito" w:hAnsi="Carlito"/>
          <w:i w:val="0"/>
          <w:sz w:val="21"/>
        </w:rPr>
        <w:t>A five-year explicit free-cash-flow-to-firm model on a normalizing margin is the natural anchor for a commodity producer. We fade revenue at 2.0–3.5% (volume-led; SABIC is a price-taker on product) and lift the EBITDA margin from a trough 15.5% toward a through-cycle 19.0% over the five years as the spread partially recovers and the loss-making European assets exit. We discount at a WACC of 9.75% and fade to a 2.5% terminal growth. Crucially, we publish the cost of equity explicitly rather than as a black-box WACC:</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4320"/>
        <w:gridCol w:w="4320"/>
      </w:tblGrid>
      <w:tr>
        <w:tc>
          <w:tcPr>
            <w:tcW w:type="dxa" w:w="6336"/>
            <w:shd w:val="clear" w:fill="1C3A36"/>
          </w:tcPr>
          <w:p>
            <w:pPr>
              <w:spacing w:after="20" w:before="20"/>
              <w:jc w:val="left"/>
            </w:pPr>
            <w:r/>
            <w:r>
              <w:rPr>
                <w:rFonts w:ascii="Carlito" w:hAnsi="Carlito"/>
                <w:b/>
                <w:i w:val="0"/>
                <w:color w:val="FFFFFF"/>
                <w:sz w:val="19"/>
              </w:rPr>
              <w:t>Cost of equity (Ke = rf + β·ERP)</w:t>
            </w:r>
          </w:p>
        </w:tc>
        <w:tc>
          <w:tcPr>
            <w:tcW w:type="dxa" w:w="2016"/>
            <w:shd w:val="clear" w:fill="1C3A36"/>
          </w:tcPr>
          <w:p>
            <w:pPr>
              <w:spacing w:after="20" w:before="20"/>
              <w:jc w:val="center"/>
            </w:pPr>
            <w:r/>
            <w:r>
              <w:rPr>
                <w:rFonts w:ascii="Carlito" w:hAnsi="Carlito"/>
                <w:b/>
                <w:i w:val="0"/>
                <w:color w:val="FFFFFF"/>
                <w:sz w:val="19"/>
              </w:rPr>
              <w:t>Value</w:t>
            </w:r>
          </w:p>
        </w:tc>
      </w:tr>
      <w:tr>
        <w:tc>
          <w:tcPr>
            <w:tcW w:type="dxa" w:w="6336"/>
          </w:tcPr>
          <w:p>
            <w:pPr>
              <w:spacing w:after="20" w:before="20"/>
              <w:jc w:val="left"/>
            </w:pPr>
            <w:r/>
            <w:r>
              <w:rPr>
                <w:rFonts w:ascii="Carlito" w:hAnsi="Carlito"/>
                <w:b w:val="0"/>
                <w:i w:val="0"/>
                <w:sz w:val="19"/>
              </w:rPr>
              <w:t>Risk-free rate (rf) — SAR sovereign</w:t>
            </w:r>
          </w:p>
        </w:tc>
        <w:tc>
          <w:tcPr>
            <w:tcW w:type="dxa" w:w="2016"/>
          </w:tcPr>
          <w:p>
            <w:pPr>
              <w:spacing w:after="20" w:before="20"/>
              <w:jc w:val="center"/>
            </w:pPr>
            <w:r/>
            <w:r>
              <w:rPr>
                <w:rFonts w:ascii="Carlito" w:hAnsi="Carlito"/>
                <w:b w:val="0"/>
                <w:i w:val="0"/>
                <w:sz w:val="19"/>
              </w:rPr>
              <w:t>4.5%</w:t>
            </w:r>
          </w:p>
        </w:tc>
      </w:tr>
      <w:tr>
        <w:tc>
          <w:tcPr>
            <w:tcW w:type="dxa" w:w="6336"/>
          </w:tcPr>
          <w:p>
            <w:pPr>
              <w:spacing w:after="20" w:before="20"/>
              <w:jc w:val="left"/>
            </w:pPr>
            <w:r/>
            <w:r>
              <w:rPr>
                <w:rFonts w:ascii="Carlito" w:hAnsi="Carlito"/>
                <w:b w:val="0"/>
                <w:i w:val="0"/>
                <w:sz w:val="19"/>
              </w:rPr>
              <w:t>Beta (β) — petrochemical cyclical, in the 0.8–1.3 band</w:t>
            </w:r>
          </w:p>
        </w:tc>
        <w:tc>
          <w:tcPr>
            <w:tcW w:type="dxa" w:w="2016"/>
          </w:tcPr>
          <w:p>
            <w:pPr>
              <w:spacing w:after="20" w:before="20"/>
              <w:jc w:val="center"/>
            </w:pPr>
            <w:r/>
            <w:r>
              <w:rPr>
                <w:rFonts w:ascii="Carlito" w:hAnsi="Carlito"/>
                <w:b w:val="0"/>
                <w:i w:val="0"/>
                <w:sz w:val="19"/>
              </w:rPr>
              <w:t>1.05</w:t>
            </w:r>
          </w:p>
        </w:tc>
      </w:tr>
      <w:tr>
        <w:tc>
          <w:tcPr>
            <w:tcW w:type="dxa" w:w="6336"/>
          </w:tcPr>
          <w:p>
            <w:pPr>
              <w:spacing w:after="20" w:before="20"/>
              <w:jc w:val="left"/>
            </w:pPr>
            <w:r/>
            <w:r>
              <w:rPr>
                <w:rFonts w:ascii="Carlito" w:hAnsi="Carlito"/>
                <w:b w:val="0"/>
                <w:i w:val="0"/>
                <w:sz w:val="19"/>
              </w:rPr>
              <w:t>Equity risk premium (ERP)</w:t>
            </w:r>
          </w:p>
        </w:tc>
        <w:tc>
          <w:tcPr>
            <w:tcW w:type="dxa" w:w="2016"/>
          </w:tcPr>
          <w:p>
            <w:pPr>
              <w:spacing w:after="20" w:before="20"/>
              <w:jc w:val="center"/>
            </w:pPr>
            <w:r/>
            <w:r>
              <w:rPr>
                <w:rFonts w:ascii="Carlito" w:hAnsi="Carlito"/>
                <w:b w:val="0"/>
                <w:i w:val="0"/>
                <w:sz w:val="19"/>
              </w:rPr>
              <w:t>5.5%</w:t>
            </w:r>
          </w:p>
        </w:tc>
      </w:tr>
      <w:tr>
        <w:tc>
          <w:tcPr>
            <w:tcW w:type="dxa" w:w="6336"/>
          </w:tcPr>
          <w:p>
            <w:pPr>
              <w:spacing w:after="20" w:before="20"/>
              <w:jc w:val="left"/>
            </w:pPr>
            <w:r/>
            <w:r>
              <w:rPr>
                <w:rFonts w:ascii="Carlito" w:hAnsi="Carlito"/>
                <w:b w:val="0"/>
                <w:i w:val="0"/>
                <w:sz w:val="19"/>
              </w:rPr>
              <w:t>Cost of equity  Ke = 4.5% + 1.05 × 5.5%</w:t>
            </w:r>
          </w:p>
        </w:tc>
        <w:tc>
          <w:tcPr>
            <w:tcW w:type="dxa" w:w="2016"/>
          </w:tcPr>
          <w:p>
            <w:pPr>
              <w:spacing w:after="20" w:before="20"/>
              <w:jc w:val="center"/>
            </w:pPr>
            <w:r/>
            <w:r>
              <w:rPr>
                <w:rFonts w:ascii="Carlito" w:hAnsi="Carlito"/>
                <w:b w:val="0"/>
                <w:i w:val="0"/>
                <w:sz w:val="19"/>
              </w:rPr>
              <w:t>10.28%</w:t>
            </w:r>
          </w:p>
        </w:tc>
      </w:tr>
      <w:tr>
        <w:tc>
          <w:tcPr>
            <w:tcW w:type="dxa" w:w="6336"/>
          </w:tcPr>
          <w:p>
            <w:pPr>
              <w:spacing w:after="20" w:before="20"/>
              <w:jc w:val="left"/>
            </w:pPr>
            <w:r/>
            <w:r>
              <w:rPr>
                <w:rFonts w:ascii="Carlito" w:hAnsi="Carlito"/>
                <w:b w:val="0"/>
                <w:i w:val="0"/>
                <w:sz w:val="19"/>
              </w:rPr>
              <w:t>WACC used (base; blended with low-cost SAR debt)</w:t>
            </w:r>
          </w:p>
        </w:tc>
        <w:tc>
          <w:tcPr>
            <w:tcW w:type="dxa" w:w="2016"/>
          </w:tcPr>
          <w:p>
            <w:pPr>
              <w:spacing w:after="20" w:before="20"/>
              <w:jc w:val="center"/>
            </w:pPr>
            <w:r/>
            <w:r>
              <w:rPr>
                <w:rFonts w:ascii="Carlito" w:hAnsi="Carlito"/>
                <w:b w:val="0"/>
                <w:i w:val="0"/>
                <w:sz w:val="19"/>
              </w:rPr>
              <w:t>9.75%</w:t>
            </w:r>
          </w:p>
        </w:tc>
      </w:tr>
      <w:tr>
        <w:tc>
          <w:tcPr>
            <w:tcW w:type="dxa" w:w="6336"/>
          </w:tcPr>
          <w:p>
            <w:pPr>
              <w:spacing w:after="20" w:before="20"/>
              <w:jc w:val="left"/>
            </w:pPr>
            <w:r/>
            <w:r>
              <w:rPr>
                <w:rFonts w:ascii="Carlito" w:hAnsi="Carlito"/>
                <w:b w:val="0"/>
                <w:i w:val="0"/>
                <w:sz w:val="19"/>
              </w:rPr>
              <w:t>Terminal growth g</w:t>
            </w:r>
          </w:p>
        </w:tc>
        <w:tc>
          <w:tcPr>
            <w:tcW w:type="dxa" w:w="2016"/>
          </w:tcPr>
          <w:p>
            <w:pPr>
              <w:spacing w:after="20" w:before="20"/>
              <w:jc w:val="center"/>
            </w:pPr>
            <w:r/>
            <w:r>
              <w:rPr>
                <w:rFonts w:ascii="Carlito" w:hAnsi="Carlito"/>
                <w:b w:val="0"/>
                <w:i w:val="0"/>
                <w:sz w:val="19"/>
              </w:rPr>
              <w:t>2.5%</w:t>
            </w:r>
          </w:p>
        </w:tc>
      </w:tr>
    </w:tbl>
    <w:p>
      <w:pPr>
        <w:spacing w:after="40"/>
      </w:pPr>
    </w:p>
    <w:p>
      <w:r>
        <w:rPr>
          <w:rFonts w:ascii="Carlito" w:hAnsi="Carlito"/>
          <w:i w:val="0"/>
          <w:sz w:val="21"/>
        </w:rPr>
        <w:t>The full FCFF waterfall — every row shown, from revenue to the present value of each year's cash flow — is below (SAR bn, base case).</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1440"/>
        <w:gridCol w:w="1440"/>
        <w:gridCol w:w="1440"/>
        <w:gridCol w:w="1440"/>
        <w:gridCol w:w="1440"/>
        <w:gridCol w:w="1440"/>
      </w:tblGrid>
      <w:tr>
        <w:tc>
          <w:tcPr>
            <w:tcW w:type="dxa" w:w="3600"/>
            <w:shd w:val="clear" w:fill="1C3A36"/>
          </w:tcPr>
          <w:p>
            <w:pPr>
              <w:spacing w:after="20" w:before="20"/>
              <w:jc w:val="left"/>
            </w:pPr>
            <w:r/>
            <w:r>
              <w:rPr>
                <w:rFonts w:ascii="Carlito" w:hAnsi="Carlito"/>
                <w:b/>
                <w:i w:val="0"/>
                <w:color w:val="FFFFFF"/>
                <w:sz w:val="19"/>
              </w:rPr>
              <w:t>SAR bn</w:t>
            </w:r>
          </w:p>
        </w:tc>
        <w:tc>
          <w:tcPr>
            <w:tcW w:type="dxa" w:w="1210"/>
            <w:shd w:val="clear" w:fill="1C3A36"/>
          </w:tcPr>
          <w:p>
            <w:pPr>
              <w:spacing w:after="20" w:before="20"/>
              <w:jc w:val="center"/>
            </w:pPr>
            <w:r/>
            <w:r>
              <w:rPr>
                <w:rFonts w:ascii="Carlito" w:hAnsi="Carlito"/>
                <w:b/>
                <w:i w:val="0"/>
                <w:color w:val="FFFFFF"/>
                <w:sz w:val="19"/>
              </w:rPr>
              <w:t>2026E</w:t>
            </w:r>
          </w:p>
        </w:tc>
        <w:tc>
          <w:tcPr>
            <w:tcW w:type="dxa" w:w="1210"/>
            <w:shd w:val="clear" w:fill="1C3A36"/>
          </w:tcPr>
          <w:p>
            <w:pPr>
              <w:spacing w:after="20" w:before="20"/>
              <w:jc w:val="center"/>
            </w:pPr>
            <w:r/>
            <w:r>
              <w:rPr>
                <w:rFonts w:ascii="Carlito" w:hAnsi="Carlito"/>
                <w:b/>
                <w:i w:val="0"/>
                <w:color w:val="FFFFFF"/>
                <w:sz w:val="19"/>
              </w:rPr>
              <w:t>2027E</w:t>
            </w:r>
          </w:p>
        </w:tc>
        <w:tc>
          <w:tcPr>
            <w:tcW w:type="dxa" w:w="1210"/>
            <w:shd w:val="clear" w:fill="1C3A36"/>
          </w:tcPr>
          <w:p>
            <w:pPr>
              <w:spacing w:after="20" w:before="20"/>
              <w:jc w:val="center"/>
            </w:pPr>
            <w:r/>
            <w:r>
              <w:rPr>
                <w:rFonts w:ascii="Carlito" w:hAnsi="Carlito"/>
                <w:b/>
                <w:i w:val="0"/>
                <w:color w:val="FFFFFF"/>
                <w:sz w:val="19"/>
              </w:rPr>
              <w:t>2028E</w:t>
            </w:r>
          </w:p>
        </w:tc>
        <w:tc>
          <w:tcPr>
            <w:tcW w:type="dxa" w:w="1210"/>
            <w:shd w:val="clear" w:fill="1C3A36"/>
          </w:tcPr>
          <w:p>
            <w:pPr>
              <w:spacing w:after="20" w:before="20"/>
              <w:jc w:val="center"/>
            </w:pPr>
            <w:r/>
            <w:r>
              <w:rPr>
                <w:rFonts w:ascii="Carlito" w:hAnsi="Carlito"/>
                <w:b/>
                <w:i w:val="0"/>
                <w:color w:val="FFFFFF"/>
                <w:sz w:val="19"/>
              </w:rPr>
              <w:t>2029E</w:t>
            </w:r>
          </w:p>
        </w:tc>
        <w:tc>
          <w:tcPr>
            <w:tcW w:type="dxa" w:w="1210"/>
            <w:shd w:val="clear" w:fill="1C3A36"/>
          </w:tcPr>
          <w:p>
            <w:pPr>
              <w:spacing w:after="20" w:before="20"/>
              <w:jc w:val="center"/>
            </w:pPr>
            <w:r/>
            <w:r>
              <w:rPr>
                <w:rFonts w:ascii="Carlito" w:hAnsi="Carlito"/>
                <w:b/>
                <w:i w:val="0"/>
                <w:color w:val="FFFFFF"/>
                <w:sz w:val="19"/>
              </w:rPr>
              <w:t>2030E</w:t>
            </w:r>
          </w:p>
        </w:tc>
      </w:tr>
      <w:tr>
        <w:tc>
          <w:tcPr>
            <w:tcW w:type="dxa" w:w="3600"/>
          </w:tcPr>
          <w:p>
            <w:pPr>
              <w:spacing w:after="20" w:before="20"/>
              <w:jc w:val="left"/>
            </w:pPr>
            <w:r/>
            <w:r>
              <w:rPr>
                <w:rFonts w:ascii="Carlito" w:hAnsi="Carlito"/>
                <w:b w:val="0"/>
                <w:i w:val="0"/>
                <w:sz w:val="19"/>
              </w:rPr>
              <w:t>Revenue</w:t>
            </w:r>
          </w:p>
        </w:tc>
        <w:tc>
          <w:tcPr>
            <w:tcW w:type="dxa" w:w="1210"/>
          </w:tcPr>
          <w:p>
            <w:pPr>
              <w:spacing w:after="20" w:before="20"/>
              <w:jc w:val="center"/>
            </w:pPr>
            <w:r/>
            <w:r>
              <w:rPr>
                <w:rFonts w:ascii="Carlito" w:hAnsi="Carlito"/>
                <w:b w:val="0"/>
                <w:i w:val="0"/>
                <w:sz w:val="19"/>
              </w:rPr>
              <w:t>118.9</w:t>
            </w:r>
          </w:p>
        </w:tc>
        <w:tc>
          <w:tcPr>
            <w:tcW w:type="dxa" w:w="1210"/>
          </w:tcPr>
          <w:p>
            <w:pPr>
              <w:spacing w:after="20" w:before="20"/>
              <w:jc w:val="center"/>
            </w:pPr>
            <w:r/>
            <w:r>
              <w:rPr>
                <w:rFonts w:ascii="Carlito" w:hAnsi="Carlito"/>
                <w:b w:val="0"/>
                <w:i w:val="0"/>
                <w:sz w:val="19"/>
              </w:rPr>
              <w:t>122.4</w:t>
            </w:r>
          </w:p>
        </w:tc>
        <w:tc>
          <w:tcPr>
            <w:tcW w:type="dxa" w:w="1210"/>
          </w:tcPr>
          <w:p>
            <w:pPr>
              <w:spacing w:after="20" w:before="20"/>
              <w:jc w:val="center"/>
            </w:pPr>
            <w:r/>
            <w:r>
              <w:rPr>
                <w:rFonts w:ascii="Carlito" w:hAnsi="Carlito"/>
                <w:b w:val="0"/>
                <w:i w:val="0"/>
                <w:sz w:val="19"/>
              </w:rPr>
              <w:t>126.7</w:t>
            </w:r>
          </w:p>
        </w:tc>
        <w:tc>
          <w:tcPr>
            <w:tcW w:type="dxa" w:w="1210"/>
          </w:tcPr>
          <w:p>
            <w:pPr>
              <w:spacing w:after="20" w:before="20"/>
              <w:jc w:val="center"/>
            </w:pPr>
            <w:r/>
            <w:r>
              <w:rPr>
                <w:rFonts w:ascii="Carlito" w:hAnsi="Carlito"/>
                <w:b w:val="0"/>
                <w:i w:val="0"/>
                <w:sz w:val="19"/>
              </w:rPr>
              <w:t>130.5</w:t>
            </w:r>
          </w:p>
        </w:tc>
        <w:tc>
          <w:tcPr>
            <w:tcW w:type="dxa" w:w="1210"/>
          </w:tcPr>
          <w:p>
            <w:pPr>
              <w:spacing w:after="20" w:before="20"/>
              <w:jc w:val="center"/>
            </w:pPr>
            <w:r/>
            <w:r>
              <w:rPr>
                <w:rFonts w:ascii="Carlito" w:hAnsi="Carlito"/>
                <w:b w:val="0"/>
                <w:i w:val="0"/>
                <w:sz w:val="19"/>
              </w:rPr>
              <w:t>133.8</w:t>
            </w:r>
          </w:p>
        </w:tc>
      </w:tr>
      <w:tr>
        <w:tc>
          <w:tcPr>
            <w:tcW w:type="dxa" w:w="3600"/>
          </w:tcPr>
          <w:p>
            <w:pPr>
              <w:spacing w:after="20" w:before="20"/>
              <w:jc w:val="left"/>
            </w:pPr>
            <w:r/>
            <w:r>
              <w:rPr>
                <w:rFonts w:ascii="Carlito" w:hAnsi="Carlito"/>
                <w:b w:val="0"/>
                <w:i w:val="0"/>
                <w:sz w:val="19"/>
              </w:rPr>
              <w:t xml:space="preserve">  EBITDA margin</w:t>
            </w:r>
          </w:p>
        </w:tc>
        <w:tc>
          <w:tcPr>
            <w:tcW w:type="dxa" w:w="1210"/>
          </w:tcPr>
          <w:p>
            <w:pPr>
              <w:spacing w:after="20" w:before="20"/>
              <w:jc w:val="center"/>
            </w:pPr>
            <w:r/>
            <w:r>
              <w:rPr>
                <w:rFonts w:ascii="Carlito" w:hAnsi="Carlito"/>
                <w:b w:val="0"/>
                <w:i w:val="0"/>
                <w:sz w:val="19"/>
              </w:rPr>
              <w:t>16.2%</w:t>
            </w:r>
          </w:p>
        </w:tc>
        <w:tc>
          <w:tcPr>
            <w:tcW w:type="dxa" w:w="1210"/>
          </w:tcPr>
          <w:p>
            <w:pPr>
              <w:spacing w:after="20" w:before="20"/>
              <w:jc w:val="center"/>
            </w:pPr>
            <w:r/>
            <w:r>
              <w:rPr>
                <w:rFonts w:ascii="Carlito" w:hAnsi="Carlito"/>
                <w:b w:val="0"/>
                <w:i w:val="0"/>
                <w:sz w:val="19"/>
              </w:rPr>
              <w:t>16.9%</w:t>
            </w:r>
          </w:p>
        </w:tc>
        <w:tc>
          <w:tcPr>
            <w:tcW w:type="dxa" w:w="1210"/>
          </w:tcPr>
          <w:p>
            <w:pPr>
              <w:spacing w:after="20" w:before="20"/>
              <w:jc w:val="center"/>
            </w:pPr>
            <w:r/>
            <w:r>
              <w:rPr>
                <w:rFonts w:ascii="Carlito" w:hAnsi="Carlito"/>
                <w:b w:val="0"/>
                <w:i w:val="0"/>
                <w:sz w:val="19"/>
              </w:rPr>
              <w:t>17.6%</w:t>
            </w:r>
          </w:p>
        </w:tc>
        <w:tc>
          <w:tcPr>
            <w:tcW w:type="dxa" w:w="1210"/>
          </w:tcPr>
          <w:p>
            <w:pPr>
              <w:spacing w:after="20" w:before="20"/>
              <w:jc w:val="center"/>
            </w:pPr>
            <w:r/>
            <w:r>
              <w:rPr>
                <w:rFonts w:ascii="Carlito" w:hAnsi="Carlito"/>
                <w:b w:val="0"/>
                <w:i w:val="0"/>
                <w:sz w:val="19"/>
              </w:rPr>
              <w:t>18.3%</w:t>
            </w:r>
          </w:p>
        </w:tc>
        <w:tc>
          <w:tcPr>
            <w:tcW w:type="dxa" w:w="1210"/>
          </w:tcPr>
          <w:p>
            <w:pPr>
              <w:spacing w:after="20" w:before="20"/>
              <w:jc w:val="center"/>
            </w:pPr>
            <w:r/>
            <w:r>
              <w:rPr>
                <w:rFonts w:ascii="Carlito" w:hAnsi="Carlito"/>
                <w:b w:val="0"/>
                <w:i w:val="0"/>
                <w:sz w:val="19"/>
              </w:rPr>
              <w:t>19.0%</w:t>
            </w:r>
          </w:p>
        </w:tc>
      </w:tr>
      <w:tr>
        <w:tc>
          <w:tcPr>
            <w:tcW w:type="dxa" w:w="3600"/>
          </w:tcPr>
          <w:p>
            <w:pPr>
              <w:spacing w:after="20" w:before="20"/>
              <w:jc w:val="left"/>
            </w:pPr>
            <w:r/>
            <w:r>
              <w:rPr>
                <w:rFonts w:ascii="Carlito" w:hAnsi="Carlito"/>
                <w:b w:val="0"/>
                <w:i w:val="0"/>
                <w:sz w:val="19"/>
              </w:rPr>
              <w:t>EBITDA</w:t>
            </w:r>
          </w:p>
        </w:tc>
        <w:tc>
          <w:tcPr>
            <w:tcW w:type="dxa" w:w="1210"/>
          </w:tcPr>
          <w:p>
            <w:pPr>
              <w:spacing w:after="20" w:before="20"/>
              <w:jc w:val="center"/>
            </w:pPr>
            <w:r/>
            <w:r>
              <w:rPr>
                <w:rFonts w:ascii="Carlito" w:hAnsi="Carlito"/>
                <w:b w:val="0"/>
                <w:i w:val="0"/>
                <w:sz w:val="19"/>
              </w:rPr>
              <w:t>19.3</w:t>
            </w:r>
          </w:p>
        </w:tc>
        <w:tc>
          <w:tcPr>
            <w:tcW w:type="dxa" w:w="1210"/>
          </w:tcPr>
          <w:p>
            <w:pPr>
              <w:spacing w:after="20" w:before="20"/>
              <w:jc w:val="center"/>
            </w:pPr>
            <w:r/>
            <w:r>
              <w:rPr>
                <w:rFonts w:ascii="Carlito" w:hAnsi="Carlito"/>
                <w:b w:val="0"/>
                <w:i w:val="0"/>
                <w:sz w:val="19"/>
              </w:rPr>
              <w:t>20.7</w:t>
            </w:r>
          </w:p>
        </w:tc>
        <w:tc>
          <w:tcPr>
            <w:tcW w:type="dxa" w:w="1210"/>
          </w:tcPr>
          <w:p>
            <w:pPr>
              <w:spacing w:after="20" w:before="20"/>
              <w:jc w:val="center"/>
            </w:pPr>
            <w:r/>
            <w:r>
              <w:rPr>
                <w:rFonts w:ascii="Carlito" w:hAnsi="Carlito"/>
                <w:b w:val="0"/>
                <w:i w:val="0"/>
                <w:sz w:val="19"/>
              </w:rPr>
              <w:t>22.3</w:t>
            </w:r>
          </w:p>
        </w:tc>
        <w:tc>
          <w:tcPr>
            <w:tcW w:type="dxa" w:w="1210"/>
          </w:tcPr>
          <w:p>
            <w:pPr>
              <w:spacing w:after="20" w:before="20"/>
              <w:jc w:val="center"/>
            </w:pPr>
            <w:r/>
            <w:r>
              <w:rPr>
                <w:rFonts w:ascii="Carlito" w:hAnsi="Carlito"/>
                <w:b w:val="0"/>
                <w:i w:val="0"/>
                <w:sz w:val="19"/>
              </w:rPr>
              <w:t>23.9</w:t>
            </w:r>
          </w:p>
        </w:tc>
        <w:tc>
          <w:tcPr>
            <w:tcW w:type="dxa" w:w="1210"/>
          </w:tcPr>
          <w:p>
            <w:pPr>
              <w:spacing w:after="20" w:before="20"/>
              <w:jc w:val="center"/>
            </w:pPr>
            <w:r/>
            <w:r>
              <w:rPr>
                <w:rFonts w:ascii="Carlito" w:hAnsi="Carlito"/>
                <w:b w:val="0"/>
                <w:i w:val="0"/>
                <w:sz w:val="19"/>
              </w:rPr>
              <w:t>25.4</w:t>
            </w:r>
          </w:p>
        </w:tc>
      </w:tr>
      <w:tr>
        <w:tc>
          <w:tcPr>
            <w:tcW w:type="dxa" w:w="3600"/>
          </w:tcPr>
          <w:p>
            <w:pPr>
              <w:spacing w:after="20" w:before="20"/>
              <w:jc w:val="left"/>
            </w:pPr>
            <w:r/>
            <w:r>
              <w:rPr>
                <w:rFonts w:ascii="Carlito" w:hAnsi="Carlito"/>
                <w:b w:val="0"/>
                <w:i w:val="0"/>
                <w:sz w:val="19"/>
              </w:rPr>
              <w:t xml:space="preserve">  less: D&amp;A</w:t>
            </w:r>
          </w:p>
        </w:tc>
        <w:tc>
          <w:tcPr>
            <w:tcW w:type="dxa" w:w="1210"/>
          </w:tcPr>
          <w:p>
            <w:pPr>
              <w:spacing w:after="20" w:before="20"/>
              <w:jc w:val="center"/>
            </w:pPr>
            <w:r/>
            <w:r>
              <w:rPr>
                <w:rFonts w:ascii="Carlito" w:hAnsi="Carlito"/>
                <w:b w:val="0"/>
                <w:i w:val="0"/>
                <w:sz w:val="19"/>
              </w:rPr>
              <w:t>-12.0</w:t>
            </w:r>
          </w:p>
        </w:tc>
        <w:tc>
          <w:tcPr>
            <w:tcW w:type="dxa" w:w="1210"/>
          </w:tcPr>
          <w:p>
            <w:pPr>
              <w:spacing w:after="20" w:before="20"/>
              <w:jc w:val="center"/>
            </w:pPr>
            <w:r/>
            <w:r>
              <w:rPr>
                <w:rFonts w:ascii="Carlito" w:hAnsi="Carlito"/>
                <w:b w:val="0"/>
                <w:i w:val="0"/>
                <w:sz w:val="19"/>
              </w:rPr>
              <w:t>-12.3</w:t>
            </w:r>
          </w:p>
        </w:tc>
        <w:tc>
          <w:tcPr>
            <w:tcW w:type="dxa" w:w="1210"/>
          </w:tcPr>
          <w:p>
            <w:pPr>
              <w:spacing w:after="20" w:before="20"/>
              <w:jc w:val="center"/>
            </w:pPr>
            <w:r/>
            <w:r>
              <w:rPr>
                <w:rFonts w:ascii="Carlito" w:hAnsi="Carlito"/>
                <w:b w:val="0"/>
                <w:i w:val="0"/>
                <w:sz w:val="19"/>
              </w:rPr>
              <w:t>-12.6</w:t>
            </w:r>
          </w:p>
        </w:tc>
        <w:tc>
          <w:tcPr>
            <w:tcW w:type="dxa" w:w="1210"/>
          </w:tcPr>
          <w:p>
            <w:pPr>
              <w:spacing w:after="20" w:before="20"/>
              <w:jc w:val="center"/>
            </w:pPr>
            <w:r/>
            <w:r>
              <w:rPr>
                <w:rFonts w:ascii="Carlito" w:hAnsi="Carlito"/>
                <w:b w:val="0"/>
                <w:i w:val="0"/>
                <w:sz w:val="19"/>
              </w:rPr>
              <w:t>-12.9</w:t>
            </w:r>
          </w:p>
        </w:tc>
        <w:tc>
          <w:tcPr>
            <w:tcW w:type="dxa" w:w="1210"/>
          </w:tcPr>
          <w:p>
            <w:pPr>
              <w:spacing w:after="20" w:before="20"/>
              <w:jc w:val="center"/>
            </w:pPr>
            <w:r/>
            <w:r>
              <w:rPr>
                <w:rFonts w:ascii="Carlito" w:hAnsi="Carlito"/>
                <w:b w:val="0"/>
                <w:i w:val="0"/>
                <w:sz w:val="19"/>
              </w:rPr>
              <w:t>-13.0</w:t>
            </w:r>
          </w:p>
        </w:tc>
      </w:tr>
      <w:tr>
        <w:tc>
          <w:tcPr>
            <w:tcW w:type="dxa" w:w="3600"/>
          </w:tcPr>
          <w:p>
            <w:pPr>
              <w:spacing w:after="20" w:before="20"/>
              <w:jc w:val="left"/>
            </w:pPr>
            <w:r/>
            <w:r>
              <w:rPr>
                <w:rFonts w:ascii="Carlito" w:hAnsi="Carlito"/>
                <w:b w:val="0"/>
                <w:i w:val="0"/>
                <w:sz w:val="19"/>
              </w:rPr>
              <w:t>EBIT</w:t>
            </w:r>
          </w:p>
        </w:tc>
        <w:tc>
          <w:tcPr>
            <w:tcW w:type="dxa" w:w="1210"/>
          </w:tcPr>
          <w:p>
            <w:pPr>
              <w:spacing w:after="20" w:before="20"/>
              <w:jc w:val="center"/>
            </w:pPr>
            <w:r/>
            <w:r>
              <w:rPr>
                <w:rFonts w:ascii="Carlito" w:hAnsi="Carlito"/>
                <w:b w:val="0"/>
                <w:i w:val="0"/>
                <w:sz w:val="19"/>
              </w:rPr>
              <w:t>7.3</w:t>
            </w:r>
          </w:p>
        </w:tc>
        <w:tc>
          <w:tcPr>
            <w:tcW w:type="dxa" w:w="1210"/>
          </w:tcPr>
          <w:p>
            <w:pPr>
              <w:spacing w:after="20" w:before="20"/>
              <w:jc w:val="center"/>
            </w:pPr>
            <w:r/>
            <w:r>
              <w:rPr>
                <w:rFonts w:ascii="Carlito" w:hAnsi="Carlito"/>
                <w:b w:val="0"/>
                <w:i w:val="0"/>
                <w:sz w:val="19"/>
              </w:rPr>
              <w:t>8.4</w:t>
            </w:r>
          </w:p>
        </w:tc>
        <w:tc>
          <w:tcPr>
            <w:tcW w:type="dxa" w:w="1210"/>
          </w:tcPr>
          <w:p>
            <w:pPr>
              <w:spacing w:after="20" w:before="20"/>
              <w:jc w:val="center"/>
            </w:pPr>
            <w:r/>
            <w:r>
              <w:rPr>
                <w:rFonts w:ascii="Carlito" w:hAnsi="Carlito"/>
                <w:b w:val="0"/>
                <w:i w:val="0"/>
                <w:sz w:val="19"/>
              </w:rPr>
              <w:t>9.7</w:t>
            </w:r>
          </w:p>
        </w:tc>
        <w:tc>
          <w:tcPr>
            <w:tcW w:type="dxa" w:w="1210"/>
          </w:tcPr>
          <w:p>
            <w:pPr>
              <w:spacing w:after="20" w:before="20"/>
              <w:jc w:val="center"/>
            </w:pPr>
            <w:r/>
            <w:r>
              <w:rPr>
                <w:rFonts w:ascii="Carlito" w:hAnsi="Carlito"/>
                <w:b w:val="0"/>
                <w:i w:val="0"/>
                <w:sz w:val="19"/>
              </w:rPr>
              <w:t>11.0</w:t>
            </w:r>
          </w:p>
        </w:tc>
        <w:tc>
          <w:tcPr>
            <w:tcW w:type="dxa" w:w="1210"/>
          </w:tcPr>
          <w:p>
            <w:pPr>
              <w:spacing w:after="20" w:before="20"/>
              <w:jc w:val="center"/>
            </w:pPr>
            <w:r/>
            <w:r>
              <w:rPr>
                <w:rFonts w:ascii="Carlito" w:hAnsi="Carlito"/>
                <w:b w:val="0"/>
                <w:i w:val="0"/>
                <w:sz w:val="19"/>
              </w:rPr>
              <w:t>12.4</w:t>
            </w:r>
          </w:p>
        </w:tc>
      </w:tr>
      <w:tr>
        <w:tc>
          <w:tcPr>
            <w:tcW w:type="dxa" w:w="3600"/>
          </w:tcPr>
          <w:p>
            <w:pPr>
              <w:spacing w:after="20" w:before="20"/>
              <w:jc w:val="left"/>
            </w:pPr>
            <w:r/>
            <w:r>
              <w:rPr>
                <w:rFonts w:ascii="Carlito" w:hAnsi="Carlito"/>
                <w:b w:val="0"/>
                <w:i w:val="0"/>
                <w:sz w:val="19"/>
              </w:rPr>
              <w:t>NOPAT = EBIT × (1 − t),  t = 12%</w:t>
            </w:r>
          </w:p>
        </w:tc>
        <w:tc>
          <w:tcPr>
            <w:tcW w:type="dxa" w:w="1210"/>
          </w:tcPr>
          <w:p>
            <w:pPr>
              <w:spacing w:after="20" w:before="20"/>
              <w:jc w:val="center"/>
            </w:pPr>
            <w:r/>
            <w:r>
              <w:rPr>
                <w:rFonts w:ascii="Carlito" w:hAnsi="Carlito"/>
                <w:b w:val="0"/>
                <w:i w:val="0"/>
                <w:sz w:val="19"/>
              </w:rPr>
              <w:t>6.4</w:t>
            </w:r>
          </w:p>
        </w:tc>
        <w:tc>
          <w:tcPr>
            <w:tcW w:type="dxa" w:w="1210"/>
          </w:tcPr>
          <w:p>
            <w:pPr>
              <w:spacing w:after="20" w:before="20"/>
              <w:jc w:val="center"/>
            </w:pPr>
            <w:r/>
            <w:r>
              <w:rPr>
                <w:rFonts w:ascii="Carlito" w:hAnsi="Carlito"/>
                <w:b w:val="0"/>
                <w:i w:val="0"/>
                <w:sz w:val="19"/>
              </w:rPr>
              <w:t>7.4</w:t>
            </w:r>
          </w:p>
        </w:tc>
        <w:tc>
          <w:tcPr>
            <w:tcW w:type="dxa" w:w="1210"/>
          </w:tcPr>
          <w:p>
            <w:pPr>
              <w:spacing w:after="20" w:before="20"/>
              <w:jc w:val="center"/>
            </w:pPr>
            <w:r/>
            <w:r>
              <w:rPr>
                <w:rFonts w:ascii="Carlito" w:hAnsi="Carlito"/>
                <w:b w:val="0"/>
                <w:i w:val="0"/>
                <w:sz w:val="19"/>
              </w:rPr>
              <w:t>8.5</w:t>
            </w:r>
          </w:p>
        </w:tc>
        <w:tc>
          <w:tcPr>
            <w:tcW w:type="dxa" w:w="1210"/>
          </w:tcPr>
          <w:p>
            <w:pPr>
              <w:spacing w:after="20" w:before="20"/>
              <w:jc w:val="center"/>
            </w:pPr>
            <w:r/>
            <w:r>
              <w:rPr>
                <w:rFonts w:ascii="Carlito" w:hAnsi="Carlito"/>
                <w:b w:val="0"/>
                <w:i w:val="0"/>
                <w:sz w:val="19"/>
              </w:rPr>
              <w:t>9.7</w:t>
            </w:r>
          </w:p>
        </w:tc>
        <w:tc>
          <w:tcPr>
            <w:tcW w:type="dxa" w:w="1210"/>
          </w:tcPr>
          <w:p>
            <w:pPr>
              <w:spacing w:after="20" w:before="20"/>
              <w:jc w:val="center"/>
            </w:pPr>
            <w:r/>
            <w:r>
              <w:rPr>
                <w:rFonts w:ascii="Carlito" w:hAnsi="Carlito"/>
                <w:b w:val="0"/>
                <w:i w:val="0"/>
                <w:sz w:val="19"/>
              </w:rPr>
              <w:t>10.9</w:t>
            </w:r>
          </w:p>
        </w:tc>
      </w:tr>
      <w:tr>
        <w:tc>
          <w:tcPr>
            <w:tcW w:type="dxa" w:w="3600"/>
          </w:tcPr>
          <w:p>
            <w:pPr>
              <w:spacing w:after="20" w:before="20"/>
              <w:jc w:val="left"/>
            </w:pPr>
            <w:r/>
            <w:r>
              <w:rPr>
                <w:rFonts w:ascii="Carlito" w:hAnsi="Carlito"/>
                <w:b w:val="0"/>
                <w:i w:val="0"/>
                <w:sz w:val="19"/>
              </w:rPr>
              <w:t xml:space="preserve">  add back: D&amp;A</w:t>
            </w:r>
          </w:p>
        </w:tc>
        <w:tc>
          <w:tcPr>
            <w:tcW w:type="dxa" w:w="1210"/>
          </w:tcPr>
          <w:p>
            <w:pPr>
              <w:spacing w:after="20" w:before="20"/>
              <w:jc w:val="center"/>
            </w:pPr>
            <w:r/>
            <w:r>
              <w:rPr>
                <w:rFonts w:ascii="Carlito" w:hAnsi="Carlito"/>
                <w:b w:val="0"/>
                <w:i w:val="0"/>
                <w:sz w:val="19"/>
              </w:rPr>
              <w:t>12.0</w:t>
            </w:r>
          </w:p>
        </w:tc>
        <w:tc>
          <w:tcPr>
            <w:tcW w:type="dxa" w:w="1210"/>
          </w:tcPr>
          <w:p>
            <w:pPr>
              <w:spacing w:after="20" w:before="20"/>
              <w:jc w:val="center"/>
            </w:pPr>
            <w:r/>
            <w:r>
              <w:rPr>
                <w:rFonts w:ascii="Carlito" w:hAnsi="Carlito"/>
                <w:b w:val="0"/>
                <w:i w:val="0"/>
                <w:sz w:val="19"/>
              </w:rPr>
              <w:t>12.3</w:t>
            </w:r>
          </w:p>
        </w:tc>
        <w:tc>
          <w:tcPr>
            <w:tcW w:type="dxa" w:w="1210"/>
          </w:tcPr>
          <w:p>
            <w:pPr>
              <w:spacing w:after="20" w:before="20"/>
              <w:jc w:val="center"/>
            </w:pPr>
            <w:r/>
            <w:r>
              <w:rPr>
                <w:rFonts w:ascii="Carlito" w:hAnsi="Carlito"/>
                <w:b w:val="0"/>
                <w:i w:val="0"/>
                <w:sz w:val="19"/>
              </w:rPr>
              <w:t>12.6</w:t>
            </w:r>
          </w:p>
        </w:tc>
        <w:tc>
          <w:tcPr>
            <w:tcW w:type="dxa" w:w="1210"/>
          </w:tcPr>
          <w:p>
            <w:pPr>
              <w:spacing w:after="20" w:before="20"/>
              <w:jc w:val="center"/>
            </w:pPr>
            <w:r/>
            <w:r>
              <w:rPr>
                <w:rFonts w:ascii="Carlito" w:hAnsi="Carlito"/>
                <w:b w:val="0"/>
                <w:i w:val="0"/>
                <w:sz w:val="19"/>
              </w:rPr>
              <w:t>12.9</w:t>
            </w:r>
          </w:p>
        </w:tc>
        <w:tc>
          <w:tcPr>
            <w:tcW w:type="dxa" w:w="1210"/>
          </w:tcPr>
          <w:p>
            <w:pPr>
              <w:spacing w:after="20" w:before="20"/>
              <w:jc w:val="center"/>
            </w:pPr>
            <w:r/>
            <w:r>
              <w:rPr>
                <w:rFonts w:ascii="Carlito" w:hAnsi="Carlito"/>
                <w:b w:val="0"/>
                <w:i w:val="0"/>
                <w:sz w:val="19"/>
              </w:rPr>
              <w:t>13.0</w:t>
            </w:r>
          </w:p>
        </w:tc>
      </w:tr>
      <w:tr>
        <w:tc>
          <w:tcPr>
            <w:tcW w:type="dxa" w:w="3600"/>
          </w:tcPr>
          <w:p>
            <w:pPr>
              <w:spacing w:after="20" w:before="20"/>
              <w:jc w:val="left"/>
            </w:pPr>
            <w:r/>
            <w:r>
              <w:rPr>
                <w:rFonts w:ascii="Carlito" w:hAnsi="Carlito"/>
                <w:b w:val="0"/>
                <w:i w:val="0"/>
                <w:sz w:val="19"/>
              </w:rPr>
              <w:t xml:space="preserve">  less: Capex</w:t>
            </w:r>
          </w:p>
        </w:tc>
        <w:tc>
          <w:tcPr>
            <w:tcW w:type="dxa" w:w="1210"/>
          </w:tcPr>
          <w:p>
            <w:pPr>
              <w:spacing w:after="20" w:before="20"/>
              <w:jc w:val="center"/>
            </w:pPr>
            <w:r/>
            <w:r>
              <w:rPr>
                <w:rFonts w:ascii="Carlito" w:hAnsi="Carlito"/>
                <w:b w:val="0"/>
                <w:i w:val="0"/>
                <w:sz w:val="19"/>
              </w:rPr>
              <w:t>-9.0</w:t>
            </w:r>
          </w:p>
        </w:tc>
        <w:tc>
          <w:tcPr>
            <w:tcW w:type="dxa" w:w="1210"/>
          </w:tcPr>
          <w:p>
            <w:pPr>
              <w:spacing w:after="20" w:before="20"/>
              <w:jc w:val="center"/>
            </w:pPr>
            <w:r/>
            <w:r>
              <w:rPr>
                <w:rFonts w:ascii="Carlito" w:hAnsi="Carlito"/>
                <w:b w:val="0"/>
                <w:i w:val="0"/>
                <w:sz w:val="19"/>
              </w:rPr>
              <w:t>-8.5</w:t>
            </w:r>
          </w:p>
        </w:tc>
        <w:tc>
          <w:tcPr>
            <w:tcW w:type="dxa" w:w="1210"/>
          </w:tcPr>
          <w:p>
            <w:pPr>
              <w:spacing w:after="20" w:before="20"/>
              <w:jc w:val="center"/>
            </w:pPr>
            <w:r/>
            <w:r>
              <w:rPr>
                <w:rFonts w:ascii="Carlito" w:hAnsi="Carlito"/>
                <w:b w:val="0"/>
                <w:i w:val="0"/>
                <w:sz w:val="19"/>
              </w:rPr>
              <w:t>-8.0</w:t>
            </w:r>
          </w:p>
        </w:tc>
        <w:tc>
          <w:tcPr>
            <w:tcW w:type="dxa" w:w="1210"/>
          </w:tcPr>
          <w:p>
            <w:pPr>
              <w:spacing w:after="20" w:before="20"/>
              <w:jc w:val="center"/>
            </w:pPr>
            <w:r/>
            <w:r>
              <w:rPr>
                <w:rFonts w:ascii="Carlito" w:hAnsi="Carlito"/>
                <w:b w:val="0"/>
                <w:i w:val="0"/>
                <w:sz w:val="19"/>
              </w:rPr>
              <w:t>-8.0</w:t>
            </w:r>
          </w:p>
        </w:tc>
        <w:tc>
          <w:tcPr>
            <w:tcW w:type="dxa" w:w="1210"/>
          </w:tcPr>
          <w:p>
            <w:pPr>
              <w:spacing w:after="20" w:before="20"/>
              <w:jc w:val="center"/>
            </w:pPr>
            <w:r/>
            <w:r>
              <w:rPr>
                <w:rFonts w:ascii="Carlito" w:hAnsi="Carlito"/>
                <w:b w:val="0"/>
                <w:i w:val="0"/>
                <w:sz w:val="19"/>
              </w:rPr>
              <w:t>-8.0</w:t>
            </w:r>
          </w:p>
        </w:tc>
      </w:tr>
      <w:tr>
        <w:tc>
          <w:tcPr>
            <w:tcW w:type="dxa" w:w="3600"/>
          </w:tcPr>
          <w:p>
            <w:pPr>
              <w:spacing w:after="20" w:before="20"/>
              <w:jc w:val="left"/>
            </w:pPr>
            <w:r/>
            <w:r>
              <w:rPr>
                <w:rFonts w:ascii="Carlito" w:hAnsi="Carlito"/>
                <w:b w:val="0"/>
                <w:i w:val="0"/>
                <w:sz w:val="19"/>
              </w:rPr>
              <w:t xml:space="preserve">  less: Δ working capital</w:t>
            </w:r>
          </w:p>
        </w:tc>
        <w:tc>
          <w:tcPr>
            <w:tcW w:type="dxa" w:w="1210"/>
          </w:tcPr>
          <w:p>
            <w:pPr>
              <w:spacing w:after="20" w:before="20"/>
              <w:jc w:val="center"/>
            </w:pPr>
            <w:r/>
            <w:r>
              <w:rPr>
                <w:rFonts w:ascii="Carlito" w:hAnsi="Carlito"/>
                <w:b w:val="0"/>
                <w:i w:val="0"/>
                <w:sz w:val="19"/>
              </w:rPr>
              <w:t>-1.0</w:t>
            </w:r>
          </w:p>
        </w:tc>
        <w:tc>
          <w:tcPr>
            <w:tcW w:type="dxa" w:w="1210"/>
          </w:tcPr>
          <w:p>
            <w:pPr>
              <w:spacing w:after="20" w:before="20"/>
              <w:jc w:val="center"/>
            </w:pPr>
            <w:r/>
            <w:r>
              <w:rPr>
                <w:rFonts w:ascii="Carlito" w:hAnsi="Carlito"/>
                <w:b w:val="0"/>
                <w:i w:val="0"/>
                <w:sz w:val="19"/>
              </w:rPr>
              <w:t>-0.8</w:t>
            </w:r>
          </w:p>
        </w:tc>
        <w:tc>
          <w:tcPr>
            <w:tcW w:type="dxa" w:w="1210"/>
          </w:tcPr>
          <w:p>
            <w:pPr>
              <w:spacing w:after="20" w:before="20"/>
              <w:jc w:val="center"/>
            </w:pPr>
            <w:r/>
            <w:r>
              <w:rPr>
                <w:rFonts w:ascii="Carlito" w:hAnsi="Carlito"/>
                <w:b w:val="0"/>
                <w:i w:val="0"/>
                <w:sz w:val="19"/>
              </w:rPr>
              <w:t>-0.9</w:t>
            </w:r>
          </w:p>
        </w:tc>
        <w:tc>
          <w:tcPr>
            <w:tcW w:type="dxa" w:w="1210"/>
          </w:tcPr>
          <w:p>
            <w:pPr>
              <w:spacing w:after="20" w:before="20"/>
              <w:jc w:val="center"/>
            </w:pPr>
            <w:r/>
            <w:r>
              <w:rPr>
                <w:rFonts w:ascii="Carlito" w:hAnsi="Carlito"/>
                <w:b w:val="0"/>
                <w:i w:val="0"/>
                <w:sz w:val="19"/>
              </w:rPr>
              <w:t>-0.7</w:t>
            </w:r>
          </w:p>
        </w:tc>
        <w:tc>
          <w:tcPr>
            <w:tcW w:type="dxa" w:w="1210"/>
          </w:tcPr>
          <w:p>
            <w:pPr>
              <w:spacing w:after="20" w:before="20"/>
              <w:jc w:val="center"/>
            </w:pPr>
            <w:r/>
            <w:r>
              <w:rPr>
                <w:rFonts w:ascii="Carlito" w:hAnsi="Carlito"/>
                <w:b w:val="0"/>
                <w:i w:val="0"/>
                <w:sz w:val="19"/>
              </w:rPr>
              <w:t>-0.6</w:t>
            </w:r>
          </w:p>
        </w:tc>
      </w:tr>
      <w:tr>
        <w:tc>
          <w:tcPr>
            <w:tcW w:type="dxa" w:w="3600"/>
            <w:shd w:val="clear" w:fill="C0A45F"/>
          </w:tcPr>
          <w:p>
            <w:pPr>
              <w:spacing w:after="20" w:before="20"/>
              <w:jc w:val="left"/>
            </w:pPr>
            <w:r/>
            <w:r>
              <w:rPr>
                <w:rFonts w:ascii="Carlito" w:hAnsi="Carlito"/>
                <w:b/>
                <w:i w:val="0"/>
                <w:color w:val="1C3A36"/>
                <w:sz w:val="19"/>
              </w:rPr>
              <w:t>Free cash flow to firm (FCFF)</w:t>
            </w:r>
          </w:p>
        </w:tc>
        <w:tc>
          <w:tcPr>
            <w:tcW w:type="dxa" w:w="1210"/>
            <w:shd w:val="clear" w:fill="C0A45F"/>
          </w:tcPr>
          <w:p>
            <w:pPr>
              <w:spacing w:after="20" w:before="20"/>
              <w:jc w:val="center"/>
            </w:pPr>
            <w:r/>
            <w:r>
              <w:rPr>
                <w:rFonts w:ascii="Carlito" w:hAnsi="Carlito"/>
                <w:b/>
                <w:i w:val="0"/>
                <w:color w:val="1C3A36"/>
                <w:sz w:val="19"/>
              </w:rPr>
              <w:t>8.4</w:t>
            </w:r>
          </w:p>
        </w:tc>
        <w:tc>
          <w:tcPr>
            <w:tcW w:type="dxa" w:w="1210"/>
            <w:shd w:val="clear" w:fill="C0A45F"/>
          </w:tcPr>
          <w:p>
            <w:pPr>
              <w:spacing w:after="20" w:before="20"/>
              <w:jc w:val="center"/>
            </w:pPr>
            <w:r/>
            <w:r>
              <w:rPr>
                <w:rFonts w:ascii="Carlito" w:hAnsi="Carlito"/>
                <w:b/>
                <w:i w:val="0"/>
                <w:color w:val="1C3A36"/>
                <w:sz w:val="19"/>
              </w:rPr>
              <w:t>10.4</w:t>
            </w:r>
          </w:p>
        </w:tc>
        <w:tc>
          <w:tcPr>
            <w:tcW w:type="dxa" w:w="1210"/>
            <w:shd w:val="clear" w:fill="C0A45F"/>
          </w:tcPr>
          <w:p>
            <w:pPr>
              <w:spacing w:after="20" w:before="20"/>
              <w:jc w:val="center"/>
            </w:pPr>
            <w:r/>
            <w:r>
              <w:rPr>
                <w:rFonts w:ascii="Carlito" w:hAnsi="Carlito"/>
                <w:b/>
                <w:i w:val="0"/>
                <w:color w:val="1C3A36"/>
                <w:sz w:val="19"/>
              </w:rPr>
              <w:t>12.2</w:t>
            </w:r>
          </w:p>
        </w:tc>
        <w:tc>
          <w:tcPr>
            <w:tcW w:type="dxa" w:w="1210"/>
            <w:shd w:val="clear" w:fill="C0A45F"/>
          </w:tcPr>
          <w:p>
            <w:pPr>
              <w:spacing w:after="20" w:before="20"/>
              <w:jc w:val="center"/>
            </w:pPr>
            <w:r/>
            <w:r>
              <w:rPr>
                <w:rFonts w:ascii="Carlito" w:hAnsi="Carlito"/>
                <w:b/>
                <w:i w:val="0"/>
                <w:color w:val="1C3A36"/>
                <w:sz w:val="19"/>
              </w:rPr>
              <w:t>13.9</w:t>
            </w:r>
          </w:p>
        </w:tc>
        <w:tc>
          <w:tcPr>
            <w:tcW w:type="dxa" w:w="1210"/>
            <w:shd w:val="clear" w:fill="C0A45F"/>
          </w:tcPr>
          <w:p>
            <w:pPr>
              <w:spacing w:after="20" w:before="20"/>
              <w:jc w:val="center"/>
            </w:pPr>
            <w:r/>
            <w:r>
              <w:rPr>
                <w:rFonts w:ascii="Carlito" w:hAnsi="Carlito"/>
                <w:b/>
                <w:i w:val="0"/>
                <w:color w:val="1C3A36"/>
                <w:sz w:val="19"/>
              </w:rPr>
              <w:t>15.3</w:t>
            </w:r>
          </w:p>
        </w:tc>
      </w:tr>
      <w:tr>
        <w:tc>
          <w:tcPr>
            <w:tcW w:type="dxa" w:w="3600"/>
          </w:tcPr>
          <w:p>
            <w:pPr>
              <w:spacing w:after="20" w:before="20"/>
              <w:jc w:val="left"/>
            </w:pPr>
            <w:r/>
            <w:r>
              <w:rPr>
                <w:rFonts w:ascii="Carlito" w:hAnsi="Carlito"/>
                <w:b w:val="0"/>
                <w:i w:val="0"/>
                <w:sz w:val="19"/>
              </w:rPr>
              <w:t xml:space="preserve">  Discount factor @ 9.75%</w:t>
            </w:r>
          </w:p>
        </w:tc>
        <w:tc>
          <w:tcPr>
            <w:tcW w:type="dxa" w:w="1210"/>
          </w:tcPr>
          <w:p>
            <w:pPr>
              <w:spacing w:after="20" w:before="20"/>
              <w:jc w:val="center"/>
            </w:pPr>
            <w:r/>
            <w:r>
              <w:rPr>
                <w:rFonts w:ascii="Carlito" w:hAnsi="Carlito"/>
                <w:b w:val="0"/>
                <w:i w:val="0"/>
                <w:sz w:val="19"/>
              </w:rPr>
              <w:t>0.911</w:t>
            </w:r>
          </w:p>
        </w:tc>
        <w:tc>
          <w:tcPr>
            <w:tcW w:type="dxa" w:w="1210"/>
          </w:tcPr>
          <w:p>
            <w:pPr>
              <w:spacing w:after="20" w:before="20"/>
              <w:jc w:val="center"/>
            </w:pPr>
            <w:r/>
            <w:r>
              <w:rPr>
                <w:rFonts w:ascii="Carlito" w:hAnsi="Carlito"/>
                <w:b w:val="0"/>
                <w:i w:val="0"/>
                <w:sz w:val="19"/>
              </w:rPr>
              <w:t>0.830</w:t>
            </w:r>
          </w:p>
        </w:tc>
        <w:tc>
          <w:tcPr>
            <w:tcW w:type="dxa" w:w="1210"/>
          </w:tcPr>
          <w:p>
            <w:pPr>
              <w:spacing w:after="20" w:before="20"/>
              <w:jc w:val="center"/>
            </w:pPr>
            <w:r/>
            <w:r>
              <w:rPr>
                <w:rFonts w:ascii="Carlito" w:hAnsi="Carlito"/>
                <w:b w:val="0"/>
                <w:i w:val="0"/>
                <w:sz w:val="19"/>
              </w:rPr>
              <w:t>0.756</w:t>
            </w:r>
          </w:p>
        </w:tc>
        <w:tc>
          <w:tcPr>
            <w:tcW w:type="dxa" w:w="1210"/>
          </w:tcPr>
          <w:p>
            <w:pPr>
              <w:spacing w:after="20" w:before="20"/>
              <w:jc w:val="center"/>
            </w:pPr>
            <w:r/>
            <w:r>
              <w:rPr>
                <w:rFonts w:ascii="Carlito" w:hAnsi="Carlito"/>
                <w:b w:val="0"/>
                <w:i w:val="0"/>
                <w:sz w:val="19"/>
              </w:rPr>
              <w:t>0.689</w:t>
            </w:r>
          </w:p>
        </w:tc>
        <w:tc>
          <w:tcPr>
            <w:tcW w:type="dxa" w:w="1210"/>
          </w:tcPr>
          <w:p>
            <w:pPr>
              <w:spacing w:after="20" w:before="20"/>
              <w:jc w:val="center"/>
            </w:pPr>
            <w:r/>
            <w:r>
              <w:rPr>
                <w:rFonts w:ascii="Carlito" w:hAnsi="Carlito"/>
                <w:b w:val="0"/>
                <w:i w:val="0"/>
                <w:sz w:val="19"/>
              </w:rPr>
              <w:t>0.628</w:t>
            </w:r>
          </w:p>
        </w:tc>
      </w:tr>
      <w:tr>
        <w:tc>
          <w:tcPr>
            <w:tcW w:type="dxa" w:w="3600"/>
          </w:tcPr>
          <w:p>
            <w:pPr>
              <w:spacing w:after="20" w:before="20"/>
              <w:jc w:val="left"/>
            </w:pPr>
            <w:r/>
            <w:r>
              <w:rPr>
                <w:rFonts w:ascii="Carlito" w:hAnsi="Carlito"/>
                <w:b w:val="0"/>
                <w:i w:val="0"/>
                <w:sz w:val="19"/>
              </w:rPr>
              <w:t>PV of FCFF</w:t>
            </w:r>
          </w:p>
        </w:tc>
        <w:tc>
          <w:tcPr>
            <w:tcW w:type="dxa" w:w="1210"/>
          </w:tcPr>
          <w:p>
            <w:pPr>
              <w:spacing w:after="20" w:before="20"/>
              <w:jc w:val="center"/>
            </w:pPr>
            <w:r/>
            <w:r>
              <w:rPr>
                <w:rFonts w:ascii="Carlito" w:hAnsi="Carlito"/>
                <w:b w:val="0"/>
                <w:i w:val="0"/>
                <w:sz w:val="19"/>
              </w:rPr>
              <w:t>7.6</w:t>
            </w:r>
          </w:p>
        </w:tc>
        <w:tc>
          <w:tcPr>
            <w:tcW w:type="dxa" w:w="1210"/>
          </w:tcPr>
          <w:p>
            <w:pPr>
              <w:spacing w:after="20" w:before="20"/>
              <w:jc w:val="center"/>
            </w:pPr>
            <w:r/>
            <w:r>
              <w:rPr>
                <w:rFonts w:ascii="Carlito" w:hAnsi="Carlito"/>
                <w:b w:val="0"/>
                <w:i w:val="0"/>
                <w:sz w:val="19"/>
              </w:rPr>
              <w:t>8.6</w:t>
            </w:r>
          </w:p>
        </w:tc>
        <w:tc>
          <w:tcPr>
            <w:tcW w:type="dxa" w:w="1210"/>
          </w:tcPr>
          <w:p>
            <w:pPr>
              <w:spacing w:after="20" w:before="20"/>
              <w:jc w:val="center"/>
            </w:pPr>
            <w:r/>
            <w:r>
              <w:rPr>
                <w:rFonts w:ascii="Carlito" w:hAnsi="Carlito"/>
                <w:b w:val="0"/>
                <w:i w:val="0"/>
                <w:sz w:val="19"/>
              </w:rPr>
              <w:t>9.3</w:t>
            </w:r>
          </w:p>
        </w:tc>
        <w:tc>
          <w:tcPr>
            <w:tcW w:type="dxa" w:w="1210"/>
          </w:tcPr>
          <w:p>
            <w:pPr>
              <w:spacing w:after="20" w:before="20"/>
              <w:jc w:val="center"/>
            </w:pPr>
            <w:r/>
            <w:r>
              <w:rPr>
                <w:rFonts w:ascii="Carlito" w:hAnsi="Carlito"/>
                <w:b w:val="0"/>
                <w:i w:val="0"/>
                <w:sz w:val="19"/>
              </w:rPr>
              <w:t>9.6</w:t>
            </w:r>
          </w:p>
        </w:tc>
        <w:tc>
          <w:tcPr>
            <w:tcW w:type="dxa" w:w="1210"/>
          </w:tcPr>
          <w:p>
            <w:pPr>
              <w:spacing w:after="20" w:before="20"/>
              <w:jc w:val="center"/>
            </w:pPr>
            <w:r/>
            <w:r>
              <w:rPr>
                <w:rFonts w:ascii="Carlito" w:hAnsi="Carlito"/>
                <w:b w:val="0"/>
                <w:i w:val="0"/>
                <w:sz w:val="19"/>
              </w:rPr>
              <w:t>9.6</w:t>
            </w:r>
          </w:p>
        </w:tc>
      </w:tr>
    </w:tbl>
    <w:p>
      <w:pPr>
        <w:spacing w:after="40"/>
      </w:pP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4320"/>
        <w:gridCol w:w="4320"/>
      </w:tblGrid>
      <w:tr>
        <w:tc>
          <w:tcPr>
            <w:tcW w:type="dxa" w:w="6624"/>
            <w:shd w:val="clear" w:fill="1C3A36"/>
          </w:tcPr>
          <w:p>
            <w:pPr>
              <w:spacing w:after="20" w:before="20"/>
              <w:jc w:val="left"/>
            </w:pPr>
            <w:r/>
            <w:r>
              <w:rPr>
                <w:rFonts w:ascii="Carlito" w:hAnsi="Carlito"/>
                <w:b/>
                <w:i w:val="0"/>
                <w:color w:val="FFFFFF"/>
                <w:sz w:val="19"/>
              </w:rPr>
              <w:t>Valuation bridge</w:t>
            </w:r>
          </w:p>
        </w:tc>
        <w:tc>
          <w:tcPr>
            <w:tcW w:type="dxa" w:w="1728"/>
            <w:shd w:val="clear" w:fill="1C3A36"/>
          </w:tcPr>
          <w:p>
            <w:pPr>
              <w:spacing w:after="20" w:before="20"/>
              <w:jc w:val="center"/>
            </w:pPr>
            <w:r/>
            <w:r>
              <w:rPr>
                <w:rFonts w:ascii="Carlito" w:hAnsi="Carlito"/>
                <w:b/>
                <w:i w:val="0"/>
                <w:color w:val="FFFFFF"/>
                <w:sz w:val="19"/>
              </w:rPr>
              <w:t>SAR bn</w:t>
            </w:r>
          </w:p>
        </w:tc>
      </w:tr>
      <w:tr>
        <w:tc>
          <w:tcPr>
            <w:tcW w:type="dxa" w:w="6624"/>
          </w:tcPr>
          <w:p>
            <w:pPr>
              <w:spacing w:after="20" w:before="20"/>
              <w:jc w:val="left"/>
            </w:pPr>
            <w:r/>
            <w:r>
              <w:rPr>
                <w:rFonts w:ascii="Carlito" w:hAnsi="Carlito"/>
                <w:b w:val="0"/>
                <w:i w:val="0"/>
                <w:sz w:val="19"/>
              </w:rPr>
              <w:t>Σ PV of explicit FCFF (2026–30)</w:t>
            </w:r>
          </w:p>
        </w:tc>
        <w:tc>
          <w:tcPr>
            <w:tcW w:type="dxa" w:w="1728"/>
          </w:tcPr>
          <w:p>
            <w:pPr>
              <w:spacing w:after="20" w:before="20"/>
              <w:jc w:val="center"/>
            </w:pPr>
            <w:r/>
            <w:r>
              <w:rPr>
                <w:rFonts w:ascii="Carlito" w:hAnsi="Carlito"/>
                <w:b w:val="0"/>
                <w:i w:val="0"/>
                <w:sz w:val="19"/>
              </w:rPr>
              <w:t>44.7</w:t>
            </w:r>
          </w:p>
        </w:tc>
      </w:tr>
      <w:tr>
        <w:tc>
          <w:tcPr>
            <w:tcW w:type="dxa" w:w="6624"/>
          </w:tcPr>
          <w:p>
            <w:pPr>
              <w:spacing w:after="20" w:before="20"/>
              <w:jc w:val="left"/>
            </w:pPr>
            <w:r/>
            <w:r>
              <w:rPr>
                <w:rFonts w:ascii="Carlito" w:hAnsi="Carlito"/>
                <w:b w:val="0"/>
                <w:i w:val="0"/>
                <w:sz w:val="19"/>
              </w:rPr>
              <w:t>Terminal value = FCFF₂₀₃₀ × (1+g) / (WACC − g)</w:t>
            </w:r>
          </w:p>
        </w:tc>
        <w:tc>
          <w:tcPr>
            <w:tcW w:type="dxa" w:w="1728"/>
          </w:tcPr>
          <w:p>
            <w:pPr>
              <w:spacing w:after="20" w:before="20"/>
              <w:jc w:val="center"/>
            </w:pPr>
            <w:r/>
            <w:r>
              <w:rPr>
                <w:rFonts w:ascii="Carlito" w:hAnsi="Carlito"/>
                <w:b w:val="0"/>
                <w:i w:val="0"/>
                <w:sz w:val="19"/>
              </w:rPr>
              <w:t>216.7</w:t>
            </w:r>
          </w:p>
        </w:tc>
      </w:tr>
      <w:tr>
        <w:tc>
          <w:tcPr>
            <w:tcW w:type="dxa" w:w="6624"/>
          </w:tcPr>
          <w:p>
            <w:pPr>
              <w:spacing w:after="20" w:before="20"/>
              <w:jc w:val="left"/>
            </w:pPr>
            <w:r/>
            <w:r>
              <w:rPr>
                <w:rFonts w:ascii="Carlito" w:hAnsi="Carlito"/>
                <w:b w:val="0"/>
                <w:i w:val="0"/>
                <w:sz w:val="19"/>
              </w:rPr>
              <w:t>PV of terminal value</w:t>
            </w:r>
          </w:p>
        </w:tc>
        <w:tc>
          <w:tcPr>
            <w:tcW w:type="dxa" w:w="1728"/>
          </w:tcPr>
          <w:p>
            <w:pPr>
              <w:spacing w:after="20" w:before="20"/>
              <w:jc w:val="center"/>
            </w:pPr>
            <w:r/>
            <w:r>
              <w:rPr>
                <w:rFonts w:ascii="Carlito" w:hAnsi="Carlito"/>
                <w:b w:val="0"/>
                <w:i w:val="0"/>
                <w:sz w:val="19"/>
              </w:rPr>
              <w:t>136.1</w:t>
            </w:r>
          </w:p>
        </w:tc>
      </w:tr>
      <w:tr>
        <w:tc>
          <w:tcPr>
            <w:tcW w:type="dxa" w:w="6624"/>
          </w:tcPr>
          <w:p>
            <w:pPr>
              <w:spacing w:after="20" w:before="20"/>
              <w:jc w:val="left"/>
            </w:pPr>
            <w:r/>
            <w:r>
              <w:rPr>
                <w:rFonts w:ascii="Carlito" w:hAnsi="Carlito"/>
                <w:b w:val="0"/>
                <w:i w:val="0"/>
                <w:sz w:val="19"/>
              </w:rPr>
              <w:t>Enterprise value (EV)</w:t>
            </w:r>
          </w:p>
        </w:tc>
        <w:tc>
          <w:tcPr>
            <w:tcW w:type="dxa" w:w="1728"/>
          </w:tcPr>
          <w:p>
            <w:pPr>
              <w:spacing w:after="20" w:before="20"/>
              <w:jc w:val="center"/>
            </w:pPr>
            <w:r/>
            <w:r>
              <w:rPr>
                <w:rFonts w:ascii="Carlito" w:hAnsi="Carlito"/>
                <w:b w:val="0"/>
                <w:i w:val="0"/>
                <w:sz w:val="19"/>
              </w:rPr>
              <w:t>180.8</w:t>
            </w:r>
          </w:p>
        </w:tc>
      </w:tr>
      <w:tr>
        <w:tc>
          <w:tcPr>
            <w:tcW w:type="dxa" w:w="6624"/>
          </w:tcPr>
          <w:p>
            <w:pPr>
              <w:spacing w:after="20" w:before="20"/>
              <w:jc w:val="left"/>
            </w:pPr>
            <w:r/>
            <w:r>
              <w:rPr>
                <w:rFonts w:ascii="Carlito" w:hAnsi="Carlito"/>
                <w:b w:val="0"/>
                <w:i w:val="0"/>
                <w:sz w:val="19"/>
              </w:rPr>
              <w:t xml:space="preserve">   TV as % of EV  (device A-7 — disclosed &amp; sensitized)</w:t>
            </w:r>
          </w:p>
        </w:tc>
        <w:tc>
          <w:tcPr>
            <w:tcW w:type="dxa" w:w="1728"/>
          </w:tcPr>
          <w:p>
            <w:pPr>
              <w:spacing w:after="20" w:before="20"/>
              <w:jc w:val="center"/>
            </w:pPr>
            <w:r/>
            <w:r>
              <w:rPr>
                <w:rFonts w:ascii="Carlito" w:hAnsi="Carlito"/>
                <w:b w:val="0"/>
                <w:i w:val="0"/>
                <w:sz w:val="19"/>
              </w:rPr>
              <w:t>75.3%</w:t>
            </w:r>
          </w:p>
        </w:tc>
      </w:tr>
      <w:tr>
        <w:tc>
          <w:tcPr>
            <w:tcW w:type="dxa" w:w="6624"/>
          </w:tcPr>
          <w:p>
            <w:pPr>
              <w:spacing w:after="20" w:before="20"/>
              <w:jc w:val="left"/>
            </w:pPr>
            <w:r/>
            <w:r>
              <w:rPr>
                <w:rFonts w:ascii="Carlito" w:hAnsi="Carlito"/>
                <w:b w:val="0"/>
                <w:i w:val="0"/>
                <w:sz w:val="19"/>
              </w:rPr>
              <w:t>less: net debt</w:t>
            </w:r>
          </w:p>
        </w:tc>
        <w:tc>
          <w:tcPr>
            <w:tcW w:type="dxa" w:w="1728"/>
          </w:tcPr>
          <w:p>
            <w:pPr>
              <w:spacing w:after="20" w:before="20"/>
              <w:jc w:val="center"/>
            </w:pPr>
            <w:r/>
            <w:r>
              <w:rPr>
                <w:rFonts w:ascii="Carlito" w:hAnsi="Carlito"/>
                <w:b w:val="0"/>
                <w:i w:val="0"/>
                <w:sz w:val="19"/>
              </w:rPr>
              <w:t>0.0</w:t>
            </w:r>
          </w:p>
        </w:tc>
      </w:tr>
      <w:tr>
        <w:tc>
          <w:tcPr>
            <w:tcW w:type="dxa" w:w="6624"/>
          </w:tcPr>
          <w:p>
            <w:pPr>
              <w:spacing w:after="20" w:before="20"/>
              <w:jc w:val="left"/>
            </w:pPr>
            <w:r/>
            <w:r>
              <w:rPr>
                <w:rFonts w:ascii="Carlito" w:hAnsi="Carlito"/>
                <w:b w:val="0"/>
                <w:i w:val="0"/>
                <w:sz w:val="19"/>
              </w:rPr>
              <w:t>Equity value</w:t>
            </w:r>
          </w:p>
        </w:tc>
        <w:tc>
          <w:tcPr>
            <w:tcW w:type="dxa" w:w="1728"/>
          </w:tcPr>
          <w:p>
            <w:pPr>
              <w:spacing w:after="20" w:before="20"/>
              <w:jc w:val="center"/>
            </w:pPr>
            <w:r/>
            <w:r>
              <w:rPr>
                <w:rFonts w:ascii="Carlito" w:hAnsi="Carlito"/>
                <w:b w:val="0"/>
                <w:i w:val="0"/>
                <w:sz w:val="19"/>
              </w:rPr>
              <w:t>180.8</w:t>
            </w:r>
          </w:p>
        </w:tc>
      </w:tr>
      <w:tr>
        <w:tc>
          <w:tcPr>
            <w:tcW w:type="dxa" w:w="6624"/>
            <w:shd w:val="clear" w:fill="C0A45F"/>
          </w:tcPr>
          <w:p>
            <w:pPr>
              <w:spacing w:after="20" w:before="20"/>
              <w:jc w:val="left"/>
            </w:pPr>
            <w:r/>
            <w:r>
              <w:rPr>
                <w:rFonts w:ascii="Carlito" w:hAnsi="Carlito"/>
                <w:b/>
                <w:i w:val="0"/>
                <w:color w:val="1C3A36"/>
                <w:sz w:val="19"/>
              </w:rPr>
              <w:t>Per share (SAR)</w:t>
            </w:r>
          </w:p>
        </w:tc>
        <w:tc>
          <w:tcPr>
            <w:tcW w:type="dxa" w:w="1728"/>
            <w:shd w:val="clear" w:fill="C0A45F"/>
          </w:tcPr>
          <w:p>
            <w:pPr>
              <w:spacing w:after="20" w:before="20"/>
              <w:jc w:val="center"/>
            </w:pPr>
            <w:r/>
            <w:r>
              <w:rPr>
                <w:rFonts w:ascii="Carlito" w:hAnsi="Carlito"/>
                <w:b/>
                <w:i w:val="0"/>
                <w:color w:val="1C3A36"/>
                <w:sz w:val="19"/>
              </w:rPr>
              <w:t>60.26</w:t>
            </w:r>
          </w:p>
        </w:tc>
      </w:tr>
      <w:tr>
        <w:tc>
          <w:tcPr>
            <w:tcW w:type="dxa" w:w="6624"/>
          </w:tcPr>
          <w:p>
            <w:pPr>
              <w:spacing w:after="20" w:before="20"/>
              <w:jc w:val="left"/>
            </w:pPr>
            <w:r/>
            <w:r>
              <w:rPr>
                <w:rFonts w:ascii="Carlito" w:hAnsi="Carlito"/>
                <w:b w:val="0"/>
                <w:i w:val="0"/>
                <w:sz w:val="19"/>
              </w:rPr>
              <w:t>vs spot</w:t>
            </w:r>
          </w:p>
        </w:tc>
        <w:tc>
          <w:tcPr>
            <w:tcW w:type="dxa" w:w="1728"/>
          </w:tcPr>
          <w:p>
            <w:pPr>
              <w:spacing w:after="20" w:before="20"/>
              <w:jc w:val="center"/>
            </w:pPr>
            <w:r/>
            <w:r>
              <w:rPr>
                <w:rFonts w:ascii="Carlito" w:hAnsi="Carlito"/>
                <w:b w:val="0"/>
                <w:i w:val="0"/>
                <w:sz w:val="19"/>
              </w:rPr>
              <w:t>+16.3%</w:t>
            </w:r>
          </w:p>
        </w:tc>
      </w:tr>
    </w:tbl>
    <w:p>
      <w:pPr>
        <w:spacing w:after="40"/>
      </w:pPr>
    </w:p>
    <w:p>
      <w:r>
        <w:rPr>
          <w:rFonts w:ascii="Carlito" w:hAnsi="Carlito"/>
          <w:i w:val="0"/>
          <w:sz w:val="21"/>
        </w:rPr>
        <w:t>The DCF base of SAR 60.3 sits above spot and above the weighted central, and it is deliberately the recovery lens. Its terminal value is ~75% of EV — high, as any commodity DCF on a normalizing margin will be — so §1.7 discloses that dependency and §1.9 sensitizes it directly on both the WACC × g grid and the margin × multiple grid. The bear/base/bull DCF span is SAR 36.2 / 60.3 / 96.2, driven almost entirely by the mid-cycle margin and the discount rate.</w:t>
      </w:r>
    </w:p>
    <w:p>
      <w:pPr>
        <w:spacing w:before="200" w:after="60"/>
      </w:pPr>
      <w:r>
        <w:rPr>
          <w:rFonts w:ascii="Carlito" w:hAnsi="Carlito"/>
          <w:b/>
          <w:color w:val="896F36"/>
          <w:sz w:val="23"/>
        </w:rPr>
        <w:t>1.2  EV/EBITDA relative multiples — the cross-check</w:t>
      </w:r>
    </w:p>
    <w:p>
      <w:r>
        <w:rPr>
          <w:rFonts w:ascii="Carlito" w:hAnsi="Carlito"/>
          <w:i w:val="0"/>
          <w:sz w:val="21"/>
        </w:rPr>
        <w:t>On its own trough numbers SABIC screens neither cheap nor dear: 2025 adjusted EBITDA of ~SAR 17.9 bn against an enterprise value of ~SAR 155 bn is ~8.7× — elevated because the denominator is depressed. Normalized on a mid-cycle ~SAR 22.0 bn the same EV is ~7.0×, in line with global integrated-petrochemical peers (Dow, LyondellBasell, Westlake trade ~6–8×). We mark the relative lens on both the trough print (the floor) and the mid-cycle number.</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2160"/>
        <w:gridCol w:w="2160"/>
        <w:gridCol w:w="2160"/>
        <w:gridCol w:w="2160"/>
      </w:tblGrid>
      <w:tr>
        <w:tc>
          <w:tcPr>
            <w:tcW w:type="dxa" w:w="4464"/>
            <w:shd w:val="clear" w:fill="1C3A36"/>
          </w:tcPr>
          <w:p>
            <w:pPr>
              <w:spacing w:after="20" w:before="20"/>
              <w:jc w:val="left"/>
            </w:pPr>
            <w:r/>
            <w:r>
              <w:rPr>
                <w:rFonts w:ascii="Carlito" w:hAnsi="Carlito"/>
                <w:b/>
                <w:i w:val="0"/>
                <w:color w:val="FFFFFF"/>
                <w:sz w:val="19"/>
              </w:rPr>
              <w:t>Relative basis</w:t>
            </w:r>
          </w:p>
        </w:tc>
        <w:tc>
          <w:tcPr>
            <w:tcW w:type="dxa" w:w="1728"/>
            <w:shd w:val="clear" w:fill="1C3A36"/>
          </w:tcPr>
          <w:p>
            <w:pPr>
              <w:spacing w:after="20" w:before="20"/>
              <w:jc w:val="center"/>
            </w:pPr>
            <w:r/>
            <w:r>
              <w:rPr>
                <w:rFonts w:ascii="Carlito" w:hAnsi="Carlito"/>
                <w:b/>
                <w:i w:val="0"/>
                <w:color w:val="FFFFFF"/>
                <w:sz w:val="19"/>
              </w:rPr>
              <w:t>Bear</w:t>
            </w:r>
          </w:p>
        </w:tc>
        <w:tc>
          <w:tcPr>
            <w:tcW w:type="dxa" w:w="1728"/>
            <w:shd w:val="clear" w:fill="1C3A36"/>
          </w:tcPr>
          <w:p>
            <w:pPr>
              <w:spacing w:after="20" w:before="20"/>
              <w:jc w:val="center"/>
            </w:pPr>
            <w:r/>
            <w:r>
              <w:rPr>
                <w:rFonts w:ascii="Carlito" w:hAnsi="Carlito"/>
                <w:b/>
                <w:i w:val="0"/>
                <w:color w:val="FFFFFF"/>
                <w:sz w:val="19"/>
              </w:rPr>
              <w:t>Base</w:t>
            </w:r>
          </w:p>
        </w:tc>
        <w:tc>
          <w:tcPr>
            <w:tcW w:type="dxa" w:w="1728"/>
            <w:shd w:val="clear" w:fill="1C3A36"/>
          </w:tcPr>
          <w:p>
            <w:pPr>
              <w:spacing w:after="20" w:before="20"/>
              <w:jc w:val="center"/>
            </w:pPr>
            <w:r/>
            <w:r>
              <w:rPr>
                <w:rFonts w:ascii="Carlito" w:hAnsi="Carlito"/>
                <w:b/>
                <w:i w:val="0"/>
                <w:color w:val="FFFFFF"/>
                <w:sz w:val="19"/>
              </w:rPr>
              <w:t>Bull</w:t>
            </w:r>
          </w:p>
        </w:tc>
      </w:tr>
      <w:tr>
        <w:tc>
          <w:tcPr>
            <w:tcW w:type="dxa" w:w="4464"/>
          </w:tcPr>
          <w:p>
            <w:pPr>
              <w:spacing w:after="20" w:before="20"/>
              <w:jc w:val="left"/>
            </w:pPr>
            <w:r/>
            <w:r>
              <w:rPr>
                <w:rFonts w:ascii="Carlito" w:hAnsi="Carlito"/>
                <w:b w:val="0"/>
                <w:i w:val="0"/>
                <w:sz w:val="19"/>
              </w:rPr>
              <w:t>Normalized EBITDA (SAR bn)</w:t>
            </w:r>
          </w:p>
        </w:tc>
        <w:tc>
          <w:tcPr>
            <w:tcW w:type="dxa" w:w="1728"/>
          </w:tcPr>
          <w:p>
            <w:pPr>
              <w:spacing w:after="20" w:before="20"/>
              <w:jc w:val="center"/>
            </w:pPr>
            <w:r/>
            <w:r>
              <w:rPr>
                <w:rFonts w:ascii="Carlito" w:hAnsi="Carlito"/>
                <w:b w:val="0"/>
                <w:i w:val="0"/>
                <w:sz w:val="19"/>
              </w:rPr>
              <w:t>17.9 (trough)</w:t>
            </w:r>
          </w:p>
        </w:tc>
        <w:tc>
          <w:tcPr>
            <w:tcW w:type="dxa" w:w="1728"/>
          </w:tcPr>
          <w:p>
            <w:pPr>
              <w:spacing w:after="20" w:before="20"/>
              <w:jc w:val="center"/>
            </w:pPr>
            <w:r/>
            <w:r>
              <w:rPr>
                <w:rFonts w:ascii="Carlito" w:hAnsi="Carlito"/>
                <w:b w:val="0"/>
                <w:i w:val="0"/>
                <w:sz w:val="19"/>
              </w:rPr>
              <w:t>22.0 (mid)</w:t>
            </w:r>
          </w:p>
        </w:tc>
        <w:tc>
          <w:tcPr>
            <w:tcW w:type="dxa" w:w="1728"/>
          </w:tcPr>
          <w:p>
            <w:pPr>
              <w:spacing w:after="20" w:before="20"/>
              <w:jc w:val="center"/>
            </w:pPr>
            <w:r/>
            <w:r>
              <w:rPr>
                <w:rFonts w:ascii="Carlito" w:hAnsi="Carlito"/>
                <w:b w:val="0"/>
                <w:i w:val="0"/>
                <w:sz w:val="19"/>
              </w:rPr>
              <w:t>24.0</w:t>
            </w:r>
          </w:p>
        </w:tc>
      </w:tr>
      <w:tr>
        <w:tc>
          <w:tcPr>
            <w:tcW w:type="dxa" w:w="4464"/>
          </w:tcPr>
          <w:p>
            <w:pPr>
              <w:spacing w:after="20" w:before="20"/>
              <w:jc w:val="left"/>
            </w:pPr>
            <w:r/>
            <w:r>
              <w:rPr>
                <w:rFonts w:ascii="Carlito" w:hAnsi="Carlito"/>
                <w:b w:val="0"/>
                <w:i w:val="0"/>
                <w:sz w:val="19"/>
              </w:rPr>
              <w:t>EV/EBITDA multiple</w:t>
            </w:r>
          </w:p>
        </w:tc>
        <w:tc>
          <w:tcPr>
            <w:tcW w:type="dxa" w:w="1728"/>
          </w:tcPr>
          <w:p>
            <w:pPr>
              <w:spacing w:after="20" w:before="20"/>
              <w:jc w:val="center"/>
            </w:pPr>
            <w:r/>
            <w:r>
              <w:rPr>
                <w:rFonts w:ascii="Carlito" w:hAnsi="Carlito"/>
                <w:b w:val="0"/>
                <w:i w:val="0"/>
                <w:sz w:val="19"/>
              </w:rPr>
              <w:t>6.5×</w:t>
            </w:r>
          </w:p>
        </w:tc>
        <w:tc>
          <w:tcPr>
            <w:tcW w:type="dxa" w:w="1728"/>
          </w:tcPr>
          <w:p>
            <w:pPr>
              <w:spacing w:after="20" w:before="20"/>
              <w:jc w:val="center"/>
            </w:pPr>
            <w:r/>
            <w:r>
              <w:rPr>
                <w:rFonts w:ascii="Carlito" w:hAnsi="Carlito"/>
                <w:b w:val="0"/>
                <w:i w:val="0"/>
                <w:sz w:val="19"/>
              </w:rPr>
              <w:t>7.0×</w:t>
            </w:r>
          </w:p>
        </w:tc>
        <w:tc>
          <w:tcPr>
            <w:tcW w:type="dxa" w:w="1728"/>
          </w:tcPr>
          <w:p>
            <w:pPr>
              <w:spacing w:after="20" w:before="20"/>
              <w:jc w:val="center"/>
            </w:pPr>
            <w:r/>
            <w:r>
              <w:rPr>
                <w:rFonts w:ascii="Carlito" w:hAnsi="Carlito"/>
                <w:b w:val="0"/>
                <w:i w:val="0"/>
                <w:sz w:val="19"/>
              </w:rPr>
              <w:t>7.5×</w:t>
            </w:r>
          </w:p>
        </w:tc>
      </w:tr>
      <w:tr>
        <w:tc>
          <w:tcPr>
            <w:tcW w:type="dxa" w:w="4464"/>
          </w:tcPr>
          <w:p>
            <w:pPr>
              <w:spacing w:after="20" w:before="20"/>
              <w:jc w:val="left"/>
            </w:pPr>
            <w:r/>
            <w:r>
              <w:rPr>
                <w:rFonts w:ascii="Carlito" w:hAnsi="Carlito"/>
                <w:b w:val="0"/>
                <w:i w:val="0"/>
                <w:sz w:val="19"/>
              </w:rPr>
              <w:t>Implied fair value (SAR/share)</w:t>
            </w:r>
          </w:p>
        </w:tc>
        <w:tc>
          <w:tcPr>
            <w:tcW w:type="dxa" w:w="1728"/>
          </w:tcPr>
          <w:p>
            <w:pPr>
              <w:spacing w:after="20" w:before="20"/>
              <w:jc w:val="center"/>
            </w:pPr>
            <w:r/>
            <w:r>
              <w:rPr>
                <w:rFonts w:ascii="Carlito" w:hAnsi="Carlito"/>
                <w:b w:val="0"/>
                <w:i w:val="0"/>
                <w:sz w:val="19"/>
              </w:rPr>
              <w:t>41.7</w:t>
            </w:r>
          </w:p>
        </w:tc>
        <w:tc>
          <w:tcPr>
            <w:tcW w:type="dxa" w:w="1728"/>
          </w:tcPr>
          <w:p>
            <w:pPr>
              <w:spacing w:after="20" w:before="20"/>
              <w:jc w:val="center"/>
            </w:pPr>
            <w:r/>
            <w:r>
              <w:rPr>
                <w:rFonts w:ascii="Carlito" w:hAnsi="Carlito"/>
                <w:b w:val="0"/>
                <w:i w:val="0"/>
                <w:sz w:val="19"/>
              </w:rPr>
              <w:t>51.3</w:t>
            </w:r>
          </w:p>
        </w:tc>
        <w:tc>
          <w:tcPr>
            <w:tcW w:type="dxa" w:w="1728"/>
          </w:tcPr>
          <w:p>
            <w:pPr>
              <w:spacing w:after="20" w:before="20"/>
              <w:jc w:val="center"/>
            </w:pPr>
            <w:r/>
            <w:r>
              <w:rPr>
                <w:rFonts w:ascii="Carlito" w:hAnsi="Carlito"/>
                <w:b w:val="0"/>
                <w:i w:val="0"/>
                <w:sz w:val="19"/>
              </w:rPr>
              <w:t>57.5</w:t>
            </w:r>
          </w:p>
        </w:tc>
      </w:tr>
    </w:tbl>
    <w:p>
      <w:pPr>
        <w:spacing w:after="40"/>
      </w:pPr>
    </w:p>
    <w:p>
      <w:r>
        <w:rPr>
          <w:rFonts w:ascii="Carlito" w:hAnsi="Carlito"/>
          <w:i w:val="0"/>
          <w:sz w:val="21"/>
        </w:rPr>
        <w:t>Relative base ≈ SAR 47.8 (blend of trough-floor and mid-cycle), the most conservative central lens. It treats SABIC as a cyclical commodity producer earning a peer multiple, and assigns no separate premium for the Aramco feedstock relationship or the agri-nutrients franchise.</w:t>
      </w:r>
    </w:p>
    <w:p>
      <w:pPr>
        <w:spacing w:before="200" w:after="60"/>
      </w:pPr>
      <w:r>
        <w:rPr>
          <w:rFonts w:ascii="Carlito" w:hAnsi="Carlito"/>
          <w:b/>
          <w:color w:val="896F36"/>
          <w:sz w:val="23"/>
        </w:rPr>
        <w:t>1.3  Asset / replacement (P/B) and normalized-dividend reads</w:t>
      </w:r>
    </w:p>
    <w:p>
      <w:r>
        <w:rPr>
          <w:rFonts w:ascii="Carlito" w:hAnsi="Carlito"/>
          <w:i w:val="0"/>
          <w:sz w:val="21"/>
        </w:rPr>
        <w:t>Two balance-sheet-anchored reads bracket the operating lenses. On book, SABIC trades at ~1.21× a 2025 BVPS of SAR 42.9 — but 2025 book was itself cut by the non-cash writedowns, so replacement value of the petrochemical asset base arguably sits above reported book. A justified 1.2× (mid-cycle ROE modestly above cost of equity) gives SAR 51.5; the 1.0–1.35× range spans SAR 42.9–57.9. On dividends, the SAR 3.00 payout is covered by mid-cycle free cash (2025 FCF was SAR 7.2 bn against ~SAR 9 bn paid — thin at the trough, comfortable mid-cycle); a normalized SAR 3.10 against a 5.5% target yield gives SAR 56.4.</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2160"/>
        <w:gridCol w:w="2160"/>
        <w:gridCol w:w="2160"/>
        <w:gridCol w:w="2160"/>
      </w:tblGrid>
      <w:tr>
        <w:tc>
          <w:tcPr>
            <w:tcW w:type="dxa" w:w="4320"/>
            <w:shd w:val="clear" w:fill="1C3A36"/>
          </w:tcPr>
          <w:p>
            <w:pPr>
              <w:spacing w:after="20" w:before="20"/>
              <w:jc w:val="left"/>
            </w:pPr>
            <w:r/>
            <w:r>
              <w:rPr>
                <w:rFonts w:ascii="Carlito" w:hAnsi="Carlito"/>
                <w:b/>
                <w:i w:val="0"/>
                <w:color w:val="FFFFFF"/>
                <w:sz w:val="19"/>
              </w:rPr>
              <w:t>Balance-sheet / income read</w:t>
            </w:r>
          </w:p>
        </w:tc>
        <w:tc>
          <w:tcPr>
            <w:tcW w:type="dxa" w:w="1296"/>
            <w:shd w:val="clear" w:fill="1C3A36"/>
          </w:tcPr>
          <w:p>
            <w:pPr>
              <w:spacing w:after="20" w:before="20"/>
              <w:jc w:val="center"/>
            </w:pPr>
            <w:r/>
            <w:r>
              <w:rPr>
                <w:rFonts w:ascii="Carlito" w:hAnsi="Carlito"/>
                <w:b/>
                <w:i w:val="0"/>
                <w:color w:val="FFFFFF"/>
                <w:sz w:val="19"/>
              </w:rPr>
              <w:t>Value</w:t>
            </w:r>
          </w:p>
        </w:tc>
        <w:tc>
          <w:tcPr>
            <w:tcW w:type="dxa" w:w="1728"/>
            <w:shd w:val="clear" w:fill="1C3A36"/>
          </w:tcPr>
          <w:p>
            <w:pPr>
              <w:spacing w:after="20" w:before="20"/>
              <w:jc w:val="center"/>
            </w:pPr>
            <w:r/>
            <w:r>
              <w:rPr>
                <w:rFonts w:ascii="Carlito" w:hAnsi="Carlito"/>
                <w:b/>
                <w:i w:val="0"/>
                <w:color w:val="FFFFFF"/>
                <w:sz w:val="19"/>
              </w:rPr>
              <w:t>Implied SAR/share</w:t>
            </w:r>
          </w:p>
        </w:tc>
        <w:tc>
          <w:tcPr>
            <w:tcW w:type="dxa" w:w="2304"/>
            <w:shd w:val="clear" w:fill="1C3A36"/>
          </w:tcPr>
          <w:p>
            <w:pPr>
              <w:spacing w:after="20" w:before="20"/>
              <w:jc w:val="center"/>
            </w:pPr>
            <w:r/>
            <w:r>
              <w:rPr>
                <w:rFonts w:ascii="Carlito" w:hAnsi="Carlito"/>
                <w:b/>
                <w:i w:val="0"/>
                <w:color w:val="FFFFFF"/>
                <w:sz w:val="19"/>
              </w:rPr>
              <w:t>Note</w:t>
            </w:r>
          </w:p>
        </w:tc>
      </w:tr>
      <w:tr>
        <w:tc>
          <w:tcPr>
            <w:tcW w:type="dxa" w:w="4320"/>
          </w:tcPr>
          <w:p>
            <w:pPr>
              <w:spacing w:after="20" w:before="20"/>
              <w:jc w:val="left"/>
            </w:pPr>
            <w:r/>
            <w:r>
              <w:rPr>
                <w:rFonts w:ascii="Carlito" w:hAnsi="Carlito"/>
                <w:b w:val="0"/>
                <w:i w:val="0"/>
                <w:sz w:val="19"/>
              </w:rPr>
              <w:t>P/B — book anchor</w:t>
            </w:r>
          </w:p>
        </w:tc>
        <w:tc>
          <w:tcPr>
            <w:tcW w:type="dxa" w:w="1296"/>
          </w:tcPr>
          <w:p>
            <w:pPr>
              <w:spacing w:after="20" w:before="20"/>
              <w:jc w:val="center"/>
            </w:pPr>
            <w:r/>
            <w:r>
              <w:rPr>
                <w:rFonts w:ascii="Carlito" w:hAnsi="Carlito"/>
                <w:b w:val="0"/>
                <w:i w:val="0"/>
                <w:sz w:val="19"/>
              </w:rPr>
              <w:t>1.0×</w:t>
            </w:r>
          </w:p>
        </w:tc>
        <w:tc>
          <w:tcPr>
            <w:tcW w:type="dxa" w:w="1728"/>
          </w:tcPr>
          <w:p>
            <w:pPr>
              <w:spacing w:after="20" w:before="20"/>
              <w:jc w:val="center"/>
            </w:pPr>
            <w:r/>
            <w:r>
              <w:rPr>
                <w:rFonts w:ascii="Carlito" w:hAnsi="Carlito"/>
                <w:b w:val="0"/>
                <w:i w:val="0"/>
                <w:sz w:val="19"/>
              </w:rPr>
              <w:t>42.9</w:t>
            </w:r>
          </w:p>
        </w:tc>
        <w:tc>
          <w:tcPr>
            <w:tcW w:type="dxa" w:w="2304"/>
          </w:tcPr>
          <w:p>
            <w:pPr>
              <w:spacing w:after="20" w:before="20"/>
              <w:jc w:val="center"/>
            </w:pPr>
            <w:r/>
            <w:r>
              <w:rPr>
                <w:rFonts w:ascii="Carlito" w:hAnsi="Carlito"/>
                <w:b w:val="0"/>
                <w:i w:val="0"/>
                <w:sz w:val="19"/>
              </w:rPr>
              <w:t>spot P/B 1.21×; 2025 book cut by writedowns</w:t>
            </w:r>
          </w:p>
        </w:tc>
      </w:tr>
      <w:tr>
        <w:tc>
          <w:tcPr>
            <w:tcW w:type="dxa" w:w="4320"/>
          </w:tcPr>
          <w:p>
            <w:pPr>
              <w:spacing w:after="20" w:before="20"/>
              <w:jc w:val="left"/>
            </w:pPr>
            <w:r/>
            <w:r>
              <w:rPr>
                <w:rFonts w:ascii="Carlito" w:hAnsi="Carlito"/>
                <w:b w:val="0"/>
                <w:i w:val="0"/>
                <w:sz w:val="19"/>
              </w:rPr>
              <w:t>P/B — justified mid-cycle</w:t>
            </w:r>
          </w:p>
        </w:tc>
        <w:tc>
          <w:tcPr>
            <w:tcW w:type="dxa" w:w="1296"/>
          </w:tcPr>
          <w:p>
            <w:pPr>
              <w:spacing w:after="20" w:before="20"/>
              <w:jc w:val="center"/>
            </w:pPr>
            <w:r/>
            <w:r>
              <w:rPr>
                <w:rFonts w:ascii="Carlito" w:hAnsi="Carlito"/>
                <w:b w:val="0"/>
                <w:i w:val="0"/>
                <w:sz w:val="19"/>
              </w:rPr>
              <w:t>1.2×</w:t>
            </w:r>
          </w:p>
        </w:tc>
        <w:tc>
          <w:tcPr>
            <w:tcW w:type="dxa" w:w="1728"/>
          </w:tcPr>
          <w:p>
            <w:pPr>
              <w:spacing w:after="20" w:before="20"/>
              <w:jc w:val="center"/>
            </w:pPr>
            <w:r/>
            <w:r>
              <w:rPr>
                <w:rFonts w:ascii="Carlito" w:hAnsi="Carlito"/>
                <w:b w:val="0"/>
                <w:i w:val="0"/>
                <w:sz w:val="19"/>
              </w:rPr>
              <w:t>51.5</w:t>
            </w:r>
          </w:p>
        </w:tc>
        <w:tc>
          <w:tcPr>
            <w:tcW w:type="dxa" w:w="2304"/>
          </w:tcPr>
          <w:p>
            <w:pPr>
              <w:spacing w:after="20" w:before="20"/>
              <w:jc w:val="center"/>
            </w:pPr>
            <w:r/>
            <w:r>
              <w:rPr>
                <w:rFonts w:ascii="Carlito" w:hAnsi="Carlito"/>
                <w:b w:val="0"/>
                <w:i w:val="0"/>
                <w:sz w:val="19"/>
              </w:rPr>
              <w:t>ROE recovers above cost of equity</w:t>
            </w:r>
          </w:p>
        </w:tc>
      </w:tr>
      <w:tr>
        <w:tc>
          <w:tcPr>
            <w:tcW w:type="dxa" w:w="4320"/>
          </w:tcPr>
          <w:p>
            <w:pPr>
              <w:spacing w:after="20" w:before="20"/>
              <w:jc w:val="left"/>
            </w:pPr>
            <w:r/>
            <w:r>
              <w:rPr>
                <w:rFonts w:ascii="Carlito" w:hAnsi="Carlito"/>
                <w:b w:val="0"/>
                <w:i w:val="0"/>
                <w:sz w:val="19"/>
              </w:rPr>
              <w:t>P/B — replacement premium</w:t>
            </w:r>
          </w:p>
        </w:tc>
        <w:tc>
          <w:tcPr>
            <w:tcW w:type="dxa" w:w="1296"/>
          </w:tcPr>
          <w:p>
            <w:pPr>
              <w:spacing w:after="20" w:before="20"/>
              <w:jc w:val="center"/>
            </w:pPr>
            <w:r/>
            <w:r>
              <w:rPr>
                <w:rFonts w:ascii="Carlito" w:hAnsi="Carlito"/>
                <w:b w:val="0"/>
                <w:i w:val="0"/>
                <w:sz w:val="19"/>
              </w:rPr>
              <w:t>1.35×</w:t>
            </w:r>
          </w:p>
        </w:tc>
        <w:tc>
          <w:tcPr>
            <w:tcW w:type="dxa" w:w="1728"/>
          </w:tcPr>
          <w:p>
            <w:pPr>
              <w:spacing w:after="20" w:before="20"/>
              <w:jc w:val="center"/>
            </w:pPr>
            <w:r/>
            <w:r>
              <w:rPr>
                <w:rFonts w:ascii="Carlito" w:hAnsi="Carlito"/>
                <w:b w:val="0"/>
                <w:i w:val="0"/>
                <w:sz w:val="19"/>
              </w:rPr>
              <w:t>57.9</w:t>
            </w:r>
          </w:p>
        </w:tc>
        <w:tc>
          <w:tcPr>
            <w:tcW w:type="dxa" w:w="2304"/>
          </w:tcPr>
          <w:p>
            <w:pPr>
              <w:spacing w:after="20" w:before="20"/>
              <w:jc w:val="center"/>
            </w:pPr>
            <w:r/>
            <w:r>
              <w:rPr>
                <w:rFonts w:ascii="Carlito" w:hAnsi="Carlito"/>
                <w:b w:val="0"/>
                <w:i w:val="0"/>
                <w:sz w:val="19"/>
              </w:rPr>
              <w:t>replacement value &gt; depressed book</w:t>
            </w:r>
          </w:p>
        </w:tc>
      </w:tr>
      <w:tr>
        <w:tc>
          <w:tcPr>
            <w:tcW w:type="dxa" w:w="4320"/>
          </w:tcPr>
          <w:p>
            <w:pPr>
              <w:spacing w:after="20" w:before="20"/>
              <w:jc w:val="left"/>
            </w:pPr>
            <w:r/>
            <w:r>
              <w:rPr>
                <w:rFonts w:ascii="Carlito" w:hAnsi="Carlito"/>
                <w:b w:val="0"/>
                <w:i w:val="0"/>
                <w:sz w:val="19"/>
              </w:rPr>
              <w:t>Dividend yield — normalized DPS 3.10</w:t>
            </w:r>
          </w:p>
        </w:tc>
        <w:tc>
          <w:tcPr>
            <w:tcW w:type="dxa" w:w="1296"/>
          </w:tcPr>
          <w:p>
            <w:pPr>
              <w:spacing w:after="20" w:before="20"/>
              <w:jc w:val="center"/>
            </w:pPr>
            <w:r/>
            <w:r>
              <w:rPr>
                <w:rFonts w:ascii="Carlito" w:hAnsi="Carlito"/>
                <w:b w:val="0"/>
                <w:i w:val="0"/>
                <w:sz w:val="19"/>
              </w:rPr>
              <w:t>5.5%</w:t>
            </w:r>
          </w:p>
        </w:tc>
        <w:tc>
          <w:tcPr>
            <w:tcW w:type="dxa" w:w="1728"/>
          </w:tcPr>
          <w:p>
            <w:pPr>
              <w:spacing w:after="20" w:before="20"/>
              <w:jc w:val="center"/>
            </w:pPr>
            <w:r/>
            <w:r>
              <w:rPr>
                <w:rFonts w:ascii="Carlito" w:hAnsi="Carlito"/>
                <w:b w:val="0"/>
                <w:i w:val="0"/>
                <w:sz w:val="19"/>
              </w:rPr>
              <w:t>56.4</w:t>
            </w:r>
          </w:p>
        </w:tc>
        <w:tc>
          <w:tcPr>
            <w:tcW w:type="dxa" w:w="2304"/>
          </w:tcPr>
          <w:p>
            <w:pPr>
              <w:spacing w:after="20" w:before="20"/>
              <w:jc w:val="center"/>
            </w:pPr>
            <w:r/>
            <w:r>
              <w:rPr>
                <w:rFonts w:ascii="Carlito" w:hAnsi="Carlito"/>
                <w:b w:val="0"/>
                <w:i w:val="0"/>
                <w:sz w:val="19"/>
              </w:rPr>
              <w:t>5.8% yield at spot; covered mid-cycle</w:t>
            </w:r>
          </w:p>
        </w:tc>
      </w:tr>
    </w:tbl>
    <w:p>
      <w:pPr>
        <w:spacing w:after="40"/>
      </w:pPr>
    </w:p>
    <w:p>
      <w:pPr>
        <w:spacing w:before="200" w:after="60"/>
      </w:pPr>
      <w:r>
        <w:rPr>
          <w:rFonts w:ascii="Carlito" w:hAnsi="Carlito"/>
          <w:b/>
          <w:color w:val="896F36"/>
          <w:sz w:val="23"/>
        </w:rPr>
        <w:t>1.4  Petrochemical-cycle framing (replaces normalized earnings power)</w:t>
      </w:r>
    </w:p>
    <w:p>
      <w:r>
        <w:rPr>
          <w:rFonts w:ascii="Carlito" w:hAnsi="Carlito"/>
          <w:i w:val="0"/>
          <w:sz w:val="21"/>
        </w:rPr>
        <w:t>Each petrochemical margin cycle is finite, so a single 'normalized EPS' number is near-meaningless; instead we state where in the cycle current earnings sit. On every observable metric 2025 was a trough, not a mid-point:</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2880"/>
        <w:gridCol w:w="2880"/>
        <w:gridCol w:w="2880"/>
      </w:tblGrid>
      <w:tr>
        <w:tc>
          <w:tcPr>
            <w:tcW w:type="dxa" w:w="3168"/>
            <w:shd w:val="clear" w:fill="1C3A36"/>
          </w:tcPr>
          <w:p>
            <w:pPr>
              <w:spacing w:after="20" w:before="20"/>
              <w:jc w:val="left"/>
            </w:pPr>
            <w:r/>
            <w:r>
              <w:rPr>
                <w:rFonts w:ascii="Carlito" w:hAnsi="Carlito"/>
                <w:b/>
                <w:i w:val="0"/>
                <w:color w:val="FFFFFF"/>
                <w:sz w:val="19"/>
              </w:rPr>
              <w:t>Cycle marker</w:t>
            </w:r>
          </w:p>
        </w:tc>
        <w:tc>
          <w:tcPr>
            <w:tcW w:type="dxa" w:w="4752"/>
            <w:shd w:val="clear" w:fill="1C3A36"/>
          </w:tcPr>
          <w:p>
            <w:pPr>
              <w:spacing w:after="20" w:before="20"/>
              <w:jc w:val="center"/>
            </w:pPr>
            <w:r/>
            <w:r>
              <w:rPr>
                <w:rFonts w:ascii="Carlito" w:hAnsi="Carlito"/>
                <w:b/>
                <w:i w:val="0"/>
                <w:color w:val="FFFFFF"/>
                <w:sz w:val="19"/>
              </w:rPr>
              <w:t>Reading</w:t>
            </w:r>
          </w:p>
        </w:tc>
        <w:tc>
          <w:tcPr>
            <w:tcW w:type="dxa" w:w="1728"/>
            <w:shd w:val="clear" w:fill="1C3A36"/>
          </w:tcPr>
          <w:p>
            <w:pPr>
              <w:spacing w:after="20" w:before="20"/>
              <w:jc w:val="center"/>
            </w:pPr>
            <w:r/>
            <w:r>
              <w:rPr>
                <w:rFonts w:ascii="Carlito" w:hAnsi="Carlito"/>
                <w:b/>
                <w:i w:val="0"/>
                <w:color w:val="FFFFFF"/>
                <w:sz w:val="19"/>
              </w:rPr>
              <w:t>Cycle position</w:t>
            </w:r>
          </w:p>
        </w:tc>
      </w:tr>
      <w:tr>
        <w:tc>
          <w:tcPr>
            <w:tcW w:type="dxa" w:w="3168"/>
          </w:tcPr>
          <w:p>
            <w:pPr>
              <w:spacing w:after="20" w:before="20"/>
              <w:jc w:val="left"/>
            </w:pPr>
            <w:r/>
            <w:r>
              <w:rPr>
                <w:rFonts w:ascii="Carlito" w:hAnsi="Carlito"/>
                <w:b w:val="0"/>
                <w:i w:val="0"/>
                <w:sz w:val="19"/>
              </w:rPr>
              <w:t>Adjusted EBITDA margin</w:t>
            </w:r>
          </w:p>
        </w:tc>
        <w:tc>
          <w:tcPr>
            <w:tcW w:type="dxa" w:w="4752"/>
          </w:tcPr>
          <w:p>
            <w:pPr>
              <w:spacing w:after="20" w:before="20"/>
              <w:jc w:val="center"/>
            </w:pPr>
            <w:r/>
            <w:r>
              <w:rPr>
                <w:rFonts w:ascii="Carlito" w:hAnsi="Carlito"/>
                <w:b w:val="0"/>
                <w:i w:val="0"/>
                <w:sz w:val="19"/>
              </w:rPr>
              <w:t>15.3% (2025) vs 17.8% (2024) vs a mid-cycle ~19–20%</w:t>
            </w:r>
          </w:p>
        </w:tc>
        <w:tc>
          <w:tcPr>
            <w:tcW w:type="dxa" w:w="1728"/>
          </w:tcPr>
          <w:p>
            <w:pPr>
              <w:spacing w:after="20" w:before="20"/>
              <w:jc w:val="center"/>
            </w:pPr>
            <w:r/>
            <w:r>
              <w:rPr>
                <w:rFonts w:ascii="Carlito" w:hAnsi="Carlito"/>
                <w:b w:val="0"/>
                <w:i w:val="0"/>
                <w:sz w:val="19"/>
              </w:rPr>
              <w:t>Trough</w:t>
            </w:r>
          </w:p>
        </w:tc>
      </w:tr>
      <w:tr>
        <w:tc>
          <w:tcPr>
            <w:tcW w:type="dxa" w:w="3168"/>
          </w:tcPr>
          <w:p>
            <w:pPr>
              <w:spacing w:after="20" w:before="20"/>
              <w:jc w:val="left"/>
            </w:pPr>
            <w:r/>
            <w:r>
              <w:rPr>
                <w:rFonts w:ascii="Carlito" w:hAnsi="Carlito"/>
                <w:b w:val="0"/>
                <w:i w:val="0"/>
                <w:sz w:val="19"/>
              </w:rPr>
              <w:t>Product–feedstock spread</w:t>
            </w:r>
          </w:p>
        </w:tc>
        <w:tc>
          <w:tcPr>
            <w:tcW w:type="dxa" w:w="4752"/>
          </w:tcPr>
          <w:p>
            <w:pPr>
              <w:spacing w:after="20" w:before="20"/>
              <w:jc w:val="center"/>
            </w:pPr>
            <w:r/>
            <w:r>
              <w:rPr>
                <w:rFonts w:ascii="Carlito" w:hAnsi="Carlito"/>
                <w:b w:val="0"/>
                <w:i w:val="0"/>
                <w:sz w:val="19"/>
              </w:rPr>
              <w:t>Compressed by Chinese PE/MEG oversupply &amp; weak demand</w:t>
            </w:r>
          </w:p>
        </w:tc>
        <w:tc>
          <w:tcPr>
            <w:tcW w:type="dxa" w:w="1728"/>
          </w:tcPr>
          <w:p>
            <w:pPr>
              <w:spacing w:after="20" w:before="20"/>
              <w:jc w:val="center"/>
            </w:pPr>
            <w:r/>
            <w:r>
              <w:rPr>
                <w:rFonts w:ascii="Carlito" w:hAnsi="Carlito"/>
                <w:b w:val="0"/>
                <w:i w:val="0"/>
                <w:sz w:val="19"/>
              </w:rPr>
              <w:t>Trough</w:t>
            </w:r>
          </w:p>
        </w:tc>
      </w:tr>
      <w:tr>
        <w:tc>
          <w:tcPr>
            <w:tcW w:type="dxa" w:w="3168"/>
          </w:tcPr>
          <w:p>
            <w:pPr>
              <w:spacing w:after="20" w:before="20"/>
              <w:jc w:val="left"/>
            </w:pPr>
            <w:r/>
            <w:r>
              <w:rPr>
                <w:rFonts w:ascii="Carlito" w:hAnsi="Carlito"/>
                <w:b w:val="0"/>
                <w:i w:val="0"/>
                <w:sz w:val="19"/>
              </w:rPr>
              <w:t>Reported earnings</w:t>
            </w:r>
          </w:p>
        </w:tc>
        <w:tc>
          <w:tcPr>
            <w:tcW w:type="dxa" w:w="4752"/>
          </w:tcPr>
          <w:p>
            <w:pPr>
              <w:spacing w:after="20" w:before="20"/>
              <w:jc w:val="center"/>
            </w:pPr>
            <w:r/>
            <w:r>
              <w:rPr>
                <w:rFonts w:ascii="Carlito" w:hAnsi="Carlito"/>
                <w:b w:val="0"/>
                <w:i w:val="0"/>
                <w:sz w:val="19"/>
              </w:rPr>
              <w:t>2025 net loss (one-offs); adjusted NI SAR 2.07 bn — barely positive</w:t>
            </w:r>
          </w:p>
        </w:tc>
        <w:tc>
          <w:tcPr>
            <w:tcW w:type="dxa" w:w="1728"/>
          </w:tcPr>
          <w:p>
            <w:pPr>
              <w:spacing w:after="20" w:before="20"/>
              <w:jc w:val="center"/>
            </w:pPr>
            <w:r/>
            <w:r>
              <w:rPr>
                <w:rFonts w:ascii="Carlito" w:hAnsi="Carlito"/>
                <w:b w:val="0"/>
                <w:i w:val="0"/>
                <w:sz w:val="19"/>
              </w:rPr>
              <w:t>Trough</w:t>
            </w:r>
          </w:p>
        </w:tc>
      </w:tr>
      <w:tr>
        <w:tc>
          <w:tcPr>
            <w:tcW w:type="dxa" w:w="3168"/>
          </w:tcPr>
          <w:p>
            <w:pPr>
              <w:spacing w:after="20" w:before="20"/>
              <w:jc w:val="left"/>
            </w:pPr>
            <w:r/>
            <w:r>
              <w:rPr>
                <w:rFonts w:ascii="Carlito" w:hAnsi="Carlito"/>
                <w:b w:val="0"/>
                <w:i w:val="0"/>
                <w:sz w:val="19"/>
              </w:rPr>
              <w:t>Global operating rates</w:t>
            </w:r>
          </w:p>
        </w:tc>
        <w:tc>
          <w:tcPr>
            <w:tcW w:type="dxa" w:w="4752"/>
          </w:tcPr>
          <w:p>
            <w:pPr>
              <w:spacing w:after="20" w:before="20"/>
              <w:jc w:val="center"/>
            </w:pPr>
            <w:r/>
            <w:r>
              <w:rPr>
                <w:rFonts w:ascii="Carlito" w:hAnsi="Carlito"/>
                <w:b w:val="0"/>
                <w:i w:val="0"/>
                <w:sz w:val="19"/>
              </w:rPr>
              <w:t>Below mid-cycle on ethylene/PE through 2024–25</w:t>
            </w:r>
          </w:p>
        </w:tc>
        <w:tc>
          <w:tcPr>
            <w:tcW w:type="dxa" w:w="1728"/>
          </w:tcPr>
          <w:p>
            <w:pPr>
              <w:spacing w:after="20" w:before="20"/>
              <w:jc w:val="center"/>
            </w:pPr>
            <w:r/>
            <w:r>
              <w:rPr>
                <w:rFonts w:ascii="Carlito" w:hAnsi="Carlito"/>
                <w:b w:val="0"/>
                <w:i w:val="0"/>
                <w:sz w:val="19"/>
              </w:rPr>
              <w:t>Trough → early recovery</w:t>
            </w:r>
          </w:p>
        </w:tc>
      </w:tr>
      <w:tr>
        <w:tc>
          <w:tcPr>
            <w:tcW w:type="dxa" w:w="3168"/>
          </w:tcPr>
          <w:p>
            <w:pPr>
              <w:spacing w:after="20" w:before="20"/>
              <w:jc w:val="left"/>
            </w:pPr>
            <w:r/>
            <w:r>
              <w:rPr>
                <w:rFonts w:ascii="Carlito" w:hAnsi="Carlito"/>
                <w:b w:val="0"/>
                <w:i w:val="0"/>
                <w:sz w:val="19"/>
              </w:rPr>
              <w:t>New-capacity wave</w:t>
            </w:r>
          </w:p>
        </w:tc>
        <w:tc>
          <w:tcPr>
            <w:tcW w:type="dxa" w:w="4752"/>
          </w:tcPr>
          <w:p>
            <w:pPr>
              <w:spacing w:after="20" w:before="20"/>
              <w:jc w:val="center"/>
            </w:pPr>
            <w:r/>
            <w:r>
              <w:rPr>
                <w:rFonts w:ascii="Carlito" w:hAnsi="Carlito"/>
                <w:b w:val="0"/>
                <w:i w:val="0"/>
                <w:sz w:val="19"/>
              </w:rPr>
              <w:t>Peak of the 2022–25 Chinese capacity build now passing</w:t>
            </w:r>
          </w:p>
        </w:tc>
        <w:tc>
          <w:tcPr>
            <w:tcW w:type="dxa" w:w="1728"/>
          </w:tcPr>
          <w:p>
            <w:pPr>
              <w:spacing w:after="20" w:before="20"/>
              <w:jc w:val="center"/>
            </w:pPr>
            <w:r/>
            <w:r>
              <w:rPr>
                <w:rFonts w:ascii="Carlito" w:hAnsi="Carlito"/>
                <w:b w:val="0"/>
                <w:i w:val="0"/>
                <w:sz w:val="19"/>
              </w:rPr>
              <w:t>Turning</w:t>
            </w:r>
          </w:p>
        </w:tc>
      </w:tr>
    </w:tbl>
    <w:p>
      <w:pPr>
        <w:spacing w:after="40"/>
      </w:pPr>
    </w:p>
    <w:p>
      <w:r>
        <w:rPr>
          <w:rFonts w:ascii="Carlito" w:hAnsi="Carlito"/>
          <w:i w:val="0"/>
          <w:sz w:val="21"/>
        </w:rPr>
        <w:t>The relevant analogy is a commodity-chemical cycle bottoming: spreads compress hardest when new capacity floods in, then normalise as demand catches up and marginal capacity rationalises. We are, in the model's judgement, near the bottom of that curve with the capacity wave passing — which is why the DCF and dividend lenses (which credit a partial recovery) sit above the relative lens (which capitalises the trough).</w:t>
      </w:r>
    </w:p>
    <w:p>
      <w:pPr>
        <w:spacing w:before="200" w:after="60"/>
      </w:pPr>
      <w:r>
        <w:rPr>
          <w:rFonts w:ascii="Carlito" w:hAnsi="Carlito"/>
          <w:b/>
          <w:color w:val="896F36"/>
          <w:sz w:val="23"/>
        </w:rPr>
        <w:t>1.5  Synthesis — four lenses</w:t>
      </w:r>
    </w:p>
    <w:p>
      <w:r>
        <w:rPr>
          <w:rFonts w:ascii="Carlito" w:hAnsi="Carlito"/>
          <w:i w:val="0"/>
          <w:sz w:val="21"/>
        </w:rPr>
        <w:t>We weight the DCF most heavily because mid-cycle cash is the right anchor for a commodity producer; the dividend lens carries the income/quality signal; the relative lens anchors the floor; the P/B lens anchors book.</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1728"/>
        <w:gridCol w:w="1728"/>
        <w:gridCol w:w="1728"/>
        <w:gridCol w:w="1728"/>
        <w:gridCol w:w="1728"/>
      </w:tblGrid>
      <w:tr>
        <w:tc>
          <w:tcPr>
            <w:tcW w:type="dxa" w:w="3744"/>
            <w:shd w:val="clear" w:fill="1C3A36"/>
          </w:tcPr>
          <w:p>
            <w:pPr>
              <w:spacing w:after="20" w:before="20"/>
              <w:jc w:val="left"/>
            </w:pPr>
            <w:r/>
            <w:r>
              <w:rPr>
                <w:rFonts w:ascii="Carlito" w:hAnsi="Carlito"/>
                <w:b/>
                <w:i w:val="0"/>
                <w:color w:val="FFFFFF"/>
                <w:sz w:val="19"/>
              </w:rPr>
              <w:t>Lens</w:t>
            </w:r>
          </w:p>
        </w:tc>
        <w:tc>
          <w:tcPr>
            <w:tcW w:type="dxa" w:w="1296"/>
            <w:shd w:val="clear" w:fill="1C3A36"/>
          </w:tcPr>
          <w:p>
            <w:pPr>
              <w:spacing w:after="20" w:before="20"/>
              <w:jc w:val="center"/>
            </w:pPr>
            <w:r/>
            <w:r>
              <w:rPr>
                <w:rFonts w:ascii="Carlito" w:hAnsi="Carlito"/>
                <w:b/>
                <w:i w:val="0"/>
                <w:color w:val="FFFFFF"/>
                <w:sz w:val="19"/>
              </w:rPr>
              <w:t>Weight</w:t>
            </w:r>
          </w:p>
        </w:tc>
        <w:tc>
          <w:tcPr>
            <w:tcW w:type="dxa" w:w="1440"/>
            <w:shd w:val="clear" w:fill="1C3A36"/>
          </w:tcPr>
          <w:p>
            <w:pPr>
              <w:spacing w:after="20" w:before="20"/>
              <w:jc w:val="center"/>
            </w:pPr>
            <w:r/>
            <w:r>
              <w:rPr>
                <w:rFonts w:ascii="Carlito" w:hAnsi="Carlito"/>
                <w:b/>
                <w:i w:val="0"/>
                <w:color w:val="FFFFFF"/>
                <w:sz w:val="19"/>
              </w:rPr>
              <w:t>Bear</w:t>
            </w:r>
          </w:p>
        </w:tc>
        <w:tc>
          <w:tcPr>
            <w:tcW w:type="dxa" w:w="1440"/>
            <w:shd w:val="clear" w:fill="1C3A36"/>
          </w:tcPr>
          <w:p>
            <w:pPr>
              <w:spacing w:after="20" w:before="20"/>
              <w:jc w:val="center"/>
            </w:pPr>
            <w:r/>
            <w:r>
              <w:rPr>
                <w:rFonts w:ascii="Carlito" w:hAnsi="Carlito"/>
                <w:b/>
                <w:i w:val="0"/>
                <w:color w:val="FFFFFF"/>
                <w:sz w:val="19"/>
              </w:rPr>
              <w:t>Base</w:t>
            </w:r>
          </w:p>
        </w:tc>
        <w:tc>
          <w:tcPr>
            <w:tcW w:type="dxa" w:w="1440"/>
            <w:shd w:val="clear" w:fill="1C3A36"/>
          </w:tcPr>
          <w:p>
            <w:pPr>
              <w:spacing w:after="20" w:before="20"/>
              <w:jc w:val="center"/>
            </w:pPr>
            <w:r/>
            <w:r>
              <w:rPr>
                <w:rFonts w:ascii="Carlito" w:hAnsi="Carlito"/>
                <w:b/>
                <w:i w:val="0"/>
                <w:color w:val="FFFFFF"/>
                <w:sz w:val="19"/>
              </w:rPr>
              <w:t>Bull</w:t>
            </w:r>
          </w:p>
        </w:tc>
      </w:tr>
      <w:tr>
        <w:tc>
          <w:tcPr>
            <w:tcW w:type="dxa" w:w="3744"/>
          </w:tcPr>
          <w:p>
            <w:pPr>
              <w:spacing w:after="20" w:before="20"/>
              <w:jc w:val="left"/>
            </w:pPr>
            <w:r/>
            <w:r>
              <w:rPr>
                <w:rFonts w:ascii="Carlito" w:hAnsi="Carlito"/>
                <w:b w:val="0"/>
                <w:i w:val="0"/>
                <w:sz w:val="19"/>
              </w:rPr>
              <w:t>DCF (mid-cycle, primary)</w:t>
            </w:r>
          </w:p>
        </w:tc>
        <w:tc>
          <w:tcPr>
            <w:tcW w:type="dxa" w:w="1296"/>
          </w:tcPr>
          <w:p>
            <w:pPr>
              <w:spacing w:after="20" w:before="20"/>
              <w:jc w:val="center"/>
            </w:pPr>
            <w:r/>
            <w:r>
              <w:rPr>
                <w:rFonts w:ascii="Carlito" w:hAnsi="Carlito"/>
                <w:b w:val="0"/>
                <w:i w:val="0"/>
                <w:sz w:val="19"/>
              </w:rPr>
              <w:t>40%</w:t>
            </w:r>
          </w:p>
        </w:tc>
        <w:tc>
          <w:tcPr>
            <w:tcW w:type="dxa" w:w="1440"/>
          </w:tcPr>
          <w:p>
            <w:pPr>
              <w:spacing w:after="20" w:before="20"/>
              <w:jc w:val="center"/>
            </w:pPr>
            <w:r/>
            <w:r>
              <w:rPr>
                <w:rFonts w:ascii="Carlito" w:hAnsi="Carlito"/>
                <w:b w:val="0"/>
                <w:i w:val="0"/>
                <w:sz w:val="19"/>
              </w:rPr>
              <w:t>36.2</w:t>
            </w:r>
          </w:p>
        </w:tc>
        <w:tc>
          <w:tcPr>
            <w:tcW w:type="dxa" w:w="1440"/>
          </w:tcPr>
          <w:p>
            <w:pPr>
              <w:spacing w:after="20" w:before="20"/>
              <w:jc w:val="center"/>
            </w:pPr>
            <w:r/>
            <w:r>
              <w:rPr>
                <w:rFonts w:ascii="Carlito" w:hAnsi="Carlito"/>
                <w:b w:val="0"/>
                <w:i w:val="0"/>
                <w:sz w:val="19"/>
              </w:rPr>
              <w:t>60.3</w:t>
            </w:r>
          </w:p>
        </w:tc>
        <w:tc>
          <w:tcPr>
            <w:tcW w:type="dxa" w:w="1440"/>
          </w:tcPr>
          <w:p>
            <w:pPr>
              <w:spacing w:after="20" w:before="20"/>
              <w:jc w:val="center"/>
            </w:pPr>
            <w:r/>
            <w:r>
              <w:rPr>
                <w:rFonts w:ascii="Carlito" w:hAnsi="Carlito"/>
                <w:b w:val="0"/>
                <w:i w:val="0"/>
                <w:sz w:val="19"/>
              </w:rPr>
              <w:t>96.2</w:t>
            </w:r>
          </w:p>
        </w:tc>
      </w:tr>
      <w:tr>
        <w:tc>
          <w:tcPr>
            <w:tcW w:type="dxa" w:w="3744"/>
          </w:tcPr>
          <w:p>
            <w:pPr>
              <w:spacing w:after="20" w:before="20"/>
              <w:jc w:val="left"/>
            </w:pPr>
            <w:r/>
            <w:r>
              <w:rPr>
                <w:rFonts w:ascii="Carlito" w:hAnsi="Carlito"/>
                <w:b w:val="0"/>
                <w:i w:val="0"/>
                <w:sz w:val="19"/>
              </w:rPr>
              <w:t>EV/EBITDA relative</w:t>
            </w:r>
          </w:p>
        </w:tc>
        <w:tc>
          <w:tcPr>
            <w:tcW w:type="dxa" w:w="1296"/>
          </w:tcPr>
          <w:p>
            <w:pPr>
              <w:spacing w:after="20" w:before="20"/>
              <w:jc w:val="center"/>
            </w:pPr>
            <w:r/>
            <w:r>
              <w:rPr>
                <w:rFonts w:ascii="Carlito" w:hAnsi="Carlito"/>
                <w:b w:val="0"/>
                <w:i w:val="0"/>
                <w:sz w:val="19"/>
              </w:rPr>
              <w:t>20%</w:t>
            </w:r>
          </w:p>
        </w:tc>
        <w:tc>
          <w:tcPr>
            <w:tcW w:type="dxa" w:w="1440"/>
          </w:tcPr>
          <w:p>
            <w:pPr>
              <w:spacing w:after="20" w:before="20"/>
              <w:jc w:val="center"/>
            </w:pPr>
            <w:r/>
            <w:r>
              <w:rPr>
                <w:rFonts w:ascii="Carlito" w:hAnsi="Carlito"/>
                <w:b w:val="0"/>
                <w:i w:val="0"/>
                <w:sz w:val="19"/>
              </w:rPr>
              <w:t>41.7</w:t>
            </w:r>
          </w:p>
        </w:tc>
        <w:tc>
          <w:tcPr>
            <w:tcW w:type="dxa" w:w="1440"/>
          </w:tcPr>
          <w:p>
            <w:pPr>
              <w:spacing w:after="20" w:before="20"/>
              <w:jc w:val="center"/>
            </w:pPr>
            <w:r/>
            <w:r>
              <w:rPr>
                <w:rFonts w:ascii="Carlito" w:hAnsi="Carlito"/>
                <w:b w:val="0"/>
                <w:i w:val="0"/>
                <w:sz w:val="19"/>
              </w:rPr>
              <w:t>47.8</w:t>
            </w:r>
          </w:p>
        </w:tc>
        <w:tc>
          <w:tcPr>
            <w:tcW w:type="dxa" w:w="1440"/>
          </w:tcPr>
          <w:p>
            <w:pPr>
              <w:spacing w:after="20" w:before="20"/>
              <w:jc w:val="center"/>
            </w:pPr>
            <w:r/>
            <w:r>
              <w:rPr>
                <w:rFonts w:ascii="Carlito" w:hAnsi="Carlito"/>
                <w:b w:val="0"/>
                <w:i w:val="0"/>
                <w:sz w:val="19"/>
              </w:rPr>
              <w:t>51.3</w:t>
            </w:r>
          </w:p>
        </w:tc>
      </w:tr>
      <w:tr>
        <w:tc>
          <w:tcPr>
            <w:tcW w:type="dxa" w:w="3744"/>
          </w:tcPr>
          <w:p>
            <w:pPr>
              <w:spacing w:after="20" w:before="20"/>
              <w:jc w:val="left"/>
            </w:pPr>
            <w:r/>
            <w:r>
              <w:rPr>
                <w:rFonts w:ascii="Carlito" w:hAnsi="Carlito"/>
                <w:b w:val="0"/>
                <w:i w:val="0"/>
                <w:sz w:val="19"/>
              </w:rPr>
              <w:t>P/B (asset / replacement)</w:t>
            </w:r>
          </w:p>
        </w:tc>
        <w:tc>
          <w:tcPr>
            <w:tcW w:type="dxa" w:w="1296"/>
          </w:tcPr>
          <w:p>
            <w:pPr>
              <w:spacing w:after="20" w:before="20"/>
              <w:jc w:val="center"/>
            </w:pPr>
            <w:r/>
            <w:r>
              <w:rPr>
                <w:rFonts w:ascii="Carlito" w:hAnsi="Carlito"/>
                <w:b w:val="0"/>
                <w:i w:val="0"/>
                <w:sz w:val="19"/>
              </w:rPr>
              <w:t>15%</w:t>
            </w:r>
          </w:p>
        </w:tc>
        <w:tc>
          <w:tcPr>
            <w:tcW w:type="dxa" w:w="1440"/>
          </w:tcPr>
          <w:p>
            <w:pPr>
              <w:spacing w:after="20" w:before="20"/>
              <w:jc w:val="center"/>
            </w:pPr>
            <w:r/>
            <w:r>
              <w:rPr>
                <w:rFonts w:ascii="Carlito" w:hAnsi="Carlito"/>
                <w:b w:val="0"/>
                <w:i w:val="0"/>
                <w:sz w:val="19"/>
              </w:rPr>
              <w:t>42.9</w:t>
            </w:r>
          </w:p>
        </w:tc>
        <w:tc>
          <w:tcPr>
            <w:tcW w:type="dxa" w:w="1440"/>
          </w:tcPr>
          <w:p>
            <w:pPr>
              <w:spacing w:after="20" w:before="20"/>
              <w:jc w:val="center"/>
            </w:pPr>
            <w:r/>
            <w:r>
              <w:rPr>
                <w:rFonts w:ascii="Carlito" w:hAnsi="Carlito"/>
                <w:b w:val="0"/>
                <w:i w:val="0"/>
                <w:sz w:val="19"/>
              </w:rPr>
              <w:t>51.5</w:t>
            </w:r>
          </w:p>
        </w:tc>
        <w:tc>
          <w:tcPr>
            <w:tcW w:type="dxa" w:w="1440"/>
          </w:tcPr>
          <w:p>
            <w:pPr>
              <w:spacing w:after="20" w:before="20"/>
              <w:jc w:val="center"/>
            </w:pPr>
            <w:r/>
            <w:r>
              <w:rPr>
                <w:rFonts w:ascii="Carlito" w:hAnsi="Carlito"/>
                <w:b w:val="0"/>
                <w:i w:val="0"/>
                <w:sz w:val="19"/>
              </w:rPr>
              <w:t>57.9</w:t>
            </w:r>
          </w:p>
        </w:tc>
      </w:tr>
      <w:tr>
        <w:tc>
          <w:tcPr>
            <w:tcW w:type="dxa" w:w="3744"/>
          </w:tcPr>
          <w:p>
            <w:pPr>
              <w:spacing w:after="20" w:before="20"/>
              <w:jc w:val="left"/>
            </w:pPr>
            <w:r/>
            <w:r>
              <w:rPr>
                <w:rFonts w:ascii="Carlito" w:hAnsi="Carlito"/>
                <w:b w:val="0"/>
                <w:i w:val="0"/>
                <w:sz w:val="19"/>
              </w:rPr>
              <w:t>Dividend yield (normalized)</w:t>
            </w:r>
          </w:p>
        </w:tc>
        <w:tc>
          <w:tcPr>
            <w:tcW w:type="dxa" w:w="1296"/>
          </w:tcPr>
          <w:p>
            <w:pPr>
              <w:spacing w:after="20" w:before="20"/>
              <w:jc w:val="center"/>
            </w:pPr>
            <w:r/>
            <w:r>
              <w:rPr>
                <w:rFonts w:ascii="Carlito" w:hAnsi="Carlito"/>
                <w:b w:val="0"/>
                <w:i w:val="0"/>
                <w:sz w:val="19"/>
              </w:rPr>
              <w:t>25%</w:t>
            </w:r>
          </w:p>
        </w:tc>
        <w:tc>
          <w:tcPr>
            <w:tcW w:type="dxa" w:w="1440"/>
          </w:tcPr>
          <w:p>
            <w:pPr>
              <w:spacing w:after="20" w:before="20"/>
              <w:jc w:val="center"/>
            </w:pPr>
            <w:r/>
            <w:r>
              <w:rPr>
                <w:rFonts w:ascii="Carlito" w:hAnsi="Carlito"/>
                <w:b w:val="0"/>
                <w:i w:val="0"/>
                <w:sz w:val="19"/>
              </w:rPr>
              <w:t>51.7</w:t>
            </w:r>
          </w:p>
        </w:tc>
        <w:tc>
          <w:tcPr>
            <w:tcW w:type="dxa" w:w="1440"/>
          </w:tcPr>
          <w:p>
            <w:pPr>
              <w:spacing w:after="20" w:before="20"/>
              <w:jc w:val="center"/>
            </w:pPr>
            <w:r/>
            <w:r>
              <w:rPr>
                <w:rFonts w:ascii="Carlito" w:hAnsi="Carlito"/>
                <w:b w:val="0"/>
                <w:i w:val="0"/>
                <w:sz w:val="19"/>
              </w:rPr>
              <w:t>56.4</w:t>
            </w:r>
          </w:p>
        </w:tc>
        <w:tc>
          <w:tcPr>
            <w:tcW w:type="dxa" w:w="1440"/>
          </w:tcPr>
          <w:p>
            <w:pPr>
              <w:spacing w:after="20" w:before="20"/>
              <w:jc w:val="center"/>
            </w:pPr>
            <w:r/>
            <w:r>
              <w:rPr>
                <w:rFonts w:ascii="Carlito" w:hAnsi="Carlito"/>
                <w:b w:val="0"/>
                <w:i w:val="0"/>
                <w:sz w:val="19"/>
              </w:rPr>
              <w:t>62.0</w:t>
            </w:r>
          </w:p>
        </w:tc>
      </w:tr>
      <w:tr>
        <w:tc>
          <w:tcPr>
            <w:tcW w:type="dxa" w:w="3744"/>
            <w:shd w:val="clear" w:fill="C0A45F"/>
          </w:tcPr>
          <w:p>
            <w:pPr>
              <w:spacing w:after="20" w:before="20"/>
              <w:jc w:val="left"/>
            </w:pPr>
            <w:r/>
            <w:r>
              <w:rPr>
                <w:rFonts w:ascii="Carlito" w:hAnsi="Carlito"/>
                <w:b/>
                <w:i w:val="0"/>
                <w:color w:val="1C3A36"/>
                <w:sz w:val="19"/>
              </w:rPr>
              <w:t>Weighted central</w:t>
            </w:r>
          </w:p>
        </w:tc>
        <w:tc>
          <w:tcPr>
            <w:tcW w:type="dxa" w:w="1296"/>
            <w:shd w:val="clear" w:fill="C0A45F"/>
          </w:tcPr>
          <w:p>
            <w:pPr>
              <w:spacing w:after="20" w:before="20"/>
              <w:jc w:val="center"/>
            </w:pPr>
            <w:r/>
            <w:r>
              <w:rPr>
                <w:rFonts w:ascii="Carlito" w:hAnsi="Carlito"/>
                <w:b/>
                <w:i w:val="0"/>
                <w:color w:val="1C3A36"/>
                <w:sz w:val="19"/>
              </w:rPr>
            </w:r>
          </w:p>
        </w:tc>
        <w:tc>
          <w:tcPr>
            <w:tcW w:type="dxa" w:w="1440"/>
            <w:shd w:val="clear" w:fill="C0A45F"/>
          </w:tcPr>
          <w:p>
            <w:pPr>
              <w:spacing w:after="20" w:before="20"/>
              <w:jc w:val="center"/>
            </w:pPr>
            <w:r/>
            <w:r>
              <w:rPr>
                <w:rFonts w:ascii="Carlito" w:hAnsi="Carlito"/>
                <w:b/>
                <w:i w:val="0"/>
                <w:color w:val="1C3A36"/>
                <w:sz w:val="19"/>
              </w:rPr>
              <w:t>42.8</w:t>
            </w:r>
          </w:p>
        </w:tc>
        <w:tc>
          <w:tcPr>
            <w:tcW w:type="dxa" w:w="1440"/>
            <w:shd w:val="clear" w:fill="C0A45F"/>
          </w:tcPr>
          <w:p>
            <w:pPr>
              <w:spacing w:after="20" w:before="20"/>
              <w:jc w:val="center"/>
            </w:pPr>
            <w:r/>
            <w:r>
              <w:rPr>
                <w:rFonts w:ascii="Carlito" w:hAnsi="Carlito"/>
                <w:b/>
                <w:i w:val="0"/>
                <w:color w:val="1C3A36"/>
                <w:sz w:val="19"/>
              </w:rPr>
              <w:t>55.5</w:t>
            </w:r>
          </w:p>
        </w:tc>
        <w:tc>
          <w:tcPr>
            <w:tcW w:type="dxa" w:w="1440"/>
            <w:shd w:val="clear" w:fill="C0A45F"/>
          </w:tcPr>
          <w:p>
            <w:pPr>
              <w:spacing w:after="20" w:before="20"/>
              <w:jc w:val="center"/>
            </w:pPr>
            <w:r/>
            <w:r>
              <w:rPr>
                <w:rFonts w:ascii="Carlito" w:hAnsi="Carlito"/>
                <w:b/>
                <w:i w:val="0"/>
                <w:color w:val="1C3A36"/>
                <w:sz w:val="19"/>
              </w:rPr>
              <w:t>66.4</w:t>
            </w:r>
          </w:p>
        </w:tc>
      </w:tr>
    </w:tbl>
    <w:p>
      <w:pPr>
        <w:spacing w:after="40"/>
      </w:pPr>
    </w:p>
    <w:p>
      <w:pPr>
        <w:spacing w:before="120" w:after="40"/>
        <w:jc w:val="center"/>
      </w:pPr>
      <w:r>
        <w:drawing>
          <wp:inline xmlns:a="http://schemas.openxmlformats.org/drawingml/2006/main" xmlns:pic="http://schemas.openxmlformats.org/drawingml/2006/picture">
            <wp:extent cx="5760720" cy="2560320"/>
            <wp:docPr id="1" name="Picture 1"/>
            <wp:cNvGraphicFramePr>
              <a:graphicFrameLocks noChangeAspect="1"/>
            </wp:cNvGraphicFramePr>
            <a:graphic>
              <a:graphicData uri="http://schemas.openxmlformats.org/drawingml/2006/picture">
                <pic:pic>
                  <pic:nvPicPr>
                    <pic:cNvPr id="0" name="sabic_football.png"/>
                    <pic:cNvPicPr/>
                  </pic:nvPicPr>
                  <pic:blipFill>
                    <a:blip r:embed="rId9"/>
                    <a:stretch>
                      <a:fillRect/>
                    </a:stretch>
                  </pic:blipFill>
                  <pic:spPr>
                    <a:xfrm>
                      <a:off x="0" y="0"/>
                      <a:ext cx="5760720" cy="2560320"/>
                    </a:xfrm>
                    <a:prstGeom prst="rect"/>
                  </pic:spPr>
                </pic:pic>
              </a:graphicData>
            </a:graphic>
          </wp:inline>
        </w:drawing>
      </w:r>
    </w:p>
    <w:p>
      <w:pPr>
        <w:jc w:val="center"/>
      </w:pPr>
      <w:r>
        <w:rPr>
          <w:i/>
          <w:color w:val="555555"/>
          <w:sz w:val="17"/>
        </w:rPr>
        <w:t>Figure 1 — Valuation football field. Bars span bear–bull per lens; the brass tick is each base case; the gold band is the blended central range; the dark line is spot.</w:t>
      </w:r>
    </w:p>
    <w:p>
      <w:r>
        <w:rPr>
          <w:rFonts w:ascii="Carlito" w:hAnsi="Carlito"/>
          <w:i w:val="0"/>
          <w:sz w:val="21"/>
        </w:rPr>
        <w:t>Central fair value ≈ SAR 55.5/share, about 7% above spot. The spread of the lenses (SAR 47.8 to 60.3 at base) is itself the message: this is not a deep-value or a clearly-expensive name, but a modestly-cheap cyclical whose re-rating depends on one operating outcome — the margin cycle turning.</w:t>
      </w:r>
    </w:p>
    <w:p>
      <w:pPr>
        <w:spacing w:before="200" w:after="60"/>
      </w:pPr>
      <w:r>
        <w:rPr>
          <w:rFonts w:ascii="Carlito" w:hAnsi="Carlito"/>
          <w:b/>
          <w:color w:val="896F36"/>
          <w:sz w:val="23"/>
        </w:rPr>
        <w:t>1.6  The business — a deeper segment look</w:t>
      </w:r>
    </w:p>
    <w:p>
      <w:r>
        <w:rPr>
          <w:rFonts w:ascii="Carlito" w:hAnsi="Carlito"/>
          <w:i w:val="0"/>
          <w:sz w:val="21"/>
        </w:rPr>
        <w:t>SABIC does not disclose clean segment-EBITDA splits, so per the data-discipline gate we frame the mix top-down rather than manufacture segment margins. Petrochemicals &amp; polymers is the value engine and the risk; agri-nutrients is the steadier, higher-margin anchor; specialties is small but higher-quality.</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1728"/>
        <w:gridCol w:w="1728"/>
        <w:gridCol w:w="1728"/>
        <w:gridCol w:w="1728"/>
        <w:gridCol w:w="1728"/>
      </w:tblGrid>
      <w:tr>
        <w:tc>
          <w:tcPr>
            <w:tcW w:type="dxa" w:w="3744"/>
            <w:shd w:val="clear" w:fill="1C3A36"/>
          </w:tcPr>
          <w:p>
            <w:pPr>
              <w:spacing w:after="20" w:before="20"/>
              <w:jc w:val="left"/>
            </w:pPr>
            <w:r/>
            <w:r>
              <w:rPr>
                <w:rFonts w:ascii="Carlito" w:hAnsi="Carlito"/>
                <w:b/>
                <w:i w:val="0"/>
                <w:color w:val="FFFFFF"/>
                <w:sz w:val="19"/>
              </w:rPr>
              <w:t>Segment</w:t>
            </w:r>
          </w:p>
        </w:tc>
        <w:tc>
          <w:tcPr>
            <w:tcW w:type="dxa" w:w="1584"/>
            <w:shd w:val="clear" w:fill="1C3A36"/>
          </w:tcPr>
          <w:p>
            <w:pPr>
              <w:spacing w:after="20" w:before="20"/>
              <w:jc w:val="center"/>
            </w:pPr>
            <w:r/>
            <w:r>
              <w:rPr>
                <w:rFonts w:ascii="Carlito" w:hAnsi="Carlito"/>
                <w:b/>
                <w:i w:val="0"/>
                <w:color w:val="FFFFFF"/>
                <w:sz w:val="19"/>
              </w:rPr>
              <w:t>~% of revenue</w:t>
            </w:r>
          </w:p>
        </w:tc>
        <w:tc>
          <w:tcPr>
            <w:tcW w:type="dxa" w:w="1440"/>
            <w:shd w:val="clear" w:fill="1C3A36"/>
          </w:tcPr>
          <w:p>
            <w:pPr>
              <w:spacing w:after="20" w:before="20"/>
              <w:jc w:val="center"/>
            </w:pPr>
            <w:r/>
            <w:r>
              <w:rPr>
                <w:rFonts w:ascii="Carlito" w:hAnsi="Carlito"/>
                <w:b/>
                <w:i w:val="0"/>
                <w:color w:val="FFFFFF"/>
                <w:sz w:val="19"/>
              </w:rPr>
              <w:t>Cyclicality</w:t>
            </w:r>
          </w:p>
        </w:tc>
        <w:tc>
          <w:tcPr>
            <w:tcW w:type="dxa" w:w="2016"/>
            <w:shd w:val="clear" w:fill="1C3A36"/>
          </w:tcPr>
          <w:p>
            <w:pPr>
              <w:spacing w:after="20" w:before="20"/>
              <w:jc w:val="center"/>
            </w:pPr>
            <w:r/>
            <w:r>
              <w:rPr>
                <w:rFonts w:ascii="Carlito" w:hAnsi="Carlito"/>
                <w:b/>
                <w:i w:val="0"/>
                <w:color w:val="FFFFFF"/>
                <w:sz w:val="19"/>
              </w:rPr>
              <w:t>Margin trend</w:t>
            </w:r>
          </w:p>
        </w:tc>
        <w:tc>
          <w:tcPr>
            <w:tcW w:type="dxa" w:w="1728"/>
            <w:shd w:val="clear" w:fill="1C3A36"/>
          </w:tcPr>
          <w:p>
            <w:pPr>
              <w:spacing w:after="20" w:before="20"/>
              <w:jc w:val="center"/>
            </w:pPr>
            <w:r/>
            <w:r>
              <w:rPr>
                <w:rFonts w:ascii="Carlito" w:hAnsi="Carlito"/>
                <w:b/>
                <w:i w:val="0"/>
                <w:color w:val="FFFFFF"/>
                <w:sz w:val="19"/>
              </w:rPr>
              <w:t>Swing role</w:t>
            </w:r>
          </w:p>
        </w:tc>
      </w:tr>
      <w:tr>
        <w:tc>
          <w:tcPr>
            <w:tcW w:type="dxa" w:w="3744"/>
          </w:tcPr>
          <w:p>
            <w:pPr>
              <w:spacing w:after="20" w:before="20"/>
              <w:jc w:val="left"/>
            </w:pPr>
            <w:r/>
            <w:r>
              <w:rPr>
                <w:rFonts w:ascii="Carlito" w:hAnsi="Carlito"/>
                <w:b w:val="0"/>
                <w:i w:val="0"/>
                <w:sz w:val="19"/>
              </w:rPr>
              <w:t>Petrochemicals &amp; polymers</w:t>
            </w:r>
          </w:p>
        </w:tc>
        <w:tc>
          <w:tcPr>
            <w:tcW w:type="dxa" w:w="1584"/>
          </w:tcPr>
          <w:p>
            <w:pPr>
              <w:spacing w:after="20" w:before="20"/>
              <w:jc w:val="center"/>
            </w:pPr>
            <w:r/>
            <w:r>
              <w:rPr>
                <w:rFonts w:ascii="Carlito" w:hAnsi="Carlito"/>
                <w:b w:val="0"/>
                <w:i w:val="0"/>
                <w:sz w:val="19"/>
              </w:rPr>
              <w:t>~70%</w:t>
            </w:r>
          </w:p>
        </w:tc>
        <w:tc>
          <w:tcPr>
            <w:tcW w:type="dxa" w:w="1440"/>
          </w:tcPr>
          <w:p>
            <w:pPr>
              <w:spacing w:after="20" w:before="20"/>
              <w:jc w:val="center"/>
            </w:pPr>
            <w:r/>
            <w:r>
              <w:rPr>
                <w:rFonts w:ascii="Carlito" w:hAnsi="Carlito"/>
                <w:b w:val="0"/>
                <w:i w:val="0"/>
                <w:sz w:val="19"/>
              </w:rPr>
              <w:t>High</w:t>
            </w:r>
          </w:p>
        </w:tc>
        <w:tc>
          <w:tcPr>
            <w:tcW w:type="dxa" w:w="2016"/>
          </w:tcPr>
          <w:p>
            <w:pPr>
              <w:spacing w:after="20" w:before="20"/>
              <w:jc w:val="center"/>
            </w:pPr>
            <w:r/>
            <w:r>
              <w:rPr>
                <w:rFonts w:ascii="Carlito" w:hAnsi="Carlito"/>
                <w:b w:val="0"/>
                <w:i w:val="0"/>
                <w:sz w:val="19"/>
              </w:rPr>
              <w:t>Trough → recovery?</w:t>
            </w:r>
          </w:p>
        </w:tc>
        <w:tc>
          <w:tcPr>
            <w:tcW w:type="dxa" w:w="1728"/>
          </w:tcPr>
          <w:p>
            <w:pPr>
              <w:spacing w:after="20" w:before="20"/>
              <w:jc w:val="center"/>
            </w:pPr>
            <w:r/>
            <w:r>
              <w:rPr>
                <w:rFonts w:ascii="Carlito" w:hAnsi="Carlito"/>
                <w:b w:val="0"/>
                <w:i w:val="0"/>
                <w:sz w:val="19"/>
              </w:rPr>
              <w:t>Dominant</w:t>
            </w:r>
          </w:p>
        </w:tc>
      </w:tr>
      <w:tr>
        <w:tc>
          <w:tcPr>
            <w:tcW w:type="dxa" w:w="3744"/>
          </w:tcPr>
          <w:p>
            <w:pPr>
              <w:spacing w:after="20" w:before="20"/>
              <w:jc w:val="left"/>
            </w:pPr>
            <w:r/>
            <w:r>
              <w:rPr>
                <w:rFonts w:ascii="Carlito" w:hAnsi="Carlito"/>
                <w:b w:val="0"/>
                <w:i w:val="0"/>
                <w:sz w:val="19"/>
              </w:rPr>
              <w:t>Agri-Nutrients (listed SABIC AN)</w:t>
            </w:r>
          </w:p>
        </w:tc>
        <w:tc>
          <w:tcPr>
            <w:tcW w:type="dxa" w:w="1584"/>
          </w:tcPr>
          <w:p>
            <w:pPr>
              <w:spacing w:after="20" w:before="20"/>
              <w:jc w:val="center"/>
            </w:pPr>
            <w:r/>
            <w:r>
              <w:rPr>
                <w:rFonts w:ascii="Carlito" w:hAnsi="Carlito"/>
                <w:b w:val="0"/>
                <w:i w:val="0"/>
                <w:sz w:val="19"/>
              </w:rPr>
              <w:t>~12%</w:t>
            </w:r>
          </w:p>
        </w:tc>
        <w:tc>
          <w:tcPr>
            <w:tcW w:type="dxa" w:w="1440"/>
          </w:tcPr>
          <w:p>
            <w:pPr>
              <w:spacing w:after="20" w:before="20"/>
              <w:jc w:val="center"/>
            </w:pPr>
            <w:r/>
            <w:r>
              <w:rPr>
                <w:rFonts w:ascii="Carlito" w:hAnsi="Carlito"/>
                <w:b w:val="0"/>
                <w:i w:val="0"/>
                <w:sz w:val="19"/>
              </w:rPr>
              <w:t>Moderate</w:t>
            </w:r>
          </w:p>
        </w:tc>
        <w:tc>
          <w:tcPr>
            <w:tcW w:type="dxa" w:w="2016"/>
          </w:tcPr>
          <w:p>
            <w:pPr>
              <w:spacing w:after="20" w:before="20"/>
              <w:jc w:val="center"/>
            </w:pPr>
            <w:r/>
            <w:r>
              <w:rPr>
                <w:rFonts w:ascii="Carlito" w:hAnsi="Carlito"/>
                <w:b w:val="0"/>
                <w:i w:val="0"/>
                <w:sz w:val="19"/>
              </w:rPr>
              <w:t>Firm (urea supply-limited)</w:t>
            </w:r>
          </w:p>
        </w:tc>
        <w:tc>
          <w:tcPr>
            <w:tcW w:type="dxa" w:w="1728"/>
          </w:tcPr>
          <w:p>
            <w:pPr>
              <w:spacing w:after="20" w:before="20"/>
              <w:jc w:val="center"/>
            </w:pPr>
            <w:r/>
            <w:r>
              <w:rPr>
                <w:rFonts w:ascii="Carlito" w:hAnsi="Carlito"/>
                <w:b w:val="0"/>
                <w:i w:val="0"/>
                <w:sz w:val="19"/>
              </w:rPr>
              <w:t>Cash anchor</w:t>
            </w:r>
          </w:p>
        </w:tc>
      </w:tr>
      <w:tr>
        <w:tc>
          <w:tcPr>
            <w:tcW w:type="dxa" w:w="3744"/>
          </w:tcPr>
          <w:p>
            <w:pPr>
              <w:spacing w:after="20" w:before="20"/>
              <w:jc w:val="left"/>
            </w:pPr>
            <w:r/>
            <w:r>
              <w:rPr>
                <w:rFonts w:ascii="Carlito" w:hAnsi="Carlito"/>
                <w:b w:val="0"/>
                <w:i w:val="0"/>
                <w:sz w:val="19"/>
              </w:rPr>
              <w:t>Specialties</w:t>
            </w:r>
          </w:p>
        </w:tc>
        <w:tc>
          <w:tcPr>
            <w:tcW w:type="dxa" w:w="1584"/>
          </w:tcPr>
          <w:p>
            <w:pPr>
              <w:spacing w:after="20" w:before="20"/>
              <w:jc w:val="center"/>
            </w:pPr>
            <w:r/>
            <w:r>
              <w:rPr>
                <w:rFonts w:ascii="Carlito" w:hAnsi="Carlito"/>
                <w:b w:val="0"/>
                <w:i w:val="0"/>
                <w:sz w:val="19"/>
              </w:rPr>
              <w:t>~10%</w:t>
            </w:r>
          </w:p>
        </w:tc>
        <w:tc>
          <w:tcPr>
            <w:tcW w:type="dxa" w:w="1440"/>
          </w:tcPr>
          <w:p>
            <w:pPr>
              <w:spacing w:after="20" w:before="20"/>
              <w:jc w:val="center"/>
            </w:pPr>
            <w:r/>
            <w:r>
              <w:rPr>
                <w:rFonts w:ascii="Carlito" w:hAnsi="Carlito"/>
                <w:b w:val="0"/>
                <w:i w:val="0"/>
                <w:sz w:val="19"/>
              </w:rPr>
              <w:t>Moderate</w:t>
            </w:r>
          </w:p>
        </w:tc>
        <w:tc>
          <w:tcPr>
            <w:tcW w:type="dxa" w:w="2016"/>
          </w:tcPr>
          <w:p>
            <w:pPr>
              <w:spacing w:after="20" w:before="20"/>
              <w:jc w:val="center"/>
            </w:pPr>
            <w:r/>
            <w:r>
              <w:rPr>
                <w:rFonts w:ascii="Carlito" w:hAnsi="Carlito"/>
                <w:b w:val="0"/>
                <w:i w:val="0"/>
                <w:sz w:val="19"/>
              </w:rPr>
              <w:t>Steady, higher-quality</w:t>
            </w:r>
          </w:p>
        </w:tc>
        <w:tc>
          <w:tcPr>
            <w:tcW w:type="dxa" w:w="1728"/>
          </w:tcPr>
          <w:p>
            <w:pPr>
              <w:spacing w:after="20" w:before="20"/>
              <w:jc w:val="center"/>
            </w:pPr>
            <w:r/>
            <w:r>
              <w:rPr>
                <w:rFonts w:ascii="Carlito" w:hAnsi="Carlito"/>
                <w:b w:val="0"/>
                <w:i w:val="0"/>
                <w:sz w:val="19"/>
              </w:rPr>
              <w:t>Optionality</w:t>
            </w:r>
          </w:p>
        </w:tc>
      </w:tr>
      <w:tr>
        <w:tc>
          <w:tcPr>
            <w:tcW w:type="dxa" w:w="3744"/>
          </w:tcPr>
          <w:p>
            <w:pPr>
              <w:spacing w:after="20" w:before="20"/>
              <w:jc w:val="left"/>
            </w:pPr>
            <w:r/>
            <w:r>
              <w:rPr>
                <w:rFonts w:ascii="Carlito" w:hAnsi="Carlito"/>
                <w:b w:val="0"/>
                <w:i w:val="0"/>
                <w:sz w:val="19"/>
              </w:rPr>
              <w:t>Europe petchem / Americas ET</w:t>
            </w:r>
          </w:p>
        </w:tc>
        <w:tc>
          <w:tcPr>
            <w:tcW w:type="dxa" w:w="1584"/>
          </w:tcPr>
          <w:p>
            <w:pPr>
              <w:spacing w:after="20" w:before="20"/>
              <w:jc w:val="center"/>
            </w:pPr>
            <w:r/>
            <w:r>
              <w:rPr>
                <w:rFonts w:ascii="Carlito" w:hAnsi="Carlito"/>
                <w:b w:val="0"/>
                <w:i w:val="0"/>
                <w:sz w:val="19"/>
              </w:rPr>
              <w:t>divesting</w:t>
            </w:r>
          </w:p>
        </w:tc>
        <w:tc>
          <w:tcPr>
            <w:tcW w:type="dxa" w:w="1440"/>
          </w:tcPr>
          <w:p>
            <w:pPr>
              <w:spacing w:after="20" w:before="20"/>
              <w:jc w:val="center"/>
            </w:pPr>
            <w:r/>
            <w:r>
              <w:rPr>
                <w:rFonts w:ascii="Carlito" w:hAnsi="Carlito"/>
                <w:b w:val="0"/>
                <w:i w:val="0"/>
                <w:sz w:val="19"/>
              </w:rPr>
              <w:t>—</w:t>
            </w:r>
          </w:p>
        </w:tc>
        <w:tc>
          <w:tcPr>
            <w:tcW w:type="dxa" w:w="2016"/>
          </w:tcPr>
          <w:p>
            <w:pPr>
              <w:spacing w:after="20" w:before="20"/>
              <w:jc w:val="center"/>
            </w:pPr>
            <w:r/>
            <w:r>
              <w:rPr>
                <w:rFonts w:ascii="Carlito" w:hAnsi="Carlito"/>
                <w:b w:val="0"/>
                <w:i w:val="0"/>
                <w:sz w:val="19"/>
              </w:rPr>
              <w:t>Loss-making; held for sale</w:t>
            </w:r>
          </w:p>
        </w:tc>
        <w:tc>
          <w:tcPr>
            <w:tcW w:type="dxa" w:w="1728"/>
          </w:tcPr>
          <w:p>
            <w:pPr>
              <w:spacing w:after="20" w:before="20"/>
              <w:jc w:val="center"/>
            </w:pPr>
            <w:r/>
            <w:r>
              <w:rPr>
                <w:rFonts w:ascii="Carlito" w:hAnsi="Carlito"/>
                <w:b w:val="0"/>
                <w:i w:val="0"/>
                <w:sz w:val="19"/>
              </w:rPr>
              <w:t>One-off drag (writedowns)</w:t>
            </w:r>
          </w:p>
        </w:tc>
      </w:tr>
    </w:tbl>
    <w:p>
      <w:pPr>
        <w:spacing w:after="40"/>
      </w:pPr>
    </w:p>
    <w:p>
      <w:pPr>
        <w:spacing w:before="200" w:after="60"/>
      </w:pPr>
      <w:r>
        <w:rPr>
          <w:rFonts w:ascii="Carlito" w:hAnsi="Carlito"/>
          <w:b/>
          <w:color w:val="896F36"/>
          <w:sz w:val="23"/>
        </w:rPr>
        <w:t>1.7  The product–feedstock spread and terminal-value dependency — the crux</w:t>
      </w:r>
    </w:p>
    <w:p>
      <w:r>
        <w:rPr>
          <w:rFonts w:ascii="Carlito" w:hAnsi="Carlito"/>
          <w:i w:val="0"/>
          <w:sz w:val="21"/>
        </w:rPr>
        <w:t xml:space="preserve">Two judgments drive the valuation more than any other, and we sensitize both in real, observable units rather than an abstract margin percentage. </w:t>
      </w:r>
    </w:p>
    <w:p>
      <w:r>
        <w:rPr>
          <w:rFonts w:ascii="Carlito" w:hAnsi="Carlito"/>
          <w:i w:val="0"/>
          <w:sz w:val="21"/>
        </w:rPr>
        <w:t xml:space="preserve">First, where the spread settles. </w:t>
      </w:r>
    </w:p>
    <w:p>
      <w:r>
        <w:rPr>
          <w:rFonts w:ascii="Carlito" w:hAnsi="Carlito"/>
          <w:i w:val="0"/>
          <w:sz w:val="21"/>
        </w:rPr>
        <w:t>SABIC's structural advantage is a fixed, low-cost Saudi gas/ethane feedstock, so its margin is essentially the product price (ethylene, polyethylene, MEG) minus an advantaged, near-constant feedstock cost. The swing is therefore the product–feedstock spread in USD/tonne. We express the crux on that quote:</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2880"/>
        <w:gridCol w:w="2880"/>
        <w:gridCol w:w="2880"/>
      </w:tblGrid>
      <w:tr>
        <w:tc>
          <w:tcPr>
            <w:tcW w:type="dxa" w:w="4896"/>
            <w:shd w:val="clear" w:fill="1C3A36"/>
          </w:tcPr>
          <w:p>
            <w:pPr>
              <w:spacing w:after="20" w:before="20"/>
              <w:jc w:val="left"/>
            </w:pPr>
            <w:r/>
            <w:r>
              <w:rPr>
                <w:rFonts w:ascii="Carlito" w:hAnsi="Carlito"/>
                <w:b/>
                <w:i w:val="0"/>
                <w:color w:val="FFFFFF"/>
                <w:sz w:val="19"/>
              </w:rPr>
              <w:t>PE–feedstock spread scenario ($/tonne, indicative)</w:t>
            </w:r>
          </w:p>
        </w:tc>
        <w:tc>
          <w:tcPr>
            <w:tcW w:type="dxa" w:w="2304"/>
            <w:shd w:val="clear" w:fill="1C3A36"/>
          </w:tcPr>
          <w:p>
            <w:pPr>
              <w:spacing w:after="20" w:before="20"/>
              <w:jc w:val="center"/>
            </w:pPr>
            <w:r/>
            <w:r>
              <w:rPr>
                <w:rFonts w:ascii="Carlito" w:hAnsi="Carlito"/>
                <w:b/>
                <w:i w:val="0"/>
                <w:color w:val="FFFFFF"/>
                <w:sz w:val="19"/>
              </w:rPr>
              <w:t>Mid-cycle EBITDA margin</w:t>
            </w:r>
          </w:p>
        </w:tc>
        <w:tc>
          <w:tcPr>
            <w:tcW w:type="dxa" w:w="2304"/>
            <w:shd w:val="clear" w:fill="1C3A36"/>
          </w:tcPr>
          <w:p>
            <w:pPr>
              <w:spacing w:after="20" w:before="20"/>
              <w:jc w:val="center"/>
            </w:pPr>
            <w:r/>
            <w:r>
              <w:rPr>
                <w:rFonts w:ascii="Carlito" w:hAnsi="Carlito"/>
                <w:b/>
                <w:i w:val="0"/>
                <w:color w:val="FFFFFF"/>
                <w:sz w:val="19"/>
              </w:rPr>
              <w:t>DCF fair value (SAR)</w:t>
            </w:r>
          </w:p>
        </w:tc>
      </w:tr>
      <w:tr>
        <w:tc>
          <w:tcPr>
            <w:tcW w:type="dxa" w:w="4896"/>
          </w:tcPr>
          <w:p>
            <w:pPr>
              <w:spacing w:after="20" w:before="20"/>
              <w:jc w:val="left"/>
            </w:pPr>
            <w:r/>
            <w:r>
              <w:rPr>
                <w:rFonts w:ascii="Carlito" w:hAnsi="Carlito"/>
                <w:b w:val="0"/>
                <w:i w:val="0"/>
                <w:sz w:val="19"/>
              </w:rPr>
              <w:t>Compressed (trough persists) — ~$300/t</w:t>
            </w:r>
          </w:p>
        </w:tc>
        <w:tc>
          <w:tcPr>
            <w:tcW w:type="dxa" w:w="2304"/>
          </w:tcPr>
          <w:p>
            <w:pPr>
              <w:spacing w:after="20" w:before="20"/>
              <w:jc w:val="center"/>
            </w:pPr>
            <w:r/>
            <w:r>
              <w:rPr>
                <w:rFonts w:ascii="Carlito" w:hAnsi="Carlito"/>
                <w:b w:val="0"/>
                <w:i w:val="0"/>
                <w:sz w:val="19"/>
              </w:rPr>
              <w:t>16.5%</w:t>
            </w:r>
          </w:p>
        </w:tc>
        <w:tc>
          <w:tcPr>
            <w:tcW w:type="dxa" w:w="2304"/>
          </w:tcPr>
          <w:p>
            <w:pPr>
              <w:spacing w:after="20" w:before="20"/>
              <w:jc w:val="center"/>
            </w:pPr>
            <w:r/>
            <w:r>
              <w:rPr>
                <w:rFonts w:ascii="Carlito" w:hAnsi="Carlito"/>
                <w:b w:val="0"/>
                <w:i w:val="0"/>
                <w:sz w:val="19"/>
              </w:rPr>
              <w:t>≈ 36 (bear)</w:t>
            </w:r>
          </w:p>
        </w:tc>
      </w:tr>
      <w:tr>
        <w:tc>
          <w:tcPr>
            <w:tcW w:type="dxa" w:w="4896"/>
          </w:tcPr>
          <w:p>
            <w:pPr>
              <w:spacing w:after="20" w:before="20"/>
              <w:jc w:val="left"/>
            </w:pPr>
            <w:r/>
            <w:r>
              <w:rPr>
                <w:rFonts w:ascii="Carlito" w:hAnsi="Carlito"/>
                <w:b w:val="0"/>
                <w:i w:val="0"/>
                <w:sz w:val="19"/>
              </w:rPr>
              <w:t>Partial recovery — ~$450/t</w:t>
            </w:r>
          </w:p>
        </w:tc>
        <w:tc>
          <w:tcPr>
            <w:tcW w:type="dxa" w:w="2304"/>
          </w:tcPr>
          <w:p>
            <w:pPr>
              <w:spacing w:after="20" w:before="20"/>
              <w:jc w:val="center"/>
            </w:pPr>
            <w:r/>
            <w:r>
              <w:rPr>
                <w:rFonts w:ascii="Carlito" w:hAnsi="Carlito"/>
                <w:b w:val="0"/>
                <w:i w:val="0"/>
                <w:sz w:val="19"/>
              </w:rPr>
              <w:t>19.0%</w:t>
            </w:r>
          </w:p>
        </w:tc>
        <w:tc>
          <w:tcPr>
            <w:tcW w:type="dxa" w:w="2304"/>
          </w:tcPr>
          <w:p>
            <w:pPr>
              <w:spacing w:after="20" w:before="20"/>
              <w:jc w:val="center"/>
            </w:pPr>
            <w:r/>
            <w:r>
              <w:rPr>
                <w:rFonts w:ascii="Carlito" w:hAnsi="Carlito"/>
                <w:b w:val="0"/>
                <w:i w:val="0"/>
                <w:sz w:val="19"/>
              </w:rPr>
              <w:t>≈ 60 (base)</w:t>
            </w:r>
          </w:p>
        </w:tc>
      </w:tr>
      <w:tr>
        <w:tc>
          <w:tcPr>
            <w:tcW w:type="dxa" w:w="4896"/>
          </w:tcPr>
          <w:p>
            <w:pPr>
              <w:spacing w:after="20" w:before="20"/>
              <w:jc w:val="left"/>
            </w:pPr>
            <w:r/>
            <w:r>
              <w:rPr>
                <w:rFonts w:ascii="Carlito" w:hAnsi="Carlito"/>
                <w:b w:val="0"/>
                <w:i w:val="0"/>
                <w:sz w:val="19"/>
              </w:rPr>
              <w:t>Full normalization — ~$600/t</w:t>
            </w:r>
          </w:p>
        </w:tc>
        <w:tc>
          <w:tcPr>
            <w:tcW w:type="dxa" w:w="2304"/>
          </w:tcPr>
          <w:p>
            <w:pPr>
              <w:spacing w:after="20" w:before="20"/>
              <w:jc w:val="center"/>
            </w:pPr>
            <w:r/>
            <w:r>
              <w:rPr>
                <w:rFonts w:ascii="Carlito" w:hAnsi="Carlito"/>
                <w:b w:val="0"/>
                <w:i w:val="0"/>
                <w:sz w:val="19"/>
              </w:rPr>
              <w:t>21.0%</w:t>
            </w:r>
          </w:p>
        </w:tc>
        <w:tc>
          <w:tcPr>
            <w:tcW w:type="dxa" w:w="2304"/>
          </w:tcPr>
          <w:p>
            <w:pPr>
              <w:spacing w:after="20" w:before="20"/>
              <w:jc w:val="center"/>
            </w:pPr>
            <w:r/>
            <w:r>
              <w:rPr>
                <w:rFonts w:ascii="Carlito" w:hAnsi="Carlito"/>
                <w:b w:val="0"/>
                <w:i w:val="0"/>
                <w:sz w:val="19"/>
              </w:rPr>
              <w:t>≈ 96 (bull)</w:t>
            </w:r>
          </w:p>
        </w:tc>
      </w:tr>
    </w:tbl>
    <w:p>
      <w:pPr>
        <w:spacing w:after="40"/>
      </w:pPr>
    </w:p>
    <w:p>
      <w:r>
        <w:rPr>
          <w:rFonts w:ascii="Carlito" w:hAnsi="Carlito"/>
          <w:i w:val="0"/>
          <w:sz w:val="21"/>
        </w:rPr>
        <w:t xml:space="preserve">Second, the terminal-value dependency. </w:t>
      </w:r>
    </w:p>
    <w:p>
      <w:r>
        <w:rPr>
          <w:rFonts w:ascii="Carlito" w:hAnsi="Carlito"/>
          <w:i w:val="0"/>
          <w:sz w:val="21"/>
        </w:rPr>
        <w:t>Because the DCF credits a normalizing margin, its terminal value is ~75% of enterprise value — a mid-cycle-margin bet dressed as a five-year cash-flow model. Rather than bury that, we disclose it (device A-7) and sensitize the fair value directly on the WACC × terminal-g grid in §1.9. A reader who believes the margin stays at the trough should weight the relative lens (SAR 47.8), not the DCF.</w:t>
      </w:r>
    </w:p>
    <w:p>
      <w:pPr>
        <w:spacing w:before="200" w:after="60"/>
      </w:pPr>
      <w:r>
        <w:rPr>
          <w:rFonts w:ascii="Carlito" w:hAnsi="Carlito"/>
          <w:b/>
          <w:color w:val="896F36"/>
          <w:sz w:val="23"/>
        </w:rPr>
        <w:t>1.8  Macro and country — oil, China, feedstock and the Aramco relationship</w:t>
      </w:r>
    </w:p>
    <w:p>
      <w:r>
        <w:rPr>
          <w:rFonts w:ascii="Carlito" w:hAnsi="Carlito"/>
          <w:i w:val="0"/>
          <w:sz w:val="21"/>
        </w:rPr>
        <w:t xml:space="preserve">SABIC is a leveraged play on the global petrochemical cycle with a Saudi feedstock cushion. </w:t>
      </w:r>
    </w:p>
    <w:p>
      <w:r>
        <w:rPr>
          <w:rFonts w:ascii="Carlito" w:hAnsi="Carlito"/>
          <w:i w:val="0"/>
          <w:sz w:val="21"/>
        </w:rPr>
        <w:t>Oil and gas set the frame in two directions: higher oil generally lifts naphtha-based competitors' costs and widens SABIC's advantaged-feedstock spread, while the Saudi domestic gas price (administered, historically well below international levels) is the single most important cost input and a policy variable. China is the demand and supply swing — the 2022–25 Chinese PE/MEG capacity wave is what compressed spreads, and Chinese stimulus or capacity rationalisation is the main upside catalyst. The Aramco relationship (70% owner since 2020) integrates SABIC into the world's largest oil company, supporting feedstock security and credit, but also means minority holders sit beneath a controlling strategic parent. Saudi macro (Vision 2030 downstream localisation, a stable SAR peg at 3.75/USD) is mildly supportive. These levers sit behind the bear and bull cases in §1.5 and the catalysts in §5.</w:t>
      </w:r>
    </w:p>
    <w:p>
      <w:pPr>
        <w:spacing w:before="200" w:after="60"/>
      </w:pPr>
      <w:r>
        <w:rPr>
          <w:rFonts w:ascii="Carlito" w:hAnsi="Carlito"/>
          <w:b/>
          <w:color w:val="896F36"/>
          <w:sz w:val="23"/>
        </w:rPr>
        <w:t>1.9  DCF sensitivity — how the swings move the value</w:t>
      </w:r>
    </w:p>
    <w:p>
      <w:r>
        <w:rPr>
          <w:rFonts w:ascii="Carlito" w:hAnsi="Carlito"/>
          <w:i w:val="0"/>
          <w:sz w:val="21"/>
        </w:rPr>
        <w:t>Two grids re-price the DCF. The first varies the discount rate and terminal growth (the terminal-value dependency); the second varies the real-unit swing — the mid-cycle EBITDA margin (a proxy for the spread) against the peer EV/EBITDA multiple.</w:t>
      </w:r>
    </w:p>
    <w:p>
      <w:pPr>
        <w:spacing w:before="120" w:after="40"/>
        <w:jc w:val="center"/>
      </w:pPr>
      <w:r>
        <w:drawing>
          <wp:inline xmlns:a="http://schemas.openxmlformats.org/drawingml/2006/main" xmlns:pic="http://schemas.openxmlformats.org/drawingml/2006/picture">
            <wp:extent cx="5760720" cy="3780472"/>
            <wp:docPr id="2" name="Picture 2"/>
            <wp:cNvGraphicFramePr>
              <a:graphicFrameLocks noChangeAspect="1"/>
            </wp:cNvGraphicFramePr>
            <a:graphic>
              <a:graphicData uri="http://schemas.openxmlformats.org/drawingml/2006/picture">
                <pic:pic>
                  <pic:nvPicPr>
                    <pic:cNvPr id="0" name="sabic_sensitivity.png"/>
                    <pic:cNvPicPr/>
                  </pic:nvPicPr>
                  <pic:blipFill>
                    <a:blip r:embed="rId10"/>
                    <a:stretch>
                      <a:fillRect/>
                    </a:stretch>
                  </pic:blipFill>
                  <pic:spPr>
                    <a:xfrm>
                      <a:off x="0" y="0"/>
                      <a:ext cx="5760720" cy="3780472"/>
                    </a:xfrm>
                    <a:prstGeom prst="rect"/>
                  </pic:spPr>
                </pic:pic>
              </a:graphicData>
            </a:graphic>
          </wp:inline>
        </w:drawing>
      </w:r>
    </w:p>
    <w:p>
      <w:pPr>
        <w:jc w:val="center"/>
      </w:pPr>
      <w:r>
        <w:rPr>
          <w:i/>
          <w:color w:val="555555"/>
          <w:sz w:val="17"/>
        </w:rPr>
        <w:t>Figure 2 — DCF fair value (SAR/share): WACC × terminal-g. Cells near spot (SAR 51.80) shade toward the centre.</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1440"/>
        <w:gridCol w:w="1440"/>
        <w:gridCol w:w="1440"/>
        <w:gridCol w:w="1440"/>
        <w:gridCol w:w="1440"/>
        <w:gridCol w:w="1440"/>
      </w:tblGrid>
      <w:tr>
        <w:tc>
          <w:tcPr>
            <w:tcW w:type="dxa" w:w="1728"/>
            <w:shd w:val="clear" w:fill="1C3A36"/>
          </w:tcPr>
          <w:p>
            <w:pPr>
              <w:spacing w:after="20" w:before="20"/>
              <w:jc w:val="left"/>
            </w:pPr>
            <w:r/>
            <w:r>
              <w:rPr>
                <w:rFonts w:ascii="Carlito" w:hAnsi="Carlito"/>
                <w:b/>
                <w:i w:val="0"/>
                <w:color w:val="FFFFFF"/>
                <w:sz w:val="19"/>
              </w:rPr>
              <w:t>WACC \ g</w:t>
            </w:r>
          </w:p>
        </w:tc>
        <w:tc>
          <w:tcPr>
            <w:tcW w:type="dxa" w:w="1512"/>
            <w:shd w:val="clear" w:fill="1C3A36"/>
          </w:tcPr>
          <w:p>
            <w:pPr>
              <w:spacing w:after="20" w:before="20"/>
              <w:jc w:val="center"/>
            </w:pPr>
            <w:r/>
            <w:r>
              <w:rPr>
                <w:rFonts w:ascii="Carlito" w:hAnsi="Carlito"/>
                <w:b/>
                <w:i w:val="0"/>
                <w:color w:val="FFFFFF"/>
                <w:sz w:val="19"/>
              </w:rPr>
              <w:t>1.5%</w:t>
            </w:r>
          </w:p>
        </w:tc>
        <w:tc>
          <w:tcPr>
            <w:tcW w:type="dxa" w:w="1512"/>
            <w:shd w:val="clear" w:fill="1C3A36"/>
          </w:tcPr>
          <w:p>
            <w:pPr>
              <w:spacing w:after="20" w:before="20"/>
              <w:jc w:val="center"/>
            </w:pPr>
            <w:r/>
            <w:r>
              <w:rPr>
                <w:rFonts w:ascii="Carlito" w:hAnsi="Carlito"/>
                <w:b/>
                <w:i w:val="0"/>
                <w:color w:val="FFFFFF"/>
                <w:sz w:val="19"/>
              </w:rPr>
              <w:t>2.0%</w:t>
            </w:r>
          </w:p>
        </w:tc>
        <w:tc>
          <w:tcPr>
            <w:tcW w:type="dxa" w:w="1512"/>
            <w:shd w:val="clear" w:fill="1C3A36"/>
          </w:tcPr>
          <w:p>
            <w:pPr>
              <w:spacing w:after="20" w:before="20"/>
              <w:jc w:val="center"/>
            </w:pPr>
            <w:r/>
            <w:r>
              <w:rPr>
                <w:rFonts w:ascii="Carlito" w:hAnsi="Carlito"/>
                <w:b/>
                <w:i w:val="0"/>
                <w:color w:val="FFFFFF"/>
                <w:sz w:val="19"/>
              </w:rPr>
              <w:t>2.5%</w:t>
            </w:r>
          </w:p>
        </w:tc>
        <w:tc>
          <w:tcPr>
            <w:tcW w:type="dxa" w:w="1512"/>
            <w:shd w:val="clear" w:fill="1C3A36"/>
          </w:tcPr>
          <w:p>
            <w:pPr>
              <w:spacing w:after="20" w:before="20"/>
              <w:jc w:val="center"/>
            </w:pPr>
            <w:r/>
            <w:r>
              <w:rPr>
                <w:rFonts w:ascii="Carlito" w:hAnsi="Carlito"/>
                <w:b/>
                <w:i w:val="0"/>
                <w:color w:val="FFFFFF"/>
                <w:sz w:val="19"/>
              </w:rPr>
              <w:t>3.0%</w:t>
            </w:r>
          </w:p>
        </w:tc>
        <w:tc>
          <w:tcPr>
            <w:tcW w:type="dxa" w:w="1512"/>
            <w:shd w:val="clear" w:fill="1C3A36"/>
          </w:tcPr>
          <w:p>
            <w:pPr>
              <w:spacing w:after="20" w:before="20"/>
              <w:jc w:val="center"/>
            </w:pPr>
            <w:r/>
            <w:r>
              <w:rPr>
                <w:rFonts w:ascii="Carlito" w:hAnsi="Carlito"/>
                <w:b/>
                <w:i w:val="0"/>
                <w:color w:val="FFFFFF"/>
                <w:sz w:val="19"/>
              </w:rPr>
              <w:t>3.5%</w:t>
            </w:r>
          </w:p>
        </w:tc>
      </w:tr>
      <w:tr>
        <w:tc>
          <w:tcPr>
            <w:tcW w:type="dxa" w:w="1728"/>
          </w:tcPr>
          <w:p>
            <w:pPr>
              <w:spacing w:after="20" w:before="20"/>
              <w:jc w:val="left"/>
            </w:pPr>
            <w:r/>
            <w:r>
              <w:rPr>
                <w:rFonts w:ascii="Carlito" w:hAnsi="Carlito"/>
                <w:b w:val="0"/>
                <w:i w:val="0"/>
                <w:sz w:val="19"/>
              </w:rPr>
              <w:t>8.75%</w:t>
            </w:r>
          </w:p>
        </w:tc>
        <w:tc>
          <w:tcPr>
            <w:tcW w:type="dxa" w:w="1512"/>
          </w:tcPr>
          <w:p>
            <w:pPr>
              <w:spacing w:after="20" w:before="20"/>
              <w:jc w:val="center"/>
            </w:pPr>
            <w:r/>
            <w:r>
              <w:rPr>
                <w:rFonts w:ascii="Carlito" w:hAnsi="Carlito"/>
                <w:b w:val="0"/>
                <w:i w:val="0"/>
                <w:sz w:val="19"/>
              </w:rPr>
              <w:t>62</w:t>
            </w:r>
          </w:p>
        </w:tc>
        <w:tc>
          <w:tcPr>
            <w:tcW w:type="dxa" w:w="1512"/>
          </w:tcPr>
          <w:p>
            <w:pPr>
              <w:spacing w:after="20" w:before="20"/>
              <w:jc w:val="center"/>
            </w:pPr>
            <w:r/>
            <w:r>
              <w:rPr>
                <w:rFonts w:ascii="Carlito" w:hAnsi="Carlito"/>
                <w:b w:val="0"/>
                <w:i w:val="0"/>
                <w:sz w:val="19"/>
              </w:rPr>
              <w:t>66</w:t>
            </w:r>
          </w:p>
        </w:tc>
        <w:tc>
          <w:tcPr>
            <w:tcW w:type="dxa" w:w="1512"/>
          </w:tcPr>
          <w:p>
            <w:pPr>
              <w:spacing w:after="20" w:before="20"/>
              <w:jc w:val="center"/>
            </w:pPr>
            <w:r/>
            <w:r>
              <w:rPr>
                <w:rFonts w:ascii="Carlito" w:hAnsi="Carlito"/>
                <w:b w:val="0"/>
                <w:i w:val="0"/>
                <w:sz w:val="19"/>
              </w:rPr>
              <w:t>70</w:t>
            </w:r>
          </w:p>
        </w:tc>
        <w:tc>
          <w:tcPr>
            <w:tcW w:type="dxa" w:w="1512"/>
          </w:tcPr>
          <w:p>
            <w:pPr>
              <w:spacing w:after="20" w:before="20"/>
              <w:jc w:val="center"/>
            </w:pPr>
            <w:r/>
            <w:r>
              <w:rPr>
                <w:rFonts w:ascii="Carlito" w:hAnsi="Carlito"/>
                <w:b w:val="0"/>
                <w:i w:val="0"/>
                <w:sz w:val="19"/>
              </w:rPr>
              <w:t>76</w:t>
            </w:r>
          </w:p>
        </w:tc>
        <w:tc>
          <w:tcPr>
            <w:tcW w:type="dxa" w:w="1512"/>
          </w:tcPr>
          <w:p>
            <w:pPr>
              <w:spacing w:after="20" w:before="20"/>
              <w:jc w:val="center"/>
            </w:pPr>
            <w:r/>
            <w:r>
              <w:rPr>
                <w:rFonts w:ascii="Carlito" w:hAnsi="Carlito"/>
                <w:b w:val="0"/>
                <w:i w:val="0"/>
                <w:sz w:val="19"/>
              </w:rPr>
              <w:t>82</w:t>
            </w:r>
          </w:p>
        </w:tc>
      </w:tr>
      <w:tr>
        <w:tc>
          <w:tcPr>
            <w:tcW w:type="dxa" w:w="1728"/>
          </w:tcPr>
          <w:p>
            <w:pPr>
              <w:spacing w:after="20" w:before="20"/>
              <w:jc w:val="left"/>
            </w:pPr>
            <w:r/>
            <w:r>
              <w:rPr>
                <w:rFonts w:ascii="Carlito" w:hAnsi="Carlito"/>
                <w:b w:val="0"/>
                <w:i w:val="0"/>
                <w:sz w:val="19"/>
              </w:rPr>
              <w:t>9.25%</w:t>
            </w:r>
          </w:p>
        </w:tc>
        <w:tc>
          <w:tcPr>
            <w:tcW w:type="dxa" w:w="1512"/>
          </w:tcPr>
          <w:p>
            <w:pPr>
              <w:spacing w:after="20" w:before="20"/>
              <w:jc w:val="center"/>
            </w:pPr>
            <w:r/>
            <w:r>
              <w:rPr>
                <w:rFonts w:ascii="Carlito" w:hAnsi="Carlito"/>
                <w:b w:val="0"/>
                <w:i w:val="0"/>
                <w:sz w:val="19"/>
              </w:rPr>
              <w:t>58</w:t>
            </w:r>
          </w:p>
        </w:tc>
        <w:tc>
          <w:tcPr>
            <w:tcW w:type="dxa" w:w="1512"/>
          </w:tcPr>
          <w:p>
            <w:pPr>
              <w:spacing w:after="20" w:before="20"/>
              <w:jc w:val="center"/>
            </w:pPr>
            <w:r/>
            <w:r>
              <w:rPr>
                <w:rFonts w:ascii="Carlito" w:hAnsi="Carlito"/>
                <w:b w:val="0"/>
                <w:i w:val="0"/>
                <w:sz w:val="19"/>
              </w:rPr>
              <w:t>61</w:t>
            </w:r>
          </w:p>
        </w:tc>
        <w:tc>
          <w:tcPr>
            <w:tcW w:type="dxa" w:w="1512"/>
          </w:tcPr>
          <w:p>
            <w:pPr>
              <w:spacing w:after="20" w:before="20"/>
              <w:jc w:val="center"/>
            </w:pPr>
            <w:r/>
            <w:r>
              <w:rPr>
                <w:rFonts w:ascii="Carlito" w:hAnsi="Carlito"/>
                <w:b w:val="0"/>
                <w:i w:val="0"/>
                <w:sz w:val="19"/>
              </w:rPr>
              <w:t>65</w:t>
            </w:r>
          </w:p>
        </w:tc>
        <w:tc>
          <w:tcPr>
            <w:tcW w:type="dxa" w:w="1512"/>
          </w:tcPr>
          <w:p>
            <w:pPr>
              <w:spacing w:after="20" w:before="20"/>
              <w:jc w:val="center"/>
            </w:pPr>
            <w:r/>
            <w:r>
              <w:rPr>
                <w:rFonts w:ascii="Carlito" w:hAnsi="Carlito"/>
                <w:b w:val="0"/>
                <w:i w:val="0"/>
                <w:sz w:val="19"/>
              </w:rPr>
              <w:t>69</w:t>
            </w:r>
          </w:p>
        </w:tc>
        <w:tc>
          <w:tcPr>
            <w:tcW w:type="dxa" w:w="1512"/>
          </w:tcPr>
          <w:p>
            <w:pPr>
              <w:spacing w:after="20" w:before="20"/>
              <w:jc w:val="center"/>
            </w:pPr>
            <w:r/>
            <w:r>
              <w:rPr>
                <w:rFonts w:ascii="Carlito" w:hAnsi="Carlito"/>
                <w:b w:val="0"/>
                <w:i w:val="0"/>
                <w:sz w:val="19"/>
              </w:rPr>
              <w:t>74</w:t>
            </w:r>
          </w:p>
        </w:tc>
      </w:tr>
      <w:tr>
        <w:tc>
          <w:tcPr>
            <w:tcW w:type="dxa" w:w="1728"/>
          </w:tcPr>
          <w:p>
            <w:pPr>
              <w:spacing w:after="20" w:before="20"/>
              <w:jc w:val="left"/>
            </w:pPr>
            <w:r/>
            <w:r>
              <w:rPr>
                <w:rFonts w:ascii="Carlito" w:hAnsi="Carlito"/>
                <w:b w:val="0"/>
                <w:i w:val="0"/>
                <w:sz w:val="19"/>
              </w:rPr>
              <w:t>9.75%</w:t>
            </w:r>
          </w:p>
        </w:tc>
        <w:tc>
          <w:tcPr>
            <w:tcW w:type="dxa" w:w="1512"/>
          </w:tcPr>
          <w:p>
            <w:pPr>
              <w:spacing w:after="20" w:before="20"/>
              <w:jc w:val="center"/>
            </w:pPr>
            <w:r/>
            <w:r>
              <w:rPr>
                <w:rFonts w:ascii="Carlito" w:hAnsi="Carlito"/>
                <w:b w:val="0"/>
                <w:i w:val="0"/>
                <w:sz w:val="19"/>
              </w:rPr>
              <w:t>54</w:t>
            </w:r>
          </w:p>
        </w:tc>
        <w:tc>
          <w:tcPr>
            <w:tcW w:type="dxa" w:w="1512"/>
          </w:tcPr>
          <w:p>
            <w:pPr>
              <w:spacing w:after="20" w:before="20"/>
              <w:jc w:val="center"/>
            </w:pPr>
            <w:r/>
            <w:r>
              <w:rPr>
                <w:rFonts w:ascii="Carlito" w:hAnsi="Carlito"/>
                <w:b w:val="0"/>
                <w:i w:val="0"/>
                <w:sz w:val="19"/>
              </w:rPr>
              <w:t>57</w:t>
            </w:r>
          </w:p>
        </w:tc>
        <w:tc>
          <w:tcPr>
            <w:tcW w:type="dxa" w:w="1512"/>
          </w:tcPr>
          <w:p>
            <w:pPr>
              <w:spacing w:after="20" w:before="20"/>
              <w:jc w:val="center"/>
            </w:pPr>
            <w:r/>
            <w:r>
              <w:rPr>
                <w:rFonts w:ascii="Carlito" w:hAnsi="Carlito"/>
                <w:b w:val="0"/>
                <w:i w:val="0"/>
                <w:sz w:val="19"/>
              </w:rPr>
              <w:t>60</w:t>
            </w:r>
          </w:p>
        </w:tc>
        <w:tc>
          <w:tcPr>
            <w:tcW w:type="dxa" w:w="1512"/>
          </w:tcPr>
          <w:p>
            <w:pPr>
              <w:spacing w:after="20" w:before="20"/>
              <w:jc w:val="center"/>
            </w:pPr>
            <w:r/>
            <w:r>
              <w:rPr>
                <w:rFonts w:ascii="Carlito" w:hAnsi="Carlito"/>
                <w:b w:val="0"/>
                <w:i w:val="0"/>
                <w:sz w:val="19"/>
              </w:rPr>
              <w:t>64</w:t>
            </w:r>
          </w:p>
        </w:tc>
        <w:tc>
          <w:tcPr>
            <w:tcW w:type="dxa" w:w="1512"/>
          </w:tcPr>
          <w:p>
            <w:pPr>
              <w:spacing w:after="20" w:before="20"/>
              <w:jc w:val="center"/>
            </w:pPr>
            <w:r/>
            <w:r>
              <w:rPr>
                <w:rFonts w:ascii="Carlito" w:hAnsi="Carlito"/>
                <w:b w:val="0"/>
                <w:i w:val="0"/>
                <w:sz w:val="19"/>
              </w:rPr>
              <w:t>68</w:t>
            </w:r>
          </w:p>
        </w:tc>
      </w:tr>
      <w:tr>
        <w:tc>
          <w:tcPr>
            <w:tcW w:type="dxa" w:w="1728"/>
          </w:tcPr>
          <w:p>
            <w:pPr>
              <w:spacing w:after="20" w:before="20"/>
              <w:jc w:val="left"/>
            </w:pPr>
            <w:r/>
            <w:r>
              <w:rPr>
                <w:rFonts w:ascii="Carlito" w:hAnsi="Carlito"/>
                <w:b w:val="0"/>
                <w:i w:val="0"/>
                <w:sz w:val="19"/>
              </w:rPr>
              <w:t>10.25%</w:t>
            </w:r>
          </w:p>
        </w:tc>
        <w:tc>
          <w:tcPr>
            <w:tcW w:type="dxa" w:w="1512"/>
          </w:tcPr>
          <w:p>
            <w:pPr>
              <w:spacing w:after="20" w:before="20"/>
              <w:jc w:val="center"/>
            </w:pPr>
            <w:r/>
            <w:r>
              <w:rPr>
                <w:rFonts w:ascii="Carlito" w:hAnsi="Carlito"/>
                <w:b w:val="0"/>
                <w:i w:val="0"/>
                <w:sz w:val="19"/>
              </w:rPr>
              <w:t>51</w:t>
            </w:r>
          </w:p>
        </w:tc>
        <w:tc>
          <w:tcPr>
            <w:tcW w:type="dxa" w:w="1512"/>
          </w:tcPr>
          <w:p>
            <w:pPr>
              <w:spacing w:after="20" w:before="20"/>
              <w:jc w:val="center"/>
            </w:pPr>
            <w:r/>
            <w:r>
              <w:rPr>
                <w:rFonts w:ascii="Carlito" w:hAnsi="Carlito"/>
                <w:b w:val="0"/>
                <w:i w:val="0"/>
                <w:sz w:val="19"/>
              </w:rPr>
              <w:t>54</w:t>
            </w:r>
          </w:p>
        </w:tc>
        <w:tc>
          <w:tcPr>
            <w:tcW w:type="dxa" w:w="1512"/>
          </w:tcPr>
          <w:p>
            <w:pPr>
              <w:spacing w:after="20" w:before="20"/>
              <w:jc w:val="center"/>
            </w:pPr>
            <w:r/>
            <w:r>
              <w:rPr>
                <w:rFonts w:ascii="Carlito" w:hAnsi="Carlito"/>
                <w:b w:val="0"/>
                <w:i w:val="0"/>
                <w:sz w:val="19"/>
              </w:rPr>
              <w:t>56</w:t>
            </w:r>
          </w:p>
        </w:tc>
        <w:tc>
          <w:tcPr>
            <w:tcW w:type="dxa" w:w="1512"/>
          </w:tcPr>
          <w:p>
            <w:pPr>
              <w:spacing w:after="20" w:before="20"/>
              <w:jc w:val="center"/>
            </w:pPr>
            <w:r/>
            <w:r>
              <w:rPr>
                <w:rFonts w:ascii="Carlito" w:hAnsi="Carlito"/>
                <w:b w:val="0"/>
                <w:i w:val="0"/>
                <w:sz w:val="19"/>
              </w:rPr>
              <w:t>59</w:t>
            </w:r>
          </w:p>
        </w:tc>
        <w:tc>
          <w:tcPr>
            <w:tcW w:type="dxa" w:w="1512"/>
          </w:tcPr>
          <w:p>
            <w:pPr>
              <w:spacing w:after="20" w:before="20"/>
              <w:jc w:val="center"/>
            </w:pPr>
            <w:r/>
            <w:r>
              <w:rPr>
                <w:rFonts w:ascii="Carlito" w:hAnsi="Carlito"/>
                <w:b w:val="0"/>
                <w:i w:val="0"/>
                <w:sz w:val="19"/>
              </w:rPr>
              <w:t>63</w:t>
            </w:r>
          </w:p>
        </w:tc>
      </w:tr>
      <w:tr>
        <w:tc>
          <w:tcPr>
            <w:tcW w:type="dxa" w:w="1728"/>
          </w:tcPr>
          <w:p>
            <w:pPr>
              <w:spacing w:after="20" w:before="20"/>
              <w:jc w:val="left"/>
            </w:pPr>
            <w:r/>
            <w:r>
              <w:rPr>
                <w:rFonts w:ascii="Carlito" w:hAnsi="Carlito"/>
                <w:b w:val="0"/>
                <w:i w:val="0"/>
                <w:sz w:val="19"/>
              </w:rPr>
              <w:t>10.75%</w:t>
            </w:r>
          </w:p>
        </w:tc>
        <w:tc>
          <w:tcPr>
            <w:tcW w:type="dxa" w:w="1512"/>
          </w:tcPr>
          <w:p>
            <w:pPr>
              <w:spacing w:after="20" w:before="20"/>
              <w:jc w:val="center"/>
            </w:pPr>
            <w:r/>
            <w:r>
              <w:rPr>
                <w:rFonts w:ascii="Carlito" w:hAnsi="Carlito"/>
                <w:b w:val="0"/>
                <w:i w:val="0"/>
                <w:sz w:val="19"/>
              </w:rPr>
              <w:t>48</w:t>
            </w:r>
          </w:p>
        </w:tc>
        <w:tc>
          <w:tcPr>
            <w:tcW w:type="dxa" w:w="1512"/>
          </w:tcPr>
          <w:p>
            <w:pPr>
              <w:spacing w:after="20" w:before="20"/>
              <w:jc w:val="center"/>
            </w:pPr>
            <w:r/>
            <w:r>
              <w:rPr>
                <w:rFonts w:ascii="Carlito" w:hAnsi="Carlito"/>
                <w:b w:val="0"/>
                <w:i w:val="0"/>
                <w:sz w:val="19"/>
              </w:rPr>
              <w:t>50</w:t>
            </w:r>
          </w:p>
        </w:tc>
        <w:tc>
          <w:tcPr>
            <w:tcW w:type="dxa" w:w="1512"/>
          </w:tcPr>
          <w:p>
            <w:pPr>
              <w:spacing w:after="20" w:before="20"/>
              <w:jc w:val="center"/>
            </w:pPr>
            <w:r/>
            <w:r>
              <w:rPr>
                <w:rFonts w:ascii="Carlito" w:hAnsi="Carlito"/>
                <w:b w:val="0"/>
                <w:i w:val="0"/>
                <w:sz w:val="19"/>
              </w:rPr>
              <w:t>53</w:t>
            </w:r>
          </w:p>
        </w:tc>
        <w:tc>
          <w:tcPr>
            <w:tcW w:type="dxa" w:w="1512"/>
          </w:tcPr>
          <w:p>
            <w:pPr>
              <w:spacing w:after="20" w:before="20"/>
              <w:jc w:val="center"/>
            </w:pPr>
            <w:r/>
            <w:r>
              <w:rPr>
                <w:rFonts w:ascii="Carlito" w:hAnsi="Carlito"/>
                <w:b w:val="0"/>
                <w:i w:val="0"/>
                <w:sz w:val="19"/>
              </w:rPr>
              <w:t>55</w:t>
            </w:r>
          </w:p>
        </w:tc>
        <w:tc>
          <w:tcPr>
            <w:tcW w:type="dxa" w:w="1512"/>
          </w:tcPr>
          <w:p>
            <w:pPr>
              <w:spacing w:after="20" w:before="20"/>
              <w:jc w:val="center"/>
            </w:pPr>
            <w:r/>
            <w:r>
              <w:rPr>
                <w:rFonts w:ascii="Carlito" w:hAnsi="Carlito"/>
                <w:b w:val="0"/>
                <w:i w:val="0"/>
                <w:sz w:val="19"/>
              </w:rPr>
              <w:t>58</w:t>
            </w:r>
          </w:p>
        </w:tc>
      </w:tr>
    </w:tbl>
    <w:p>
      <w:pPr>
        <w:spacing w:after="40"/>
      </w:pPr>
    </w:p>
    <w:p>
      <w:pPr>
        <w:jc w:val="center"/>
      </w:pPr>
      <w:r>
        <w:rPr>
          <w:i/>
          <w:color w:val="555555"/>
          <w:sz w:val="17"/>
        </w:rPr>
        <w:t>Table — DCF fair value across WACC (rows) × terminal g (cols), SAR/share.</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1440"/>
        <w:gridCol w:w="1440"/>
        <w:gridCol w:w="1440"/>
        <w:gridCol w:w="1440"/>
        <w:gridCol w:w="1440"/>
        <w:gridCol w:w="1440"/>
      </w:tblGrid>
      <w:tr>
        <w:tc>
          <w:tcPr>
            <w:tcW w:type="dxa" w:w="2160"/>
            <w:shd w:val="clear" w:fill="1C3A36"/>
          </w:tcPr>
          <w:p>
            <w:pPr>
              <w:spacing w:after="20" w:before="20"/>
              <w:jc w:val="left"/>
            </w:pPr>
            <w:r/>
            <w:r>
              <w:rPr>
                <w:rFonts w:ascii="Carlito" w:hAnsi="Carlito"/>
                <w:b/>
                <w:i w:val="0"/>
                <w:color w:val="FFFFFF"/>
                <w:sz w:val="19"/>
              </w:rPr>
              <w:t>margin \ EV/EBITDA</w:t>
            </w:r>
          </w:p>
        </w:tc>
        <w:tc>
          <w:tcPr>
            <w:tcW w:type="dxa" w:w="1440"/>
            <w:shd w:val="clear" w:fill="1C3A36"/>
          </w:tcPr>
          <w:p>
            <w:pPr>
              <w:spacing w:after="20" w:before="20"/>
              <w:jc w:val="center"/>
            </w:pPr>
            <w:r/>
            <w:r>
              <w:rPr>
                <w:rFonts w:ascii="Carlito" w:hAnsi="Carlito"/>
                <w:b/>
                <w:i w:val="0"/>
                <w:color w:val="FFFFFF"/>
                <w:sz w:val="19"/>
              </w:rPr>
              <w:t>6.0×</w:t>
            </w:r>
          </w:p>
        </w:tc>
        <w:tc>
          <w:tcPr>
            <w:tcW w:type="dxa" w:w="1440"/>
            <w:shd w:val="clear" w:fill="1C3A36"/>
          </w:tcPr>
          <w:p>
            <w:pPr>
              <w:spacing w:after="20" w:before="20"/>
              <w:jc w:val="center"/>
            </w:pPr>
            <w:r/>
            <w:r>
              <w:rPr>
                <w:rFonts w:ascii="Carlito" w:hAnsi="Carlito"/>
                <w:b/>
                <w:i w:val="0"/>
                <w:color w:val="FFFFFF"/>
                <w:sz w:val="19"/>
              </w:rPr>
              <w:t>6.5×</w:t>
            </w:r>
          </w:p>
        </w:tc>
        <w:tc>
          <w:tcPr>
            <w:tcW w:type="dxa" w:w="1440"/>
            <w:shd w:val="clear" w:fill="1C3A36"/>
          </w:tcPr>
          <w:p>
            <w:pPr>
              <w:spacing w:after="20" w:before="20"/>
              <w:jc w:val="center"/>
            </w:pPr>
            <w:r/>
            <w:r>
              <w:rPr>
                <w:rFonts w:ascii="Carlito" w:hAnsi="Carlito"/>
                <w:b/>
                <w:i w:val="0"/>
                <w:color w:val="FFFFFF"/>
                <w:sz w:val="19"/>
              </w:rPr>
              <w:t>7.0×</w:t>
            </w:r>
          </w:p>
        </w:tc>
        <w:tc>
          <w:tcPr>
            <w:tcW w:type="dxa" w:w="1440"/>
            <w:shd w:val="clear" w:fill="1C3A36"/>
          </w:tcPr>
          <w:p>
            <w:pPr>
              <w:spacing w:after="20" w:before="20"/>
              <w:jc w:val="center"/>
            </w:pPr>
            <w:r/>
            <w:r>
              <w:rPr>
                <w:rFonts w:ascii="Carlito" w:hAnsi="Carlito"/>
                <w:b/>
                <w:i w:val="0"/>
                <w:color w:val="FFFFFF"/>
                <w:sz w:val="19"/>
              </w:rPr>
              <w:t>7.5×</w:t>
            </w:r>
          </w:p>
        </w:tc>
        <w:tc>
          <w:tcPr>
            <w:tcW w:type="dxa" w:w="1440"/>
            <w:shd w:val="clear" w:fill="1C3A36"/>
          </w:tcPr>
          <w:p>
            <w:pPr>
              <w:spacing w:after="20" w:before="20"/>
              <w:jc w:val="center"/>
            </w:pPr>
            <w:r/>
            <w:r>
              <w:rPr>
                <w:rFonts w:ascii="Carlito" w:hAnsi="Carlito"/>
                <w:b/>
                <w:i w:val="0"/>
                <w:color w:val="FFFFFF"/>
                <w:sz w:val="19"/>
              </w:rPr>
              <w:t>8.0×</w:t>
            </w:r>
          </w:p>
        </w:tc>
      </w:tr>
      <w:tr>
        <w:tc>
          <w:tcPr>
            <w:tcW w:type="dxa" w:w="2160"/>
          </w:tcPr>
          <w:p>
            <w:pPr>
              <w:spacing w:after="20" w:before="20"/>
              <w:jc w:val="left"/>
            </w:pPr>
            <w:r/>
            <w:r>
              <w:rPr>
                <w:rFonts w:ascii="Carlito" w:hAnsi="Carlito"/>
                <w:b w:val="0"/>
                <w:i w:val="0"/>
                <w:sz w:val="19"/>
              </w:rPr>
              <w:t>16.0%</w:t>
            </w:r>
          </w:p>
        </w:tc>
        <w:tc>
          <w:tcPr>
            <w:tcW w:type="dxa" w:w="1440"/>
          </w:tcPr>
          <w:p>
            <w:pPr>
              <w:spacing w:after="20" w:before="20"/>
              <w:jc w:val="center"/>
            </w:pPr>
            <w:r/>
            <w:r>
              <w:rPr>
                <w:rFonts w:ascii="Carlito" w:hAnsi="Carlito"/>
                <w:b w:val="0"/>
                <w:i w:val="0"/>
                <w:sz w:val="19"/>
              </w:rPr>
              <w:t>43</w:t>
            </w:r>
          </w:p>
        </w:tc>
        <w:tc>
          <w:tcPr>
            <w:tcW w:type="dxa" w:w="1440"/>
          </w:tcPr>
          <w:p>
            <w:pPr>
              <w:spacing w:after="20" w:before="20"/>
              <w:jc w:val="center"/>
            </w:pPr>
            <w:r/>
            <w:r>
              <w:rPr>
                <w:rFonts w:ascii="Carlito" w:hAnsi="Carlito"/>
                <w:b w:val="0"/>
                <w:i w:val="0"/>
                <w:sz w:val="19"/>
              </w:rPr>
              <w:t>46</w:t>
            </w:r>
          </w:p>
        </w:tc>
        <w:tc>
          <w:tcPr>
            <w:tcW w:type="dxa" w:w="1440"/>
          </w:tcPr>
          <w:p>
            <w:pPr>
              <w:spacing w:after="20" w:before="20"/>
              <w:jc w:val="center"/>
            </w:pPr>
            <w:r/>
            <w:r>
              <w:rPr>
                <w:rFonts w:ascii="Carlito" w:hAnsi="Carlito"/>
                <w:b w:val="0"/>
                <w:i w:val="0"/>
                <w:sz w:val="19"/>
              </w:rPr>
              <w:t>50</w:t>
            </w:r>
          </w:p>
        </w:tc>
        <w:tc>
          <w:tcPr>
            <w:tcW w:type="dxa" w:w="1440"/>
          </w:tcPr>
          <w:p>
            <w:pPr>
              <w:spacing w:after="20" w:before="20"/>
              <w:jc w:val="center"/>
            </w:pPr>
            <w:r/>
            <w:r>
              <w:rPr>
                <w:rFonts w:ascii="Carlito" w:hAnsi="Carlito"/>
                <w:b w:val="0"/>
                <w:i w:val="0"/>
                <w:sz w:val="19"/>
              </w:rPr>
              <w:t>54</w:t>
            </w:r>
          </w:p>
        </w:tc>
        <w:tc>
          <w:tcPr>
            <w:tcW w:type="dxa" w:w="1440"/>
          </w:tcPr>
          <w:p>
            <w:pPr>
              <w:spacing w:after="20" w:before="20"/>
              <w:jc w:val="center"/>
            </w:pPr>
            <w:r/>
            <w:r>
              <w:rPr>
                <w:rFonts w:ascii="Carlito" w:hAnsi="Carlito"/>
                <w:b w:val="0"/>
                <w:i w:val="0"/>
                <w:sz w:val="19"/>
              </w:rPr>
              <w:t>57</w:t>
            </w:r>
          </w:p>
        </w:tc>
      </w:tr>
      <w:tr>
        <w:tc>
          <w:tcPr>
            <w:tcW w:type="dxa" w:w="2160"/>
          </w:tcPr>
          <w:p>
            <w:pPr>
              <w:spacing w:after="20" w:before="20"/>
              <w:jc w:val="left"/>
            </w:pPr>
            <w:r/>
            <w:r>
              <w:rPr>
                <w:rFonts w:ascii="Carlito" w:hAnsi="Carlito"/>
                <w:b w:val="0"/>
                <w:i w:val="0"/>
                <w:sz w:val="19"/>
              </w:rPr>
              <w:t>17.5%</w:t>
            </w:r>
          </w:p>
        </w:tc>
        <w:tc>
          <w:tcPr>
            <w:tcW w:type="dxa" w:w="1440"/>
          </w:tcPr>
          <w:p>
            <w:pPr>
              <w:spacing w:after="20" w:before="20"/>
              <w:jc w:val="center"/>
            </w:pPr>
            <w:r/>
            <w:r>
              <w:rPr>
                <w:rFonts w:ascii="Carlito" w:hAnsi="Carlito"/>
                <w:b w:val="0"/>
                <w:i w:val="0"/>
                <w:sz w:val="19"/>
              </w:rPr>
              <w:t>47</w:t>
            </w:r>
          </w:p>
        </w:tc>
        <w:tc>
          <w:tcPr>
            <w:tcW w:type="dxa" w:w="1440"/>
          </w:tcPr>
          <w:p>
            <w:pPr>
              <w:spacing w:after="20" w:before="20"/>
              <w:jc w:val="center"/>
            </w:pPr>
            <w:r/>
            <w:r>
              <w:rPr>
                <w:rFonts w:ascii="Carlito" w:hAnsi="Carlito"/>
                <w:b w:val="0"/>
                <w:i w:val="0"/>
                <w:sz w:val="19"/>
              </w:rPr>
              <w:t>51</w:t>
            </w:r>
          </w:p>
        </w:tc>
        <w:tc>
          <w:tcPr>
            <w:tcW w:type="dxa" w:w="1440"/>
          </w:tcPr>
          <w:p>
            <w:pPr>
              <w:spacing w:after="20" w:before="20"/>
              <w:jc w:val="center"/>
            </w:pPr>
            <w:r/>
            <w:r>
              <w:rPr>
                <w:rFonts w:ascii="Carlito" w:hAnsi="Carlito"/>
                <w:b w:val="0"/>
                <w:i w:val="0"/>
                <w:sz w:val="19"/>
              </w:rPr>
              <w:t>55</w:t>
            </w:r>
          </w:p>
        </w:tc>
        <w:tc>
          <w:tcPr>
            <w:tcW w:type="dxa" w:w="1440"/>
          </w:tcPr>
          <w:p>
            <w:pPr>
              <w:spacing w:after="20" w:before="20"/>
              <w:jc w:val="center"/>
            </w:pPr>
            <w:r/>
            <w:r>
              <w:rPr>
                <w:rFonts w:ascii="Carlito" w:hAnsi="Carlito"/>
                <w:b w:val="0"/>
                <w:i w:val="0"/>
                <w:sz w:val="19"/>
              </w:rPr>
              <w:t>58</w:t>
            </w:r>
          </w:p>
        </w:tc>
        <w:tc>
          <w:tcPr>
            <w:tcW w:type="dxa" w:w="1440"/>
          </w:tcPr>
          <w:p>
            <w:pPr>
              <w:spacing w:after="20" w:before="20"/>
              <w:jc w:val="center"/>
            </w:pPr>
            <w:r/>
            <w:r>
              <w:rPr>
                <w:rFonts w:ascii="Carlito" w:hAnsi="Carlito"/>
                <w:b w:val="0"/>
                <w:i w:val="0"/>
                <w:sz w:val="19"/>
              </w:rPr>
              <w:t>62</w:t>
            </w:r>
          </w:p>
        </w:tc>
      </w:tr>
      <w:tr>
        <w:tc>
          <w:tcPr>
            <w:tcW w:type="dxa" w:w="2160"/>
          </w:tcPr>
          <w:p>
            <w:pPr>
              <w:spacing w:after="20" w:before="20"/>
              <w:jc w:val="left"/>
            </w:pPr>
            <w:r/>
            <w:r>
              <w:rPr>
                <w:rFonts w:ascii="Carlito" w:hAnsi="Carlito"/>
                <w:b w:val="0"/>
                <w:i w:val="0"/>
                <w:sz w:val="19"/>
              </w:rPr>
              <w:t>19.0%</w:t>
            </w:r>
          </w:p>
        </w:tc>
        <w:tc>
          <w:tcPr>
            <w:tcW w:type="dxa" w:w="1440"/>
          </w:tcPr>
          <w:p>
            <w:pPr>
              <w:spacing w:after="20" w:before="20"/>
              <w:jc w:val="center"/>
            </w:pPr>
            <w:r/>
            <w:r>
              <w:rPr>
                <w:rFonts w:ascii="Carlito" w:hAnsi="Carlito"/>
                <w:b w:val="0"/>
                <w:i w:val="0"/>
                <w:sz w:val="19"/>
              </w:rPr>
              <w:t>51</w:t>
            </w:r>
          </w:p>
        </w:tc>
        <w:tc>
          <w:tcPr>
            <w:tcW w:type="dxa" w:w="1440"/>
          </w:tcPr>
          <w:p>
            <w:pPr>
              <w:spacing w:after="20" w:before="20"/>
              <w:jc w:val="center"/>
            </w:pPr>
            <w:r/>
            <w:r>
              <w:rPr>
                <w:rFonts w:ascii="Carlito" w:hAnsi="Carlito"/>
                <w:b w:val="0"/>
                <w:i w:val="0"/>
                <w:sz w:val="19"/>
              </w:rPr>
              <w:t>55</w:t>
            </w:r>
          </w:p>
        </w:tc>
        <w:tc>
          <w:tcPr>
            <w:tcW w:type="dxa" w:w="1440"/>
          </w:tcPr>
          <w:p>
            <w:pPr>
              <w:spacing w:after="20" w:before="20"/>
              <w:jc w:val="center"/>
            </w:pPr>
            <w:r/>
            <w:r>
              <w:rPr>
                <w:rFonts w:ascii="Carlito" w:hAnsi="Carlito"/>
                <w:b w:val="0"/>
                <w:i w:val="0"/>
                <w:sz w:val="19"/>
              </w:rPr>
              <w:t>59</w:t>
            </w:r>
          </w:p>
        </w:tc>
        <w:tc>
          <w:tcPr>
            <w:tcW w:type="dxa" w:w="1440"/>
          </w:tcPr>
          <w:p>
            <w:pPr>
              <w:spacing w:after="20" w:before="20"/>
              <w:jc w:val="center"/>
            </w:pPr>
            <w:r/>
            <w:r>
              <w:rPr>
                <w:rFonts w:ascii="Carlito" w:hAnsi="Carlito"/>
                <w:b w:val="0"/>
                <w:i w:val="0"/>
                <w:sz w:val="19"/>
              </w:rPr>
              <w:t>64</w:t>
            </w:r>
          </w:p>
        </w:tc>
        <w:tc>
          <w:tcPr>
            <w:tcW w:type="dxa" w:w="1440"/>
          </w:tcPr>
          <w:p>
            <w:pPr>
              <w:spacing w:after="20" w:before="20"/>
              <w:jc w:val="center"/>
            </w:pPr>
            <w:r/>
            <w:r>
              <w:rPr>
                <w:rFonts w:ascii="Carlito" w:hAnsi="Carlito"/>
                <w:b w:val="0"/>
                <w:i w:val="0"/>
                <w:sz w:val="19"/>
              </w:rPr>
              <w:t>68</w:t>
            </w:r>
          </w:p>
        </w:tc>
      </w:tr>
      <w:tr>
        <w:tc>
          <w:tcPr>
            <w:tcW w:type="dxa" w:w="2160"/>
          </w:tcPr>
          <w:p>
            <w:pPr>
              <w:spacing w:after="20" w:before="20"/>
              <w:jc w:val="left"/>
            </w:pPr>
            <w:r/>
            <w:r>
              <w:rPr>
                <w:rFonts w:ascii="Carlito" w:hAnsi="Carlito"/>
                <w:b w:val="0"/>
                <w:i w:val="0"/>
                <w:sz w:val="19"/>
              </w:rPr>
              <w:t>20.5%</w:t>
            </w:r>
          </w:p>
        </w:tc>
        <w:tc>
          <w:tcPr>
            <w:tcW w:type="dxa" w:w="1440"/>
          </w:tcPr>
          <w:p>
            <w:pPr>
              <w:spacing w:after="20" w:before="20"/>
              <w:jc w:val="center"/>
            </w:pPr>
            <w:r/>
            <w:r>
              <w:rPr>
                <w:rFonts w:ascii="Carlito" w:hAnsi="Carlito"/>
                <w:b w:val="0"/>
                <w:i w:val="0"/>
                <w:sz w:val="19"/>
              </w:rPr>
              <w:t>55</w:t>
            </w:r>
          </w:p>
        </w:tc>
        <w:tc>
          <w:tcPr>
            <w:tcW w:type="dxa" w:w="1440"/>
          </w:tcPr>
          <w:p>
            <w:pPr>
              <w:spacing w:after="20" w:before="20"/>
              <w:jc w:val="center"/>
            </w:pPr>
            <w:r/>
            <w:r>
              <w:rPr>
                <w:rFonts w:ascii="Carlito" w:hAnsi="Carlito"/>
                <w:b w:val="0"/>
                <w:i w:val="0"/>
                <w:sz w:val="19"/>
              </w:rPr>
              <w:t>59</w:t>
            </w:r>
          </w:p>
        </w:tc>
        <w:tc>
          <w:tcPr>
            <w:tcW w:type="dxa" w:w="1440"/>
          </w:tcPr>
          <w:p>
            <w:pPr>
              <w:spacing w:after="20" w:before="20"/>
              <w:jc w:val="center"/>
            </w:pPr>
            <w:r/>
            <w:r>
              <w:rPr>
                <w:rFonts w:ascii="Carlito" w:hAnsi="Carlito"/>
                <w:b w:val="0"/>
                <w:i w:val="0"/>
                <w:sz w:val="19"/>
              </w:rPr>
              <w:t>64</w:t>
            </w:r>
          </w:p>
        </w:tc>
        <w:tc>
          <w:tcPr>
            <w:tcW w:type="dxa" w:w="1440"/>
          </w:tcPr>
          <w:p>
            <w:pPr>
              <w:spacing w:after="20" w:before="20"/>
              <w:jc w:val="center"/>
            </w:pPr>
            <w:r/>
            <w:r>
              <w:rPr>
                <w:rFonts w:ascii="Carlito" w:hAnsi="Carlito"/>
                <w:b w:val="0"/>
                <w:i w:val="0"/>
                <w:sz w:val="19"/>
              </w:rPr>
              <w:t>69</w:t>
            </w:r>
          </w:p>
        </w:tc>
        <w:tc>
          <w:tcPr>
            <w:tcW w:type="dxa" w:w="1440"/>
          </w:tcPr>
          <w:p>
            <w:pPr>
              <w:spacing w:after="20" w:before="20"/>
              <w:jc w:val="center"/>
            </w:pPr>
            <w:r/>
            <w:r>
              <w:rPr>
                <w:rFonts w:ascii="Carlito" w:hAnsi="Carlito"/>
                <w:b w:val="0"/>
                <w:i w:val="0"/>
                <w:sz w:val="19"/>
              </w:rPr>
              <w:t>73</w:t>
            </w:r>
          </w:p>
        </w:tc>
      </w:tr>
      <w:tr>
        <w:tc>
          <w:tcPr>
            <w:tcW w:type="dxa" w:w="2160"/>
          </w:tcPr>
          <w:p>
            <w:pPr>
              <w:spacing w:after="20" w:before="20"/>
              <w:jc w:val="left"/>
            </w:pPr>
            <w:r/>
            <w:r>
              <w:rPr>
                <w:rFonts w:ascii="Carlito" w:hAnsi="Carlito"/>
                <w:b w:val="0"/>
                <w:i w:val="0"/>
                <w:sz w:val="19"/>
              </w:rPr>
              <w:t>22.0%</w:t>
            </w:r>
          </w:p>
        </w:tc>
        <w:tc>
          <w:tcPr>
            <w:tcW w:type="dxa" w:w="1440"/>
          </w:tcPr>
          <w:p>
            <w:pPr>
              <w:spacing w:after="20" w:before="20"/>
              <w:jc w:val="center"/>
            </w:pPr>
            <w:r/>
            <w:r>
              <w:rPr>
                <w:rFonts w:ascii="Carlito" w:hAnsi="Carlito"/>
                <w:b w:val="0"/>
                <w:i w:val="0"/>
                <w:sz w:val="19"/>
              </w:rPr>
              <w:t>59</w:t>
            </w:r>
          </w:p>
        </w:tc>
        <w:tc>
          <w:tcPr>
            <w:tcW w:type="dxa" w:w="1440"/>
          </w:tcPr>
          <w:p>
            <w:pPr>
              <w:spacing w:after="20" w:before="20"/>
              <w:jc w:val="center"/>
            </w:pPr>
            <w:r/>
            <w:r>
              <w:rPr>
                <w:rFonts w:ascii="Carlito" w:hAnsi="Carlito"/>
                <w:b w:val="0"/>
                <w:i w:val="0"/>
                <w:sz w:val="19"/>
              </w:rPr>
              <w:t>64</w:t>
            </w:r>
          </w:p>
        </w:tc>
        <w:tc>
          <w:tcPr>
            <w:tcW w:type="dxa" w:w="1440"/>
          </w:tcPr>
          <w:p>
            <w:pPr>
              <w:spacing w:after="20" w:before="20"/>
              <w:jc w:val="center"/>
            </w:pPr>
            <w:r/>
            <w:r>
              <w:rPr>
                <w:rFonts w:ascii="Carlito" w:hAnsi="Carlito"/>
                <w:b w:val="0"/>
                <w:i w:val="0"/>
                <w:sz w:val="19"/>
              </w:rPr>
              <w:t>69</w:t>
            </w:r>
          </w:p>
        </w:tc>
        <w:tc>
          <w:tcPr>
            <w:tcW w:type="dxa" w:w="1440"/>
          </w:tcPr>
          <w:p>
            <w:pPr>
              <w:spacing w:after="20" w:before="20"/>
              <w:jc w:val="center"/>
            </w:pPr>
            <w:r/>
            <w:r>
              <w:rPr>
                <w:rFonts w:ascii="Carlito" w:hAnsi="Carlito"/>
                <w:b w:val="0"/>
                <w:i w:val="0"/>
                <w:sz w:val="19"/>
              </w:rPr>
              <w:t>74</w:t>
            </w:r>
          </w:p>
        </w:tc>
        <w:tc>
          <w:tcPr>
            <w:tcW w:type="dxa" w:w="1440"/>
          </w:tcPr>
          <w:p>
            <w:pPr>
              <w:spacing w:after="20" w:before="20"/>
              <w:jc w:val="center"/>
            </w:pPr>
            <w:r/>
            <w:r>
              <w:rPr>
                <w:rFonts w:ascii="Carlito" w:hAnsi="Carlito"/>
                <w:b w:val="0"/>
                <w:i w:val="0"/>
                <w:sz w:val="19"/>
              </w:rPr>
              <w:t>78</w:t>
            </w:r>
          </w:p>
        </w:tc>
      </w:tr>
    </w:tbl>
    <w:p>
      <w:pPr>
        <w:spacing w:after="40"/>
      </w:pPr>
    </w:p>
    <w:p>
      <w:pPr>
        <w:jc w:val="center"/>
      </w:pPr>
      <w:r>
        <w:rPr>
          <w:i/>
          <w:color w:val="555555"/>
          <w:sz w:val="17"/>
        </w:rPr>
        <w:t>Table — device A-1 swing in real units: mid-cycle EBITDA margin (rows) × EV/EBITDA multiple (cols), SAR/share.</w:t>
      </w:r>
    </w:p>
    <w:p>
      <w:r>
        <w:rPr>
          <w:rFonts w:ascii="Carlito" w:hAnsi="Carlito"/>
          <w:i w:val="0"/>
          <w:sz w:val="21"/>
        </w:rPr>
        <w:t>Read the grids as the bet you are taking: the SAR 51.80 price is consistent with roughly a 17–18% mid-cycle margin at a 7× multiple, or a 9.75–10.25% WACC on a 2.0–2.5% terminal — i.e. a partial, not a full, spread recovery already in the price.</w:t>
      </w:r>
    </w:p>
    <w:p>
      <w:pPr>
        <w:spacing w:before="280" w:after="80"/>
        <w:pBdr>
          <w:bottom w:val="single" w:sz="8" w:space="2" w:color="C0A45F"/>
        </w:pBdr>
      </w:pPr>
      <w:r>
        <w:rPr>
          <w:rFonts w:ascii="Carlito" w:hAnsi="Carlito"/>
          <w:b/>
          <w:color w:val="C0A45F"/>
          <w:sz w:val="30"/>
        </w:rPr>
        <w:t xml:space="preserve">2  </w:t>
      </w:r>
      <w:r>
        <w:rPr>
          <w:rFonts w:ascii="Carlito" w:hAnsi="Carlito"/>
          <w:b/>
          <w:color w:val="1C3A36"/>
          <w:sz w:val="30"/>
        </w:rPr>
        <w:t>Technical and price structure</w:t>
      </w:r>
    </w:p>
    <w:p>
      <w:r>
        <w:rPr>
          <w:rFonts w:ascii="Carlito" w:hAnsi="Carlito"/>
          <w:i w:val="0"/>
          <w:sz w:val="21"/>
        </w:rPr>
        <w:t>The tape is weak and stretched to the downside — the mirror image of the fundamentals. SABIC trades below all four major moving averages, the MACD histogram is marginally negative, and RSI sits near 30 — at the edge of oversold. The structure is corrective: a multi-year de-rating from a pre-cycle high near SAR 139 down to the low-50s, with the 52-week low at SAR 49.74 as the visible floor.</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2880"/>
        <w:gridCol w:w="2880"/>
        <w:gridCol w:w="2880"/>
      </w:tblGrid>
      <w:tr>
        <w:tc>
          <w:tcPr>
            <w:tcW w:type="dxa" w:w="3312"/>
            <w:shd w:val="clear" w:fill="1C3A36"/>
          </w:tcPr>
          <w:p>
            <w:pPr>
              <w:spacing w:after="20" w:before="20"/>
              <w:jc w:val="left"/>
            </w:pPr>
            <w:r/>
            <w:r>
              <w:rPr>
                <w:rFonts w:ascii="Carlito" w:hAnsi="Carlito"/>
                <w:b/>
                <w:i w:val="0"/>
                <w:color w:val="FFFFFF"/>
                <w:sz w:val="19"/>
              </w:rPr>
              <w:t>Indicator</w:t>
            </w:r>
          </w:p>
        </w:tc>
        <w:tc>
          <w:tcPr>
            <w:tcW w:type="dxa" w:w="3744"/>
            <w:shd w:val="clear" w:fill="1C3A36"/>
          </w:tcPr>
          <w:p>
            <w:pPr>
              <w:spacing w:after="20" w:before="20"/>
              <w:jc w:val="center"/>
            </w:pPr>
            <w:r/>
            <w:r>
              <w:rPr>
                <w:rFonts w:ascii="Carlito" w:hAnsi="Carlito"/>
                <w:b/>
                <w:i w:val="0"/>
                <w:color w:val="FFFFFF"/>
                <w:sz w:val="19"/>
              </w:rPr>
              <w:t>Reading</w:t>
            </w:r>
          </w:p>
        </w:tc>
        <w:tc>
          <w:tcPr>
            <w:tcW w:type="dxa" w:w="2880"/>
            <w:shd w:val="clear" w:fill="1C3A36"/>
          </w:tcPr>
          <w:p>
            <w:pPr>
              <w:spacing w:after="20" w:before="20"/>
              <w:jc w:val="center"/>
            </w:pPr>
            <w:r/>
            <w:r>
              <w:rPr>
                <w:rFonts w:ascii="Carlito" w:hAnsi="Carlito"/>
                <w:b/>
                <w:i w:val="0"/>
                <w:color w:val="FFFFFF"/>
                <w:sz w:val="19"/>
              </w:rPr>
              <w:t>Signal</w:t>
            </w:r>
          </w:p>
        </w:tc>
      </w:tr>
      <w:tr>
        <w:tc>
          <w:tcPr>
            <w:tcW w:type="dxa" w:w="3312"/>
          </w:tcPr>
          <w:p>
            <w:pPr>
              <w:spacing w:after="20" w:before="20"/>
              <w:jc w:val="left"/>
            </w:pPr>
            <w:r/>
            <w:r>
              <w:rPr>
                <w:rFonts w:ascii="Carlito" w:hAnsi="Carlito"/>
                <w:b w:val="0"/>
                <w:i w:val="0"/>
                <w:sz w:val="19"/>
              </w:rPr>
              <w:t>Spot</w:t>
            </w:r>
          </w:p>
        </w:tc>
        <w:tc>
          <w:tcPr>
            <w:tcW w:type="dxa" w:w="3744"/>
          </w:tcPr>
          <w:p>
            <w:pPr>
              <w:spacing w:after="20" w:before="20"/>
              <w:jc w:val="center"/>
            </w:pPr>
            <w:r/>
            <w:r>
              <w:rPr>
                <w:rFonts w:ascii="Carlito" w:hAnsi="Carlito"/>
                <w:b w:val="0"/>
                <w:i w:val="0"/>
                <w:sz w:val="19"/>
              </w:rPr>
              <w:t>SAR 51.80</w:t>
            </w:r>
          </w:p>
        </w:tc>
        <w:tc>
          <w:tcPr>
            <w:tcW w:type="dxa" w:w="2880"/>
          </w:tcPr>
          <w:p>
            <w:pPr>
              <w:spacing w:after="20" w:before="20"/>
              <w:jc w:val="center"/>
            </w:pPr>
            <w:r/>
            <w:r>
              <w:rPr>
                <w:rFonts w:ascii="Carlito" w:hAnsi="Carlito"/>
                <w:b w:val="0"/>
                <w:i w:val="0"/>
                <w:sz w:val="19"/>
              </w:rPr>
              <w:t>—</w:t>
            </w:r>
          </w:p>
        </w:tc>
      </w:tr>
      <w:tr>
        <w:tc>
          <w:tcPr>
            <w:tcW w:type="dxa" w:w="3312"/>
          </w:tcPr>
          <w:p>
            <w:pPr>
              <w:spacing w:after="20" w:before="20"/>
              <w:jc w:val="left"/>
            </w:pPr>
            <w:r/>
            <w:r>
              <w:rPr>
                <w:rFonts w:ascii="Carlito" w:hAnsi="Carlito"/>
                <w:b w:val="0"/>
                <w:i w:val="0"/>
                <w:sz w:val="19"/>
              </w:rPr>
              <w:t>SMA 20 / 50</w:t>
            </w:r>
          </w:p>
        </w:tc>
        <w:tc>
          <w:tcPr>
            <w:tcW w:type="dxa" w:w="3744"/>
          </w:tcPr>
          <w:p>
            <w:pPr>
              <w:spacing w:after="20" w:before="20"/>
              <w:jc w:val="center"/>
            </w:pPr>
            <w:r/>
            <w:r>
              <w:rPr>
                <w:rFonts w:ascii="Carlito" w:hAnsi="Carlito"/>
                <w:b w:val="0"/>
                <w:i w:val="0"/>
                <w:sz w:val="19"/>
              </w:rPr>
              <w:t>53.56 / 56.72</w:t>
            </w:r>
          </w:p>
        </w:tc>
        <w:tc>
          <w:tcPr>
            <w:tcW w:type="dxa" w:w="2880"/>
          </w:tcPr>
          <w:p>
            <w:pPr>
              <w:spacing w:after="20" w:before="20"/>
              <w:jc w:val="center"/>
            </w:pPr>
            <w:r/>
            <w:r>
              <w:rPr>
                <w:rFonts w:ascii="Carlito" w:hAnsi="Carlito"/>
                <w:b w:val="0"/>
                <w:i w:val="0"/>
                <w:sz w:val="19"/>
              </w:rPr>
              <w:t>Below both — short-term down</w:t>
            </w:r>
          </w:p>
        </w:tc>
      </w:tr>
      <w:tr>
        <w:tc>
          <w:tcPr>
            <w:tcW w:type="dxa" w:w="3312"/>
          </w:tcPr>
          <w:p>
            <w:pPr>
              <w:spacing w:after="20" w:before="20"/>
              <w:jc w:val="left"/>
            </w:pPr>
            <w:r/>
            <w:r>
              <w:rPr>
                <w:rFonts w:ascii="Carlito" w:hAnsi="Carlito"/>
                <w:b w:val="0"/>
                <w:i w:val="0"/>
                <w:sz w:val="19"/>
              </w:rPr>
              <w:t>SMA 100 / 200</w:t>
            </w:r>
          </w:p>
        </w:tc>
        <w:tc>
          <w:tcPr>
            <w:tcW w:type="dxa" w:w="3744"/>
          </w:tcPr>
          <w:p>
            <w:pPr>
              <w:spacing w:after="20" w:before="20"/>
              <w:jc w:val="center"/>
            </w:pPr>
            <w:r/>
            <w:r>
              <w:rPr>
                <w:rFonts w:ascii="Carlito" w:hAnsi="Carlito"/>
                <w:b w:val="0"/>
                <w:i w:val="0"/>
                <w:sz w:val="19"/>
              </w:rPr>
              <w:t>57.12 / 56.95</w:t>
            </w:r>
          </w:p>
        </w:tc>
        <w:tc>
          <w:tcPr>
            <w:tcW w:type="dxa" w:w="2880"/>
          </w:tcPr>
          <w:p>
            <w:pPr>
              <w:spacing w:after="20" w:before="20"/>
              <w:jc w:val="center"/>
            </w:pPr>
            <w:r/>
            <w:r>
              <w:rPr>
                <w:rFonts w:ascii="Carlito" w:hAnsi="Carlito"/>
                <w:b w:val="0"/>
                <w:i w:val="0"/>
                <w:sz w:val="19"/>
              </w:rPr>
              <w:t>Below both — trend down</w:t>
            </w:r>
          </w:p>
        </w:tc>
      </w:tr>
      <w:tr>
        <w:tc>
          <w:tcPr>
            <w:tcW w:type="dxa" w:w="3312"/>
          </w:tcPr>
          <w:p>
            <w:pPr>
              <w:spacing w:after="20" w:before="20"/>
              <w:jc w:val="left"/>
            </w:pPr>
            <w:r/>
            <w:r>
              <w:rPr>
                <w:rFonts w:ascii="Carlito" w:hAnsi="Carlito"/>
                <w:b w:val="0"/>
                <w:i w:val="0"/>
                <w:sz w:val="19"/>
              </w:rPr>
              <w:t>RSI (14)</w:t>
            </w:r>
          </w:p>
        </w:tc>
        <w:tc>
          <w:tcPr>
            <w:tcW w:type="dxa" w:w="3744"/>
          </w:tcPr>
          <w:p>
            <w:pPr>
              <w:spacing w:after="20" w:before="20"/>
              <w:jc w:val="center"/>
            </w:pPr>
            <w:r/>
            <w:r>
              <w:rPr>
                <w:rFonts w:ascii="Carlito" w:hAnsi="Carlito"/>
                <w:b w:val="0"/>
                <w:i w:val="0"/>
                <w:sz w:val="19"/>
              </w:rPr>
              <w:t>30.5</w:t>
            </w:r>
          </w:p>
        </w:tc>
        <w:tc>
          <w:tcPr>
            <w:tcW w:type="dxa" w:w="2880"/>
          </w:tcPr>
          <w:p>
            <w:pPr>
              <w:spacing w:after="20" w:before="20"/>
              <w:jc w:val="center"/>
            </w:pPr>
            <w:r/>
            <w:r>
              <w:rPr>
                <w:rFonts w:ascii="Carlito" w:hAnsi="Carlito"/>
                <w:b w:val="0"/>
                <w:i w:val="0"/>
                <w:sz w:val="19"/>
              </w:rPr>
              <w:t>At the edge of oversold</w:t>
            </w:r>
          </w:p>
        </w:tc>
      </w:tr>
      <w:tr>
        <w:tc>
          <w:tcPr>
            <w:tcW w:type="dxa" w:w="3312"/>
          </w:tcPr>
          <w:p>
            <w:pPr>
              <w:spacing w:after="20" w:before="20"/>
              <w:jc w:val="left"/>
            </w:pPr>
            <w:r/>
            <w:r>
              <w:rPr>
                <w:rFonts w:ascii="Carlito" w:hAnsi="Carlito"/>
                <w:b w:val="0"/>
                <w:i w:val="0"/>
                <w:sz w:val="19"/>
              </w:rPr>
              <w:t>MACD (12,26,9)</w:t>
            </w:r>
          </w:p>
        </w:tc>
        <w:tc>
          <w:tcPr>
            <w:tcW w:type="dxa" w:w="3744"/>
          </w:tcPr>
          <w:p>
            <w:pPr>
              <w:spacing w:after="20" w:before="20"/>
              <w:jc w:val="center"/>
            </w:pPr>
            <w:r/>
            <w:r>
              <w:rPr>
                <w:rFonts w:ascii="Carlito" w:hAnsi="Carlito"/>
                <w:b w:val="0"/>
                <w:i w:val="0"/>
                <w:sz w:val="19"/>
              </w:rPr>
              <w:t>−1.41 line / −1.39 signal / −0.02 hist</w:t>
            </w:r>
          </w:p>
        </w:tc>
        <w:tc>
          <w:tcPr>
            <w:tcW w:type="dxa" w:w="2880"/>
          </w:tcPr>
          <w:p>
            <w:pPr>
              <w:spacing w:after="20" w:before="20"/>
              <w:jc w:val="center"/>
            </w:pPr>
            <w:r/>
            <w:r>
              <w:rPr>
                <w:rFonts w:ascii="Carlito" w:hAnsi="Carlito"/>
                <w:b w:val="0"/>
                <w:i w:val="0"/>
                <w:sz w:val="19"/>
              </w:rPr>
              <w:t>Bearish, momentum flattening</w:t>
            </w:r>
          </w:p>
        </w:tc>
      </w:tr>
      <w:tr>
        <w:tc>
          <w:tcPr>
            <w:tcW w:type="dxa" w:w="3312"/>
          </w:tcPr>
          <w:p>
            <w:pPr>
              <w:spacing w:after="20" w:before="20"/>
              <w:jc w:val="left"/>
            </w:pPr>
            <w:r/>
            <w:r>
              <w:rPr>
                <w:rFonts w:ascii="Carlito" w:hAnsi="Carlito"/>
                <w:b w:val="0"/>
                <w:i w:val="0"/>
                <w:sz w:val="19"/>
              </w:rPr>
              <w:t>52-week range</w:t>
            </w:r>
          </w:p>
        </w:tc>
        <w:tc>
          <w:tcPr>
            <w:tcW w:type="dxa" w:w="3744"/>
          </w:tcPr>
          <w:p>
            <w:pPr>
              <w:spacing w:after="20" w:before="20"/>
              <w:jc w:val="center"/>
            </w:pPr>
            <w:r/>
            <w:r>
              <w:rPr>
                <w:rFonts w:ascii="Carlito" w:hAnsi="Carlito"/>
                <w:b w:val="0"/>
                <w:i w:val="0"/>
                <w:sz w:val="19"/>
              </w:rPr>
              <w:t>49.74 – 62.80</w:t>
            </w:r>
          </w:p>
        </w:tc>
        <w:tc>
          <w:tcPr>
            <w:tcW w:type="dxa" w:w="2880"/>
          </w:tcPr>
          <w:p>
            <w:pPr>
              <w:spacing w:after="20" w:before="20"/>
              <w:jc w:val="center"/>
            </w:pPr>
            <w:r/>
            <w:r>
              <w:rPr>
                <w:rFonts w:ascii="Carlito" w:hAnsi="Carlito"/>
                <w:b w:val="0"/>
                <w:i w:val="0"/>
                <w:sz w:val="19"/>
              </w:rPr>
              <w:t>Lower third; near the low</w:t>
            </w:r>
          </w:p>
        </w:tc>
      </w:tr>
      <w:tr>
        <w:tc>
          <w:tcPr>
            <w:tcW w:type="dxa" w:w="3312"/>
          </w:tcPr>
          <w:p>
            <w:pPr>
              <w:spacing w:after="20" w:before="20"/>
              <w:jc w:val="left"/>
            </w:pPr>
            <w:r/>
            <w:r>
              <w:rPr>
                <w:rFonts w:ascii="Carlito" w:hAnsi="Carlito"/>
                <w:b w:val="0"/>
                <w:i w:val="0"/>
                <w:sz w:val="19"/>
              </w:rPr>
              <w:t>Realized vol (YZ-HAR, ann.)</w:t>
            </w:r>
          </w:p>
        </w:tc>
        <w:tc>
          <w:tcPr>
            <w:tcW w:type="dxa" w:w="3744"/>
          </w:tcPr>
          <w:p>
            <w:pPr>
              <w:spacing w:after="20" w:before="20"/>
              <w:jc w:val="center"/>
            </w:pPr>
            <w:r/>
            <w:r>
              <w:rPr>
                <w:rFonts w:ascii="Carlito" w:hAnsi="Carlito"/>
                <w:b w:val="0"/>
                <w:i w:val="0"/>
                <w:sz w:val="19"/>
              </w:rPr>
              <w:t>19.3%</w:t>
            </w:r>
          </w:p>
        </w:tc>
        <w:tc>
          <w:tcPr>
            <w:tcW w:type="dxa" w:w="2880"/>
          </w:tcPr>
          <w:p>
            <w:pPr>
              <w:spacing w:after="20" w:before="20"/>
              <w:jc w:val="center"/>
            </w:pPr>
            <w:r/>
            <w:r>
              <w:rPr>
                <w:rFonts w:ascii="Carlito" w:hAnsi="Carlito"/>
                <w:b w:val="0"/>
                <w:i w:val="0"/>
                <w:sz w:val="19"/>
              </w:rPr>
              <w:t>Moderate for a large-cap petchem</w:t>
            </w:r>
          </w:p>
        </w:tc>
      </w:tr>
    </w:tbl>
    <w:p>
      <w:pPr>
        <w:spacing w:after="40"/>
      </w:pPr>
    </w:p>
    <w:p>
      <w:pPr>
        <w:spacing w:before="120" w:after="40"/>
        <w:jc w:val="center"/>
      </w:pPr>
      <w:r>
        <w:drawing>
          <wp:inline xmlns:a="http://schemas.openxmlformats.org/drawingml/2006/main" xmlns:pic="http://schemas.openxmlformats.org/drawingml/2006/picture">
            <wp:extent cx="5760720" cy="2629894"/>
            <wp:docPr id="3" name="Picture 3"/>
            <wp:cNvGraphicFramePr>
              <a:graphicFrameLocks noChangeAspect="1"/>
            </wp:cNvGraphicFramePr>
            <a:graphic>
              <a:graphicData uri="http://schemas.openxmlformats.org/drawingml/2006/picture">
                <pic:pic>
                  <pic:nvPicPr>
                    <pic:cNvPr id="0" name="sabic_ma_stack.png"/>
                    <pic:cNvPicPr/>
                  </pic:nvPicPr>
                  <pic:blipFill>
                    <a:blip r:embed="rId11"/>
                    <a:stretch>
                      <a:fillRect/>
                    </a:stretch>
                  </pic:blipFill>
                  <pic:spPr>
                    <a:xfrm>
                      <a:off x="0" y="0"/>
                      <a:ext cx="5760720" cy="2629894"/>
                    </a:xfrm>
                    <a:prstGeom prst="rect"/>
                  </pic:spPr>
                </pic:pic>
              </a:graphicData>
            </a:graphic>
          </wp:inline>
        </w:drawing>
      </w:r>
    </w:p>
    <w:p>
      <w:pPr>
        <w:jc w:val="center"/>
      </w:pPr>
      <w:r>
        <w:rPr>
          <w:i/>
          <w:color w:val="555555"/>
          <w:sz w:val="17"/>
        </w:rPr>
        <w:t>Figure 3 — Price versus the moving-average stack, last 260 sessions.</w:t>
      </w:r>
    </w:p>
    <w:p>
      <w:r>
        <w:rPr>
          <w:rFonts w:ascii="Carlito" w:hAnsi="Carlito"/>
          <w:i w:val="0"/>
          <w:sz w:val="21"/>
        </w:rPr>
        <w:t>For the probabilistic work this matters in one way: an oversold, below-trend tape widens the near-term downside tail even as the fundamentals argue the other way. The technical and fundamental pictures genuinely disagree, and §6 reads the resulting probability zones without forcing a reconciliation.</w:t>
      </w:r>
    </w:p>
    <w:p>
      <w:pPr>
        <w:spacing w:before="280" w:after="80"/>
        <w:pBdr>
          <w:bottom w:val="single" w:sz="8" w:space="2" w:color="C0A45F"/>
        </w:pBdr>
      </w:pPr>
      <w:r>
        <w:rPr>
          <w:rFonts w:ascii="Carlito" w:hAnsi="Carlito"/>
          <w:b/>
          <w:color w:val="C0A45F"/>
          <w:sz w:val="30"/>
        </w:rPr>
        <w:t xml:space="preserve">3  </w:t>
      </w:r>
      <w:r>
        <w:rPr>
          <w:rFonts w:ascii="Carlito" w:hAnsi="Carlito"/>
          <w:b/>
          <w:color w:val="1C3A36"/>
          <w:sz w:val="30"/>
        </w:rPr>
        <w:t>Monte Carlo — a probabilistic price map</w:t>
      </w:r>
    </w:p>
    <w:p>
      <w:r>
        <w:rPr>
          <w:rFonts w:ascii="Carlito" w:hAnsi="Carlito"/>
          <w:i w:val="0"/>
          <w:sz w:val="21"/>
        </w:rPr>
        <w:t>We simulate 50,000 three-month price paths (seed 42) with the YZ-HAR engine: width from a pooled log-HAR cascade on a gap-aware Yang–Zhang variance proxy, unit-variance Student-t(7) innovations for honest tails, and — because SABIC is an international (non-EGX) name — a zero-drift diffusion. A fourteen-factor overlay layers on top. §3 opens with the probability read: a plain-language summary of the distribution, computed from the same 50,000 paths that produce the fan chart.</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4320"/>
        <w:gridCol w:w="4320"/>
      </w:tblGrid>
      <w:tr>
        <w:tc>
          <w:tcPr>
            <w:tcW w:type="dxa" w:w="5184"/>
            <w:shd w:val="clear" w:fill="1C3A36"/>
          </w:tcPr>
          <w:p>
            <w:pPr>
              <w:spacing w:after="20" w:before="20"/>
              <w:jc w:val="left"/>
            </w:pPr>
            <w:r/>
            <w:r>
              <w:rPr>
                <w:rFonts w:ascii="Carlito" w:hAnsi="Carlito"/>
                <w:b/>
                <w:i w:val="0"/>
                <w:color w:val="FFFFFF"/>
                <w:sz w:val="19"/>
              </w:rPr>
              <w:t>The probability read (T+60)</w:t>
            </w:r>
          </w:p>
        </w:tc>
        <w:tc>
          <w:tcPr>
            <w:tcW w:type="dxa" w:w="4464"/>
            <w:shd w:val="clear" w:fill="1C3A36"/>
          </w:tcPr>
          <w:p>
            <w:pPr>
              <w:spacing w:after="20" w:before="20"/>
              <w:jc w:val="center"/>
            </w:pPr>
            <w:r/>
            <w:r>
              <w:rPr>
                <w:rFonts w:ascii="Carlito" w:hAnsi="Carlito"/>
                <w:b/>
                <w:i w:val="0"/>
                <w:color w:val="FFFFFF"/>
                <w:sz w:val="19"/>
              </w:rPr>
              <w:t>Value</w:t>
            </w:r>
          </w:p>
        </w:tc>
      </w:tr>
      <w:tr>
        <w:tc>
          <w:tcPr>
            <w:tcW w:type="dxa" w:w="5184"/>
          </w:tcPr>
          <w:p>
            <w:pPr>
              <w:spacing w:after="20" w:before="20"/>
              <w:jc w:val="left"/>
            </w:pPr>
            <w:r/>
            <w:r>
              <w:rPr>
                <w:rFonts w:ascii="Carlito" w:hAnsi="Carlito"/>
                <w:b w:val="0"/>
                <w:i w:val="0"/>
                <w:sz w:val="19"/>
              </w:rPr>
              <w:t>P(price above spot)</w:t>
            </w:r>
          </w:p>
        </w:tc>
        <w:tc>
          <w:tcPr>
            <w:tcW w:type="dxa" w:w="4464"/>
          </w:tcPr>
          <w:p>
            <w:pPr>
              <w:spacing w:after="20" w:before="20"/>
              <w:jc w:val="center"/>
            </w:pPr>
            <w:r/>
            <w:r>
              <w:rPr>
                <w:rFonts w:ascii="Carlito" w:hAnsi="Carlito"/>
                <w:b w:val="0"/>
                <w:i w:val="0"/>
                <w:sz w:val="19"/>
              </w:rPr>
              <w:t>50%</w:t>
            </w:r>
          </w:p>
        </w:tc>
      </w:tr>
      <w:tr>
        <w:tc>
          <w:tcPr>
            <w:tcW w:type="dxa" w:w="5184"/>
          </w:tcPr>
          <w:p>
            <w:pPr>
              <w:spacing w:after="20" w:before="20"/>
              <w:jc w:val="left"/>
            </w:pPr>
            <w:r/>
            <w:r>
              <w:rPr>
                <w:rFonts w:ascii="Carlito" w:hAnsi="Carlito"/>
                <w:b w:val="0"/>
                <w:i w:val="0"/>
                <w:sz w:val="19"/>
              </w:rPr>
              <w:t>P(+10%) vs P(−10%)</w:t>
            </w:r>
          </w:p>
        </w:tc>
        <w:tc>
          <w:tcPr>
            <w:tcW w:type="dxa" w:w="4464"/>
          </w:tcPr>
          <w:p>
            <w:pPr>
              <w:spacing w:after="20" w:before="20"/>
              <w:jc w:val="center"/>
            </w:pPr>
            <w:r/>
            <w:r>
              <w:rPr>
                <w:rFonts w:ascii="Carlito" w:hAnsi="Carlito"/>
                <w:b w:val="0"/>
                <w:i w:val="0"/>
                <w:sz w:val="19"/>
              </w:rPr>
              <w:t>22.3% vs 21.2%</w:t>
            </w:r>
          </w:p>
        </w:tc>
      </w:tr>
      <w:tr>
        <w:tc>
          <w:tcPr>
            <w:tcW w:type="dxa" w:w="5184"/>
          </w:tcPr>
          <w:p>
            <w:pPr>
              <w:spacing w:after="20" w:before="20"/>
              <w:jc w:val="left"/>
            </w:pPr>
            <w:r/>
            <w:r>
              <w:rPr>
                <w:rFonts w:ascii="Carlito" w:hAnsi="Carlito"/>
                <w:b w:val="0"/>
                <w:i w:val="0"/>
                <w:sz w:val="19"/>
              </w:rPr>
              <w:t>Odds ratio (up:down 10%)</w:t>
            </w:r>
          </w:p>
        </w:tc>
        <w:tc>
          <w:tcPr>
            <w:tcW w:type="dxa" w:w="4464"/>
          </w:tcPr>
          <w:p>
            <w:pPr>
              <w:spacing w:after="20" w:before="20"/>
              <w:jc w:val="center"/>
            </w:pPr>
            <w:r/>
            <w:r>
              <w:rPr>
                <w:rFonts w:ascii="Carlito" w:hAnsi="Carlito"/>
                <w:b w:val="0"/>
                <w:i w:val="0"/>
                <w:sz w:val="19"/>
              </w:rPr>
              <w:t>1.05 : 1</w:t>
            </w:r>
          </w:p>
        </w:tc>
      </w:tr>
      <w:tr>
        <w:tc>
          <w:tcPr>
            <w:tcW w:type="dxa" w:w="5184"/>
          </w:tcPr>
          <w:p>
            <w:pPr>
              <w:spacing w:after="20" w:before="20"/>
              <w:jc w:val="left"/>
            </w:pPr>
            <w:r/>
            <w:r>
              <w:rPr>
                <w:rFonts w:ascii="Carlito" w:hAnsi="Carlito"/>
                <w:b w:val="0"/>
                <w:i w:val="0"/>
                <w:sz w:val="19"/>
              </w:rPr>
              <w:t>Median level / move</w:t>
            </w:r>
          </w:p>
        </w:tc>
        <w:tc>
          <w:tcPr>
            <w:tcW w:type="dxa" w:w="4464"/>
          </w:tcPr>
          <w:p>
            <w:pPr>
              <w:spacing w:after="20" w:before="20"/>
              <w:jc w:val="center"/>
            </w:pPr>
            <w:r/>
            <w:r>
              <w:rPr>
                <w:rFonts w:ascii="Carlito" w:hAnsi="Carlito"/>
                <w:b w:val="0"/>
                <w:i w:val="0"/>
                <w:sz w:val="19"/>
              </w:rPr>
              <w:t>SAR 51.74  (-0.1%)</w:t>
            </w:r>
          </w:p>
        </w:tc>
      </w:tr>
      <w:tr>
        <w:tc>
          <w:tcPr>
            <w:tcW w:type="dxa" w:w="5184"/>
          </w:tcPr>
          <w:p>
            <w:pPr>
              <w:spacing w:after="20" w:before="20"/>
              <w:jc w:val="left"/>
            </w:pPr>
            <w:r/>
            <w:r>
              <w:rPr>
                <w:rFonts w:ascii="Carlito" w:hAnsi="Carlito"/>
                <w:b w:val="0"/>
                <w:i w:val="0"/>
                <w:sz w:val="19"/>
              </w:rPr>
              <w:t>50% band (25th–75th)</w:t>
            </w:r>
          </w:p>
        </w:tc>
        <w:tc>
          <w:tcPr>
            <w:tcW w:type="dxa" w:w="4464"/>
          </w:tcPr>
          <w:p>
            <w:pPr>
              <w:spacing w:after="20" w:before="20"/>
              <w:jc w:val="center"/>
            </w:pPr>
            <w:r/>
            <w:r>
              <w:rPr>
                <w:rFonts w:ascii="Carlito" w:hAnsi="Carlito"/>
                <w:b w:val="0"/>
                <w:i w:val="0"/>
                <w:sz w:val="19"/>
              </w:rPr>
              <w:t>SAR 47.42 – 56.35  (-8.4% / +8.8%)</w:t>
            </w:r>
          </w:p>
        </w:tc>
      </w:tr>
      <w:tr>
        <w:tc>
          <w:tcPr>
            <w:tcW w:type="dxa" w:w="5184"/>
          </w:tcPr>
          <w:p>
            <w:pPr>
              <w:spacing w:after="20" w:before="20"/>
              <w:jc w:val="left"/>
            </w:pPr>
            <w:r/>
            <w:r>
              <w:rPr>
                <w:rFonts w:ascii="Carlito" w:hAnsi="Carlito"/>
                <w:b w:val="0"/>
                <w:i w:val="0"/>
                <w:sz w:val="19"/>
              </w:rPr>
              <w:t>Touch +10% / −10%</w:t>
            </w:r>
          </w:p>
        </w:tc>
        <w:tc>
          <w:tcPr>
            <w:tcW w:type="dxa" w:w="4464"/>
          </w:tcPr>
          <w:p>
            <w:pPr>
              <w:spacing w:after="20" w:before="20"/>
              <w:jc w:val="center"/>
            </w:pPr>
            <w:r/>
            <w:r>
              <w:rPr>
                <w:rFonts w:ascii="Carlito" w:hAnsi="Carlito"/>
                <w:b w:val="0"/>
                <w:i w:val="0"/>
                <w:sz w:val="19"/>
              </w:rPr>
              <w:t>39% / 36%</w:t>
            </w:r>
          </w:p>
        </w:tc>
      </w:tr>
    </w:tbl>
    <w:p>
      <w:pPr>
        <w:spacing w:after="40"/>
      </w:pPr>
    </w:p>
    <w:p>
      <w:r>
        <w:rPr>
          <w:rFonts w:ascii="Carlito" w:hAnsi="Carlito"/>
          <w:b/>
          <w:sz w:val="21"/>
        </w:rPr>
        <w:t xml:space="preserve">By design the paths diffuse from spot, and the §1 value gap is kept out of the drift. </w:t>
      </w:r>
      <w:r>
        <w:rPr>
          <w:rFonts w:ascii="Carlito" w:hAnsi="Carlito"/>
          <w:i w:val="0"/>
          <w:sz w:val="21"/>
        </w:rPr>
        <w:t xml:space="preserve">The read is near-even with a slight upward tilt: P(above spot) is 49.6% and the up:down 10% odds are 1.05:1, a modest right-skew that comes from the Student-t(7) tail and the two-sided factor overlay — not from any imposed drift. </w:t>
      </w:r>
    </w:p>
    <w:p>
      <w:r>
        <w:rPr>
          <w:rFonts w:ascii="Carlito" w:hAnsi="Carlito"/>
          <w:i w:val="0"/>
          <w:sz w:val="21"/>
        </w:rPr>
        <w:t>The fundamental NAV gap lives in §1, not here; §3 maps where price could go from today, not where value sits — which is exactly why the median is SAR 51.7 (essentially spot) and not SAR 55.5.</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1728"/>
        <w:gridCol w:w="1728"/>
        <w:gridCol w:w="1728"/>
        <w:gridCol w:w="1728"/>
        <w:gridCol w:w="1728"/>
      </w:tblGrid>
      <w:tr>
        <w:tc>
          <w:tcPr>
            <w:tcW w:type="dxa" w:w="3600"/>
            <w:shd w:val="clear" w:fill="1C3A36"/>
          </w:tcPr>
          <w:p>
            <w:pPr>
              <w:spacing w:after="20" w:before="20"/>
              <w:jc w:val="left"/>
            </w:pPr>
            <w:r/>
            <w:r>
              <w:rPr>
                <w:rFonts w:ascii="Carlito" w:hAnsi="Carlito"/>
                <w:b/>
                <w:i w:val="0"/>
                <w:color w:val="FFFFFF"/>
                <w:sz w:val="19"/>
              </w:rPr>
              <w:t>Continuous factor (7)</w:t>
            </w:r>
          </w:p>
        </w:tc>
        <w:tc>
          <w:tcPr>
            <w:tcW w:type="dxa" w:w="864"/>
            <w:shd w:val="clear" w:fill="1C3A36"/>
          </w:tcPr>
          <w:p>
            <w:pPr>
              <w:spacing w:after="20" w:before="20"/>
              <w:jc w:val="center"/>
            </w:pPr>
            <w:r/>
            <w:r>
              <w:rPr>
                <w:rFonts w:ascii="Carlito" w:hAnsi="Carlito"/>
                <w:b/>
                <w:i w:val="0"/>
                <w:color w:val="FFFFFF"/>
                <w:sz w:val="19"/>
              </w:rPr>
              <w:t>Dir.</w:t>
            </w:r>
          </w:p>
        </w:tc>
        <w:tc>
          <w:tcPr>
            <w:tcW w:type="dxa" w:w="3456"/>
            <w:shd w:val="clear" w:fill="1C3A36"/>
          </w:tcPr>
          <w:p>
            <w:pPr>
              <w:spacing w:after="20" w:before="20"/>
              <w:jc w:val="center"/>
            </w:pPr>
            <w:r/>
            <w:r>
              <w:rPr>
                <w:rFonts w:ascii="Carlito" w:hAnsi="Carlito"/>
                <w:b/>
                <w:i w:val="0"/>
                <w:color w:val="FFFFFF"/>
                <w:sz w:val="19"/>
              </w:rPr>
              <w:t>Discrete event (7)</w:t>
            </w:r>
          </w:p>
        </w:tc>
        <w:tc>
          <w:tcPr>
            <w:tcW w:type="dxa" w:w="1152"/>
            <w:shd w:val="clear" w:fill="1C3A36"/>
          </w:tcPr>
          <w:p>
            <w:pPr>
              <w:spacing w:after="20" w:before="20"/>
              <w:jc w:val="center"/>
            </w:pPr>
            <w:r/>
            <w:r>
              <w:rPr>
                <w:rFonts w:ascii="Carlito" w:hAnsi="Carlito"/>
                <w:b/>
                <w:i w:val="0"/>
                <w:color w:val="FFFFFF"/>
                <w:sz w:val="19"/>
              </w:rPr>
              <w:t>Prob.</w:t>
            </w:r>
          </w:p>
        </w:tc>
        <w:tc>
          <w:tcPr>
            <w:tcW w:type="dxa" w:w="1440"/>
            <w:shd w:val="clear" w:fill="1C3A36"/>
          </w:tcPr>
          <w:p>
            <w:pPr>
              <w:spacing w:after="20" w:before="20"/>
              <w:jc w:val="center"/>
            </w:pPr>
            <w:r/>
            <w:r>
              <w:rPr>
                <w:rFonts w:ascii="Carlito" w:hAnsi="Carlito"/>
                <w:b/>
                <w:i w:val="0"/>
                <w:color w:val="FFFFFF"/>
                <w:sz w:val="19"/>
              </w:rPr>
              <w:t>Mean impact</w:t>
            </w:r>
          </w:p>
        </w:tc>
      </w:tr>
      <w:tr>
        <w:tc>
          <w:tcPr>
            <w:tcW w:type="dxa" w:w="3600"/>
          </w:tcPr>
          <w:p>
            <w:pPr>
              <w:spacing w:after="20" w:before="20"/>
              <w:jc w:val="left"/>
            </w:pPr>
            <w:r/>
            <w:r>
              <w:rPr>
                <w:rFonts w:ascii="Carlito" w:hAnsi="Carlito"/>
                <w:b w:val="0"/>
                <w:i w:val="0"/>
                <w:sz w:val="19"/>
              </w:rPr>
              <w:t>Product–feedstock spread trend</w:t>
            </w:r>
          </w:p>
        </w:tc>
        <w:tc>
          <w:tcPr>
            <w:tcW w:type="dxa" w:w="864"/>
          </w:tcPr>
          <w:p>
            <w:pPr>
              <w:spacing w:after="20" w:before="20"/>
              <w:jc w:val="center"/>
            </w:pPr>
            <w:r/>
            <w:r>
              <w:rPr>
                <w:rFonts w:ascii="Carlito" w:hAnsi="Carlito"/>
                <w:b w:val="0"/>
                <w:i w:val="0"/>
                <w:sz w:val="19"/>
              </w:rPr>
              <w:t>±</w:t>
            </w:r>
          </w:p>
        </w:tc>
        <w:tc>
          <w:tcPr>
            <w:tcW w:type="dxa" w:w="3456"/>
          </w:tcPr>
          <w:p>
            <w:pPr>
              <w:spacing w:after="20" w:before="20"/>
              <w:jc w:val="center"/>
            </w:pPr>
            <w:r/>
            <w:r>
              <w:rPr>
                <w:rFonts w:ascii="Carlito" w:hAnsi="Carlito"/>
                <w:b w:val="0"/>
                <w:i w:val="0"/>
                <w:sz w:val="19"/>
              </w:rPr>
              <w:t>Q2-2026 results / margin print</w:t>
            </w:r>
          </w:p>
        </w:tc>
        <w:tc>
          <w:tcPr>
            <w:tcW w:type="dxa" w:w="1152"/>
          </w:tcPr>
          <w:p>
            <w:pPr>
              <w:spacing w:after="20" w:before="20"/>
              <w:jc w:val="center"/>
            </w:pPr>
            <w:r/>
            <w:r>
              <w:rPr>
                <w:rFonts w:ascii="Carlito" w:hAnsi="Carlito"/>
                <w:b w:val="0"/>
                <w:i w:val="0"/>
                <w:sz w:val="19"/>
              </w:rPr>
              <w:t>85%</w:t>
            </w:r>
          </w:p>
        </w:tc>
        <w:tc>
          <w:tcPr>
            <w:tcW w:type="dxa" w:w="1440"/>
          </w:tcPr>
          <w:p>
            <w:pPr>
              <w:spacing w:after="20" w:before="20"/>
              <w:jc w:val="center"/>
            </w:pPr>
            <w:r/>
            <w:r>
              <w:rPr>
                <w:rFonts w:ascii="Carlito" w:hAnsi="Carlito"/>
                <w:b w:val="0"/>
                <w:i w:val="0"/>
                <w:sz w:val="19"/>
              </w:rPr>
              <w:t>+0.3%</w:t>
            </w:r>
          </w:p>
        </w:tc>
      </w:tr>
      <w:tr>
        <w:tc>
          <w:tcPr>
            <w:tcW w:type="dxa" w:w="3600"/>
          </w:tcPr>
          <w:p>
            <w:pPr>
              <w:spacing w:after="20" w:before="20"/>
              <w:jc w:val="left"/>
            </w:pPr>
            <w:r/>
            <w:r>
              <w:rPr>
                <w:rFonts w:ascii="Carlito" w:hAnsi="Carlito"/>
                <w:b w:val="0"/>
                <w:i w:val="0"/>
                <w:sz w:val="19"/>
              </w:rPr>
              <w:t>Brent / naphtha-competitor cost</w:t>
            </w:r>
          </w:p>
        </w:tc>
        <w:tc>
          <w:tcPr>
            <w:tcW w:type="dxa" w:w="864"/>
          </w:tcPr>
          <w:p>
            <w:pPr>
              <w:spacing w:after="20" w:before="20"/>
              <w:jc w:val="center"/>
            </w:pPr>
            <w:r/>
            <w:r>
              <w:rPr>
                <w:rFonts w:ascii="Carlito" w:hAnsi="Carlito"/>
                <w:b w:val="0"/>
                <w:i w:val="0"/>
                <w:sz w:val="19"/>
              </w:rPr>
              <w:t>+</w:t>
            </w:r>
          </w:p>
        </w:tc>
        <w:tc>
          <w:tcPr>
            <w:tcW w:type="dxa" w:w="3456"/>
          </w:tcPr>
          <w:p>
            <w:pPr>
              <w:spacing w:after="20" w:before="20"/>
              <w:jc w:val="center"/>
            </w:pPr>
            <w:r/>
            <w:r>
              <w:rPr>
                <w:rFonts w:ascii="Carlito" w:hAnsi="Carlito"/>
                <w:b w:val="0"/>
                <w:i w:val="0"/>
                <w:sz w:val="19"/>
              </w:rPr>
              <w:t>Chinese stimulus / capacity news</w:t>
            </w:r>
          </w:p>
        </w:tc>
        <w:tc>
          <w:tcPr>
            <w:tcW w:type="dxa" w:w="1152"/>
          </w:tcPr>
          <w:p>
            <w:pPr>
              <w:spacing w:after="20" w:before="20"/>
              <w:jc w:val="center"/>
            </w:pPr>
            <w:r/>
            <w:r>
              <w:rPr>
                <w:rFonts w:ascii="Carlito" w:hAnsi="Carlito"/>
                <w:b w:val="0"/>
                <w:i w:val="0"/>
                <w:sz w:val="19"/>
              </w:rPr>
              <w:t>25%</w:t>
            </w:r>
          </w:p>
        </w:tc>
        <w:tc>
          <w:tcPr>
            <w:tcW w:type="dxa" w:w="1440"/>
          </w:tcPr>
          <w:p>
            <w:pPr>
              <w:spacing w:after="20" w:before="20"/>
              <w:jc w:val="center"/>
            </w:pPr>
            <w:r/>
            <w:r>
              <w:rPr>
                <w:rFonts w:ascii="Carlito" w:hAnsi="Carlito"/>
                <w:b w:val="0"/>
                <w:i w:val="0"/>
                <w:sz w:val="19"/>
              </w:rPr>
              <w:t>+2.0%</w:t>
            </w:r>
          </w:p>
        </w:tc>
      </w:tr>
      <w:tr>
        <w:tc>
          <w:tcPr>
            <w:tcW w:type="dxa" w:w="3600"/>
          </w:tcPr>
          <w:p>
            <w:pPr>
              <w:spacing w:after="20" w:before="20"/>
              <w:jc w:val="left"/>
            </w:pPr>
            <w:r/>
            <w:r>
              <w:rPr>
                <w:rFonts w:ascii="Carlito" w:hAnsi="Carlito"/>
                <w:b w:val="0"/>
                <w:i w:val="0"/>
                <w:sz w:val="19"/>
              </w:rPr>
              <w:t>Chinese PE/MEG demand</w:t>
            </w:r>
          </w:p>
        </w:tc>
        <w:tc>
          <w:tcPr>
            <w:tcW w:type="dxa" w:w="864"/>
          </w:tcPr>
          <w:p>
            <w:pPr>
              <w:spacing w:after="20" w:before="20"/>
              <w:jc w:val="center"/>
            </w:pPr>
            <w:r/>
            <w:r>
              <w:rPr>
                <w:rFonts w:ascii="Carlito" w:hAnsi="Carlito"/>
                <w:b w:val="0"/>
                <w:i w:val="0"/>
                <w:sz w:val="19"/>
              </w:rPr>
              <w:t>±</w:t>
            </w:r>
          </w:p>
        </w:tc>
        <w:tc>
          <w:tcPr>
            <w:tcW w:type="dxa" w:w="3456"/>
          </w:tcPr>
          <w:p>
            <w:pPr>
              <w:spacing w:after="20" w:before="20"/>
              <w:jc w:val="center"/>
            </w:pPr>
            <w:r/>
            <w:r>
              <w:rPr>
                <w:rFonts w:ascii="Carlito" w:hAnsi="Carlito"/>
                <w:b w:val="0"/>
                <w:i w:val="0"/>
                <w:sz w:val="19"/>
              </w:rPr>
              <w:t>US–China trade / tariff shift</w:t>
            </w:r>
          </w:p>
        </w:tc>
        <w:tc>
          <w:tcPr>
            <w:tcW w:type="dxa" w:w="1152"/>
          </w:tcPr>
          <w:p>
            <w:pPr>
              <w:spacing w:after="20" w:before="20"/>
              <w:jc w:val="center"/>
            </w:pPr>
            <w:r/>
            <w:r>
              <w:rPr>
                <w:rFonts w:ascii="Carlito" w:hAnsi="Carlito"/>
                <w:b w:val="0"/>
                <w:i w:val="0"/>
                <w:sz w:val="19"/>
              </w:rPr>
              <w:t>20%</w:t>
            </w:r>
          </w:p>
        </w:tc>
        <w:tc>
          <w:tcPr>
            <w:tcW w:type="dxa" w:w="1440"/>
          </w:tcPr>
          <w:p>
            <w:pPr>
              <w:spacing w:after="20" w:before="20"/>
              <w:jc w:val="center"/>
            </w:pPr>
            <w:r/>
            <w:r>
              <w:rPr>
                <w:rFonts w:ascii="Carlito" w:hAnsi="Carlito"/>
                <w:b w:val="0"/>
                <w:i w:val="0"/>
                <w:sz w:val="19"/>
              </w:rPr>
              <w:t>−1.0%</w:t>
            </w:r>
          </w:p>
        </w:tc>
      </w:tr>
      <w:tr>
        <w:tc>
          <w:tcPr>
            <w:tcW w:type="dxa" w:w="3600"/>
          </w:tcPr>
          <w:p>
            <w:pPr>
              <w:spacing w:after="20" w:before="20"/>
              <w:jc w:val="left"/>
            </w:pPr>
            <w:r/>
            <w:r>
              <w:rPr>
                <w:rFonts w:ascii="Carlito" w:hAnsi="Carlito"/>
                <w:b w:val="0"/>
                <w:i w:val="0"/>
                <w:sz w:val="19"/>
              </w:rPr>
              <w:t>Saudi domestic gas-price policy</w:t>
            </w:r>
          </w:p>
        </w:tc>
        <w:tc>
          <w:tcPr>
            <w:tcW w:type="dxa" w:w="864"/>
          </w:tcPr>
          <w:p>
            <w:pPr>
              <w:spacing w:after="20" w:before="20"/>
              <w:jc w:val="center"/>
            </w:pPr>
            <w:r/>
            <w:r>
              <w:rPr>
                <w:rFonts w:ascii="Carlito" w:hAnsi="Carlito"/>
                <w:b w:val="0"/>
                <w:i w:val="0"/>
                <w:sz w:val="19"/>
              </w:rPr>
              <w:t>−</w:t>
            </w:r>
          </w:p>
        </w:tc>
        <w:tc>
          <w:tcPr>
            <w:tcW w:type="dxa" w:w="3456"/>
          </w:tcPr>
          <w:p>
            <w:pPr>
              <w:spacing w:after="20" w:before="20"/>
              <w:jc w:val="center"/>
            </w:pPr>
            <w:r/>
            <w:r>
              <w:rPr>
                <w:rFonts w:ascii="Carlito" w:hAnsi="Carlito"/>
                <w:b w:val="0"/>
                <w:i w:val="0"/>
                <w:sz w:val="19"/>
              </w:rPr>
              <w:t>Dividend / capital-return signal</w:t>
            </w:r>
          </w:p>
        </w:tc>
        <w:tc>
          <w:tcPr>
            <w:tcW w:type="dxa" w:w="1152"/>
          </w:tcPr>
          <w:p>
            <w:pPr>
              <w:spacing w:after="20" w:before="20"/>
              <w:jc w:val="center"/>
            </w:pPr>
            <w:r/>
            <w:r>
              <w:rPr>
                <w:rFonts w:ascii="Carlito" w:hAnsi="Carlito"/>
                <w:b w:val="0"/>
                <w:i w:val="0"/>
                <w:sz w:val="19"/>
              </w:rPr>
              <w:t>30%</w:t>
            </w:r>
          </w:p>
        </w:tc>
        <w:tc>
          <w:tcPr>
            <w:tcW w:type="dxa" w:w="1440"/>
          </w:tcPr>
          <w:p>
            <w:pPr>
              <w:spacing w:after="20" w:before="20"/>
              <w:jc w:val="center"/>
            </w:pPr>
            <w:r/>
            <w:r>
              <w:rPr>
                <w:rFonts w:ascii="Carlito" w:hAnsi="Carlito"/>
                <w:b w:val="0"/>
                <w:i w:val="0"/>
                <w:sz w:val="19"/>
              </w:rPr>
              <w:t>+1.2%</w:t>
            </w:r>
          </w:p>
        </w:tc>
      </w:tr>
      <w:tr>
        <w:tc>
          <w:tcPr>
            <w:tcW w:type="dxa" w:w="3600"/>
          </w:tcPr>
          <w:p>
            <w:pPr>
              <w:spacing w:after="20" w:before="20"/>
              <w:jc w:val="left"/>
            </w:pPr>
            <w:r/>
            <w:r>
              <w:rPr>
                <w:rFonts w:ascii="Carlito" w:hAnsi="Carlito"/>
                <w:b w:val="0"/>
                <w:i w:val="0"/>
                <w:sz w:val="19"/>
              </w:rPr>
              <w:t>Global operating-rate / oversupply</w:t>
            </w:r>
          </w:p>
        </w:tc>
        <w:tc>
          <w:tcPr>
            <w:tcW w:type="dxa" w:w="864"/>
          </w:tcPr>
          <w:p>
            <w:pPr>
              <w:spacing w:after="20" w:before="20"/>
              <w:jc w:val="center"/>
            </w:pPr>
            <w:r/>
            <w:r>
              <w:rPr>
                <w:rFonts w:ascii="Carlito" w:hAnsi="Carlito"/>
                <w:b w:val="0"/>
                <w:i w:val="0"/>
                <w:sz w:val="19"/>
              </w:rPr>
              <w:t>−</w:t>
            </w:r>
          </w:p>
        </w:tc>
        <w:tc>
          <w:tcPr>
            <w:tcW w:type="dxa" w:w="3456"/>
          </w:tcPr>
          <w:p>
            <w:pPr>
              <w:spacing w:after="20" w:before="20"/>
              <w:jc w:val="center"/>
            </w:pPr>
            <w:r/>
            <w:r>
              <w:rPr>
                <w:rFonts w:ascii="Carlito" w:hAnsi="Carlito"/>
                <w:b w:val="0"/>
                <w:i w:val="0"/>
                <w:sz w:val="19"/>
              </w:rPr>
              <w:t>Rating action (A+/A1 review)</w:t>
            </w:r>
          </w:p>
        </w:tc>
        <w:tc>
          <w:tcPr>
            <w:tcW w:type="dxa" w:w="1152"/>
          </w:tcPr>
          <w:p>
            <w:pPr>
              <w:spacing w:after="20" w:before="20"/>
              <w:jc w:val="center"/>
            </w:pPr>
            <w:r/>
            <w:r>
              <w:rPr>
                <w:rFonts w:ascii="Carlito" w:hAnsi="Carlito"/>
                <w:b w:val="0"/>
                <w:i w:val="0"/>
                <w:sz w:val="19"/>
              </w:rPr>
              <w:t>15%</w:t>
            </w:r>
          </w:p>
        </w:tc>
        <w:tc>
          <w:tcPr>
            <w:tcW w:type="dxa" w:w="1440"/>
          </w:tcPr>
          <w:p>
            <w:pPr>
              <w:spacing w:after="20" w:before="20"/>
              <w:jc w:val="center"/>
            </w:pPr>
            <w:r/>
            <w:r>
              <w:rPr>
                <w:rFonts w:ascii="Carlito" w:hAnsi="Carlito"/>
                <w:b w:val="0"/>
                <w:i w:val="0"/>
                <w:sz w:val="19"/>
              </w:rPr>
              <w:t>+0.4%</w:t>
            </w:r>
          </w:p>
        </w:tc>
      </w:tr>
      <w:tr>
        <w:tc>
          <w:tcPr>
            <w:tcW w:type="dxa" w:w="3600"/>
          </w:tcPr>
          <w:p>
            <w:pPr>
              <w:spacing w:after="20" w:before="20"/>
              <w:jc w:val="left"/>
            </w:pPr>
            <w:r/>
            <w:r>
              <w:rPr>
                <w:rFonts w:ascii="Carlito" w:hAnsi="Carlito"/>
                <w:b w:val="0"/>
                <w:i w:val="0"/>
                <w:sz w:val="19"/>
              </w:rPr>
              <w:t>SAR peg / rates (stable)</w:t>
            </w:r>
          </w:p>
        </w:tc>
        <w:tc>
          <w:tcPr>
            <w:tcW w:type="dxa" w:w="864"/>
          </w:tcPr>
          <w:p>
            <w:pPr>
              <w:spacing w:after="20" w:before="20"/>
              <w:jc w:val="center"/>
            </w:pPr>
            <w:r/>
            <w:r>
              <w:rPr>
                <w:rFonts w:ascii="Carlito" w:hAnsi="Carlito"/>
                <w:b w:val="0"/>
                <w:i w:val="0"/>
                <w:sz w:val="19"/>
              </w:rPr>
              <w:t>·</w:t>
            </w:r>
          </w:p>
        </w:tc>
        <w:tc>
          <w:tcPr>
            <w:tcW w:type="dxa" w:w="3456"/>
          </w:tcPr>
          <w:p>
            <w:pPr>
              <w:spacing w:after="20" w:before="20"/>
              <w:jc w:val="center"/>
            </w:pPr>
            <w:r/>
            <w:r>
              <w:rPr>
                <w:rFonts w:ascii="Carlito" w:hAnsi="Carlito"/>
                <w:b w:val="0"/>
                <w:i w:val="0"/>
                <w:sz w:val="19"/>
              </w:rPr>
              <w:t>European divestiture completion</w:t>
            </w:r>
          </w:p>
        </w:tc>
        <w:tc>
          <w:tcPr>
            <w:tcW w:type="dxa" w:w="1152"/>
          </w:tcPr>
          <w:p>
            <w:pPr>
              <w:spacing w:after="20" w:before="20"/>
              <w:jc w:val="center"/>
            </w:pPr>
            <w:r/>
            <w:r>
              <w:rPr>
                <w:rFonts w:ascii="Carlito" w:hAnsi="Carlito"/>
                <w:b w:val="0"/>
                <w:i w:val="0"/>
                <w:sz w:val="19"/>
              </w:rPr>
              <w:t>35%</w:t>
            </w:r>
          </w:p>
        </w:tc>
        <w:tc>
          <w:tcPr>
            <w:tcW w:type="dxa" w:w="1440"/>
          </w:tcPr>
          <w:p>
            <w:pPr>
              <w:spacing w:after="20" w:before="20"/>
              <w:jc w:val="center"/>
            </w:pPr>
            <w:r/>
            <w:r>
              <w:rPr>
                <w:rFonts w:ascii="Carlito" w:hAnsi="Carlito"/>
                <w:b w:val="0"/>
                <w:i w:val="0"/>
                <w:sz w:val="19"/>
              </w:rPr>
              <w:t>+0.8%</w:t>
            </w:r>
          </w:p>
        </w:tc>
      </w:tr>
      <w:tr>
        <w:tc>
          <w:tcPr>
            <w:tcW w:type="dxa" w:w="3600"/>
          </w:tcPr>
          <w:p>
            <w:pPr>
              <w:spacing w:after="20" w:before="20"/>
              <w:jc w:val="left"/>
            </w:pPr>
            <w:r/>
            <w:r>
              <w:rPr>
                <w:rFonts w:ascii="Carlito" w:hAnsi="Carlito"/>
                <w:b w:val="0"/>
                <w:i w:val="0"/>
                <w:sz w:val="19"/>
              </w:rPr>
              <w:t>Agri-nutrients (urea) firmness</w:t>
            </w:r>
          </w:p>
        </w:tc>
        <w:tc>
          <w:tcPr>
            <w:tcW w:type="dxa" w:w="864"/>
          </w:tcPr>
          <w:p>
            <w:pPr>
              <w:spacing w:after="20" w:before="20"/>
              <w:jc w:val="center"/>
            </w:pPr>
            <w:r/>
            <w:r>
              <w:rPr>
                <w:rFonts w:ascii="Carlito" w:hAnsi="Carlito"/>
                <w:b w:val="0"/>
                <w:i w:val="0"/>
                <w:sz w:val="19"/>
              </w:rPr>
              <w:t>+</w:t>
            </w:r>
          </w:p>
        </w:tc>
        <w:tc>
          <w:tcPr>
            <w:tcW w:type="dxa" w:w="3456"/>
          </w:tcPr>
          <w:p>
            <w:pPr>
              <w:spacing w:after="20" w:before="20"/>
              <w:jc w:val="center"/>
            </w:pPr>
            <w:r/>
            <w:r>
              <w:rPr>
                <w:rFonts w:ascii="Carlito" w:hAnsi="Carlito"/>
                <w:b w:val="0"/>
                <w:i w:val="0"/>
                <w:sz w:val="19"/>
              </w:rPr>
              <w:t>Operational / force-majeure event</w:t>
            </w:r>
          </w:p>
        </w:tc>
        <w:tc>
          <w:tcPr>
            <w:tcW w:type="dxa" w:w="1152"/>
          </w:tcPr>
          <w:p>
            <w:pPr>
              <w:spacing w:after="20" w:before="20"/>
              <w:jc w:val="center"/>
            </w:pPr>
            <w:r/>
            <w:r>
              <w:rPr>
                <w:rFonts w:ascii="Carlito" w:hAnsi="Carlito"/>
                <w:b w:val="0"/>
                <w:i w:val="0"/>
                <w:sz w:val="19"/>
              </w:rPr>
              <w:t>15%</w:t>
            </w:r>
          </w:p>
        </w:tc>
        <w:tc>
          <w:tcPr>
            <w:tcW w:type="dxa" w:w="1440"/>
          </w:tcPr>
          <w:p>
            <w:pPr>
              <w:spacing w:after="20" w:before="20"/>
              <w:jc w:val="center"/>
            </w:pPr>
            <w:r/>
            <w:r>
              <w:rPr>
                <w:rFonts w:ascii="Carlito" w:hAnsi="Carlito"/>
                <w:b w:val="0"/>
                <w:i w:val="0"/>
                <w:sz w:val="19"/>
              </w:rPr>
              <w:t>−3.0%</w:t>
            </w:r>
          </w:p>
        </w:tc>
      </w:tr>
    </w:tbl>
    <w:p>
      <w:pPr>
        <w:spacing w:after="40"/>
      </w:pPr>
    </w:p>
    <w:p>
      <w:r>
        <w:rPr>
          <w:rFonts w:ascii="Carlito" w:hAnsi="Carlito"/>
          <w:i w:val="0"/>
          <w:sz w:val="21"/>
        </w:rPr>
        <w:t>The seven continuous drivers net to approximately zero forward drift (the spread is genuinely two-sided at a trough); the discrete events carry a mildly positive expected value from the capacity/stimulus and capital-return possibilities, offset by the operational tail. Diffusion volatility is the YZ-HAR estimate, ~19.3% annualized.</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1440"/>
        <w:gridCol w:w="1440"/>
        <w:gridCol w:w="1440"/>
        <w:gridCol w:w="1440"/>
        <w:gridCol w:w="1440"/>
        <w:gridCol w:w="1440"/>
      </w:tblGrid>
      <w:tr>
        <w:tc>
          <w:tcPr>
            <w:tcW w:type="dxa" w:w="2592"/>
            <w:shd w:val="clear" w:fill="1C3A36"/>
          </w:tcPr>
          <w:p>
            <w:pPr>
              <w:spacing w:after="20" w:before="20"/>
              <w:jc w:val="left"/>
            </w:pPr>
            <w:r/>
            <w:r>
              <w:rPr>
                <w:rFonts w:ascii="Carlito" w:hAnsi="Carlito"/>
                <w:b/>
                <w:i w:val="0"/>
                <w:color w:val="FFFFFF"/>
                <w:sz w:val="19"/>
              </w:rPr>
              <w:t>Horizon</w:t>
            </w:r>
          </w:p>
        </w:tc>
        <w:tc>
          <w:tcPr>
            <w:tcW w:type="dxa" w:w="1440"/>
            <w:shd w:val="clear" w:fill="1C3A36"/>
          </w:tcPr>
          <w:p>
            <w:pPr>
              <w:spacing w:after="20" w:before="20"/>
              <w:jc w:val="center"/>
            </w:pPr>
            <w:r/>
            <w:r>
              <w:rPr>
                <w:rFonts w:ascii="Carlito" w:hAnsi="Carlito"/>
                <w:b/>
                <w:i w:val="0"/>
                <w:color w:val="FFFFFF"/>
                <w:sz w:val="19"/>
              </w:rPr>
              <w:t>p5</w:t>
            </w:r>
          </w:p>
        </w:tc>
        <w:tc>
          <w:tcPr>
            <w:tcW w:type="dxa" w:w="1440"/>
            <w:shd w:val="clear" w:fill="1C3A36"/>
          </w:tcPr>
          <w:p>
            <w:pPr>
              <w:spacing w:after="20" w:before="20"/>
              <w:jc w:val="center"/>
            </w:pPr>
            <w:r/>
            <w:r>
              <w:rPr>
                <w:rFonts w:ascii="Carlito" w:hAnsi="Carlito"/>
                <w:b/>
                <w:i w:val="0"/>
                <w:color w:val="FFFFFF"/>
                <w:sz w:val="19"/>
              </w:rPr>
              <w:t>p25</w:t>
            </w:r>
          </w:p>
        </w:tc>
        <w:tc>
          <w:tcPr>
            <w:tcW w:type="dxa" w:w="1440"/>
            <w:shd w:val="clear" w:fill="1C3A36"/>
          </w:tcPr>
          <w:p>
            <w:pPr>
              <w:spacing w:after="20" w:before="20"/>
              <w:jc w:val="center"/>
            </w:pPr>
            <w:r/>
            <w:r>
              <w:rPr>
                <w:rFonts w:ascii="Carlito" w:hAnsi="Carlito"/>
                <w:b/>
                <w:i w:val="0"/>
                <w:color w:val="FFFFFF"/>
                <w:sz w:val="19"/>
              </w:rPr>
              <w:t>p50</w:t>
            </w:r>
          </w:p>
        </w:tc>
        <w:tc>
          <w:tcPr>
            <w:tcW w:type="dxa" w:w="1440"/>
            <w:shd w:val="clear" w:fill="1C3A36"/>
          </w:tcPr>
          <w:p>
            <w:pPr>
              <w:spacing w:after="20" w:before="20"/>
              <w:jc w:val="center"/>
            </w:pPr>
            <w:r/>
            <w:r>
              <w:rPr>
                <w:rFonts w:ascii="Carlito" w:hAnsi="Carlito"/>
                <w:b/>
                <w:i w:val="0"/>
                <w:color w:val="FFFFFF"/>
                <w:sz w:val="19"/>
              </w:rPr>
              <w:t>p75</w:t>
            </w:r>
          </w:p>
        </w:tc>
        <w:tc>
          <w:tcPr>
            <w:tcW w:type="dxa" w:w="1440"/>
            <w:shd w:val="clear" w:fill="1C3A36"/>
          </w:tcPr>
          <w:p>
            <w:pPr>
              <w:spacing w:after="20" w:before="20"/>
              <w:jc w:val="center"/>
            </w:pPr>
            <w:r/>
            <w:r>
              <w:rPr>
                <w:rFonts w:ascii="Carlito" w:hAnsi="Carlito"/>
                <w:b/>
                <w:i w:val="0"/>
                <w:color w:val="FFFFFF"/>
                <w:sz w:val="19"/>
              </w:rPr>
              <w:t>p95</w:t>
            </w:r>
          </w:p>
        </w:tc>
      </w:tr>
      <w:tr>
        <w:tc>
          <w:tcPr>
            <w:tcW w:type="dxa" w:w="2592"/>
          </w:tcPr>
          <w:p>
            <w:pPr>
              <w:spacing w:after="20" w:before="20"/>
              <w:jc w:val="left"/>
            </w:pPr>
            <w:r/>
            <w:r>
              <w:rPr>
                <w:rFonts w:ascii="Carlito" w:hAnsi="Carlito"/>
                <w:b w:val="0"/>
                <w:i w:val="0"/>
                <w:sz w:val="19"/>
              </w:rPr>
              <w:t>T+20 sessions</w:t>
            </w:r>
          </w:p>
        </w:tc>
        <w:tc>
          <w:tcPr>
            <w:tcW w:type="dxa" w:w="1440"/>
          </w:tcPr>
          <w:p>
            <w:pPr>
              <w:spacing w:after="20" w:before="20"/>
              <w:jc w:val="center"/>
            </w:pPr>
            <w:r/>
            <w:r>
              <w:rPr>
                <w:rFonts w:ascii="Carlito" w:hAnsi="Carlito"/>
                <w:b w:val="0"/>
                <w:i w:val="0"/>
                <w:sz w:val="19"/>
              </w:rPr>
              <w:t>45.2</w:t>
            </w:r>
          </w:p>
        </w:tc>
        <w:tc>
          <w:tcPr>
            <w:tcW w:type="dxa" w:w="1440"/>
          </w:tcPr>
          <w:p>
            <w:pPr>
              <w:spacing w:after="20" w:before="20"/>
              <w:jc w:val="center"/>
            </w:pPr>
            <w:r/>
            <w:r>
              <w:rPr>
                <w:rFonts w:ascii="Carlito" w:hAnsi="Carlito"/>
                <w:b w:val="0"/>
                <w:i w:val="0"/>
                <w:sz w:val="19"/>
              </w:rPr>
              <w:t>49.5</w:t>
            </w:r>
          </w:p>
        </w:tc>
        <w:tc>
          <w:tcPr>
            <w:tcW w:type="dxa" w:w="1440"/>
          </w:tcPr>
          <w:p>
            <w:pPr>
              <w:spacing w:after="20" w:before="20"/>
              <w:jc w:val="center"/>
            </w:pPr>
            <w:r/>
            <w:r>
              <w:rPr>
                <w:rFonts w:ascii="Carlito" w:hAnsi="Carlito"/>
                <w:b w:val="0"/>
                <w:i w:val="0"/>
                <w:sz w:val="19"/>
              </w:rPr>
              <w:t>51.8</w:t>
            </w:r>
          </w:p>
        </w:tc>
        <w:tc>
          <w:tcPr>
            <w:tcW w:type="dxa" w:w="1440"/>
          </w:tcPr>
          <w:p>
            <w:pPr>
              <w:spacing w:after="20" w:before="20"/>
              <w:jc w:val="center"/>
            </w:pPr>
            <w:r/>
            <w:r>
              <w:rPr>
                <w:rFonts w:ascii="Carlito" w:hAnsi="Carlito"/>
                <w:b w:val="0"/>
                <w:i w:val="0"/>
                <w:sz w:val="19"/>
              </w:rPr>
              <w:t>54.3</w:t>
            </w:r>
          </w:p>
        </w:tc>
        <w:tc>
          <w:tcPr>
            <w:tcW w:type="dxa" w:w="1440"/>
          </w:tcPr>
          <w:p>
            <w:pPr>
              <w:spacing w:after="20" w:before="20"/>
              <w:jc w:val="center"/>
            </w:pPr>
            <w:r/>
            <w:r>
              <w:rPr>
                <w:rFonts w:ascii="Carlito" w:hAnsi="Carlito"/>
                <w:b w:val="0"/>
                <w:i w:val="0"/>
                <w:sz w:val="19"/>
              </w:rPr>
              <w:t>58.8</w:t>
            </w:r>
          </w:p>
        </w:tc>
      </w:tr>
      <w:tr>
        <w:tc>
          <w:tcPr>
            <w:tcW w:type="dxa" w:w="2592"/>
          </w:tcPr>
          <w:p>
            <w:pPr>
              <w:spacing w:after="20" w:before="20"/>
              <w:jc w:val="left"/>
            </w:pPr>
            <w:r/>
            <w:r>
              <w:rPr>
                <w:rFonts w:ascii="Carlito" w:hAnsi="Carlito"/>
                <w:b w:val="0"/>
                <w:i w:val="0"/>
                <w:sz w:val="19"/>
              </w:rPr>
              <w:t>T+60 sessions</w:t>
            </w:r>
          </w:p>
        </w:tc>
        <w:tc>
          <w:tcPr>
            <w:tcW w:type="dxa" w:w="1440"/>
          </w:tcPr>
          <w:p>
            <w:pPr>
              <w:spacing w:after="20" w:before="20"/>
              <w:jc w:val="center"/>
            </w:pPr>
            <w:r/>
            <w:r>
              <w:rPr>
                <w:rFonts w:ascii="Carlito" w:hAnsi="Carlito"/>
                <w:b w:val="0"/>
                <w:i w:val="0"/>
                <w:sz w:val="19"/>
              </w:rPr>
              <w:t>41.3</w:t>
            </w:r>
          </w:p>
        </w:tc>
        <w:tc>
          <w:tcPr>
            <w:tcW w:type="dxa" w:w="1440"/>
          </w:tcPr>
          <w:p>
            <w:pPr>
              <w:spacing w:after="20" w:before="20"/>
              <w:jc w:val="center"/>
            </w:pPr>
            <w:r/>
            <w:r>
              <w:rPr>
                <w:rFonts w:ascii="Carlito" w:hAnsi="Carlito"/>
                <w:b w:val="0"/>
                <w:i w:val="0"/>
                <w:sz w:val="19"/>
              </w:rPr>
              <w:t>47.4</w:t>
            </w:r>
          </w:p>
        </w:tc>
        <w:tc>
          <w:tcPr>
            <w:tcW w:type="dxa" w:w="1440"/>
          </w:tcPr>
          <w:p>
            <w:pPr>
              <w:spacing w:after="20" w:before="20"/>
              <w:jc w:val="center"/>
            </w:pPr>
            <w:r/>
            <w:r>
              <w:rPr>
                <w:rFonts w:ascii="Carlito" w:hAnsi="Carlito"/>
                <w:b w:val="0"/>
                <w:i w:val="0"/>
                <w:sz w:val="19"/>
              </w:rPr>
              <w:t>51.7</w:t>
            </w:r>
          </w:p>
        </w:tc>
        <w:tc>
          <w:tcPr>
            <w:tcW w:type="dxa" w:w="1440"/>
          </w:tcPr>
          <w:p>
            <w:pPr>
              <w:spacing w:after="20" w:before="20"/>
              <w:jc w:val="center"/>
            </w:pPr>
            <w:r/>
            <w:r>
              <w:rPr>
                <w:rFonts w:ascii="Carlito" w:hAnsi="Carlito"/>
                <w:b w:val="0"/>
                <w:i w:val="0"/>
                <w:sz w:val="19"/>
              </w:rPr>
              <w:t>56.3</w:t>
            </w:r>
          </w:p>
        </w:tc>
        <w:tc>
          <w:tcPr>
            <w:tcW w:type="dxa" w:w="1440"/>
          </w:tcPr>
          <w:p>
            <w:pPr>
              <w:spacing w:after="20" w:before="20"/>
              <w:jc w:val="center"/>
            </w:pPr>
            <w:r/>
            <w:r>
              <w:rPr>
                <w:rFonts w:ascii="Carlito" w:hAnsi="Carlito"/>
                <w:b w:val="0"/>
                <w:i w:val="0"/>
                <w:sz w:val="19"/>
              </w:rPr>
              <w:t>64.2</w:t>
            </w:r>
          </w:p>
        </w:tc>
      </w:tr>
    </w:tbl>
    <w:p>
      <w:pPr>
        <w:spacing w:after="40"/>
      </w:pPr>
    </w:p>
    <w:p>
      <w:pPr>
        <w:spacing w:before="120" w:after="40"/>
        <w:jc w:val="center"/>
      </w:pPr>
      <w:r>
        <w:drawing>
          <wp:inline xmlns:a="http://schemas.openxmlformats.org/drawingml/2006/main" xmlns:pic="http://schemas.openxmlformats.org/drawingml/2006/picture">
            <wp:extent cx="5760720" cy="2944368"/>
            <wp:docPr id="4" name="Picture 4"/>
            <wp:cNvGraphicFramePr>
              <a:graphicFrameLocks noChangeAspect="1"/>
            </wp:cNvGraphicFramePr>
            <a:graphic>
              <a:graphicData uri="http://schemas.openxmlformats.org/drawingml/2006/picture">
                <pic:pic>
                  <pic:nvPicPr>
                    <pic:cNvPr id="0" name="sabic_fan.png"/>
                    <pic:cNvPicPr/>
                  </pic:nvPicPr>
                  <pic:blipFill>
                    <a:blip r:embed="rId12"/>
                    <a:stretch>
                      <a:fillRect/>
                    </a:stretch>
                  </pic:blipFill>
                  <pic:spPr>
                    <a:xfrm>
                      <a:off x="0" y="0"/>
                      <a:ext cx="5760720" cy="2944368"/>
                    </a:xfrm>
                    <a:prstGeom prst="rect"/>
                  </pic:spPr>
                </pic:pic>
              </a:graphicData>
            </a:graphic>
          </wp:inline>
        </w:drawing>
      </w:r>
    </w:p>
    <w:p>
      <w:pPr>
        <w:jc w:val="center"/>
      </w:pPr>
      <w:r>
        <w:rPr>
          <w:i/>
          <w:color w:val="555555"/>
          <w:sz w:val="17"/>
        </w:rPr>
        <w:t>Figure 4 — Forward price cone to T+60. Median tracks spot; the gold dotted line marks the SAR 55.5 fundamental central value, deliberately above the cone.</w:t>
      </w:r>
    </w:p>
    <w:p>
      <w:pPr>
        <w:spacing w:before="120" w:after="40"/>
        <w:jc w:val="center"/>
      </w:pPr>
      <w:r>
        <w:drawing>
          <wp:inline xmlns:a="http://schemas.openxmlformats.org/drawingml/2006/main" xmlns:pic="http://schemas.openxmlformats.org/drawingml/2006/picture">
            <wp:extent cx="5760720" cy="2956159"/>
            <wp:docPr id="5" name="Picture 5"/>
            <wp:cNvGraphicFramePr>
              <a:graphicFrameLocks noChangeAspect="1"/>
            </wp:cNvGraphicFramePr>
            <a:graphic>
              <a:graphicData uri="http://schemas.openxmlformats.org/drawingml/2006/picture">
                <pic:pic>
                  <pic:nvPicPr>
                    <pic:cNvPr id="0" name="sabic_dist_t20.png"/>
                    <pic:cNvPicPr/>
                  </pic:nvPicPr>
                  <pic:blipFill>
                    <a:blip r:embed="rId13"/>
                    <a:stretch>
                      <a:fillRect/>
                    </a:stretch>
                  </pic:blipFill>
                  <pic:spPr>
                    <a:xfrm>
                      <a:off x="0" y="0"/>
                      <a:ext cx="5760720" cy="2956159"/>
                    </a:xfrm>
                    <a:prstGeom prst="rect"/>
                  </pic:spPr>
                </pic:pic>
              </a:graphicData>
            </a:graphic>
          </wp:inline>
        </w:drawing>
      </w:r>
    </w:p>
    <w:p>
      <w:pPr>
        <w:jc w:val="center"/>
      </w:pPr>
      <w:r>
        <w:rPr>
          <w:i/>
          <w:color w:val="555555"/>
          <w:sz w:val="17"/>
        </w:rPr>
        <w:t>Figure 5 — Price distribution at T+20.</w:t>
      </w:r>
    </w:p>
    <w:p>
      <w:pPr>
        <w:spacing w:before="120" w:after="40"/>
        <w:jc w:val="center"/>
      </w:pPr>
      <w:r>
        <w:drawing>
          <wp:inline xmlns:a="http://schemas.openxmlformats.org/drawingml/2006/main" xmlns:pic="http://schemas.openxmlformats.org/drawingml/2006/picture">
            <wp:extent cx="5760720" cy="2956159"/>
            <wp:docPr id="6" name="Picture 6"/>
            <wp:cNvGraphicFramePr>
              <a:graphicFrameLocks noChangeAspect="1"/>
            </wp:cNvGraphicFramePr>
            <a:graphic>
              <a:graphicData uri="http://schemas.openxmlformats.org/drawingml/2006/picture">
                <pic:pic>
                  <pic:nvPicPr>
                    <pic:cNvPr id="0" name="sabic_dist_t60.png"/>
                    <pic:cNvPicPr/>
                  </pic:nvPicPr>
                  <pic:blipFill>
                    <a:blip r:embed="rId14"/>
                    <a:stretch>
                      <a:fillRect/>
                    </a:stretch>
                  </pic:blipFill>
                  <pic:spPr>
                    <a:xfrm>
                      <a:off x="0" y="0"/>
                      <a:ext cx="5760720" cy="2956159"/>
                    </a:xfrm>
                    <a:prstGeom prst="rect"/>
                  </pic:spPr>
                </pic:pic>
              </a:graphicData>
            </a:graphic>
          </wp:inline>
        </w:drawing>
      </w:r>
    </w:p>
    <w:p>
      <w:pPr>
        <w:jc w:val="center"/>
      </w:pPr>
      <w:r>
        <w:rPr>
          <w:i/>
          <w:color w:val="555555"/>
          <w:sz w:val="17"/>
        </w:rPr>
        <w:t>Figure 6 — Price distribution at T+60.</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2160"/>
        <w:gridCol w:w="2160"/>
        <w:gridCol w:w="2160"/>
        <w:gridCol w:w="2160"/>
      </w:tblGrid>
      <w:tr>
        <w:tc>
          <w:tcPr>
            <w:tcW w:type="dxa" w:w="1728"/>
            <w:shd w:val="clear" w:fill="1C3A36"/>
          </w:tcPr>
          <w:p>
            <w:pPr>
              <w:spacing w:after="20" w:before="20"/>
              <w:jc w:val="left"/>
            </w:pPr>
            <w:r/>
            <w:r>
              <w:rPr>
                <w:rFonts w:ascii="Carlito" w:hAnsi="Carlito"/>
                <w:b/>
                <w:i w:val="0"/>
                <w:color w:val="FFFFFF"/>
                <w:sz w:val="19"/>
              </w:rPr>
              <w:t>Level</w:t>
            </w:r>
          </w:p>
        </w:tc>
        <w:tc>
          <w:tcPr>
            <w:tcW w:type="dxa" w:w="1728"/>
            <w:shd w:val="clear" w:fill="1C3A36"/>
          </w:tcPr>
          <w:p>
            <w:pPr>
              <w:spacing w:after="20" w:before="20"/>
              <w:jc w:val="center"/>
            </w:pPr>
            <w:r/>
            <w:r>
              <w:rPr>
                <w:rFonts w:ascii="Carlito" w:hAnsi="Carlito"/>
                <w:b/>
                <w:i w:val="0"/>
                <w:color w:val="FFFFFF"/>
                <w:sz w:val="19"/>
              </w:rPr>
              <w:t>T+20 touch</w:t>
            </w:r>
          </w:p>
        </w:tc>
        <w:tc>
          <w:tcPr>
            <w:tcW w:type="dxa" w:w="1728"/>
            <w:shd w:val="clear" w:fill="1C3A36"/>
          </w:tcPr>
          <w:p>
            <w:pPr>
              <w:spacing w:after="20" w:before="20"/>
              <w:jc w:val="center"/>
            </w:pPr>
            <w:r/>
            <w:r>
              <w:rPr>
                <w:rFonts w:ascii="Carlito" w:hAnsi="Carlito"/>
                <w:b/>
                <w:i w:val="0"/>
                <w:color w:val="FFFFFF"/>
                <w:sz w:val="19"/>
              </w:rPr>
              <w:t>T+60 touch</w:t>
            </w:r>
          </w:p>
        </w:tc>
        <w:tc>
          <w:tcPr>
            <w:tcW w:type="dxa" w:w="4464"/>
            <w:shd w:val="clear" w:fill="1C3A36"/>
          </w:tcPr>
          <w:p>
            <w:pPr>
              <w:spacing w:after="20" w:before="20"/>
              <w:jc w:val="center"/>
            </w:pPr>
            <w:r/>
            <w:r>
              <w:rPr>
                <w:rFonts w:ascii="Carlito" w:hAnsi="Carlito"/>
                <w:b/>
                <w:i w:val="0"/>
                <w:color w:val="FFFFFF"/>
                <w:sz w:val="19"/>
              </w:rPr>
              <w:t>Note</w:t>
            </w:r>
          </w:p>
        </w:tc>
      </w:tr>
      <w:tr>
        <w:tc>
          <w:tcPr>
            <w:tcW w:type="dxa" w:w="1728"/>
          </w:tcPr>
          <w:p>
            <w:pPr>
              <w:spacing w:after="20" w:before="20"/>
              <w:jc w:val="left"/>
            </w:pPr>
            <w:r/>
            <w:r>
              <w:rPr>
                <w:rFonts w:ascii="Carlito" w:hAnsi="Carlito"/>
                <w:b w:val="0"/>
                <w:i w:val="0"/>
                <w:sz w:val="19"/>
              </w:rPr>
              <w:t>SAR 62</w:t>
            </w:r>
          </w:p>
        </w:tc>
        <w:tc>
          <w:tcPr>
            <w:tcW w:type="dxa" w:w="1728"/>
          </w:tcPr>
          <w:p>
            <w:pPr>
              <w:spacing w:after="20" w:before="20"/>
              <w:jc w:val="center"/>
            </w:pPr>
            <w:r/>
            <w:r>
              <w:rPr>
                <w:rFonts w:ascii="Carlito" w:hAnsi="Carlito"/>
                <w:b w:val="0"/>
                <w:i w:val="0"/>
                <w:sz w:val="19"/>
              </w:rPr>
              <w:t>2%</w:t>
            </w:r>
          </w:p>
        </w:tc>
        <w:tc>
          <w:tcPr>
            <w:tcW w:type="dxa" w:w="1728"/>
          </w:tcPr>
          <w:p>
            <w:pPr>
              <w:spacing w:after="20" w:before="20"/>
              <w:jc w:val="center"/>
            </w:pPr>
            <w:r/>
            <w:r>
              <w:rPr>
                <w:rFonts w:ascii="Carlito" w:hAnsi="Carlito"/>
                <w:b w:val="0"/>
                <w:i w:val="0"/>
                <w:sz w:val="19"/>
              </w:rPr>
              <w:t>14%</w:t>
            </w:r>
          </w:p>
        </w:tc>
        <w:tc>
          <w:tcPr>
            <w:tcW w:type="dxa" w:w="4464"/>
          </w:tcPr>
          <w:p>
            <w:pPr>
              <w:spacing w:after="20" w:before="20"/>
              <w:jc w:val="center"/>
            </w:pPr>
            <w:r/>
            <w:r>
              <w:rPr>
                <w:rFonts w:ascii="Carlito" w:hAnsi="Carlito"/>
                <w:b w:val="0"/>
                <w:i w:val="0"/>
                <w:sz w:val="19"/>
              </w:rPr>
              <w:t>Toward 52-wk high zone</w:t>
            </w:r>
          </w:p>
        </w:tc>
      </w:tr>
      <w:tr>
        <w:tc>
          <w:tcPr>
            <w:tcW w:type="dxa" w:w="1728"/>
          </w:tcPr>
          <w:p>
            <w:pPr>
              <w:spacing w:after="20" w:before="20"/>
              <w:jc w:val="left"/>
            </w:pPr>
            <w:r/>
            <w:r>
              <w:rPr>
                <w:rFonts w:ascii="Carlito" w:hAnsi="Carlito"/>
                <w:b w:val="0"/>
                <w:i w:val="0"/>
                <w:sz w:val="19"/>
              </w:rPr>
              <w:t>SAR 58</w:t>
            </w:r>
          </w:p>
        </w:tc>
        <w:tc>
          <w:tcPr>
            <w:tcW w:type="dxa" w:w="1728"/>
          </w:tcPr>
          <w:p>
            <w:pPr>
              <w:spacing w:after="20" w:before="20"/>
              <w:jc w:val="center"/>
            </w:pPr>
            <w:r/>
            <w:r>
              <w:rPr>
                <w:rFonts w:ascii="Carlito" w:hAnsi="Carlito"/>
                <w:b w:val="0"/>
                <w:i w:val="0"/>
                <w:sz w:val="19"/>
              </w:rPr>
              <w:t>10%</w:t>
            </w:r>
          </w:p>
        </w:tc>
        <w:tc>
          <w:tcPr>
            <w:tcW w:type="dxa" w:w="1728"/>
          </w:tcPr>
          <w:p>
            <w:pPr>
              <w:spacing w:after="20" w:before="20"/>
              <w:jc w:val="center"/>
            </w:pPr>
            <w:r/>
            <w:r>
              <w:rPr>
                <w:rFonts w:ascii="Carlito" w:hAnsi="Carlito"/>
                <w:b w:val="0"/>
                <w:i w:val="0"/>
                <w:sz w:val="19"/>
              </w:rPr>
              <w:t>32%</w:t>
            </w:r>
          </w:p>
        </w:tc>
        <w:tc>
          <w:tcPr>
            <w:tcW w:type="dxa" w:w="4464"/>
          </w:tcPr>
          <w:p>
            <w:pPr>
              <w:spacing w:after="20" w:before="20"/>
              <w:jc w:val="center"/>
            </w:pPr>
            <w:r/>
            <w:r>
              <w:rPr>
                <w:rFonts w:ascii="Carlito" w:hAnsi="Carlito"/>
                <w:b w:val="0"/>
                <w:i w:val="0"/>
                <w:sz w:val="19"/>
              </w:rPr>
              <w:t>Above the MA stack</w:t>
            </w:r>
          </w:p>
        </w:tc>
      </w:tr>
      <w:tr>
        <w:tc>
          <w:tcPr>
            <w:tcW w:type="dxa" w:w="1728"/>
          </w:tcPr>
          <w:p>
            <w:pPr>
              <w:spacing w:after="20" w:before="20"/>
              <w:jc w:val="left"/>
            </w:pPr>
            <w:r/>
            <w:r>
              <w:rPr>
                <w:rFonts w:ascii="Carlito" w:hAnsi="Carlito"/>
                <w:b w:val="0"/>
                <w:i w:val="0"/>
                <w:sz w:val="19"/>
              </w:rPr>
              <w:t>SAR 56</w:t>
            </w:r>
          </w:p>
        </w:tc>
        <w:tc>
          <w:tcPr>
            <w:tcW w:type="dxa" w:w="1728"/>
          </w:tcPr>
          <w:p>
            <w:pPr>
              <w:spacing w:after="20" w:before="20"/>
              <w:jc w:val="center"/>
            </w:pPr>
            <w:r/>
            <w:r>
              <w:rPr>
                <w:rFonts w:ascii="Carlito" w:hAnsi="Carlito"/>
                <w:b w:val="0"/>
                <w:i w:val="0"/>
                <w:sz w:val="19"/>
              </w:rPr>
              <w:t>21%</w:t>
            </w:r>
          </w:p>
        </w:tc>
        <w:tc>
          <w:tcPr>
            <w:tcW w:type="dxa" w:w="1728"/>
          </w:tcPr>
          <w:p>
            <w:pPr>
              <w:spacing w:after="20" w:before="20"/>
              <w:jc w:val="center"/>
            </w:pPr>
            <w:r/>
            <w:r>
              <w:rPr>
                <w:rFonts w:ascii="Carlito" w:hAnsi="Carlito"/>
                <w:b w:val="0"/>
                <w:i w:val="0"/>
                <w:sz w:val="19"/>
              </w:rPr>
              <w:t>47%</w:t>
            </w:r>
          </w:p>
        </w:tc>
        <w:tc>
          <w:tcPr>
            <w:tcW w:type="dxa" w:w="4464"/>
          </w:tcPr>
          <w:p>
            <w:pPr>
              <w:spacing w:after="20" w:before="20"/>
              <w:jc w:val="center"/>
            </w:pPr>
            <w:r/>
            <w:r>
              <w:rPr>
                <w:rFonts w:ascii="Carlito" w:hAnsi="Carlito"/>
                <w:b w:val="0"/>
                <w:i w:val="0"/>
                <w:sz w:val="19"/>
              </w:rPr>
              <w:t>Near dividend / DCF-recovery lens</w:t>
            </w:r>
          </w:p>
        </w:tc>
      </w:tr>
      <w:tr>
        <w:tc>
          <w:tcPr>
            <w:tcW w:type="dxa" w:w="1728"/>
          </w:tcPr>
          <w:p>
            <w:pPr>
              <w:spacing w:after="20" w:before="20"/>
              <w:jc w:val="left"/>
            </w:pPr>
            <w:r/>
            <w:r>
              <w:rPr>
                <w:rFonts w:ascii="Carlito" w:hAnsi="Carlito"/>
                <w:b w:val="0"/>
                <w:i w:val="0"/>
                <w:sz w:val="19"/>
              </w:rPr>
              <w:t>SAR 54</w:t>
            </w:r>
          </w:p>
        </w:tc>
        <w:tc>
          <w:tcPr>
            <w:tcW w:type="dxa" w:w="1728"/>
          </w:tcPr>
          <w:p>
            <w:pPr>
              <w:spacing w:after="20" w:before="20"/>
              <w:jc w:val="center"/>
            </w:pPr>
            <w:r/>
            <w:r>
              <w:rPr>
                <w:rFonts w:ascii="Carlito" w:hAnsi="Carlito"/>
                <w:b w:val="0"/>
                <w:i w:val="0"/>
                <w:sz w:val="19"/>
              </w:rPr>
              <w:t>43%</w:t>
            </w:r>
          </w:p>
        </w:tc>
        <w:tc>
          <w:tcPr>
            <w:tcW w:type="dxa" w:w="1728"/>
          </w:tcPr>
          <w:p>
            <w:pPr>
              <w:spacing w:after="20" w:before="20"/>
              <w:jc w:val="center"/>
            </w:pPr>
            <w:r/>
            <w:r>
              <w:rPr>
                <w:rFonts w:ascii="Carlito" w:hAnsi="Carlito"/>
                <w:b w:val="0"/>
                <w:i w:val="0"/>
                <w:sz w:val="19"/>
              </w:rPr>
              <w:t>65%</w:t>
            </w:r>
          </w:p>
        </w:tc>
        <w:tc>
          <w:tcPr>
            <w:tcW w:type="dxa" w:w="4464"/>
          </w:tcPr>
          <w:p>
            <w:pPr>
              <w:spacing w:after="20" w:before="20"/>
              <w:jc w:val="center"/>
            </w:pPr>
            <w:r/>
            <w:r>
              <w:rPr>
                <w:rFonts w:ascii="Carlito" w:hAnsi="Carlito"/>
                <w:b w:val="0"/>
                <w:i w:val="0"/>
                <w:sz w:val="19"/>
              </w:rPr>
              <w:t>Near the moving-average cluster</w:t>
            </w:r>
          </w:p>
        </w:tc>
      </w:tr>
      <w:tr>
        <w:tc>
          <w:tcPr>
            <w:tcW w:type="dxa" w:w="1728"/>
          </w:tcPr>
          <w:p>
            <w:pPr>
              <w:spacing w:after="20" w:before="20"/>
              <w:jc w:val="left"/>
            </w:pPr>
            <w:r/>
            <w:r>
              <w:rPr>
                <w:rFonts w:ascii="Carlito" w:hAnsi="Carlito"/>
                <w:b w:val="0"/>
                <w:i w:val="0"/>
                <w:sz w:val="19"/>
              </w:rPr>
              <w:t>SAR 52</w:t>
            </w:r>
          </w:p>
        </w:tc>
        <w:tc>
          <w:tcPr>
            <w:tcW w:type="dxa" w:w="1728"/>
          </w:tcPr>
          <w:p>
            <w:pPr>
              <w:spacing w:after="20" w:before="20"/>
              <w:jc w:val="center"/>
            </w:pPr>
            <w:r/>
            <w:r>
              <w:rPr>
                <w:rFonts w:ascii="Carlito" w:hAnsi="Carlito"/>
                <w:b w:val="0"/>
                <w:i w:val="0"/>
                <w:sz w:val="19"/>
              </w:rPr>
              <w:t>83%</w:t>
            </w:r>
          </w:p>
        </w:tc>
        <w:tc>
          <w:tcPr>
            <w:tcW w:type="dxa" w:w="1728"/>
          </w:tcPr>
          <w:p>
            <w:pPr>
              <w:spacing w:after="20" w:before="20"/>
              <w:jc w:val="center"/>
            </w:pPr>
            <w:r/>
            <w:r>
              <w:rPr>
                <w:rFonts w:ascii="Carlito" w:hAnsi="Carlito"/>
                <w:b w:val="0"/>
                <w:i w:val="0"/>
                <w:sz w:val="19"/>
              </w:rPr>
              <w:t>91%</w:t>
            </w:r>
          </w:p>
        </w:tc>
        <w:tc>
          <w:tcPr>
            <w:tcW w:type="dxa" w:w="4464"/>
          </w:tcPr>
          <w:p>
            <w:pPr>
              <w:spacing w:after="20" w:before="20"/>
              <w:jc w:val="center"/>
            </w:pPr>
            <w:r/>
            <w:r>
              <w:rPr>
                <w:rFonts w:ascii="Carlito" w:hAnsi="Carlito"/>
                <w:b w:val="0"/>
                <w:i w:val="0"/>
                <w:sz w:val="19"/>
              </w:rPr>
              <w:t>Just above spot</w:t>
            </w:r>
          </w:p>
        </w:tc>
      </w:tr>
      <w:tr>
        <w:tc>
          <w:tcPr>
            <w:tcW w:type="dxa" w:w="1728"/>
          </w:tcPr>
          <w:p>
            <w:pPr>
              <w:spacing w:after="20" w:before="20"/>
              <w:jc w:val="left"/>
            </w:pPr>
            <w:r/>
            <w:r>
              <w:rPr>
                <w:rFonts w:ascii="Carlito" w:hAnsi="Carlito"/>
                <w:b w:val="0"/>
                <w:i w:val="0"/>
                <w:sz w:val="19"/>
              </w:rPr>
              <w:t>SAR 50</w:t>
            </w:r>
          </w:p>
        </w:tc>
        <w:tc>
          <w:tcPr>
            <w:tcW w:type="dxa" w:w="1728"/>
          </w:tcPr>
          <w:p>
            <w:pPr>
              <w:spacing w:after="20" w:before="20"/>
              <w:jc w:val="center"/>
            </w:pPr>
            <w:r/>
            <w:r>
              <w:rPr>
                <w:rFonts w:ascii="Carlito" w:hAnsi="Carlito"/>
                <w:b w:val="0"/>
                <w:i w:val="0"/>
                <w:sz w:val="19"/>
              </w:rPr>
              <w:t>47%</w:t>
            </w:r>
          </w:p>
        </w:tc>
        <w:tc>
          <w:tcPr>
            <w:tcW w:type="dxa" w:w="1728"/>
          </w:tcPr>
          <w:p>
            <w:pPr>
              <w:spacing w:after="20" w:before="20"/>
              <w:jc w:val="center"/>
            </w:pPr>
            <w:r/>
            <w:r>
              <w:rPr>
                <w:rFonts w:ascii="Carlito" w:hAnsi="Carlito"/>
                <w:b w:val="0"/>
                <w:i w:val="0"/>
                <w:sz w:val="19"/>
              </w:rPr>
              <w:t>69%</w:t>
            </w:r>
          </w:p>
        </w:tc>
        <w:tc>
          <w:tcPr>
            <w:tcW w:type="dxa" w:w="4464"/>
          </w:tcPr>
          <w:p>
            <w:pPr>
              <w:spacing w:after="20" w:before="20"/>
              <w:jc w:val="center"/>
            </w:pPr>
            <w:r/>
            <w:r>
              <w:rPr>
                <w:rFonts w:ascii="Carlito" w:hAnsi="Carlito"/>
                <w:b w:val="0"/>
                <w:i w:val="0"/>
                <w:sz w:val="19"/>
              </w:rPr>
              <w:t>Just below spot</w:t>
            </w:r>
          </w:p>
        </w:tc>
      </w:tr>
      <w:tr>
        <w:tc>
          <w:tcPr>
            <w:tcW w:type="dxa" w:w="1728"/>
          </w:tcPr>
          <w:p>
            <w:pPr>
              <w:spacing w:after="20" w:before="20"/>
              <w:jc w:val="left"/>
            </w:pPr>
            <w:r/>
            <w:r>
              <w:rPr>
                <w:rFonts w:ascii="Carlito" w:hAnsi="Carlito"/>
                <w:b w:val="0"/>
                <w:i w:val="0"/>
                <w:sz w:val="19"/>
              </w:rPr>
              <w:t>SAR 48</w:t>
            </w:r>
          </w:p>
        </w:tc>
        <w:tc>
          <w:tcPr>
            <w:tcW w:type="dxa" w:w="1728"/>
          </w:tcPr>
          <w:p>
            <w:pPr>
              <w:spacing w:after="20" w:before="20"/>
              <w:jc w:val="center"/>
            </w:pPr>
            <w:r/>
            <w:r>
              <w:rPr>
                <w:rFonts w:ascii="Carlito" w:hAnsi="Carlito"/>
                <w:b w:val="0"/>
                <w:i w:val="0"/>
                <w:sz w:val="19"/>
              </w:rPr>
              <w:t>22%</w:t>
            </w:r>
          </w:p>
        </w:tc>
        <w:tc>
          <w:tcPr>
            <w:tcW w:type="dxa" w:w="1728"/>
          </w:tcPr>
          <w:p>
            <w:pPr>
              <w:spacing w:after="20" w:before="20"/>
              <w:jc w:val="center"/>
            </w:pPr>
            <w:r/>
            <w:r>
              <w:rPr>
                <w:rFonts w:ascii="Carlito" w:hAnsi="Carlito"/>
                <w:b w:val="0"/>
                <w:i w:val="0"/>
                <w:sz w:val="19"/>
              </w:rPr>
              <w:t>48%</w:t>
            </w:r>
          </w:p>
        </w:tc>
        <w:tc>
          <w:tcPr>
            <w:tcW w:type="dxa" w:w="4464"/>
          </w:tcPr>
          <w:p>
            <w:pPr>
              <w:spacing w:after="20" w:before="20"/>
              <w:jc w:val="center"/>
            </w:pPr>
            <w:r/>
            <w:r>
              <w:rPr>
                <w:rFonts w:ascii="Carlito" w:hAnsi="Carlito"/>
                <w:b w:val="0"/>
                <w:i w:val="0"/>
                <w:sz w:val="19"/>
              </w:rPr>
              <w:t>Toward relative-lens floor</w:t>
            </w:r>
          </w:p>
        </w:tc>
      </w:tr>
      <w:tr>
        <w:tc>
          <w:tcPr>
            <w:tcW w:type="dxa" w:w="1728"/>
          </w:tcPr>
          <w:p>
            <w:pPr>
              <w:spacing w:after="20" w:before="20"/>
              <w:jc w:val="left"/>
            </w:pPr>
            <w:r/>
            <w:r>
              <w:rPr>
                <w:rFonts w:ascii="Carlito" w:hAnsi="Carlito"/>
                <w:b w:val="0"/>
                <w:i w:val="0"/>
                <w:sz w:val="19"/>
              </w:rPr>
              <w:t>SAR 46</w:t>
            </w:r>
          </w:p>
        </w:tc>
        <w:tc>
          <w:tcPr>
            <w:tcW w:type="dxa" w:w="1728"/>
          </w:tcPr>
          <w:p>
            <w:pPr>
              <w:spacing w:after="20" w:before="20"/>
              <w:jc w:val="center"/>
            </w:pPr>
            <w:r/>
            <w:r>
              <w:rPr>
                <w:rFonts w:ascii="Carlito" w:hAnsi="Carlito"/>
                <w:b w:val="0"/>
                <w:i w:val="0"/>
                <w:sz w:val="19"/>
              </w:rPr>
              <w:t>10%</w:t>
            </w:r>
          </w:p>
        </w:tc>
        <w:tc>
          <w:tcPr>
            <w:tcW w:type="dxa" w:w="1728"/>
          </w:tcPr>
          <w:p>
            <w:pPr>
              <w:spacing w:after="20" w:before="20"/>
              <w:jc w:val="center"/>
            </w:pPr>
            <w:r/>
            <w:r>
              <w:rPr>
                <w:rFonts w:ascii="Carlito" w:hAnsi="Carlito"/>
                <w:b w:val="0"/>
                <w:i w:val="0"/>
                <w:sz w:val="19"/>
              </w:rPr>
              <w:t>31%</w:t>
            </w:r>
          </w:p>
        </w:tc>
        <w:tc>
          <w:tcPr>
            <w:tcW w:type="dxa" w:w="4464"/>
          </w:tcPr>
          <w:p>
            <w:pPr>
              <w:spacing w:after="20" w:before="20"/>
              <w:jc w:val="center"/>
            </w:pPr>
            <w:r/>
            <w:r>
              <w:rPr>
                <w:rFonts w:ascii="Carlito" w:hAnsi="Carlito"/>
                <w:b w:val="0"/>
                <w:i w:val="0"/>
                <w:sz w:val="19"/>
              </w:rPr>
              <w:t>Mid downside</w:t>
            </w:r>
          </w:p>
        </w:tc>
      </w:tr>
      <w:tr>
        <w:tc>
          <w:tcPr>
            <w:tcW w:type="dxa" w:w="1728"/>
          </w:tcPr>
          <w:p>
            <w:pPr>
              <w:spacing w:after="20" w:before="20"/>
              <w:jc w:val="left"/>
            </w:pPr>
            <w:r/>
            <w:r>
              <w:rPr>
                <w:rFonts w:ascii="Carlito" w:hAnsi="Carlito"/>
                <w:b w:val="0"/>
                <w:i w:val="0"/>
                <w:sz w:val="19"/>
              </w:rPr>
              <w:t>SAR 44</w:t>
            </w:r>
          </w:p>
        </w:tc>
        <w:tc>
          <w:tcPr>
            <w:tcW w:type="dxa" w:w="1728"/>
          </w:tcPr>
          <w:p>
            <w:pPr>
              <w:spacing w:after="20" w:before="20"/>
              <w:jc w:val="center"/>
            </w:pPr>
            <w:r/>
            <w:r>
              <w:rPr>
                <w:rFonts w:ascii="Carlito" w:hAnsi="Carlito"/>
                <w:b w:val="0"/>
                <w:i w:val="0"/>
                <w:sz w:val="19"/>
              </w:rPr>
              <w:t>4%</w:t>
            </w:r>
          </w:p>
        </w:tc>
        <w:tc>
          <w:tcPr>
            <w:tcW w:type="dxa" w:w="1728"/>
          </w:tcPr>
          <w:p>
            <w:pPr>
              <w:spacing w:after="20" w:before="20"/>
              <w:jc w:val="center"/>
            </w:pPr>
            <w:r/>
            <w:r>
              <w:rPr>
                <w:rFonts w:ascii="Carlito" w:hAnsi="Carlito"/>
                <w:b w:val="0"/>
                <w:i w:val="0"/>
                <w:sz w:val="19"/>
              </w:rPr>
              <w:t>19%</w:t>
            </w:r>
          </w:p>
        </w:tc>
        <w:tc>
          <w:tcPr>
            <w:tcW w:type="dxa" w:w="4464"/>
          </w:tcPr>
          <w:p>
            <w:pPr>
              <w:spacing w:after="20" w:before="20"/>
              <w:jc w:val="center"/>
            </w:pPr>
            <w:r/>
            <w:r>
              <w:rPr>
                <w:rFonts w:ascii="Carlito" w:hAnsi="Carlito"/>
                <w:b w:val="0"/>
                <w:i w:val="0"/>
                <w:sz w:val="19"/>
              </w:rPr>
              <w:t>Deep downside</w:t>
            </w:r>
          </w:p>
        </w:tc>
      </w:tr>
      <w:tr>
        <w:tc>
          <w:tcPr>
            <w:tcW w:type="dxa" w:w="1728"/>
          </w:tcPr>
          <w:p>
            <w:pPr>
              <w:spacing w:after="20" w:before="20"/>
              <w:jc w:val="left"/>
            </w:pPr>
            <w:r/>
            <w:r>
              <w:rPr>
                <w:rFonts w:ascii="Carlito" w:hAnsi="Carlito"/>
                <w:b w:val="0"/>
                <w:i w:val="0"/>
                <w:sz w:val="19"/>
              </w:rPr>
              <w:t>SAR 42</w:t>
            </w:r>
          </w:p>
        </w:tc>
        <w:tc>
          <w:tcPr>
            <w:tcW w:type="dxa" w:w="1728"/>
          </w:tcPr>
          <w:p>
            <w:pPr>
              <w:spacing w:after="20" w:before="20"/>
              <w:jc w:val="center"/>
            </w:pPr>
            <w:r/>
            <w:r>
              <w:rPr>
                <w:rFonts w:ascii="Carlito" w:hAnsi="Carlito"/>
                <w:b w:val="0"/>
                <w:i w:val="0"/>
                <w:sz w:val="19"/>
              </w:rPr>
              <w:t>2%</w:t>
            </w:r>
          </w:p>
        </w:tc>
        <w:tc>
          <w:tcPr>
            <w:tcW w:type="dxa" w:w="1728"/>
          </w:tcPr>
          <w:p>
            <w:pPr>
              <w:spacing w:after="20" w:before="20"/>
              <w:jc w:val="center"/>
            </w:pPr>
            <w:r/>
            <w:r>
              <w:rPr>
                <w:rFonts w:ascii="Carlito" w:hAnsi="Carlito"/>
                <w:b w:val="0"/>
                <w:i w:val="0"/>
                <w:sz w:val="19"/>
              </w:rPr>
              <w:t>10%</w:t>
            </w:r>
          </w:p>
        </w:tc>
        <w:tc>
          <w:tcPr>
            <w:tcW w:type="dxa" w:w="4464"/>
          </w:tcPr>
          <w:p>
            <w:pPr>
              <w:spacing w:after="20" w:before="20"/>
              <w:jc w:val="center"/>
            </w:pPr>
            <w:r/>
            <w:r>
              <w:rPr>
                <w:rFonts w:ascii="Carlito" w:hAnsi="Carlito"/>
                <w:b w:val="0"/>
                <w:i w:val="0"/>
                <w:sz w:val="19"/>
              </w:rPr>
              <w:t>Toward 52-wk low</w:t>
            </w:r>
          </w:p>
        </w:tc>
      </w:tr>
    </w:tbl>
    <w:p>
      <w:pPr>
        <w:spacing w:after="40"/>
      </w:pPr>
    </w:p>
    <w:p>
      <w:pPr>
        <w:jc w:val="center"/>
      </w:pPr>
      <w:r>
        <w:rPr>
          <w:i/>
          <w:color w:val="555555"/>
          <w:sz w:val="17"/>
        </w:rPr>
        <w:t>Level-touch ladder — probability price touches a level at any point by the horizon (running max up, running min down).</w:t>
      </w:r>
    </w:p>
    <w:p>
      <w:pPr>
        <w:spacing w:before="120" w:after="40"/>
        <w:jc w:val="center"/>
      </w:pPr>
      <w:r>
        <w:drawing>
          <wp:inline xmlns:a="http://schemas.openxmlformats.org/drawingml/2006/main" xmlns:pic="http://schemas.openxmlformats.org/drawingml/2006/picture">
            <wp:extent cx="5760720" cy="3017520"/>
            <wp:docPr id="7" name="Picture 7"/>
            <wp:cNvGraphicFramePr>
              <a:graphicFrameLocks noChangeAspect="1"/>
            </wp:cNvGraphicFramePr>
            <a:graphic>
              <a:graphicData uri="http://schemas.openxmlformats.org/drawingml/2006/picture">
                <pic:pic>
                  <pic:nvPicPr>
                    <pic:cNvPr id="0" name="sabic_touch_ladder.png"/>
                    <pic:cNvPicPr/>
                  </pic:nvPicPr>
                  <pic:blipFill>
                    <a:blip r:embed="rId15"/>
                    <a:stretch>
                      <a:fillRect/>
                    </a:stretch>
                  </pic:blipFill>
                  <pic:spPr>
                    <a:xfrm>
                      <a:off x="0" y="0"/>
                      <a:ext cx="5760720" cy="3017520"/>
                    </a:xfrm>
                    <a:prstGeom prst="rect"/>
                  </pic:spPr>
                </pic:pic>
              </a:graphicData>
            </a:graphic>
          </wp:inline>
        </w:drawing>
      </w:r>
    </w:p>
    <w:p>
      <w:pPr>
        <w:jc w:val="center"/>
      </w:pPr>
      <w:r>
        <w:rPr>
          <w:i/>
          <w:color w:val="555555"/>
          <w:sz w:val="17"/>
        </w:rPr>
        <w:t>Figure 7 — Touch-probability ladder. For each level, the chance price reaches it at any point by T+60 (dark) and by T+20 (light); the dotted line is spot. Upside and downside touch curves are near-symmetric, tilting slightly to the upside.</w:t>
      </w:r>
    </w:p>
    <w:p>
      <w:pPr>
        <w:spacing w:before="280" w:after="80"/>
        <w:pBdr>
          <w:bottom w:val="single" w:sz="8" w:space="2" w:color="C0A45F"/>
        </w:pBdr>
      </w:pPr>
      <w:r>
        <w:rPr>
          <w:rFonts w:ascii="Carlito" w:hAnsi="Carlito"/>
          <w:b/>
          <w:color w:val="C0A45F"/>
          <w:sz w:val="30"/>
        </w:rPr>
        <w:t xml:space="preserve">4  </w:t>
      </w:r>
      <w:r>
        <w:rPr>
          <w:rFonts w:ascii="Carlito" w:hAnsi="Carlito"/>
          <w:b/>
          <w:color w:val="1C3A36"/>
          <w:sz w:val="30"/>
        </w:rPr>
        <w:t>Comparison of the lenses, and a verdict</w:t>
      </w:r>
    </w:p>
    <w:p>
      <w:r>
        <w:rPr>
          <w:rFonts w:ascii="Carlito" w:hAnsi="Carlito"/>
          <w:i w:val="0"/>
          <w:sz w:val="21"/>
        </w:rPr>
        <w:t>Three readings sit side by side. The fundamental lenses cluster at SAR 47.8–60.3 with a central SAR 55.5 — modestly above spot, contingent on the spread. The technical picture is the opposite: weak, below-trend, oversold-leaning, with the visible floor at SAR 49.74. The probabilistic map says that over three months price is roughly symmetric around spot with a ~19% vol band — the median is SAR 51.7, not SAR 55.5, because the simulation does not assume the value gap closes inside the quarter.</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2880"/>
        <w:gridCol w:w="2880"/>
        <w:gridCol w:w="2880"/>
      </w:tblGrid>
      <w:tr>
        <w:tc>
          <w:tcPr>
            <w:tcW w:type="dxa" w:w="3168"/>
            <w:shd w:val="clear" w:fill="1C3A36"/>
          </w:tcPr>
          <w:p>
            <w:pPr>
              <w:spacing w:after="20" w:before="20"/>
              <w:jc w:val="left"/>
            </w:pPr>
            <w:r/>
            <w:r>
              <w:rPr>
                <w:rFonts w:ascii="Carlito" w:hAnsi="Carlito"/>
                <w:b/>
                <w:i w:val="0"/>
                <w:color w:val="FFFFFF"/>
                <w:sz w:val="19"/>
              </w:rPr>
              <w:t>Lens</w:t>
            </w:r>
          </w:p>
        </w:tc>
        <w:tc>
          <w:tcPr>
            <w:tcW w:type="dxa" w:w="3312"/>
            <w:shd w:val="clear" w:fill="1C3A36"/>
          </w:tcPr>
          <w:p>
            <w:pPr>
              <w:spacing w:after="20" w:before="20"/>
              <w:jc w:val="center"/>
            </w:pPr>
            <w:r/>
            <w:r>
              <w:rPr>
                <w:rFonts w:ascii="Carlito" w:hAnsi="Carlito"/>
                <w:b/>
                <w:i w:val="0"/>
                <w:color w:val="FFFFFF"/>
                <w:sz w:val="19"/>
              </w:rPr>
              <w:t>Reads</w:t>
            </w:r>
          </w:p>
        </w:tc>
        <w:tc>
          <w:tcPr>
            <w:tcW w:type="dxa" w:w="3600"/>
            <w:shd w:val="clear" w:fill="1C3A36"/>
          </w:tcPr>
          <w:p>
            <w:pPr>
              <w:spacing w:after="20" w:before="20"/>
              <w:jc w:val="center"/>
            </w:pPr>
            <w:r/>
            <w:r>
              <w:rPr>
                <w:rFonts w:ascii="Carlito" w:hAnsi="Carlito"/>
                <w:b/>
                <w:i w:val="0"/>
                <w:color w:val="FFFFFF"/>
                <w:sz w:val="19"/>
              </w:rPr>
              <w:t>Central / implication</w:t>
            </w:r>
          </w:p>
        </w:tc>
      </w:tr>
      <w:tr>
        <w:tc>
          <w:tcPr>
            <w:tcW w:type="dxa" w:w="3168"/>
          </w:tcPr>
          <w:p>
            <w:pPr>
              <w:spacing w:after="20" w:before="20"/>
              <w:jc w:val="left"/>
            </w:pPr>
            <w:r/>
            <w:r>
              <w:rPr>
                <w:rFonts w:ascii="Carlito" w:hAnsi="Carlito"/>
                <w:b w:val="0"/>
                <w:i w:val="0"/>
                <w:sz w:val="19"/>
              </w:rPr>
              <w:t>Fundamental (4-lens)</w:t>
            </w:r>
          </w:p>
        </w:tc>
        <w:tc>
          <w:tcPr>
            <w:tcW w:type="dxa" w:w="3312"/>
          </w:tcPr>
          <w:p>
            <w:pPr>
              <w:spacing w:after="20" w:before="20"/>
              <w:jc w:val="center"/>
            </w:pPr>
            <w:r/>
            <w:r>
              <w:rPr>
                <w:rFonts w:ascii="Carlito" w:hAnsi="Carlito"/>
                <w:b w:val="0"/>
                <w:i w:val="0"/>
                <w:sz w:val="19"/>
              </w:rPr>
              <w:t>Modestly cheap</w:t>
            </w:r>
          </w:p>
        </w:tc>
        <w:tc>
          <w:tcPr>
            <w:tcW w:type="dxa" w:w="3600"/>
          </w:tcPr>
          <w:p>
            <w:pPr>
              <w:spacing w:after="20" w:before="20"/>
              <w:jc w:val="center"/>
            </w:pPr>
            <w:r/>
            <w:r>
              <w:rPr>
                <w:rFonts w:ascii="Carlito" w:hAnsi="Carlito"/>
                <w:b w:val="0"/>
                <w:i w:val="0"/>
                <w:sz w:val="19"/>
              </w:rPr>
              <w:t>SAR 55.5 (~+7%)</w:t>
            </w:r>
          </w:p>
        </w:tc>
      </w:tr>
      <w:tr>
        <w:tc>
          <w:tcPr>
            <w:tcW w:type="dxa" w:w="3168"/>
          </w:tcPr>
          <w:p>
            <w:pPr>
              <w:spacing w:after="20" w:before="20"/>
              <w:jc w:val="left"/>
            </w:pPr>
            <w:r/>
            <w:r>
              <w:rPr>
                <w:rFonts w:ascii="Carlito" w:hAnsi="Carlito"/>
                <w:b w:val="0"/>
                <w:i w:val="0"/>
                <w:sz w:val="19"/>
              </w:rPr>
              <w:t>Technical</w:t>
            </w:r>
          </w:p>
        </w:tc>
        <w:tc>
          <w:tcPr>
            <w:tcW w:type="dxa" w:w="3312"/>
          </w:tcPr>
          <w:p>
            <w:pPr>
              <w:spacing w:after="20" w:before="20"/>
              <w:jc w:val="center"/>
            </w:pPr>
            <w:r/>
            <w:r>
              <w:rPr>
                <w:rFonts w:ascii="Carlito" w:hAnsi="Carlito"/>
                <w:b w:val="0"/>
                <w:i w:val="0"/>
                <w:sz w:val="19"/>
              </w:rPr>
              <w:t>Weak / near oversold</w:t>
            </w:r>
          </w:p>
        </w:tc>
        <w:tc>
          <w:tcPr>
            <w:tcW w:type="dxa" w:w="3600"/>
          </w:tcPr>
          <w:p>
            <w:pPr>
              <w:spacing w:after="20" w:before="20"/>
              <w:jc w:val="center"/>
            </w:pPr>
            <w:r/>
            <w:r>
              <w:rPr>
                <w:rFonts w:ascii="Carlito" w:hAnsi="Carlito"/>
                <w:b w:val="0"/>
                <w:i w:val="0"/>
                <w:sz w:val="19"/>
              </w:rPr>
              <w:t>Floor 49.74; resistance at the MA stack 54–57</w:t>
            </w:r>
          </w:p>
        </w:tc>
      </w:tr>
      <w:tr>
        <w:tc>
          <w:tcPr>
            <w:tcW w:type="dxa" w:w="3168"/>
          </w:tcPr>
          <w:p>
            <w:pPr>
              <w:spacing w:after="20" w:before="20"/>
              <w:jc w:val="left"/>
            </w:pPr>
            <w:r/>
            <w:r>
              <w:rPr>
                <w:rFonts w:ascii="Carlito" w:hAnsi="Carlito"/>
                <w:b w:val="0"/>
                <w:i w:val="0"/>
                <w:sz w:val="19"/>
              </w:rPr>
              <w:t>Monte Carlo (3-month)</w:t>
            </w:r>
          </w:p>
        </w:tc>
        <w:tc>
          <w:tcPr>
            <w:tcW w:type="dxa" w:w="3312"/>
          </w:tcPr>
          <w:p>
            <w:pPr>
              <w:spacing w:after="20" w:before="20"/>
              <w:jc w:val="center"/>
            </w:pPr>
            <w:r/>
            <w:r>
              <w:rPr>
                <w:rFonts w:ascii="Carlito" w:hAnsi="Carlito"/>
                <w:b w:val="0"/>
                <w:i w:val="0"/>
                <w:sz w:val="19"/>
              </w:rPr>
              <w:t>Near-symmetric, slight right-skew</w:t>
            </w:r>
          </w:p>
        </w:tc>
        <w:tc>
          <w:tcPr>
            <w:tcW w:type="dxa" w:w="3600"/>
          </w:tcPr>
          <w:p>
            <w:pPr>
              <w:spacing w:after="20" w:before="20"/>
              <w:jc w:val="center"/>
            </w:pPr>
            <w:r/>
            <w:r>
              <w:rPr>
                <w:rFonts w:ascii="Carlito" w:hAnsi="Carlito"/>
                <w:b w:val="0"/>
                <w:i w:val="0"/>
                <w:sz w:val="19"/>
              </w:rPr>
              <w:t>Median 51.7; p5–p95 41.3–64.2</w:t>
            </w:r>
          </w:p>
        </w:tc>
      </w:tr>
    </w:tbl>
    <w:p>
      <w:pPr>
        <w:spacing w:after="40"/>
      </w:pPr>
    </w:p>
    <w:p>
      <w:r>
        <w:rPr>
          <w:rFonts w:ascii="Carlito" w:hAnsi="Carlito"/>
          <w:b/>
          <w:sz w:val="21"/>
        </w:rPr>
        <w:t xml:space="preserve">Verdict (a fair-value read, not a recommendation). </w:t>
      </w:r>
      <w:r>
        <w:rPr>
          <w:rFonts w:ascii="Carlito" w:hAnsi="Carlito"/>
          <w:i w:val="0"/>
          <w:sz w:val="21"/>
        </w:rPr>
        <w:t xml:space="preserve">SABIC looks modestly cheap on fundamentals, with a clear and unusually concentrated swing factor: the product–feedstock spread. </w:t>
      </w:r>
    </w:p>
    <w:p>
      <w:r>
        <w:rPr>
          <w:rFonts w:ascii="Carlito" w:hAnsi="Carlito"/>
          <w:i w:val="0"/>
          <w:sz w:val="21"/>
        </w:rPr>
        <w:t>The technical weakness and the near-symmetric three-month distribution argue that any re-rating is a question of the margin cycle turning over quarters, not of an imminent move. The honest summary is a value modestly above price, a near-term distribution centred on price, and an outcome that hinges on one commodity spread recovering — which is why the bear–bull span (SAR 42.8–66.4) is wide. Readers should weigh the lenses themselves; we publish the distribution, not a target.</w:t>
      </w:r>
    </w:p>
    <w:p>
      <w:pPr>
        <w:spacing w:before="280" w:after="80"/>
        <w:pBdr>
          <w:bottom w:val="single" w:sz="8" w:space="2" w:color="C0A45F"/>
        </w:pBdr>
      </w:pPr>
      <w:r>
        <w:rPr>
          <w:rFonts w:ascii="Carlito" w:hAnsi="Carlito"/>
          <w:b/>
          <w:color w:val="C0A45F"/>
          <w:sz w:val="30"/>
        </w:rPr>
        <w:t xml:space="preserve">5  </w:t>
      </w:r>
      <w:r>
        <w:rPr>
          <w:rFonts w:ascii="Carlito" w:hAnsi="Carlito"/>
          <w:b/>
          <w:color w:val="1C3A36"/>
          <w:sz w:val="30"/>
        </w:rPr>
        <w:t>Catalysts to watch</w:t>
      </w:r>
    </w:p>
    <w:p>
      <w:pPr>
        <w:spacing w:after="80"/>
        <w:ind w:left="360"/>
      </w:pPr>
      <w:r>
        <w:rPr>
          <w:b/>
          <w:color w:val="C0A45F"/>
        </w:rPr>
        <w:t xml:space="preserve">•  </w:t>
      </w:r>
      <w:r>
        <w:rPr>
          <w:b/>
          <w:sz w:val="21"/>
        </w:rPr>
        <w:t xml:space="preserve">Quarterly margin prints. </w:t>
      </w:r>
      <w:r>
        <w:rPr>
          <w:sz w:val="21"/>
        </w:rPr>
        <w:t>The first clean read each quarter on whether the petrochemical spread and adjusted EBITDA margin are recovering from the 2025 trough.</w:t>
      </w:r>
    </w:p>
    <w:p>
      <w:pPr>
        <w:spacing w:after="80"/>
        <w:ind w:left="360"/>
      </w:pPr>
      <w:r>
        <w:rPr>
          <w:b/>
          <w:color w:val="C0A45F"/>
        </w:rPr>
        <w:t xml:space="preserve">•  </w:t>
      </w:r>
      <w:r>
        <w:rPr>
          <w:b/>
          <w:sz w:val="21"/>
        </w:rPr>
        <w:t xml:space="preserve">Chinese capacity &amp; demand. </w:t>
      </w:r>
      <w:r>
        <w:rPr>
          <w:sz w:val="21"/>
        </w:rPr>
        <w:t>Rationalisation of the 2022–25 PE/MEG capacity wave, or Chinese stimulus, is the single largest upside driver for spreads.</w:t>
      </w:r>
    </w:p>
    <w:p>
      <w:pPr>
        <w:spacing w:after="80"/>
        <w:ind w:left="360"/>
      </w:pPr>
      <w:r>
        <w:rPr>
          <w:b/>
          <w:color w:val="C0A45F"/>
        </w:rPr>
        <w:t xml:space="preserve">•  </w:t>
      </w:r>
      <w:r>
        <w:rPr>
          <w:b/>
          <w:sz w:val="21"/>
        </w:rPr>
        <w:t xml:space="preserve">European divestiture completion. </w:t>
      </w:r>
      <w:r>
        <w:rPr>
          <w:sz w:val="21"/>
        </w:rPr>
        <w:t>Finalising the sale of the loss-making European petrochemical and engineering-thermoplastics assets removes a drag and clarifies the continuing-operations margin.</w:t>
      </w:r>
    </w:p>
    <w:p>
      <w:pPr>
        <w:spacing w:after="80"/>
        <w:ind w:left="360"/>
      </w:pPr>
      <w:r>
        <w:rPr>
          <w:b/>
          <w:color w:val="C0A45F"/>
        </w:rPr>
        <w:t xml:space="preserve">•  </w:t>
      </w:r>
      <w:r>
        <w:rPr>
          <w:b/>
          <w:sz w:val="21"/>
        </w:rPr>
        <w:t xml:space="preserve">Saudi domestic gas-price policy. </w:t>
      </w:r>
      <w:r>
        <w:rPr>
          <w:sz w:val="21"/>
        </w:rPr>
        <w:t>Any change to the administered feedstock price directly moves SABIC's cost base and is a pure policy variable.</w:t>
      </w:r>
    </w:p>
    <w:p>
      <w:pPr>
        <w:spacing w:after="80"/>
        <w:ind w:left="360"/>
      </w:pPr>
      <w:r>
        <w:rPr>
          <w:b/>
          <w:color w:val="C0A45F"/>
        </w:rPr>
        <w:t xml:space="preserve">•  </w:t>
      </w:r>
      <w:r>
        <w:rPr>
          <w:b/>
          <w:sz w:val="21"/>
        </w:rPr>
        <w:t xml:space="preserve">Oil / naphtha spread. </w:t>
      </w:r>
      <w:r>
        <w:rPr>
          <w:sz w:val="21"/>
        </w:rPr>
        <w:t>Higher oil raises naphtha-based competitors' costs and widens SABIC's advantaged-feedstock spread.</w:t>
      </w:r>
    </w:p>
    <w:p>
      <w:pPr>
        <w:spacing w:after="80"/>
        <w:ind w:left="360"/>
      </w:pPr>
      <w:r>
        <w:rPr>
          <w:b/>
          <w:color w:val="C0A45F"/>
        </w:rPr>
        <w:t xml:space="preserve">•  </w:t>
      </w:r>
      <w:r>
        <w:rPr>
          <w:b/>
          <w:sz w:val="21"/>
        </w:rPr>
        <w:t xml:space="preserve">Dividend &amp; capital return. </w:t>
      </w:r>
      <w:r>
        <w:rPr>
          <w:sz w:val="21"/>
        </w:rPr>
        <w:t>Whether the SAR 3.00 payout holds through the trough, and any signal on capital return as mid-cycle cash recovers.</w:t>
      </w:r>
    </w:p>
    <w:p>
      <w:pPr>
        <w:spacing w:after="80"/>
        <w:ind w:left="360"/>
      </w:pPr>
      <w:r>
        <w:rPr>
          <w:b/>
          <w:color w:val="C0A45F"/>
        </w:rPr>
        <w:t xml:space="preserve">•  </w:t>
      </w:r>
      <w:r>
        <w:rPr>
          <w:b/>
          <w:sz w:val="21"/>
        </w:rPr>
        <w:t xml:space="preserve">Aramco integration. </w:t>
      </w:r>
      <w:r>
        <w:rPr>
          <w:sz w:val="21"/>
        </w:rPr>
        <w:t>Feedstock, funding and downstream-integration developments with the 70% parent.</w:t>
      </w:r>
    </w:p>
    <w:p>
      <w:pPr>
        <w:spacing w:after="80"/>
        <w:ind w:left="360"/>
      </w:pPr>
      <w:r>
        <w:rPr>
          <w:b/>
          <w:color w:val="C0A45F"/>
        </w:rPr>
        <w:t xml:space="preserve">•  </w:t>
      </w:r>
      <w:r>
        <w:rPr>
          <w:b/>
          <w:sz w:val="21"/>
        </w:rPr>
        <w:t xml:space="preserve">Agri-nutrients (urea). </w:t>
      </w:r>
      <w:r>
        <w:rPr>
          <w:sz w:val="21"/>
        </w:rPr>
        <w:t>Global urea/ammonia supply limits supporting the higher-margin SABIC Agri-Nutrients franchise.</w:t>
      </w:r>
    </w:p>
    <w:p>
      <w:pPr>
        <w:spacing w:before="280" w:after="80"/>
        <w:pBdr>
          <w:bottom w:val="single" w:sz="8" w:space="2" w:color="C0A45F"/>
        </w:pBdr>
      </w:pPr>
      <w:r>
        <w:rPr>
          <w:rFonts w:ascii="Carlito" w:hAnsi="Carlito"/>
          <w:b/>
          <w:color w:val="C0A45F"/>
          <w:sz w:val="30"/>
        </w:rPr>
        <w:t xml:space="preserve">6  </w:t>
      </w:r>
      <w:r>
        <w:rPr>
          <w:rFonts w:ascii="Carlito" w:hAnsi="Carlito"/>
          <w:b/>
          <w:color w:val="1C3A36"/>
          <w:sz w:val="30"/>
        </w:rPr>
        <w:t>Reading the probability zones</w:t>
      </w:r>
    </w:p>
    <w:p>
      <w:r>
        <w:rPr>
          <w:rFonts w:ascii="Carlito" w:hAnsi="Carlito"/>
          <w:i w:val="0"/>
          <w:sz w:val="21"/>
        </w:rPr>
        <w:t>Translating the three-month distribution into plain zones, anchored on spot SAR 51.80 and the fair-value cluster:</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2160"/>
        <w:gridCol w:w="2160"/>
        <w:gridCol w:w="2160"/>
        <w:gridCol w:w="2160"/>
      </w:tblGrid>
      <w:tr>
        <w:tc>
          <w:tcPr>
            <w:tcW w:type="dxa" w:w="2160"/>
            <w:shd w:val="clear" w:fill="1C3A36"/>
          </w:tcPr>
          <w:p>
            <w:pPr>
              <w:spacing w:after="20" w:before="20"/>
              <w:jc w:val="left"/>
            </w:pPr>
            <w:r/>
            <w:r>
              <w:rPr>
                <w:rFonts w:ascii="Carlito" w:hAnsi="Carlito"/>
                <w:b/>
                <w:i w:val="0"/>
                <w:color w:val="FFFFFF"/>
                <w:sz w:val="19"/>
              </w:rPr>
              <w:t>Zone (T+60)</w:t>
            </w:r>
          </w:p>
        </w:tc>
        <w:tc>
          <w:tcPr>
            <w:tcW w:type="dxa" w:w="1728"/>
            <w:shd w:val="clear" w:fill="1C3A36"/>
          </w:tcPr>
          <w:p>
            <w:pPr>
              <w:spacing w:after="20" w:before="20"/>
              <w:jc w:val="center"/>
            </w:pPr>
            <w:r/>
            <w:r>
              <w:rPr>
                <w:rFonts w:ascii="Carlito" w:hAnsi="Carlito"/>
                <w:b/>
                <w:i w:val="0"/>
                <w:color w:val="FFFFFF"/>
                <w:sz w:val="19"/>
              </w:rPr>
              <w:t>Range (SAR)</w:t>
            </w:r>
          </w:p>
        </w:tc>
        <w:tc>
          <w:tcPr>
            <w:tcW w:type="dxa" w:w="2016"/>
            <w:shd w:val="clear" w:fill="1C3A36"/>
          </w:tcPr>
          <w:p>
            <w:pPr>
              <w:spacing w:after="20" w:before="20"/>
              <w:jc w:val="center"/>
            </w:pPr>
            <w:r/>
            <w:r>
              <w:rPr>
                <w:rFonts w:ascii="Carlito" w:hAnsi="Carlito"/>
                <w:b/>
                <w:i w:val="0"/>
                <w:color w:val="FFFFFF"/>
                <w:sz w:val="19"/>
              </w:rPr>
              <w:t>Approx. probability</w:t>
            </w:r>
          </w:p>
        </w:tc>
        <w:tc>
          <w:tcPr>
            <w:tcW w:type="dxa" w:w="3744"/>
            <w:shd w:val="clear" w:fill="1C3A36"/>
          </w:tcPr>
          <w:p>
            <w:pPr>
              <w:spacing w:after="20" w:before="20"/>
              <w:jc w:val="center"/>
            </w:pPr>
            <w:r/>
            <w:r>
              <w:rPr>
                <w:rFonts w:ascii="Carlito" w:hAnsi="Carlito"/>
                <w:b/>
                <w:i w:val="0"/>
                <w:color w:val="FFFFFF"/>
                <w:sz w:val="19"/>
              </w:rPr>
              <w:t>What it would mean</w:t>
            </w:r>
          </w:p>
        </w:tc>
      </w:tr>
      <w:tr>
        <w:tc>
          <w:tcPr>
            <w:tcW w:type="dxa" w:w="2160"/>
          </w:tcPr>
          <w:p>
            <w:pPr>
              <w:spacing w:after="20" w:before="20"/>
              <w:jc w:val="left"/>
            </w:pPr>
            <w:r/>
            <w:r>
              <w:rPr>
                <w:rFonts w:ascii="Carlito" w:hAnsi="Carlito"/>
                <w:b w:val="0"/>
                <w:i w:val="0"/>
                <w:sz w:val="19"/>
              </w:rPr>
              <w:t>Deep downside</w:t>
            </w:r>
          </w:p>
        </w:tc>
        <w:tc>
          <w:tcPr>
            <w:tcW w:type="dxa" w:w="1728"/>
          </w:tcPr>
          <w:p>
            <w:pPr>
              <w:spacing w:after="20" w:before="20"/>
              <w:jc w:val="center"/>
            </w:pPr>
            <w:r/>
            <w:r>
              <w:rPr>
                <w:rFonts w:ascii="Carlito" w:hAnsi="Carlito"/>
                <w:b w:val="0"/>
                <w:i w:val="0"/>
                <w:sz w:val="19"/>
              </w:rPr>
              <w:t>&lt; 44</w:t>
            </w:r>
          </w:p>
        </w:tc>
        <w:tc>
          <w:tcPr>
            <w:tcW w:type="dxa" w:w="2016"/>
          </w:tcPr>
          <w:p>
            <w:pPr>
              <w:spacing w:after="20" w:before="20"/>
              <w:jc w:val="center"/>
            </w:pPr>
            <w:r/>
            <w:r>
              <w:rPr>
                <w:rFonts w:ascii="Carlito" w:hAnsi="Carlito"/>
                <w:b w:val="0"/>
                <w:i w:val="0"/>
                <w:sz w:val="19"/>
              </w:rPr>
              <w:t>~11%</w:t>
            </w:r>
          </w:p>
        </w:tc>
        <w:tc>
          <w:tcPr>
            <w:tcW w:type="dxa" w:w="3744"/>
          </w:tcPr>
          <w:p>
            <w:pPr>
              <w:spacing w:after="20" w:before="20"/>
              <w:jc w:val="center"/>
            </w:pPr>
            <w:r/>
            <w:r>
              <w:rPr>
                <w:rFonts w:ascii="Carlito" w:hAnsi="Carlito"/>
                <w:b w:val="0"/>
                <w:i w:val="0"/>
                <w:sz w:val="19"/>
              </w:rPr>
              <w:t>Spread stays compressed / risk-off; tests toward the 52-wk low</w:t>
            </w:r>
          </w:p>
        </w:tc>
      </w:tr>
      <w:tr>
        <w:tc>
          <w:tcPr>
            <w:tcW w:type="dxa" w:w="2160"/>
          </w:tcPr>
          <w:p>
            <w:pPr>
              <w:spacing w:after="20" w:before="20"/>
              <w:jc w:val="left"/>
            </w:pPr>
            <w:r/>
            <w:r>
              <w:rPr>
                <w:rFonts w:ascii="Carlito" w:hAnsi="Carlito"/>
                <w:b w:val="0"/>
                <w:i w:val="0"/>
                <w:sz w:val="19"/>
              </w:rPr>
              <w:t>Lower band</w:t>
            </w:r>
          </w:p>
        </w:tc>
        <w:tc>
          <w:tcPr>
            <w:tcW w:type="dxa" w:w="1728"/>
          </w:tcPr>
          <w:p>
            <w:pPr>
              <w:spacing w:after="20" w:before="20"/>
              <w:jc w:val="center"/>
            </w:pPr>
            <w:r/>
            <w:r>
              <w:rPr>
                <w:rFonts w:ascii="Carlito" w:hAnsi="Carlito"/>
                <w:b w:val="0"/>
                <w:i w:val="0"/>
                <w:sz w:val="19"/>
              </w:rPr>
              <w:t>44 – 48</w:t>
            </w:r>
          </w:p>
        </w:tc>
        <w:tc>
          <w:tcPr>
            <w:tcW w:type="dxa" w:w="2016"/>
          </w:tcPr>
          <w:p>
            <w:pPr>
              <w:spacing w:after="20" w:before="20"/>
              <w:jc w:val="center"/>
            </w:pPr>
            <w:r/>
            <w:r>
              <w:rPr>
                <w:rFonts w:ascii="Carlito" w:hAnsi="Carlito"/>
                <w:b w:val="0"/>
                <w:i w:val="0"/>
                <w:sz w:val="19"/>
              </w:rPr>
              <w:t>~17%</w:t>
            </w:r>
          </w:p>
        </w:tc>
        <w:tc>
          <w:tcPr>
            <w:tcW w:type="dxa" w:w="3744"/>
          </w:tcPr>
          <w:p>
            <w:pPr>
              <w:spacing w:after="20" w:before="20"/>
              <w:jc w:val="center"/>
            </w:pPr>
            <w:r/>
            <w:r>
              <w:rPr>
                <w:rFonts w:ascii="Carlito" w:hAnsi="Carlito"/>
                <w:b w:val="0"/>
                <w:i w:val="0"/>
                <w:sz w:val="19"/>
              </w:rPr>
              <w:t>Trough persists; relative-multiple lens dominates</w:t>
            </w:r>
          </w:p>
        </w:tc>
      </w:tr>
      <w:tr>
        <w:tc>
          <w:tcPr>
            <w:tcW w:type="dxa" w:w="2160"/>
          </w:tcPr>
          <w:p>
            <w:pPr>
              <w:spacing w:after="20" w:before="20"/>
              <w:jc w:val="left"/>
            </w:pPr>
            <w:r/>
            <w:r>
              <w:rPr>
                <w:rFonts w:ascii="Carlito" w:hAnsi="Carlito"/>
                <w:b w:val="0"/>
                <w:i w:val="0"/>
                <w:sz w:val="19"/>
              </w:rPr>
              <w:t>Around spot</w:t>
            </w:r>
          </w:p>
        </w:tc>
        <w:tc>
          <w:tcPr>
            <w:tcW w:type="dxa" w:w="1728"/>
          </w:tcPr>
          <w:p>
            <w:pPr>
              <w:spacing w:after="20" w:before="20"/>
              <w:jc w:val="center"/>
            </w:pPr>
            <w:r/>
            <w:r>
              <w:rPr>
                <w:rFonts w:ascii="Carlito" w:hAnsi="Carlito"/>
                <w:b w:val="0"/>
                <w:i w:val="0"/>
                <w:sz w:val="19"/>
              </w:rPr>
              <w:t>48 – 54</w:t>
            </w:r>
          </w:p>
        </w:tc>
        <w:tc>
          <w:tcPr>
            <w:tcW w:type="dxa" w:w="2016"/>
          </w:tcPr>
          <w:p>
            <w:pPr>
              <w:spacing w:after="20" w:before="20"/>
              <w:jc w:val="center"/>
            </w:pPr>
            <w:r/>
            <w:r>
              <w:rPr>
                <w:rFonts w:ascii="Carlito" w:hAnsi="Carlito"/>
                <w:b w:val="0"/>
                <w:i w:val="0"/>
                <w:sz w:val="19"/>
              </w:rPr>
              <w:t>~35%</w:t>
            </w:r>
          </w:p>
        </w:tc>
        <w:tc>
          <w:tcPr>
            <w:tcW w:type="dxa" w:w="3744"/>
          </w:tcPr>
          <w:p>
            <w:pPr>
              <w:spacing w:after="20" w:before="20"/>
              <w:jc w:val="center"/>
            </w:pPr>
            <w:r/>
            <w:r>
              <w:rPr>
                <w:rFonts w:ascii="Carlito" w:hAnsi="Carlito"/>
                <w:b w:val="0"/>
                <w:i w:val="0"/>
                <w:sz w:val="19"/>
              </w:rPr>
              <w:t>Status quo; value gap unclosed</w:t>
            </w:r>
          </w:p>
        </w:tc>
      </w:tr>
      <w:tr>
        <w:tc>
          <w:tcPr>
            <w:tcW w:type="dxa" w:w="2160"/>
          </w:tcPr>
          <w:p>
            <w:pPr>
              <w:spacing w:after="20" w:before="20"/>
              <w:jc w:val="left"/>
            </w:pPr>
            <w:r/>
            <w:r>
              <w:rPr>
                <w:rFonts w:ascii="Carlito" w:hAnsi="Carlito"/>
                <w:b w:val="0"/>
                <w:i w:val="0"/>
                <w:sz w:val="19"/>
              </w:rPr>
              <w:t>Upper band</w:t>
            </w:r>
          </w:p>
        </w:tc>
        <w:tc>
          <w:tcPr>
            <w:tcW w:type="dxa" w:w="1728"/>
          </w:tcPr>
          <w:p>
            <w:pPr>
              <w:spacing w:after="20" w:before="20"/>
              <w:jc w:val="center"/>
            </w:pPr>
            <w:r/>
            <w:r>
              <w:rPr>
                <w:rFonts w:ascii="Carlito" w:hAnsi="Carlito"/>
                <w:b w:val="0"/>
                <w:i w:val="0"/>
                <w:sz w:val="19"/>
              </w:rPr>
              <w:t>54 – 60</w:t>
            </w:r>
          </w:p>
        </w:tc>
        <w:tc>
          <w:tcPr>
            <w:tcW w:type="dxa" w:w="2016"/>
          </w:tcPr>
          <w:p>
            <w:pPr>
              <w:spacing w:after="20" w:before="20"/>
              <w:jc w:val="center"/>
            </w:pPr>
            <w:r/>
            <w:r>
              <w:rPr>
                <w:rFonts w:ascii="Carlito" w:hAnsi="Carlito"/>
                <w:b w:val="0"/>
                <w:i w:val="0"/>
                <w:sz w:val="19"/>
              </w:rPr>
              <w:t>~24%</w:t>
            </w:r>
          </w:p>
        </w:tc>
        <w:tc>
          <w:tcPr>
            <w:tcW w:type="dxa" w:w="3744"/>
          </w:tcPr>
          <w:p>
            <w:pPr>
              <w:spacing w:after="20" w:before="20"/>
              <w:jc w:val="center"/>
            </w:pPr>
            <w:r/>
            <w:r>
              <w:rPr>
                <w:rFonts w:ascii="Carlito" w:hAnsi="Carlito"/>
                <w:b w:val="0"/>
                <w:i w:val="0"/>
                <w:sz w:val="19"/>
              </w:rPr>
              <w:t>Recovery credited; toward DCF / dividend lenses</w:t>
            </w:r>
          </w:p>
        </w:tc>
      </w:tr>
      <w:tr>
        <w:tc>
          <w:tcPr>
            <w:tcW w:type="dxa" w:w="2160"/>
          </w:tcPr>
          <w:p>
            <w:pPr>
              <w:spacing w:after="20" w:before="20"/>
              <w:jc w:val="left"/>
            </w:pPr>
            <w:r/>
            <w:r>
              <w:rPr>
                <w:rFonts w:ascii="Carlito" w:hAnsi="Carlito"/>
                <w:b w:val="0"/>
                <w:i w:val="0"/>
                <w:sz w:val="19"/>
              </w:rPr>
              <w:t>Strong upside</w:t>
            </w:r>
          </w:p>
        </w:tc>
        <w:tc>
          <w:tcPr>
            <w:tcW w:type="dxa" w:w="1728"/>
          </w:tcPr>
          <w:p>
            <w:pPr>
              <w:spacing w:after="20" w:before="20"/>
              <w:jc w:val="center"/>
            </w:pPr>
            <w:r/>
            <w:r>
              <w:rPr>
                <w:rFonts w:ascii="Carlito" w:hAnsi="Carlito"/>
                <w:b w:val="0"/>
                <w:i w:val="0"/>
                <w:sz w:val="19"/>
              </w:rPr>
              <w:t>&gt; 60</w:t>
            </w:r>
          </w:p>
        </w:tc>
        <w:tc>
          <w:tcPr>
            <w:tcW w:type="dxa" w:w="2016"/>
          </w:tcPr>
          <w:p>
            <w:pPr>
              <w:spacing w:after="20" w:before="20"/>
              <w:jc w:val="center"/>
            </w:pPr>
            <w:r/>
            <w:r>
              <w:rPr>
                <w:rFonts w:ascii="Carlito" w:hAnsi="Carlito"/>
                <w:b w:val="0"/>
                <w:i w:val="0"/>
                <w:sz w:val="19"/>
              </w:rPr>
              <w:t>~12%</w:t>
            </w:r>
          </w:p>
        </w:tc>
        <w:tc>
          <w:tcPr>
            <w:tcW w:type="dxa" w:w="3744"/>
          </w:tcPr>
          <w:p>
            <w:pPr>
              <w:spacing w:after="20" w:before="20"/>
              <w:jc w:val="center"/>
            </w:pPr>
            <w:r/>
            <w:r>
              <w:rPr>
                <w:rFonts w:ascii="Carlito" w:hAnsi="Carlito"/>
                <w:b w:val="0"/>
                <w:i w:val="0"/>
                <w:sz w:val="19"/>
              </w:rPr>
              <w:t>Spread normalization + re-rating together</w:t>
            </w:r>
          </w:p>
        </w:tc>
      </w:tr>
    </w:tbl>
    <w:p>
      <w:pPr>
        <w:spacing w:after="40"/>
      </w:pPr>
    </w:p>
    <w:p>
      <w:r>
        <w:rPr>
          <w:rFonts w:ascii="Carlito" w:hAnsi="Carlito"/>
          <w:i w:val="0"/>
          <w:sz w:val="21"/>
        </w:rPr>
        <w:t>The distribution is close to symmetric, with a slightly heavier upper tail from the discrete upside events (Chinese stimulus, capital return, divestiture completion). It is not a forecast; it is the spread of outcomes consistent with the stock's own volatility and the factor stack.</w:t>
      </w:r>
    </w:p>
    <w:p>
      <w:pPr>
        <w:spacing w:before="280" w:after="80"/>
        <w:pBdr>
          <w:bottom w:val="single" w:sz="8" w:space="2" w:color="C0A45F"/>
        </w:pBdr>
      </w:pPr>
      <w:r>
        <w:rPr>
          <w:rFonts w:ascii="Carlito" w:hAnsi="Carlito"/>
          <w:b/>
          <w:color w:val="C0A45F"/>
          <w:sz w:val="30"/>
        </w:rPr>
        <w:t xml:space="preserve">7  </w:t>
      </w:r>
      <w:r>
        <w:rPr>
          <w:rFonts w:ascii="Carlito" w:hAnsi="Carlito"/>
          <w:b/>
          <w:color w:val="1C3A36"/>
          <w:sz w:val="30"/>
        </w:rPr>
        <w:t>Caveats and what would change our mind</w:t>
      </w:r>
    </w:p>
    <w:p>
      <w:pPr>
        <w:spacing w:after="80"/>
        <w:ind w:left="360"/>
      </w:pPr>
      <w:r>
        <w:rPr>
          <w:b/>
          <w:color w:val="C0A45F"/>
        </w:rPr>
        <w:t xml:space="preserve">•  </w:t>
      </w:r>
      <w:r>
        <w:rPr>
          <w:b/>
          <w:sz w:val="21"/>
        </w:rPr>
        <w:t xml:space="preserve">The spread is the model. </w:t>
      </w:r>
      <w:r>
        <w:rPr>
          <w:sz w:val="21"/>
        </w:rPr>
        <w:t>The valuation rests on one commodity spread at a trough; our normalization (19% mid-cycle EBITDA) could prove optimistic or conservative. A structurally lower spread — a permanent Chinese-oversupply regime — would pull the central value toward, or below, spot.</w:t>
      </w:r>
    </w:p>
    <w:p>
      <w:pPr>
        <w:spacing w:after="80"/>
        <w:ind w:left="360"/>
      </w:pPr>
      <w:r>
        <w:rPr>
          <w:b/>
          <w:color w:val="C0A45F"/>
        </w:rPr>
        <w:t xml:space="preserve">•  </w:t>
      </w:r>
      <w:r>
        <w:rPr>
          <w:b/>
          <w:sz w:val="21"/>
        </w:rPr>
        <w:t xml:space="preserve">Terminal-value dependency. </w:t>
      </w:r>
      <w:r>
        <w:rPr>
          <w:sz w:val="21"/>
        </w:rPr>
        <w:t>The DCF's terminal value is ~75% of EV; it is a mid-cycle-margin bet, and §1.9 shows how a half-point of WACC or terminal-g moves the answer materially.</w:t>
      </w:r>
    </w:p>
    <w:p>
      <w:pPr>
        <w:spacing w:after="80"/>
        <w:ind w:left="360"/>
      </w:pPr>
      <w:r>
        <w:rPr>
          <w:b/>
          <w:color w:val="C0A45F"/>
        </w:rPr>
        <w:t xml:space="preserve">•  </w:t>
      </w:r>
      <w:r>
        <w:rPr>
          <w:b/>
          <w:sz w:val="21"/>
        </w:rPr>
        <w:t xml:space="preserve">Feedstock is a policy variable. </w:t>
      </w:r>
      <w:r>
        <w:rPr>
          <w:sz w:val="21"/>
        </w:rPr>
        <w:t>The advantaged Saudi gas price is administered; a policy change to raise it would compress the very margin the recovery case depends on.</w:t>
      </w:r>
    </w:p>
    <w:p>
      <w:pPr>
        <w:spacing w:after="80"/>
        <w:ind w:left="360"/>
      </w:pPr>
      <w:r>
        <w:rPr>
          <w:b/>
          <w:color w:val="C0A45F"/>
        </w:rPr>
        <w:t xml:space="preserve">•  </w:t>
      </w:r>
      <w:r>
        <w:rPr>
          <w:b/>
          <w:sz w:val="21"/>
        </w:rPr>
        <w:t xml:space="preserve">Minority position under Aramco. </w:t>
      </w:r>
      <w:r>
        <w:rPr>
          <w:sz w:val="21"/>
        </w:rPr>
        <w:t>At 70%, Aramco controls strategy, capital allocation and feedstock terms; minority holders are price-takers on governance.</w:t>
      </w:r>
    </w:p>
    <w:p>
      <w:pPr>
        <w:spacing w:after="80"/>
        <w:ind w:left="360"/>
      </w:pPr>
      <w:r>
        <w:rPr>
          <w:b/>
          <w:color w:val="C0A45F"/>
        </w:rPr>
        <w:t xml:space="preserve">•  </w:t>
      </w:r>
      <w:r>
        <w:rPr>
          <w:b/>
          <w:sz w:val="21"/>
        </w:rPr>
        <w:t xml:space="preserve">Divestiture execution. </w:t>
      </w:r>
      <w:r>
        <w:rPr>
          <w:sz w:val="21"/>
        </w:rPr>
        <w:t>The European exit could complete on worse terms or slower than assumed, extending the one-off drag.</w:t>
      </w:r>
    </w:p>
    <w:p>
      <w:pPr>
        <w:spacing w:after="80"/>
        <w:ind w:left="360"/>
      </w:pPr>
      <w:r>
        <w:rPr>
          <w:b/>
          <w:color w:val="C0A45F"/>
        </w:rPr>
        <w:t xml:space="preserve">•  </w:t>
      </w:r>
      <w:r>
        <w:rPr>
          <w:b/>
          <w:sz w:val="21"/>
        </w:rPr>
        <w:t xml:space="preserve">Technical / RSI reminder. </w:t>
      </w:r>
      <w:r>
        <w:rPr>
          <w:sz w:val="21"/>
        </w:rPr>
        <w:t>RSI near 30 is close to oversold; mean-reversion bounces are common and say nothing about value. Equally, below-trend tapes can persist. The technical read is context, not a trigger.</w:t>
      </w:r>
    </w:p>
    <w:p>
      <w:pPr>
        <w:spacing w:before="280" w:after="80"/>
        <w:pBdr>
          <w:bottom w:val="single" w:sz="8" w:space="2" w:color="C0A45F"/>
        </w:pBdr>
      </w:pPr>
      <w:r>
        <w:rPr>
          <w:rFonts w:ascii="Carlito" w:hAnsi="Carlito"/>
          <w:b/>
          <w:color w:val="1C3A36"/>
          <w:sz w:val="30"/>
        </w:rPr>
        <w:t>Appendix A  Financial statements</w:t>
      </w:r>
    </w:p>
    <w:p>
      <w:r>
        <w:rPr>
          <w:rFonts w:ascii="Carlito" w:hAnsi="Carlito"/>
          <w:i w:val="0"/>
          <w:sz w:val="21"/>
        </w:rPr>
        <w:t>Selected figures on a continuing/adjusted basis (FY2025 results and integrated report). SAR billion unless noted. 2025 reported results are materially depressed by one-off, non-cash writedowns on the European petrochemical and engineering-thermoplastics assets being divested; the through-cycle base uses ADJUSTED EBITDA and net income. Forecast columns link to the DCF drivers in the companion model.</w:t>
      </w:r>
    </w:p>
    <w:p>
      <w:pPr>
        <w:spacing w:before="200" w:after="60"/>
      </w:pPr>
      <w:r>
        <w:rPr>
          <w:rFonts w:ascii="Carlito" w:hAnsi="Carlito"/>
          <w:b/>
          <w:color w:val="896F36"/>
          <w:sz w:val="23"/>
        </w:rPr>
        <w:t>A.1  Income statement — 3-year historical + 5-year forecast (SAR bn)</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960"/>
        <w:gridCol w:w="960"/>
        <w:gridCol w:w="960"/>
        <w:gridCol w:w="960"/>
        <w:gridCol w:w="960"/>
        <w:gridCol w:w="960"/>
        <w:gridCol w:w="960"/>
        <w:gridCol w:w="960"/>
        <w:gridCol w:w="960"/>
      </w:tblGrid>
      <w:tr>
        <w:tc>
          <w:tcPr>
            <w:tcW w:type="dxa" w:w="4032"/>
            <w:shd w:val="clear" w:fill="1C3A36"/>
          </w:tcPr>
          <w:p>
            <w:pPr>
              <w:spacing w:after="20" w:before="20"/>
              <w:jc w:val="left"/>
            </w:pPr>
            <w:r/>
            <w:r>
              <w:rPr>
                <w:rFonts w:ascii="Carlito" w:hAnsi="Carlito"/>
                <w:b/>
                <w:i w:val="0"/>
                <w:color w:val="FFFFFF"/>
                <w:sz w:val="19"/>
              </w:rPr>
              <w:t>Line</w:t>
            </w:r>
          </w:p>
        </w:tc>
        <w:tc>
          <w:tcPr>
            <w:tcW w:type="dxa" w:w="1037"/>
            <w:shd w:val="clear" w:fill="1C3A36"/>
          </w:tcPr>
          <w:p>
            <w:pPr>
              <w:spacing w:after="20" w:before="20"/>
              <w:jc w:val="center"/>
            </w:pPr>
            <w:r/>
            <w:r>
              <w:rPr>
                <w:rFonts w:ascii="Carlito" w:hAnsi="Carlito"/>
                <w:b/>
                <w:i w:val="0"/>
                <w:color w:val="FFFFFF"/>
                <w:sz w:val="19"/>
              </w:rPr>
              <w:t>2023A</w:t>
            </w:r>
          </w:p>
        </w:tc>
        <w:tc>
          <w:tcPr>
            <w:tcW w:type="dxa" w:w="1037"/>
            <w:shd w:val="clear" w:fill="1C3A36"/>
          </w:tcPr>
          <w:p>
            <w:pPr>
              <w:spacing w:after="20" w:before="20"/>
              <w:jc w:val="center"/>
            </w:pPr>
            <w:r/>
            <w:r>
              <w:rPr>
                <w:rFonts w:ascii="Carlito" w:hAnsi="Carlito"/>
                <w:b/>
                <w:i w:val="0"/>
                <w:color w:val="FFFFFF"/>
                <w:sz w:val="19"/>
              </w:rPr>
              <w:t>2024A</w:t>
            </w:r>
          </w:p>
        </w:tc>
        <w:tc>
          <w:tcPr>
            <w:tcW w:type="dxa" w:w="1037"/>
            <w:shd w:val="clear" w:fill="1C3A36"/>
          </w:tcPr>
          <w:p>
            <w:pPr>
              <w:spacing w:after="20" w:before="20"/>
              <w:jc w:val="center"/>
            </w:pPr>
            <w:r/>
            <w:r>
              <w:rPr>
                <w:rFonts w:ascii="Carlito" w:hAnsi="Carlito"/>
                <w:b/>
                <w:i w:val="0"/>
                <w:color w:val="FFFFFF"/>
                <w:sz w:val="19"/>
              </w:rPr>
              <w:t>2025A</w:t>
            </w:r>
          </w:p>
        </w:tc>
        <w:tc>
          <w:tcPr>
            <w:tcW w:type="dxa" w:w="1037"/>
            <w:shd w:val="clear" w:fill="1C3A36"/>
          </w:tcPr>
          <w:p>
            <w:pPr>
              <w:spacing w:after="20" w:before="20"/>
              <w:jc w:val="center"/>
            </w:pPr>
            <w:r/>
            <w:r>
              <w:rPr>
                <w:rFonts w:ascii="Carlito" w:hAnsi="Carlito"/>
                <w:b/>
                <w:i w:val="0"/>
                <w:color w:val="FFFFFF"/>
                <w:sz w:val="19"/>
              </w:rPr>
              <w:t>2026E</w:t>
            </w:r>
          </w:p>
        </w:tc>
        <w:tc>
          <w:tcPr>
            <w:tcW w:type="dxa" w:w="1037"/>
            <w:shd w:val="clear" w:fill="1C3A36"/>
          </w:tcPr>
          <w:p>
            <w:pPr>
              <w:spacing w:after="20" w:before="20"/>
              <w:jc w:val="center"/>
            </w:pPr>
            <w:r/>
            <w:r>
              <w:rPr>
                <w:rFonts w:ascii="Carlito" w:hAnsi="Carlito"/>
                <w:b/>
                <w:i w:val="0"/>
                <w:color w:val="FFFFFF"/>
                <w:sz w:val="19"/>
              </w:rPr>
              <w:t>2027E</w:t>
            </w:r>
          </w:p>
        </w:tc>
        <w:tc>
          <w:tcPr>
            <w:tcW w:type="dxa" w:w="1037"/>
            <w:shd w:val="clear" w:fill="1C3A36"/>
          </w:tcPr>
          <w:p>
            <w:pPr>
              <w:spacing w:after="20" w:before="20"/>
              <w:jc w:val="center"/>
            </w:pPr>
            <w:r/>
            <w:r>
              <w:rPr>
                <w:rFonts w:ascii="Carlito" w:hAnsi="Carlito"/>
                <w:b/>
                <w:i w:val="0"/>
                <w:color w:val="FFFFFF"/>
                <w:sz w:val="19"/>
              </w:rPr>
              <w:t>2028E</w:t>
            </w:r>
          </w:p>
        </w:tc>
        <w:tc>
          <w:tcPr>
            <w:tcW w:type="dxa" w:w="1037"/>
            <w:shd w:val="clear" w:fill="1C3A36"/>
          </w:tcPr>
          <w:p>
            <w:pPr>
              <w:spacing w:after="20" w:before="20"/>
              <w:jc w:val="center"/>
            </w:pPr>
            <w:r/>
            <w:r>
              <w:rPr>
                <w:rFonts w:ascii="Carlito" w:hAnsi="Carlito"/>
                <w:b/>
                <w:i w:val="0"/>
                <w:color w:val="FFFFFF"/>
                <w:sz w:val="19"/>
              </w:rPr>
              <w:t>2029E</w:t>
            </w:r>
          </w:p>
        </w:tc>
        <w:tc>
          <w:tcPr>
            <w:tcW w:type="dxa" w:w="1037"/>
            <w:shd w:val="clear" w:fill="1C3A36"/>
          </w:tcPr>
          <w:p>
            <w:pPr>
              <w:spacing w:after="20" w:before="20"/>
              <w:jc w:val="center"/>
            </w:pPr>
            <w:r/>
            <w:r>
              <w:rPr>
                <w:rFonts w:ascii="Carlito" w:hAnsi="Carlito"/>
                <w:b/>
                <w:i w:val="0"/>
                <w:color w:val="FFFFFF"/>
                <w:sz w:val="19"/>
              </w:rPr>
              <w:t>2030E</w:t>
            </w:r>
          </w:p>
        </w:tc>
      </w:tr>
      <w:tr>
        <w:tc>
          <w:tcPr>
            <w:tcW w:type="dxa" w:w="4032"/>
          </w:tcPr>
          <w:p>
            <w:pPr>
              <w:spacing w:after="20" w:before="20"/>
              <w:jc w:val="left"/>
            </w:pPr>
            <w:r/>
            <w:r>
              <w:rPr>
                <w:rFonts w:ascii="Carlito" w:hAnsi="Carlito"/>
                <w:b w:val="0"/>
                <w:i w:val="0"/>
                <w:sz w:val="19"/>
              </w:rPr>
              <w:t>Revenue</w:t>
            </w:r>
          </w:p>
        </w:tc>
        <w:tc>
          <w:tcPr>
            <w:tcW w:type="dxa" w:w="1037"/>
          </w:tcPr>
          <w:p>
            <w:pPr>
              <w:spacing w:after="20" w:before="20"/>
              <w:jc w:val="center"/>
            </w:pPr>
            <w:r/>
            <w:r>
              <w:rPr>
                <w:rFonts w:ascii="Carlito" w:hAnsi="Carlito"/>
                <w:b w:val="0"/>
                <w:i w:val="0"/>
                <w:sz w:val="19"/>
              </w:rPr>
              <w:t>141.9</w:t>
            </w:r>
          </w:p>
        </w:tc>
        <w:tc>
          <w:tcPr>
            <w:tcW w:type="dxa" w:w="1037"/>
          </w:tcPr>
          <w:p>
            <w:pPr>
              <w:spacing w:after="20" w:before="20"/>
              <w:jc w:val="center"/>
            </w:pPr>
            <w:r/>
            <w:r>
              <w:rPr>
                <w:rFonts w:ascii="Carlito" w:hAnsi="Carlito"/>
                <w:b w:val="0"/>
                <w:i w:val="0"/>
                <w:sz w:val="19"/>
              </w:rPr>
              <w:t>117.7</w:t>
            </w:r>
          </w:p>
        </w:tc>
        <w:tc>
          <w:tcPr>
            <w:tcW w:type="dxa" w:w="1037"/>
          </w:tcPr>
          <w:p>
            <w:pPr>
              <w:spacing w:after="20" w:before="20"/>
              <w:jc w:val="center"/>
            </w:pPr>
            <w:r/>
            <w:r>
              <w:rPr>
                <w:rFonts w:ascii="Carlito" w:hAnsi="Carlito"/>
                <w:b w:val="0"/>
                <w:i w:val="0"/>
                <w:sz w:val="19"/>
              </w:rPr>
              <w:t>116.5</w:t>
            </w:r>
          </w:p>
        </w:tc>
        <w:tc>
          <w:tcPr>
            <w:tcW w:type="dxa" w:w="1037"/>
          </w:tcPr>
          <w:p>
            <w:pPr>
              <w:spacing w:after="20" w:before="20"/>
              <w:jc w:val="center"/>
            </w:pPr>
            <w:r/>
            <w:r>
              <w:rPr>
                <w:rFonts w:ascii="Carlito" w:hAnsi="Carlito"/>
                <w:b w:val="0"/>
                <w:i w:val="0"/>
                <w:sz w:val="19"/>
              </w:rPr>
              <w:t>118.9</w:t>
            </w:r>
          </w:p>
        </w:tc>
        <w:tc>
          <w:tcPr>
            <w:tcW w:type="dxa" w:w="1037"/>
          </w:tcPr>
          <w:p>
            <w:pPr>
              <w:spacing w:after="20" w:before="20"/>
              <w:jc w:val="center"/>
            </w:pPr>
            <w:r/>
            <w:r>
              <w:rPr>
                <w:rFonts w:ascii="Carlito" w:hAnsi="Carlito"/>
                <w:b w:val="0"/>
                <w:i w:val="0"/>
                <w:sz w:val="19"/>
              </w:rPr>
              <w:t>122.4</w:t>
            </w:r>
          </w:p>
        </w:tc>
        <w:tc>
          <w:tcPr>
            <w:tcW w:type="dxa" w:w="1037"/>
          </w:tcPr>
          <w:p>
            <w:pPr>
              <w:spacing w:after="20" w:before="20"/>
              <w:jc w:val="center"/>
            </w:pPr>
            <w:r/>
            <w:r>
              <w:rPr>
                <w:rFonts w:ascii="Carlito" w:hAnsi="Carlito"/>
                <w:b w:val="0"/>
                <w:i w:val="0"/>
                <w:sz w:val="19"/>
              </w:rPr>
              <w:t>126.7</w:t>
            </w:r>
          </w:p>
        </w:tc>
        <w:tc>
          <w:tcPr>
            <w:tcW w:type="dxa" w:w="1037"/>
          </w:tcPr>
          <w:p>
            <w:pPr>
              <w:spacing w:after="20" w:before="20"/>
              <w:jc w:val="center"/>
            </w:pPr>
            <w:r/>
            <w:r>
              <w:rPr>
                <w:rFonts w:ascii="Carlito" w:hAnsi="Carlito"/>
                <w:b w:val="0"/>
                <w:i w:val="0"/>
                <w:sz w:val="19"/>
              </w:rPr>
              <w:t>130.5</w:t>
            </w:r>
          </w:p>
        </w:tc>
        <w:tc>
          <w:tcPr>
            <w:tcW w:type="dxa" w:w="1037"/>
          </w:tcPr>
          <w:p>
            <w:pPr>
              <w:spacing w:after="20" w:before="20"/>
              <w:jc w:val="center"/>
            </w:pPr>
            <w:r/>
            <w:r>
              <w:rPr>
                <w:rFonts w:ascii="Carlito" w:hAnsi="Carlito"/>
                <w:b w:val="0"/>
                <w:i w:val="0"/>
                <w:sz w:val="19"/>
              </w:rPr>
              <w:t>133.8</w:t>
            </w:r>
          </w:p>
        </w:tc>
      </w:tr>
      <w:tr>
        <w:tc>
          <w:tcPr>
            <w:tcW w:type="dxa" w:w="4032"/>
          </w:tcPr>
          <w:p>
            <w:pPr>
              <w:spacing w:after="20" w:before="20"/>
              <w:jc w:val="left"/>
            </w:pPr>
            <w:r/>
            <w:r>
              <w:rPr>
                <w:rFonts w:ascii="Carlito" w:hAnsi="Carlito"/>
                <w:b w:val="0"/>
                <w:i w:val="0"/>
                <w:sz w:val="19"/>
              </w:rPr>
              <w:t>EBITDA (adjusted)</w:t>
            </w:r>
          </w:p>
        </w:tc>
        <w:tc>
          <w:tcPr>
            <w:tcW w:type="dxa" w:w="1037"/>
          </w:tcPr>
          <w:p>
            <w:pPr>
              <w:spacing w:after="20" w:before="20"/>
              <w:jc w:val="center"/>
            </w:pPr>
            <w:r/>
            <w:r>
              <w:rPr>
                <w:rFonts w:ascii="Carlito" w:hAnsi="Carlito"/>
                <w:b w:val="0"/>
                <w:i w:val="0"/>
                <w:sz w:val="19"/>
              </w:rPr>
              <w:t>17.4</w:t>
            </w:r>
          </w:p>
        </w:tc>
        <w:tc>
          <w:tcPr>
            <w:tcW w:type="dxa" w:w="1037"/>
          </w:tcPr>
          <w:p>
            <w:pPr>
              <w:spacing w:after="20" w:before="20"/>
              <w:jc w:val="center"/>
            </w:pPr>
            <w:r/>
            <w:r>
              <w:rPr>
                <w:rFonts w:ascii="Carlito" w:hAnsi="Carlito"/>
                <w:b w:val="0"/>
                <w:i w:val="0"/>
                <w:sz w:val="19"/>
              </w:rPr>
              <w:t>21.0</w:t>
            </w:r>
          </w:p>
        </w:tc>
        <w:tc>
          <w:tcPr>
            <w:tcW w:type="dxa" w:w="1037"/>
          </w:tcPr>
          <w:p>
            <w:pPr>
              <w:spacing w:after="20" w:before="20"/>
              <w:jc w:val="center"/>
            </w:pPr>
            <w:r/>
            <w:r>
              <w:rPr>
                <w:rFonts w:ascii="Carlito" w:hAnsi="Carlito"/>
                <w:b w:val="0"/>
                <w:i w:val="0"/>
                <w:sz w:val="19"/>
              </w:rPr>
              <w:t>17.9</w:t>
            </w:r>
          </w:p>
        </w:tc>
        <w:tc>
          <w:tcPr>
            <w:tcW w:type="dxa" w:w="1037"/>
          </w:tcPr>
          <w:p>
            <w:pPr>
              <w:spacing w:after="20" w:before="20"/>
              <w:jc w:val="center"/>
            </w:pPr>
            <w:r/>
            <w:r>
              <w:rPr>
                <w:rFonts w:ascii="Carlito" w:hAnsi="Carlito"/>
                <w:b w:val="0"/>
                <w:i w:val="0"/>
                <w:sz w:val="19"/>
              </w:rPr>
              <w:t>19.3</w:t>
            </w:r>
          </w:p>
        </w:tc>
        <w:tc>
          <w:tcPr>
            <w:tcW w:type="dxa" w:w="1037"/>
          </w:tcPr>
          <w:p>
            <w:pPr>
              <w:spacing w:after="20" w:before="20"/>
              <w:jc w:val="center"/>
            </w:pPr>
            <w:r/>
            <w:r>
              <w:rPr>
                <w:rFonts w:ascii="Carlito" w:hAnsi="Carlito"/>
                <w:b w:val="0"/>
                <w:i w:val="0"/>
                <w:sz w:val="19"/>
              </w:rPr>
              <w:t>20.7</w:t>
            </w:r>
          </w:p>
        </w:tc>
        <w:tc>
          <w:tcPr>
            <w:tcW w:type="dxa" w:w="1037"/>
          </w:tcPr>
          <w:p>
            <w:pPr>
              <w:spacing w:after="20" w:before="20"/>
              <w:jc w:val="center"/>
            </w:pPr>
            <w:r/>
            <w:r>
              <w:rPr>
                <w:rFonts w:ascii="Carlito" w:hAnsi="Carlito"/>
                <w:b w:val="0"/>
                <w:i w:val="0"/>
                <w:sz w:val="19"/>
              </w:rPr>
              <w:t>22.3</w:t>
            </w:r>
          </w:p>
        </w:tc>
        <w:tc>
          <w:tcPr>
            <w:tcW w:type="dxa" w:w="1037"/>
          </w:tcPr>
          <w:p>
            <w:pPr>
              <w:spacing w:after="20" w:before="20"/>
              <w:jc w:val="center"/>
            </w:pPr>
            <w:r/>
            <w:r>
              <w:rPr>
                <w:rFonts w:ascii="Carlito" w:hAnsi="Carlito"/>
                <w:b w:val="0"/>
                <w:i w:val="0"/>
                <w:sz w:val="19"/>
              </w:rPr>
              <w:t>23.9</w:t>
            </w:r>
          </w:p>
        </w:tc>
        <w:tc>
          <w:tcPr>
            <w:tcW w:type="dxa" w:w="1037"/>
          </w:tcPr>
          <w:p>
            <w:pPr>
              <w:spacing w:after="20" w:before="20"/>
              <w:jc w:val="center"/>
            </w:pPr>
            <w:r/>
            <w:r>
              <w:rPr>
                <w:rFonts w:ascii="Carlito" w:hAnsi="Carlito"/>
                <w:b w:val="0"/>
                <w:i w:val="0"/>
                <w:sz w:val="19"/>
              </w:rPr>
              <w:t>25.4</w:t>
            </w:r>
          </w:p>
        </w:tc>
      </w:tr>
      <w:tr>
        <w:tc>
          <w:tcPr>
            <w:tcW w:type="dxa" w:w="4032"/>
          </w:tcPr>
          <w:p>
            <w:pPr>
              <w:spacing w:after="20" w:before="20"/>
              <w:jc w:val="left"/>
            </w:pPr>
            <w:r/>
            <w:r>
              <w:rPr>
                <w:rFonts w:ascii="Carlito" w:hAnsi="Carlito"/>
                <w:b w:val="0"/>
                <w:i w:val="0"/>
                <w:sz w:val="19"/>
              </w:rPr>
              <w:t xml:space="preserve">  EBITDA margin</w:t>
            </w:r>
          </w:p>
        </w:tc>
        <w:tc>
          <w:tcPr>
            <w:tcW w:type="dxa" w:w="1037"/>
          </w:tcPr>
          <w:p>
            <w:pPr>
              <w:spacing w:after="20" w:before="20"/>
              <w:jc w:val="center"/>
            </w:pPr>
            <w:r/>
            <w:r>
              <w:rPr>
                <w:rFonts w:ascii="Carlito" w:hAnsi="Carlito"/>
                <w:b w:val="0"/>
                <w:i w:val="0"/>
                <w:sz w:val="19"/>
              </w:rPr>
              <w:t>12.3%</w:t>
            </w:r>
          </w:p>
        </w:tc>
        <w:tc>
          <w:tcPr>
            <w:tcW w:type="dxa" w:w="1037"/>
          </w:tcPr>
          <w:p>
            <w:pPr>
              <w:spacing w:after="20" w:before="20"/>
              <w:jc w:val="center"/>
            </w:pPr>
            <w:r/>
            <w:r>
              <w:rPr>
                <w:rFonts w:ascii="Carlito" w:hAnsi="Carlito"/>
                <w:b w:val="0"/>
                <w:i w:val="0"/>
                <w:sz w:val="19"/>
              </w:rPr>
              <w:t>17.8%</w:t>
            </w:r>
          </w:p>
        </w:tc>
        <w:tc>
          <w:tcPr>
            <w:tcW w:type="dxa" w:w="1037"/>
          </w:tcPr>
          <w:p>
            <w:pPr>
              <w:spacing w:after="20" w:before="20"/>
              <w:jc w:val="center"/>
            </w:pPr>
            <w:r/>
            <w:r>
              <w:rPr>
                <w:rFonts w:ascii="Carlito" w:hAnsi="Carlito"/>
                <w:b w:val="0"/>
                <w:i w:val="0"/>
                <w:sz w:val="19"/>
              </w:rPr>
              <w:t>15.3%</w:t>
            </w:r>
          </w:p>
        </w:tc>
        <w:tc>
          <w:tcPr>
            <w:tcW w:type="dxa" w:w="1037"/>
          </w:tcPr>
          <w:p>
            <w:pPr>
              <w:spacing w:after="20" w:before="20"/>
              <w:jc w:val="center"/>
            </w:pPr>
            <w:r/>
            <w:r>
              <w:rPr>
                <w:rFonts w:ascii="Carlito" w:hAnsi="Carlito"/>
                <w:b w:val="0"/>
                <w:i w:val="0"/>
                <w:sz w:val="19"/>
              </w:rPr>
              <w:t>16.2%</w:t>
            </w:r>
          </w:p>
        </w:tc>
        <w:tc>
          <w:tcPr>
            <w:tcW w:type="dxa" w:w="1037"/>
          </w:tcPr>
          <w:p>
            <w:pPr>
              <w:spacing w:after="20" w:before="20"/>
              <w:jc w:val="center"/>
            </w:pPr>
            <w:r/>
            <w:r>
              <w:rPr>
                <w:rFonts w:ascii="Carlito" w:hAnsi="Carlito"/>
                <w:b w:val="0"/>
                <w:i w:val="0"/>
                <w:sz w:val="19"/>
              </w:rPr>
              <w:t>16.9%</w:t>
            </w:r>
          </w:p>
        </w:tc>
        <w:tc>
          <w:tcPr>
            <w:tcW w:type="dxa" w:w="1037"/>
          </w:tcPr>
          <w:p>
            <w:pPr>
              <w:spacing w:after="20" w:before="20"/>
              <w:jc w:val="center"/>
            </w:pPr>
            <w:r/>
            <w:r>
              <w:rPr>
                <w:rFonts w:ascii="Carlito" w:hAnsi="Carlito"/>
                <w:b w:val="0"/>
                <w:i w:val="0"/>
                <w:sz w:val="19"/>
              </w:rPr>
              <w:t>17.6%</w:t>
            </w:r>
          </w:p>
        </w:tc>
        <w:tc>
          <w:tcPr>
            <w:tcW w:type="dxa" w:w="1037"/>
          </w:tcPr>
          <w:p>
            <w:pPr>
              <w:spacing w:after="20" w:before="20"/>
              <w:jc w:val="center"/>
            </w:pPr>
            <w:r/>
            <w:r>
              <w:rPr>
                <w:rFonts w:ascii="Carlito" w:hAnsi="Carlito"/>
                <w:b w:val="0"/>
                <w:i w:val="0"/>
                <w:sz w:val="19"/>
              </w:rPr>
              <w:t>18.3%</w:t>
            </w:r>
          </w:p>
        </w:tc>
        <w:tc>
          <w:tcPr>
            <w:tcW w:type="dxa" w:w="1037"/>
          </w:tcPr>
          <w:p>
            <w:pPr>
              <w:spacing w:after="20" w:before="20"/>
              <w:jc w:val="center"/>
            </w:pPr>
            <w:r/>
            <w:r>
              <w:rPr>
                <w:rFonts w:ascii="Carlito" w:hAnsi="Carlito"/>
                <w:b w:val="0"/>
                <w:i w:val="0"/>
                <w:sz w:val="19"/>
              </w:rPr>
              <w:t>19.0%</w:t>
            </w:r>
          </w:p>
        </w:tc>
      </w:tr>
      <w:tr>
        <w:tc>
          <w:tcPr>
            <w:tcW w:type="dxa" w:w="4032"/>
          </w:tcPr>
          <w:p>
            <w:pPr>
              <w:spacing w:after="20" w:before="20"/>
              <w:jc w:val="left"/>
            </w:pPr>
            <w:r/>
            <w:r>
              <w:rPr>
                <w:rFonts w:ascii="Carlito" w:hAnsi="Carlito"/>
                <w:b w:val="0"/>
                <w:i w:val="0"/>
                <w:sz w:val="19"/>
              </w:rPr>
              <w:t>less: D&amp;A</w:t>
            </w:r>
          </w:p>
        </w:tc>
        <w:tc>
          <w:tcPr>
            <w:tcW w:type="dxa" w:w="1037"/>
          </w:tcPr>
          <w:p>
            <w:pPr>
              <w:spacing w:after="20" w:before="20"/>
              <w:jc w:val="center"/>
            </w:pPr>
            <w:r/>
            <w:r>
              <w:rPr>
                <w:rFonts w:ascii="Carlito" w:hAnsi="Carlito"/>
                <w:b w:val="0"/>
                <w:i w:val="0"/>
                <w:sz w:val="19"/>
              </w:rPr>
              <w:t>(13.7)</w:t>
            </w:r>
          </w:p>
        </w:tc>
        <w:tc>
          <w:tcPr>
            <w:tcW w:type="dxa" w:w="1037"/>
          </w:tcPr>
          <w:p>
            <w:pPr>
              <w:spacing w:after="20" w:before="20"/>
              <w:jc w:val="center"/>
            </w:pPr>
            <w:r/>
            <w:r>
              <w:rPr>
                <w:rFonts w:ascii="Carlito" w:hAnsi="Carlito"/>
                <w:b w:val="0"/>
                <w:i w:val="0"/>
                <w:sz w:val="19"/>
              </w:rPr>
              <w:t>(11.6)</w:t>
            </w:r>
          </w:p>
        </w:tc>
        <w:tc>
          <w:tcPr>
            <w:tcW w:type="dxa" w:w="1037"/>
          </w:tcPr>
          <w:p>
            <w:pPr>
              <w:spacing w:after="20" w:before="20"/>
              <w:jc w:val="center"/>
            </w:pPr>
            <w:r/>
            <w:r>
              <w:rPr>
                <w:rFonts w:ascii="Carlito" w:hAnsi="Carlito"/>
                <w:b w:val="0"/>
                <w:i w:val="0"/>
                <w:sz w:val="19"/>
              </w:rPr>
              <w:t>(12.1)</w:t>
            </w:r>
          </w:p>
        </w:tc>
        <w:tc>
          <w:tcPr>
            <w:tcW w:type="dxa" w:w="1037"/>
          </w:tcPr>
          <w:p>
            <w:pPr>
              <w:spacing w:after="20" w:before="20"/>
              <w:jc w:val="center"/>
            </w:pPr>
            <w:r/>
            <w:r>
              <w:rPr>
                <w:rFonts w:ascii="Carlito" w:hAnsi="Carlito"/>
                <w:b w:val="0"/>
                <w:i w:val="0"/>
                <w:sz w:val="19"/>
              </w:rPr>
              <w:t>(12.0)</w:t>
            </w:r>
          </w:p>
        </w:tc>
        <w:tc>
          <w:tcPr>
            <w:tcW w:type="dxa" w:w="1037"/>
          </w:tcPr>
          <w:p>
            <w:pPr>
              <w:spacing w:after="20" w:before="20"/>
              <w:jc w:val="center"/>
            </w:pPr>
            <w:r/>
            <w:r>
              <w:rPr>
                <w:rFonts w:ascii="Carlito" w:hAnsi="Carlito"/>
                <w:b w:val="0"/>
                <w:i w:val="0"/>
                <w:sz w:val="19"/>
              </w:rPr>
              <w:t>(12.3)</w:t>
            </w:r>
          </w:p>
        </w:tc>
        <w:tc>
          <w:tcPr>
            <w:tcW w:type="dxa" w:w="1037"/>
          </w:tcPr>
          <w:p>
            <w:pPr>
              <w:spacing w:after="20" w:before="20"/>
              <w:jc w:val="center"/>
            </w:pPr>
            <w:r/>
            <w:r>
              <w:rPr>
                <w:rFonts w:ascii="Carlito" w:hAnsi="Carlito"/>
                <w:b w:val="0"/>
                <w:i w:val="0"/>
                <w:sz w:val="19"/>
              </w:rPr>
              <w:t>(12.6)</w:t>
            </w:r>
          </w:p>
        </w:tc>
        <w:tc>
          <w:tcPr>
            <w:tcW w:type="dxa" w:w="1037"/>
          </w:tcPr>
          <w:p>
            <w:pPr>
              <w:spacing w:after="20" w:before="20"/>
              <w:jc w:val="center"/>
            </w:pPr>
            <w:r/>
            <w:r>
              <w:rPr>
                <w:rFonts w:ascii="Carlito" w:hAnsi="Carlito"/>
                <w:b w:val="0"/>
                <w:i w:val="0"/>
                <w:sz w:val="19"/>
              </w:rPr>
              <w:t>(12.9)</w:t>
            </w:r>
          </w:p>
        </w:tc>
        <w:tc>
          <w:tcPr>
            <w:tcW w:type="dxa" w:w="1037"/>
          </w:tcPr>
          <w:p>
            <w:pPr>
              <w:spacing w:after="20" w:before="20"/>
              <w:jc w:val="center"/>
            </w:pPr>
            <w:r/>
            <w:r>
              <w:rPr>
                <w:rFonts w:ascii="Carlito" w:hAnsi="Carlito"/>
                <w:b w:val="0"/>
                <w:i w:val="0"/>
                <w:sz w:val="19"/>
              </w:rPr>
              <w:t>(13.0)</w:t>
            </w:r>
          </w:p>
        </w:tc>
      </w:tr>
      <w:tr>
        <w:tc>
          <w:tcPr>
            <w:tcW w:type="dxa" w:w="4032"/>
          </w:tcPr>
          <w:p>
            <w:pPr>
              <w:spacing w:after="20" w:before="20"/>
              <w:jc w:val="left"/>
            </w:pPr>
            <w:r/>
            <w:r>
              <w:rPr>
                <w:rFonts w:ascii="Carlito" w:hAnsi="Carlito"/>
                <w:b w:val="0"/>
                <w:i w:val="0"/>
                <w:sz w:val="19"/>
              </w:rPr>
              <w:t>EBIT (adjusted)</w:t>
            </w:r>
          </w:p>
        </w:tc>
        <w:tc>
          <w:tcPr>
            <w:tcW w:type="dxa" w:w="1037"/>
          </w:tcPr>
          <w:p>
            <w:pPr>
              <w:spacing w:after="20" w:before="20"/>
              <w:jc w:val="center"/>
            </w:pPr>
            <w:r/>
            <w:r>
              <w:rPr>
                <w:rFonts w:ascii="Carlito" w:hAnsi="Carlito"/>
                <w:b w:val="0"/>
                <w:i w:val="0"/>
                <w:sz w:val="19"/>
              </w:rPr>
              <w:t>3.7</w:t>
            </w:r>
          </w:p>
        </w:tc>
        <w:tc>
          <w:tcPr>
            <w:tcW w:type="dxa" w:w="1037"/>
          </w:tcPr>
          <w:p>
            <w:pPr>
              <w:spacing w:after="20" w:before="20"/>
              <w:jc w:val="center"/>
            </w:pPr>
            <w:r/>
            <w:r>
              <w:rPr>
                <w:rFonts w:ascii="Carlito" w:hAnsi="Carlito"/>
                <w:b w:val="0"/>
                <w:i w:val="0"/>
                <w:sz w:val="19"/>
              </w:rPr>
              <w:t>9.4</w:t>
            </w:r>
          </w:p>
        </w:tc>
        <w:tc>
          <w:tcPr>
            <w:tcW w:type="dxa" w:w="1037"/>
          </w:tcPr>
          <w:p>
            <w:pPr>
              <w:spacing w:after="20" w:before="20"/>
              <w:jc w:val="center"/>
            </w:pPr>
            <w:r/>
            <w:r>
              <w:rPr>
                <w:rFonts w:ascii="Carlito" w:hAnsi="Carlito"/>
                <w:b w:val="0"/>
                <w:i w:val="0"/>
                <w:sz w:val="19"/>
              </w:rPr>
              <w:t>5.8</w:t>
            </w:r>
          </w:p>
        </w:tc>
        <w:tc>
          <w:tcPr>
            <w:tcW w:type="dxa" w:w="1037"/>
          </w:tcPr>
          <w:p>
            <w:pPr>
              <w:spacing w:after="20" w:before="20"/>
              <w:jc w:val="center"/>
            </w:pPr>
            <w:r/>
            <w:r>
              <w:rPr>
                <w:rFonts w:ascii="Carlito" w:hAnsi="Carlito"/>
                <w:b w:val="0"/>
                <w:i w:val="0"/>
                <w:sz w:val="19"/>
              </w:rPr>
              <w:t>7.3</w:t>
            </w:r>
          </w:p>
        </w:tc>
        <w:tc>
          <w:tcPr>
            <w:tcW w:type="dxa" w:w="1037"/>
          </w:tcPr>
          <w:p>
            <w:pPr>
              <w:spacing w:after="20" w:before="20"/>
              <w:jc w:val="center"/>
            </w:pPr>
            <w:r/>
            <w:r>
              <w:rPr>
                <w:rFonts w:ascii="Carlito" w:hAnsi="Carlito"/>
                <w:b w:val="0"/>
                <w:i w:val="0"/>
                <w:sz w:val="19"/>
              </w:rPr>
              <w:t>8.4</w:t>
            </w:r>
          </w:p>
        </w:tc>
        <w:tc>
          <w:tcPr>
            <w:tcW w:type="dxa" w:w="1037"/>
          </w:tcPr>
          <w:p>
            <w:pPr>
              <w:spacing w:after="20" w:before="20"/>
              <w:jc w:val="center"/>
            </w:pPr>
            <w:r/>
            <w:r>
              <w:rPr>
                <w:rFonts w:ascii="Carlito" w:hAnsi="Carlito"/>
                <w:b w:val="0"/>
                <w:i w:val="0"/>
                <w:sz w:val="19"/>
              </w:rPr>
              <w:t>9.7</w:t>
            </w:r>
          </w:p>
        </w:tc>
        <w:tc>
          <w:tcPr>
            <w:tcW w:type="dxa" w:w="1037"/>
          </w:tcPr>
          <w:p>
            <w:pPr>
              <w:spacing w:after="20" w:before="20"/>
              <w:jc w:val="center"/>
            </w:pPr>
            <w:r/>
            <w:r>
              <w:rPr>
                <w:rFonts w:ascii="Carlito" w:hAnsi="Carlito"/>
                <w:b w:val="0"/>
                <w:i w:val="0"/>
                <w:sz w:val="19"/>
              </w:rPr>
              <w:t>11.0</w:t>
            </w:r>
          </w:p>
        </w:tc>
        <w:tc>
          <w:tcPr>
            <w:tcW w:type="dxa" w:w="1037"/>
          </w:tcPr>
          <w:p>
            <w:pPr>
              <w:spacing w:after="20" w:before="20"/>
              <w:jc w:val="center"/>
            </w:pPr>
            <w:r/>
            <w:r>
              <w:rPr>
                <w:rFonts w:ascii="Carlito" w:hAnsi="Carlito"/>
                <w:b w:val="0"/>
                <w:i w:val="0"/>
                <w:sz w:val="19"/>
              </w:rPr>
              <w:t>12.4</w:t>
            </w:r>
          </w:p>
        </w:tc>
      </w:tr>
      <w:tr>
        <w:tc>
          <w:tcPr>
            <w:tcW w:type="dxa" w:w="4032"/>
          </w:tcPr>
          <w:p>
            <w:pPr>
              <w:spacing w:after="20" w:before="20"/>
              <w:jc w:val="left"/>
            </w:pPr>
            <w:r/>
            <w:r>
              <w:rPr>
                <w:rFonts w:ascii="Carlito" w:hAnsi="Carlito"/>
                <w:b w:val="0"/>
                <w:i w:val="0"/>
                <w:sz w:val="19"/>
              </w:rPr>
              <w:t>Net income (reported)</w:t>
            </w:r>
          </w:p>
        </w:tc>
        <w:tc>
          <w:tcPr>
            <w:tcW w:type="dxa" w:w="1037"/>
          </w:tcPr>
          <w:p>
            <w:pPr>
              <w:spacing w:after="20" w:before="20"/>
              <w:jc w:val="center"/>
            </w:pPr>
            <w:r/>
            <w:r>
              <w:rPr>
                <w:rFonts w:ascii="Carlito" w:hAnsi="Carlito"/>
                <w:b w:val="0"/>
                <w:i w:val="0"/>
                <w:sz w:val="19"/>
              </w:rPr>
              <w:t>(2.8)</w:t>
            </w:r>
          </w:p>
        </w:tc>
        <w:tc>
          <w:tcPr>
            <w:tcW w:type="dxa" w:w="1037"/>
          </w:tcPr>
          <w:p>
            <w:pPr>
              <w:spacing w:after="20" w:before="20"/>
              <w:jc w:val="center"/>
            </w:pPr>
            <w:r/>
            <w:r>
              <w:rPr>
                <w:rFonts w:ascii="Carlito" w:hAnsi="Carlito"/>
                <w:b w:val="0"/>
                <w:i w:val="0"/>
                <w:sz w:val="19"/>
              </w:rPr>
              <w:t>1.5</w:t>
            </w:r>
          </w:p>
        </w:tc>
        <w:tc>
          <w:tcPr>
            <w:tcW w:type="dxa" w:w="1037"/>
          </w:tcPr>
          <w:p>
            <w:pPr>
              <w:spacing w:after="20" w:before="20"/>
              <w:jc w:val="center"/>
            </w:pPr>
            <w:r/>
            <w:r>
              <w:rPr>
                <w:rFonts w:ascii="Carlito" w:hAnsi="Carlito"/>
                <w:b w:val="0"/>
                <w:i w:val="0"/>
                <w:sz w:val="19"/>
              </w:rPr>
              <w:t>(25.8)</w:t>
            </w:r>
          </w:p>
        </w:tc>
        <w:tc>
          <w:tcPr>
            <w:tcW w:type="dxa" w:w="1037"/>
          </w:tcPr>
          <w:p>
            <w:pPr>
              <w:spacing w:after="20" w:before="20"/>
              <w:jc w:val="center"/>
            </w:pPr>
            <w:r/>
            <w:r>
              <w:rPr>
                <w:rFonts w:ascii="Carlito" w:hAnsi="Carlito"/>
                <w:b w:val="0"/>
                <w:i w:val="0"/>
                <w:sz w:val="19"/>
              </w:rPr>
              <w:t>—</w:t>
            </w:r>
          </w:p>
        </w:tc>
        <w:tc>
          <w:tcPr>
            <w:tcW w:type="dxa" w:w="1037"/>
          </w:tcPr>
          <w:p>
            <w:pPr>
              <w:spacing w:after="20" w:before="20"/>
              <w:jc w:val="center"/>
            </w:pPr>
            <w:r/>
            <w:r>
              <w:rPr>
                <w:rFonts w:ascii="Carlito" w:hAnsi="Carlito"/>
                <w:b w:val="0"/>
                <w:i w:val="0"/>
                <w:sz w:val="19"/>
              </w:rPr>
              <w:t>—</w:t>
            </w:r>
          </w:p>
        </w:tc>
        <w:tc>
          <w:tcPr>
            <w:tcW w:type="dxa" w:w="1037"/>
          </w:tcPr>
          <w:p>
            <w:pPr>
              <w:spacing w:after="20" w:before="20"/>
              <w:jc w:val="center"/>
            </w:pPr>
            <w:r/>
            <w:r>
              <w:rPr>
                <w:rFonts w:ascii="Carlito" w:hAnsi="Carlito"/>
                <w:b w:val="0"/>
                <w:i w:val="0"/>
                <w:sz w:val="19"/>
              </w:rPr>
              <w:t>—</w:t>
            </w:r>
          </w:p>
        </w:tc>
        <w:tc>
          <w:tcPr>
            <w:tcW w:type="dxa" w:w="1037"/>
          </w:tcPr>
          <w:p>
            <w:pPr>
              <w:spacing w:after="20" w:before="20"/>
              <w:jc w:val="center"/>
            </w:pPr>
            <w:r/>
            <w:r>
              <w:rPr>
                <w:rFonts w:ascii="Carlito" w:hAnsi="Carlito"/>
                <w:b w:val="0"/>
                <w:i w:val="0"/>
                <w:sz w:val="19"/>
              </w:rPr>
              <w:t>—</w:t>
            </w:r>
          </w:p>
        </w:tc>
        <w:tc>
          <w:tcPr>
            <w:tcW w:type="dxa" w:w="1037"/>
          </w:tcPr>
          <w:p>
            <w:pPr>
              <w:spacing w:after="20" w:before="20"/>
              <w:jc w:val="center"/>
            </w:pPr>
            <w:r/>
            <w:r>
              <w:rPr>
                <w:rFonts w:ascii="Carlito" w:hAnsi="Carlito"/>
                <w:b w:val="0"/>
                <w:i w:val="0"/>
                <w:sz w:val="19"/>
              </w:rPr>
              <w:t>—</w:t>
            </w:r>
          </w:p>
        </w:tc>
      </w:tr>
      <w:tr>
        <w:tc>
          <w:tcPr>
            <w:tcW w:type="dxa" w:w="4032"/>
          </w:tcPr>
          <w:p>
            <w:pPr>
              <w:spacing w:after="20" w:before="20"/>
              <w:jc w:val="left"/>
            </w:pPr>
            <w:r/>
            <w:r>
              <w:rPr>
                <w:rFonts w:ascii="Carlito" w:hAnsi="Carlito"/>
                <w:b w:val="0"/>
                <w:i w:val="0"/>
                <w:sz w:val="19"/>
              </w:rPr>
              <w:t>Net income (adjusted ≈ NOPAT fwd)</w:t>
            </w:r>
          </w:p>
        </w:tc>
        <w:tc>
          <w:tcPr>
            <w:tcW w:type="dxa" w:w="1037"/>
          </w:tcPr>
          <w:p>
            <w:pPr>
              <w:spacing w:after="20" w:before="20"/>
              <w:jc w:val="center"/>
            </w:pPr>
            <w:r/>
            <w:r>
              <w:rPr>
                <w:rFonts w:ascii="Carlito" w:hAnsi="Carlito"/>
                <w:b w:val="0"/>
                <w:i w:val="0"/>
                <w:sz w:val="19"/>
              </w:rPr>
              <w:t>—</w:t>
            </w:r>
          </w:p>
        </w:tc>
        <w:tc>
          <w:tcPr>
            <w:tcW w:type="dxa" w:w="1037"/>
          </w:tcPr>
          <w:p>
            <w:pPr>
              <w:spacing w:after="20" w:before="20"/>
              <w:jc w:val="center"/>
            </w:pPr>
            <w:r/>
            <w:r>
              <w:rPr>
                <w:rFonts w:ascii="Carlito" w:hAnsi="Carlito"/>
                <w:b w:val="0"/>
                <w:i w:val="0"/>
                <w:sz w:val="19"/>
              </w:rPr>
              <w:t>5.9</w:t>
            </w:r>
          </w:p>
        </w:tc>
        <w:tc>
          <w:tcPr>
            <w:tcW w:type="dxa" w:w="1037"/>
          </w:tcPr>
          <w:p>
            <w:pPr>
              <w:spacing w:after="20" w:before="20"/>
              <w:jc w:val="center"/>
            </w:pPr>
            <w:r/>
            <w:r>
              <w:rPr>
                <w:rFonts w:ascii="Carlito" w:hAnsi="Carlito"/>
                <w:b w:val="0"/>
                <w:i w:val="0"/>
                <w:sz w:val="19"/>
              </w:rPr>
              <w:t>2.1</w:t>
            </w:r>
          </w:p>
        </w:tc>
        <w:tc>
          <w:tcPr>
            <w:tcW w:type="dxa" w:w="1037"/>
          </w:tcPr>
          <w:p>
            <w:pPr>
              <w:spacing w:after="20" w:before="20"/>
              <w:jc w:val="center"/>
            </w:pPr>
            <w:r/>
            <w:r>
              <w:rPr>
                <w:rFonts w:ascii="Carlito" w:hAnsi="Carlito"/>
                <w:b w:val="0"/>
                <w:i w:val="0"/>
                <w:sz w:val="19"/>
              </w:rPr>
              <w:t>6.4</w:t>
            </w:r>
          </w:p>
        </w:tc>
        <w:tc>
          <w:tcPr>
            <w:tcW w:type="dxa" w:w="1037"/>
          </w:tcPr>
          <w:p>
            <w:pPr>
              <w:spacing w:after="20" w:before="20"/>
              <w:jc w:val="center"/>
            </w:pPr>
            <w:r/>
            <w:r>
              <w:rPr>
                <w:rFonts w:ascii="Carlito" w:hAnsi="Carlito"/>
                <w:b w:val="0"/>
                <w:i w:val="0"/>
                <w:sz w:val="19"/>
              </w:rPr>
              <w:t>7.4</w:t>
            </w:r>
          </w:p>
        </w:tc>
        <w:tc>
          <w:tcPr>
            <w:tcW w:type="dxa" w:w="1037"/>
          </w:tcPr>
          <w:p>
            <w:pPr>
              <w:spacing w:after="20" w:before="20"/>
              <w:jc w:val="center"/>
            </w:pPr>
            <w:r/>
            <w:r>
              <w:rPr>
                <w:rFonts w:ascii="Carlito" w:hAnsi="Carlito"/>
                <w:b w:val="0"/>
                <w:i w:val="0"/>
                <w:sz w:val="19"/>
              </w:rPr>
              <w:t>8.5</w:t>
            </w:r>
          </w:p>
        </w:tc>
        <w:tc>
          <w:tcPr>
            <w:tcW w:type="dxa" w:w="1037"/>
          </w:tcPr>
          <w:p>
            <w:pPr>
              <w:spacing w:after="20" w:before="20"/>
              <w:jc w:val="center"/>
            </w:pPr>
            <w:r/>
            <w:r>
              <w:rPr>
                <w:rFonts w:ascii="Carlito" w:hAnsi="Carlito"/>
                <w:b w:val="0"/>
                <w:i w:val="0"/>
                <w:sz w:val="19"/>
              </w:rPr>
              <w:t>9.7</w:t>
            </w:r>
          </w:p>
        </w:tc>
        <w:tc>
          <w:tcPr>
            <w:tcW w:type="dxa" w:w="1037"/>
          </w:tcPr>
          <w:p>
            <w:pPr>
              <w:spacing w:after="20" w:before="20"/>
              <w:jc w:val="center"/>
            </w:pPr>
            <w:r/>
            <w:r>
              <w:rPr>
                <w:rFonts w:ascii="Carlito" w:hAnsi="Carlito"/>
                <w:b w:val="0"/>
                <w:i w:val="0"/>
                <w:sz w:val="19"/>
              </w:rPr>
              <w:t>10.9</w:t>
            </w:r>
          </w:p>
        </w:tc>
      </w:tr>
    </w:tbl>
    <w:p>
      <w:pPr>
        <w:spacing w:after="40"/>
      </w:pPr>
    </w:p>
    <w:p>
      <w:r>
        <w:rPr>
          <w:rFonts w:ascii="Carlito" w:hAnsi="Carlito"/>
          <w:i/>
          <w:sz w:val="17"/>
        </w:rPr>
        <w:t>Note: the 2025 reported net loss of SAR 25.8 bn reflects one-off non-cash fair-value writedowns; adjusted net income was SAR 2.07 bn. Forecast net income shown on a NOPAT (unlevered, after-tax) basis for consistency with the DCF. Source: SABIC FY2023–25 disclosures.</w:t>
      </w:r>
    </w:p>
    <w:p>
      <w:pPr>
        <w:spacing w:before="200" w:after="60"/>
      </w:pPr>
      <w:r>
        <w:rPr>
          <w:rFonts w:ascii="Carlito" w:hAnsi="Carlito"/>
          <w:b/>
          <w:color w:val="896F36"/>
          <w:sz w:val="23"/>
        </w:rPr>
        <w:t>A.2  Balance sheet — 3-year historical + 5-year forecast (SAR bn)</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960"/>
        <w:gridCol w:w="960"/>
        <w:gridCol w:w="960"/>
        <w:gridCol w:w="960"/>
        <w:gridCol w:w="960"/>
        <w:gridCol w:w="960"/>
        <w:gridCol w:w="960"/>
        <w:gridCol w:w="960"/>
        <w:gridCol w:w="960"/>
      </w:tblGrid>
      <w:tr>
        <w:tc>
          <w:tcPr>
            <w:tcW w:type="dxa" w:w="4032"/>
            <w:shd w:val="clear" w:fill="1C3A36"/>
          </w:tcPr>
          <w:p>
            <w:pPr>
              <w:spacing w:after="20" w:before="20"/>
              <w:jc w:val="left"/>
            </w:pPr>
            <w:r/>
            <w:r>
              <w:rPr>
                <w:rFonts w:ascii="Carlito" w:hAnsi="Carlito"/>
                <w:b/>
                <w:i w:val="0"/>
                <w:color w:val="FFFFFF"/>
                <w:sz w:val="19"/>
              </w:rPr>
              <w:t>Line</w:t>
            </w:r>
          </w:p>
        </w:tc>
        <w:tc>
          <w:tcPr>
            <w:tcW w:type="dxa" w:w="1037"/>
            <w:shd w:val="clear" w:fill="1C3A36"/>
          </w:tcPr>
          <w:p>
            <w:pPr>
              <w:spacing w:after="20" w:before="20"/>
              <w:jc w:val="center"/>
            </w:pPr>
            <w:r/>
            <w:r>
              <w:rPr>
                <w:rFonts w:ascii="Carlito" w:hAnsi="Carlito"/>
                <w:b/>
                <w:i w:val="0"/>
                <w:color w:val="FFFFFF"/>
                <w:sz w:val="19"/>
              </w:rPr>
              <w:t>2023A</w:t>
            </w:r>
          </w:p>
        </w:tc>
        <w:tc>
          <w:tcPr>
            <w:tcW w:type="dxa" w:w="1037"/>
            <w:shd w:val="clear" w:fill="1C3A36"/>
          </w:tcPr>
          <w:p>
            <w:pPr>
              <w:spacing w:after="20" w:before="20"/>
              <w:jc w:val="center"/>
            </w:pPr>
            <w:r/>
            <w:r>
              <w:rPr>
                <w:rFonts w:ascii="Carlito" w:hAnsi="Carlito"/>
                <w:b/>
                <w:i w:val="0"/>
                <w:color w:val="FFFFFF"/>
                <w:sz w:val="19"/>
              </w:rPr>
              <w:t>2024A</w:t>
            </w:r>
          </w:p>
        </w:tc>
        <w:tc>
          <w:tcPr>
            <w:tcW w:type="dxa" w:w="1037"/>
            <w:shd w:val="clear" w:fill="1C3A36"/>
          </w:tcPr>
          <w:p>
            <w:pPr>
              <w:spacing w:after="20" w:before="20"/>
              <w:jc w:val="center"/>
            </w:pPr>
            <w:r/>
            <w:r>
              <w:rPr>
                <w:rFonts w:ascii="Carlito" w:hAnsi="Carlito"/>
                <w:b/>
                <w:i w:val="0"/>
                <w:color w:val="FFFFFF"/>
                <w:sz w:val="19"/>
              </w:rPr>
              <w:t>2025A</w:t>
            </w:r>
          </w:p>
        </w:tc>
        <w:tc>
          <w:tcPr>
            <w:tcW w:type="dxa" w:w="1037"/>
            <w:shd w:val="clear" w:fill="1C3A36"/>
          </w:tcPr>
          <w:p>
            <w:pPr>
              <w:spacing w:after="20" w:before="20"/>
              <w:jc w:val="center"/>
            </w:pPr>
            <w:r/>
            <w:r>
              <w:rPr>
                <w:rFonts w:ascii="Carlito" w:hAnsi="Carlito"/>
                <w:b/>
                <w:i w:val="0"/>
                <w:color w:val="FFFFFF"/>
                <w:sz w:val="19"/>
              </w:rPr>
              <w:t>2026E</w:t>
            </w:r>
          </w:p>
        </w:tc>
        <w:tc>
          <w:tcPr>
            <w:tcW w:type="dxa" w:w="1037"/>
            <w:shd w:val="clear" w:fill="1C3A36"/>
          </w:tcPr>
          <w:p>
            <w:pPr>
              <w:spacing w:after="20" w:before="20"/>
              <w:jc w:val="center"/>
            </w:pPr>
            <w:r/>
            <w:r>
              <w:rPr>
                <w:rFonts w:ascii="Carlito" w:hAnsi="Carlito"/>
                <w:b/>
                <w:i w:val="0"/>
                <w:color w:val="FFFFFF"/>
                <w:sz w:val="19"/>
              </w:rPr>
              <w:t>2027E</w:t>
            </w:r>
          </w:p>
        </w:tc>
        <w:tc>
          <w:tcPr>
            <w:tcW w:type="dxa" w:w="1037"/>
            <w:shd w:val="clear" w:fill="1C3A36"/>
          </w:tcPr>
          <w:p>
            <w:pPr>
              <w:spacing w:after="20" w:before="20"/>
              <w:jc w:val="center"/>
            </w:pPr>
            <w:r/>
            <w:r>
              <w:rPr>
                <w:rFonts w:ascii="Carlito" w:hAnsi="Carlito"/>
                <w:b/>
                <w:i w:val="0"/>
                <w:color w:val="FFFFFF"/>
                <w:sz w:val="19"/>
              </w:rPr>
              <w:t>2028E</w:t>
            </w:r>
          </w:p>
        </w:tc>
        <w:tc>
          <w:tcPr>
            <w:tcW w:type="dxa" w:w="1037"/>
            <w:shd w:val="clear" w:fill="1C3A36"/>
          </w:tcPr>
          <w:p>
            <w:pPr>
              <w:spacing w:after="20" w:before="20"/>
              <w:jc w:val="center"/>
            </w:pPr>
            <w:r/>
            <w:r>
              <w:rPr>
                <w:rFonts w:ascii="Carlito" w:hAnsi="Carlito"/>
                <w:b/>
                <w:i w:val="0"/>
                <w:color w:val="FFFFFF"/>
                <w:sz w:val="19"/>
              </w:rPr>
              <w:t>2029E</w:t>
            </w:r>
          </w:p>
        </w:tc>
        <w:tc>
          <w:tcPr>
            <w:tcW w:type="dxa" w:w="1037"/>
            <w:shd w:val="clear" w:fill="1C3A36"/>
          </w:tcPr>
          <w:p>
            <w:pPr>
              <w:spacing w:after="20" w:before="20"/>
              <w:jc w:val="center"/>
            </w:pPr>
            <w:r/>
            <w:r>
              <w:rPr>
                <w:rFonts w:ascii="Carlito" w:hAnsi="Carlito"/>
                <w:b/>
                <w:i w:val="0"/>
                <w:color w:val="FFFFFF"/>
                <w:sz w:val="19"/>
              </w:rPr>
              <w:t>2030E</w:t>
            </w:r>
          </w:p>
        </w:tc>
      </w:tr>
      <w:tr>
        <w:tc>
          <w:tcPr>
            <w:tcW w:type="dxa" w:w="4032"/>
          </w:tcPr>
          <w:p>
            <w:pPr>
              <w:spacing w:after="20" w:before="20"/>
              <w:jc w:val="left"/>
            </w:pPr>
            <w:r/>
            <w:r>
              <w:rPr>
                <w:rFonts w:ascii="Carlito" w:hAnsi="Carlito"/>
                <w:b w:val="0"/>
                <w:i w:val="0"/>
                <w:sz w:val="19"/>
              </w:rPr>
              <w:t>Total assets</w:t>
            </w:r>
          </w:p>
        </w:tc>
        <w:tc>
          <w:tcPr>
            <w:tcW w:type="dxa" w:w="1037"/>
          </w:tcPr>
          <w:p>
            <w:pPr>
              <w:spacing w:after="20" w:before="20"/>
              <w:jc w:val="center"/>
            </w:pPr>
            <w:r/>
            <w:r>
              <w:rPr>
                <w:rFonts w:ascii="Carlito" w:hAnsi="Carlito"/>
                <w:b w:val="0"/>
                <w:i w:val="0"/>
                <w:sz w:val="19"/>
              </w:rPr>
              <w:t>294.4</w:t>
            </w:r>
          </w:p>
        </w:tc>
        <w:tc>
          <w:tcPr>
            <w:tcW w:type="dxa" w:w="1037"/>
          </w:tcPr>
          <w:p>
            <w:pPr>
              <w:spacing w:after="20" w:before="20"/>
              <w:jc w:val="center"/>
            </w:pPr>
            <w:r/>
            <w:r>
              <w:rPr>
                <w:rFonts w:ascii="Carlito" w:hAnsi="Carlito"/>
                <w:b w:val="0"/>
                <w:i w:val="0"/>
                <w:sz w:val="19"/>
              </w:rPr>
              <w:t>277.5</w:t>
            </w:r>
          </w:p>
        </w:tc>
        <w:tc>
          <w:tcPr>
            <w:tcW w:type="dxa" w:w="1037"/>
          </w:tcPr>
          <w:p>
            <w:pPr>
              <w:spacing w:after="20" w:before="20"/>
              <w:jc w:val="center"/>
            </w:pPr>
            <w:r/>
            <w:r>
              <w:rPr>
                <w:rFonts w:ascii="Carlito" w:hAnsi="Carlito"/>
                <w:b w:val="0"/>
                <w:i w:val="0"/>
                <w:sz w:val="19"/>
              </w:rPr>
              <w:t>244.3</w:t>
            </w:r>
          </w:p>
        </w:tc>
        <w:tc>
          <w:tcPr>
            <w:tcW w:type="dxa" w:w="1037"/>
          </w:tcPr>
          <w:p>
            <w:pPr>
              <w:spacing w:after="20" w:before="20"/>
              <w:jc w:val="center"/>
            </w:pPr>
            <w:r/>
            <w:r>
              <w:rPr>
                <w:rFonts w:ascii="Carlito" w:hAnsi="Carlito"/>
                <w:b w:val="0"/>
                <w:i w:val="0"/>
                <w:sz w:val="19"/>
              </w:rPr>
              <w:t>250</w:t>
            </w:r>
          </w:p>
        </w:tc>
        <w:tc>
          <w:tcPr>
            <w:tcW w:type="dxa" w:w="1037"/>
          </w:tcPr>
          <w:p>
            <w:pPr>
              <w:spacing w:after="20" w:before="20"/>
              <w:jc w:val="center"/>
            </w:pPr>
            <w:r/>
            <w:r>
              <w:rPr>
                <w:rFonts w:ascii="Carlito" w:hAnsi="Carlito"/>
                <w:b w:val="0"/>
                <w:i w:val="0"/>
                <w:sz w:val="19"/>
              </w:rPr>
              <w:t>258</w:t>
            </w:r>
          </w:p>
        </w:tc>
        <w:tc>
          <w:tcPr>
            <w:tcW w:type="dxa" w:w="1037"/>
          </w:tcPr>
          <w:p>
            <w:pPr>
              <w:spacing w:after="20" w:before="20"/>
              <w:jc w:val="center"/>
            </w:pPr>
            <w:r/>
            <w:r>
              <w:rPr>
                <w:rFonts w:ascii="Carlito" w:hAnsi="Carlito"/>
                <w:b w:val="0"/>
                <w:i w:val="0"/>
                <w:sz w:val="19"/>
              </w:rPr>
              <w:t>266</w:t>
            </w:r>
          </w:p>
        </w:tc>
        <w:tc>
          <w:tcPr>
            <w:tcW w:type="dxa" w:w="1037"/>
          </w:tcPr>
          <w:p>
            <w:pPr>
              <w:spacing w:after="20" w:before="20"/>
              <w:jc w:val="center"/>
            </w:pPr>
            <w:r/>
            <w:r>
              <w:rPr>
                <w:rFonts w:ascii="Carlito" w:hAnsi="Carlito"/>
                <w:b w:val="0"/>
                <w:i w:val="0"/>
                <w:sz w:val="19"/>
              </w:rPr>
              <w:t>274</w:t>
            </w:r>
          </w:p>
        </w:tc>
        <w:tc>
          <w:tcPr>
            <w:tcW w:type="dxa" w:w="1037"/>
          </w:tcPr>
          <w:p>
            <w:pPr>
              <w:spacing w:after="20" w:before="20"/>
              <w:jc w:val="center"/>
            </w:pPr>
            <w:r/>
            <w:r>
              <w:rPr>
                <w:rFonts w:ascii="Carlito" w:hAnsi="Carlito"/>
                <w:b w:val="0"/>
                <w:i w:val="0"/>
                <w:sz w:val="19"/>
              </w:rPr>
              <w:t>282</w:t>
            </w:r>
          </w:p>
        </w:tc>
      </w:tr>
      <w:tr>
        <w:tc>
          <w:tcPr>
            <w:tcW w:type="dxa" w:w="4032"/>
          </w:tcPr>
          <w:p>
            <w:pPr>
              <w:spacing w:after="20" w:before="20"/>
              <w:jc w:val="left"/>
            </w:pPr>
            <w:r/>
            <w:r>
              <w:rPr>
                <w:rFonts w:ascii="Carlito" w:hAnsi="Carlito"/>
                <w:b w:val="0"/>
                <w:i w:val="0"/>
                <w:sz w:val="19"/>
              </w:rPr>
              <w:t xml:space="preserve">  of which PP&amp;E (approx)</w:t>
            </w:r>
          </w:p>
        </w:tc>
        <w:tc>
          <w:tcPr>
            <w:tcW w:type="dxa" w:w="1037"/>
          </w:tcPr>
          <w:p>
            <w:pPr>
              <w:spacing w:after="20" w:before="20"/>
              <w:jc w:val="center"/>
            </w:pPr>
            <w:r/>
            <w:r>
              <w:rPr>
                <w:rFonts w:ascii="Carlito" w:hAnsi="Carlito"/>
                <w:b w:val="0"/>
                <w:i w:val="0"/>
                <w:sz w:val="19"/>
              </w:rPr>
              <w:t>150</w:t>
            </w:r>
          </w:p>
        </w:tc>
        <w:tc>
          <w:tcPr>
            <w:tcW w:type="dxa" w:w="1037"/>
          </w:tcPr>
          <w:p>
            <w:pPr>
              <w:spacing w:after="20" w:before="20"/>
              <w:jc w:val="center"/>
            </w:pPr>
            <w:r/>
            <w:r>
              <w:rPr>
                <w:rFonts w:ascii="Carlito" w:hAnsi="Carlito"/>
                <w:b w:val="0"/>
                <w:i w:val="0"/>
                <w:sz w:val="19"/>
              </w:rPr>
              <w:t>145</w:t>
            </w:r>
          </w:p>
        </w:tc>
        <w:tc>
          <w:tcPr>
            <w:tcW w:type="dxa" w:w="1037"/>
          </w:tcPr>
          <w:p>
            <w:pPr>
              <w:spacing w:after="20" w:before="20"/>
              <w:jc w:val="center"/>
            </w:pPr>
            <w:r/>
            <w:r>
              <w:rPr>
                <w:rFonts w:ascii="Carlito" w:hAnsi="Carlito"/>
                <w:b w:val="0"/>
                <w:i w:val="0"/>
                <w:sz w:val="19"/>
              </w:rPr>
              <w:t>140</w:t>
            </w:r>
          </w:p>
        </w:tc>
        <w:tc>
          <w:tcPr>
            <w:tcW w:type="dxa" w:w="1037"/>
          </w:tcPr>
          <w:p>
            <w:pPr>
              <w:spacing w:after="20" w:before="20"/>
              <w:jc w:val="center"/>
            </w:pPr>
            <w:r/>
            <w:r>
              <w:rPr>
                <w:rFonts w:ascii="Carlito" w:hAnsi="Carlito"/>
                <w:b w:val="0"/>
                <w:i w:val="0"/>
                <w:sz w:val="19"/>
              </w:rPr>
              <w:t>138</w:t>
            </w:r>
          </w:p>
        </w:tc>
        <w:tc>
          <w:tcPr>
            <w:tcW w:type="dxa" w:w="1037"/>
          </w:tcPr>
          <w:p>
            <w:pPr>
              <w:spacing w:after="20" w:before="20"/>
              <w:jc w:val="center"/>
            </w:pPr>
            <w:r/>
            <w:r>
              <w:rPr>
                <w:rFonts w:ascii="Carlito" w:hAnsi="Carlito"/>
                <w:b w:val="0"/>
                <w:i w:val="0"/>
                <w:sz w:val="19"/>
              </w:rPr>
              <w:t>137</w:t>
            </w:r>
          </w:p>
        </w:tc>
        <w:tc>
          <w:tcPr>
            <w:tcW w:type="dxa" w:w="1037"/>
          </w:tcPr>
          <w:p>
            <w:pPr>
              <w:spacing w:after="20" w:before="20"/>
              <w:jc w:val="center"/>
            </w:pPr>
            <w:r/>
            <w:r>
              <w:rPr>
                <w:rFonts w:ascii="Carlito" w:hAnsi="Carlito"/>
                <w:b w:val="0"/>
                <w:i w:val="0"/>
                <w:sz w:val="19"/>
              </w:rPr>
              <w:t>136</w:t>
            </w:r>
          </w:p>
        </w:tc>
        <w:tc>
          <w:tcPr>
            <w:tcW w:type="dxa" w:w="1037"/>
          </w:tcPr>
          <w:p>
            <w:pPr>
              <w:spacing w:after="20" w:before="20"/>
              <w:jc w:val="center"/>
            </w:pPr>
            <w:r/>
            <w:r>
              <w:rPr>
                <w:rFonts w:ascii="Carlito" w:hAnsi="Carlito"/>
                <w:b w:val="0"/>
                <w:i w:val="0"/>
                <w:sz w:val="19"/>
              </w:rPr>
              <w:t>136</w:t>
            </w:r>
          </w:p>
        </w:tc>
        <w:tc>
          <w:tcPr>
            <w:tcW w:type="dxa" w:w="1037"/>
          </w:tcPr>
          <w:p>
            <w:pPr>
              <w:spacing w:after="20" w:before="20"/>
              <w:jc w:val="center"/>
            </w:pPr>
            <w:r/>
            <w:r>
              <w:rPr>
                <w:rFonts w:ascii="Carlito" w:hAnsi="Carlito"/>
                <w:b w:val="0"/>
                <w:i w:val="0"/>
                <w:sz w:val="19"/>
              </w:rPr>
              <w:t>136</w:t>
            </w:r>
          </w:p>
        </w:tc>
      </w:tr>
      <w:tr>
        <w:tc>
          <w:tcPr>
            <w:tcW w:type="dxa" w:w="4032"/>
          </w:tcPr>
          <w:p>
            <w:pPr>
              <w:spacing w:after="20" w:before="20"/>
              <w:jc w:val="left"/>
            </w:pPr>
            <w:r/>
            <w:r>
              <w:rPr>
                <w:rFonts w:ascii="Carlito" w:hAnsi="Carlito"/>
                <w:b w:val="0"/>
                <w:i w:val="0"/>
                <w:sz w:val="19"/>
              </w:rPr>
              <w:t>Total debt (borrowings + leases)</w:t>
            </w:r>
          </w:p>
        </w:tc>
        <w:tc>
          <w:tcPr>
            <w:tcW w:type="dxa" w:w="1037"/>
          </w:tcPr>
          <w:p>
            <w:pPr>
              <w:spacing w:after="20" w:before="20"/>
              <w:jc w:val="center"/>
            </w:pPr>
            <w:r/>
            <w:r>
              <w:rPr>
                <w:rFonts w:ascii="Carlito" w:hAnsi="Carlito"/>
                <w:b w:val="0"/>
                <w:i w:val="0"/>
                <w:sz w:val="19"/>
              </w:rPr>
              <w:t>35.0</w:t>
            </w:r>
          </w:p>
        </w:tc>
        <w:tc>
          <w:tcPr>
            <w:tcW w:type="dxa" w:w="1037"/>
          </w:tcPr>
          <w:p>
            <w:pPr>
              <w:spacing w:after="20" w:before="20"/>
              <w:jc w:val="center"/>
            </w:pPr>
            <w:r/>
            <w:r>
              <w:rPr>
                <w:rFonts w:ascii="Carlito" w:hAnsi="Carlito"/>
                <w:b w:val="0"/>
                <w:i w:val="0"/>
                <w:sz w:val="19"/>
              </w:rPr>
              <w:t>34.0</w:t>
            </w:r>
          </w:p>
        </w:tc>
        <w:tc>
          <w:tcPr>
            <w:tcW w:type="dxa" w:w="1037"/>
          </w:tcPr>
          <w:p>
            <w:pPr>
              <w:spacing w:after="20" w:before="20"/>
              <w:jc w:val="center"/>
            </w:pPr>
            <w:r/>
            <w:r>
              <w:rPr>
                <w:rFonts w:ascii="Carlito" w:hAnsi="Carlito"/>
                <w:b w:val="0"/>
                <w:i w:val="0"/>
                <w:sz w:val="19"/>
              </w:rPr>
              <w:t>33.8</w:t>
            </w:r>
          </w:p>
        </w:tc>
        <w:tc>
          <w:tcPr>
            <w:tcW w:type="dxa" w:w="1037"/>
          </w:tcPr>
          <w:p>
            <w:pPr>
              <w:spacing w:after="20" w:before="20"/>
              <w:jc w:val="center"/>
            </w:pPr>
            <w:r/>
            <w:r>
              <w:rPr>
                <w:rFonts w:ascii="Carlito" w:hAnsi="Carlito"/>
                <w:b w:val="0"/>
                <w:i w:val="0"/>
                <w:sz w:val="19"/>
              </w:rPr>
              <w:t>33</w:t>
            </w:r>
          </w:p>
        </w:tc>
        <w:tc>
          <w:tcPr>
            <w:tcW w:type="dxa" w:w="1037"/>
          </w:tcPr>
          <w:p>
            <w:pPr>
              <w:spacing w:after="20" w:before="20"/>
              <w:jc w:val="center"/>
            </w:pPr>
            <w:r/>
            <w:r>
              <w:rPr>
                <w:rFonts w:ascii="Carlito" w:hAnsi="Carlito"/>
                <w:b w:val="0"/>
                <w:i w:val="0"/>
                <w:sz w:val="19"/>
              </w:rPr>
              <w:t>33</w:t>
            </w:r>
          </w:p>
        </w:tc>
        <w:tc>
          <w:tcPr>
            <w:tcW w:type="dxa" w:w="1037"/>
          </w:tcPr>
          <w:p>
            <w:pPr>
              <w:spacing w:after="20" w:before="20"/>
              <w:jc w:val="center"/>
            </w:pPr>
            <w:r/>
            <w:r>
              <w:rPr>
                <w:rFonts w:ascii="Carlito" w:hAnsi="Carlito"/>
                <w:b w:val="0"/>
                <w:i w:val="0"/>
                <w:sz w:val="19"/>
              </w:rPr>
              <w:t>33</w:t>
            </w:r>
          </w:p>
        </w:tc>
        <w:tc>
          <w:tcPr>
            <w:tcW w:type="dxa" w:w="1037"/>
          </w:tcPr>
          <w:p>
            <w:pPr>
              <w:spacing w:after="20" w:before="20"/>
              <w:jc w:val="center"/>
            </w:pPr>
            <w:r/>
            <w:r>
              <w:rPr>
                <w:rFonts w:ascii="Carlito" w:hAnsi="Carlito"/>
                <w:b w:val="0"/>
                <w:i w:val="0"/>
                <w:sz w:val="19"/>
              </w:rPr>
              <w:t>33</w:t>
            </w:r>
          </w:p>
        </w:tc>
        <w:tc>
          <w:tcPr>
            <w:tcW w:type="dxa" w:w="1037"/>
          </w:tcPr>
          <w:p>
            <w:pPr>
              <w:spacing w:after="20" w:before="20"/>
              <w:jc w:val="center"/>
            </w:pPr>
            <w:r/>
            <w:r>
              <w:rPr>
                <w:rFonts w:ascii="Carlito" w:hAnsi="Carlito"/>
                <w:b w:val="0"/>
                <w:i w:val="0"/>
                <w:sz w:val="19"/>
              </w:rPr>
              <w:t>33</w:t>
            </w:r>
          </w:p>
        </w:tc>
      </w:tr>
      <w:tr>
        <w:tc>
          <w:tcPr>
            <w:tcW w:type="dxa" w:w="4032"/>
          </w:tcPr>
          <w:p>
            <w:pPr>
              <w:spacing w:after="20" w:before="20"/>
              <w:jc w:val="left"/>
            </w:pPr>
            <w:r/>
            <w:r>
              <w:rPr>
                <w:rFonts w:ascii="Carlito" w:hAnsi="Carlito"/>
                <w:b w:val="0"/>
                <w:i w:val="0"/>
                <w:sz w:val="19"/>
              </w:rPr>
              <w:t>Cash + short-term investments</w:t>
            </w:r>
          </w:p>
        </w:tc>
        <w:tc>
          <w:tcPr>
            <w:tcW w:type="dxa" w:w="1037"/>
          </w:tcPr>
          <w:p>
            <w:pPr>
              <w:spacing w:after="20" w:before="20"/>
              <w:jc w:val="center"/>
            </w:pPr>
            <w:r/>
            <w:r>
              <w:rPr>
                <w:rFonts w:ascii="Carlito" w:hAnsi="Carlito"/>
                <w:b w:val="0"/>
                <w:i w:val="0"/>
                <w:sz w:val="19"/>
              </w:rPr>
              <w:t>43.8</w:t>
            </w:r>
          </w:p>
        </w:tc>
        <w:tc>
          <w:tcPr>
            <w:tcW w:type="dxa" w:w="1037"/>
          </w:tcPr>
          <w:p>
            <w:pPr>
              <w:spacing w:after="20" w:before="20"/>
              <w:jc w:val="center"/>
            </w:pPr>
            <w:r/>
            <w:r>
              <w:rPr>
                <w:rFonts w:ascii="Carlito" w:hAnsi="Carlito"/>
                <w:b w:val="0"/>
                <w:i w:val="0"/>
                <w:sz w:val="19"/>
              </w:rPr>
              <w:t>40.0</w:t>
            </w:r>
          </w:p>
        </w:tc>
        <w:tc>
          <w:tcPr>
            <w:tcW w:type="dxa" w:w="1037"/>
          </w:tcPr>
          <w:p>
            <w:pPr>
              <w:spacing w:after="20" w:before="20"/>
              <w:jc w:val="center"/>
            </w:pPr>
            <w:r/>
            <w:r>
              <w:rPr>
                <w:rFonts w:ascii="Carlito" w:hAnsi="Carlito"/>
                <w:b w:val="0"/>
                <w:i w:val="0"/>
                <w:sz w:val="19"/>
              </w:rPr>
              <w:t>38.0</w:t>
            </w:r>
          </w:p>
        </w:tc>
        <w:tc>
          <w:tcPr>
            <w:tcW w:type="dxa" w:w="1037"/>
          </w:tcPr>
          <w:p>
            <w:pPr>
              <w:spacing w:after="20" w:before="20"/>
              <w:jc w:val="center"/>
            </w:pPr>
            <w:r/>
            <w:r>
              <w:rPr>
                <w:rFonts w:ascii="Carlito" w:hAnsi="Carlito"/>
                <w:b w:val="0"/>
                <w:i w:val="0"/>
                <w:sz w:val="19"/>
              </w:rPr>
              <w:t>40</w:t>
            </w:r>
          </w:p>
        </w:tc>
        <w:tc>
          <w:tcPr>
            <w:tcW w:type="dxa" w:w="1037"/>
          </w:tcPr>
          <w:p>
            <w:pPr>
              <w:spacing w:after="20" w:before="20"/>
              <w:jc w:val="center"/>
            </w:pPr>
            <w:r/>
            <w:r>
              <w:rPr>
                <w:rFonts w:ascii="Carlito" w:hAnsi="Carlito"/>
                <w:b w:val="0"/>
                <w:i w:val="0"/>
                <w:sz w:val="19"/>
              </w:rPr>
              <w:t>44</w:t>
            </w:r>
          </w:p>
        </w:tc>
        <w:tc>
          <w:tcPr>
            <w:tcW w:type="dxa" w:w="1037"/>
          </w:tcPr>
          <w:p>
            <w:pPr>
              <w:spacing w:after="20" w:before="20"/>
              <w:jc w:val="center"/>
            </w:pPr>
            <w:r/>
            <w:r>
              <w:rPr>
                <w:rFonts w:ascii="Carlito" w:hAnsi="Carlito"/>
                <w:b w:val="0"/>
                <w:i w:val="0"/>
                <w:sz w:val="19"/>
              </w:rPr>
              <w:t>50</w:t>
            </w:r>
          </w:p>
        </w:tc>
        <w:tc>
          <w:tcPr>
            <w:tcW w:type="dxa" w:w="1037"/>
          </w:tcPr>
          <w:p>
            <w:pPr>
              <w:spacing w:after="20" w:before="20"/>
              <w:jc w:val="center"/>
            </w:pPr>
            <w:r/>
            <w:r>
              <w:rPr>
                <w:rFonts w:ascii="Carlito" w:hAnsi="Carlito"/>
                <w:b w:val="0"/>
                <w:i w:val="0"/>
                <w:sz w:val="19"/>
              </w:rPr>
              <w:t>57</w:t>
            </w:r>
          </w:p>
        </w:tc>
        <w:tc>
          <w:tcPr>
            <w:tcW w:type="dxa" w:w="1037"/>
          </w:tcPr>
          <w:p>
            <w:pPr>
              <w:spacing w:after="20" w:before="20"/>
              <w:jc w:val="center"/>
            </w:pPr>
            <w:r/>
            <w:r>
              <w:rPr>
                <w:rFonts w:ascii="Carlito" w:hAnsi="Carlito"/>
                <w:b w:val="0"/>
                <w:i w:val="0"/>
                <w:sz w:val="19"/>
              </w:rPr>
              <w:t>64</w:t>
            </w:r>
          </w:p>
        </w:tc>
      </w:tr>
      <w:tr>
        <w:tc>
          <w:tcPr>
            <w:tcW w:type="dxa" w:w="4032"/>
          </w:tcPr>
          <w:p>
            <w:pPr>
              <w:spacing w:after="20" w:before="20"/>
              <w:jc w:val="left"/>
            </w:pPr>
            <w:r/>
            <w:r>
              <w:rPr>
                <w:rFonts w:ascii="Carlito" w:hAnsi="Carlito"/>
                <w:b w:val="0"/>
                <w:i w:val="0"/>
                <w:sz w:val="19"/>
              </w:rPr>
              <w:t>Net debt (+) / net cash (−)</w:t>
            </w:r>
          </w:p>
        </w:tc>
        <w:tc>
          <w:tcPr>
            <w:tcW w:type="dxa" w:w="1037"/>
          </w:tcPr>
          <w:p>
            <w:pPr>
              <w:spacing w:after="20" w:before="20"/>
              <w:jc w:val="center"/>
            </w:pPr>
            <w:r/>
            <w:r>
              <w:rPr>
                <w:rFonts w:ascii="Carlito" w:hAnsi="Carlito"/>
                <w:b w:val="0"/>
                <w:i w:val="0"/>
                <w:sz w:val="19"/>
              </w:rPr>
              <w:t>(8.8)</w:t>
            </w:r>
          </w:p>
        </w:tc>
        <w:tc>
          <w:tcPr>
            <w:tcW w:type="dxa" w:w="1037"/>
          </w:tcPr>
          <w:p>
            <w:pPr>
              <w:spacing w:after="20" w:before="20"/>
              <w:jc w:val="center"/>
            </w:pPr>
            <w:r/>
            <w:r>
              <w:rPr>
                <w:rFonts w:ascii="Carlito" w:hAnsi="Carlito"/>
                <w:b w:val="0"/>
                <w:i w:val="0"/>
                <w:sz w:val="19"/>
              </w:rPr>
              <w:t>(6.0)</w:t>
            </w:r>
          </w:p>
        </w:tc>
        <w:tc>
          <w:tcPr>
            <w:tcW w:type="dxa" w:w="1037"/>
          </w:tcPr>
          <w:p>
            <w:pPr>
              <w:spacing w:after="20" w:before="20"/>
              <w:jc w:val="center"/>
            </w:pPr>
            <w:r/>
            <w:r>
              <w:rPr>
                <w:rFonts w:ascii="Carlito" w:hAnsi="Carlito"/>
                <w:b w:val="0"/>
                <w:i w:val="0"/>
                <w:sz w:val="19"/>
              </w:rPr>
              <w:t>0.0</w:t>
            </w:r>
          </w:p>
        </w:tc>
        <w:tc>
          <w:tcPr>
            <w:tcW w:type="dxa" w:w="1037"/>
          </w:tcPr>
          <w:p>
            <w:pPr>
              <w:spacing w:after="20" w:before="20"/>
              <w:jc w:val="center"/>
            </w:pPr>
            <w:r/>
            <w:r>
              <w:rPr>
                <w:rFonts w:ascii="Carlito" w:hAnsi="Carlito"/>
                <w:b w:val="0"/>
                <w:i w:val="0"/>
                <w:sz w:val="19"/>
              </w:rPr>
              <w:t>(7)</w:t>
            </w:r>
          </w:p>
        </w:tc>
        <w:tc>
          <w:tcPr>
            <w:tcW w:type="dxa" w:w="1037"/>
          </w:tcPr>
          <w:p>
            <w:pPr>
              <w:spacing w:after="20" w:before="20"/>
              <w:jc w:val="center"/>
            </w:pPr>
            <w:r/>
            <w:r>
              <w:rPr>
                <w:rFonts w:ascii="Carlito" w:hAnsi="Carlito"/>
                <w:b w:val="0"/>
                <w:i w:val="0"/>
                <w:sz w:val="19"/>
              </w:rPr>
              <w:t>(11)</w:t>
            </w:r>
          </w:p>
        </w:tc>
        <w:tc>
          <w:tcPr>
            <w:tcW w:type="dxa" w:w="1037"/>
          </w:tcPr>
          <w:p>
            <w:pPr>
              <w:spacing w:after="20" w:before="20"/>
              <w:jc w:val="center"/>
            </w:pPr>
            <w:r/>
            <w:r>
              <w:rPr>
                <w:rFonts w:ascii="Carlito" w:hAnsi="Carlito"/>
                <w:b w:val="0"/>
                <w:i w:val="0"/>
                <w:sz w:val="19"/>
              </w:rPr>
              <w:t>(17)</w:t>
            </w:r>
          </w:p>
        </w:tc>
        <w:tc>
          <w:tcPr>
            <w:tcW w:type="dxa" w:w="1037"/>
          </w:tcPr>
          <w:p>
            <w:pPr>
              <w:spacing w:after="20" w:before="20"/>
              <w:jc w:val="center"/>
            </w:pPr>
            <w:r/>
            <w:r>
              <w:rPr>
                <w:rFonts w:ascii="Carlito" w:hAnsi="Carlito"/>
                <w:b w:val="0"/>
                <w:i w:val="0"/>
                <w:sz w:val="19"/>
              </w:rPr>
              <w:t>(24)</w:t>
            </w:r>
          </w:p>
        </w:tc>
        <w:tc>
          <w:tcPr>
            <w:tcW w:type="dxa" w:w="1037"/>
          </w:tcPr>
          <w:p>
            <w:pPr>
              <w:spacing w:after="20" w:before="20"/>
              <w:jc w:val="center"/>
            </w:pPr>
            <w:r/>
            <w:r>
              <w:rPr>
                <w:rFonts w:ascii="Carlito" w:hAnsi="Carlito"/>
                <w:b w:val="0"/>
                <w:i w:val="0"/>
                <w:sz w:val="19"/>
              </w:rPr>
              <w:t>(31)</w:t>
            </w:r>
          </w:p>
        </w:tc>
      </w:tr>
      <w:tr>
        <w:tc>
          <w:tcPr>
            <w:tcW w:type="dxa" w:w="4032"/>
          </w:tcPr>
          <w:p>
            <w:pPr>
              <w:spacing w:after="20" w:before="20"/>
              <w:jc w:val="left"/>
            </w:pPr>
            <w:r/>
            <w:r>
              <w:rPr>
                <w:rFonts w:ascii="Carlito" w:hAnsi="Carlito"/>
                <w:b w:val="0"/>
                <w:i w:val="0"/>
                <w:sz w:val="19"/>
              </w:rPr>
              <w:t>Equity (attributable to Parent)</w:t>
            </w:r>
          </w:p>
        </w:tc>
        <w:tc>
          <w:tcPr>
            <w:tcW w:type="dxa" w:w="1037"/>
          </w:tcPr>
          <w:p>
            <w:pPr>
              <w:spacing w:after="20" w:before="20"/>
              <w:jc w:val="center"/>
            </w:pPr>
            <w:r/>
            <w:r>
              <w:rPr>
                <w:rFonts w:ascii="Carlito" w:hAnsi="Carlito"/>
                <w:b w:val="0"/>
                <w:i w:val="0"/>
                <w:sz w:val="19"/>
              </w:rPr>
              <w:t>167.4</w:t>
            </w:r>
          </w:p>
        </w:tc>
        <w:tc>
          <w:tcPr>
            <w:tcW w:type="dxa" w:w="1037"/>
          </w:tcPr>
          <w:p>
            <w:pPr>
              <w:spacing w:after="20" w:before="20"/>
              <w:jc w:val="center"/>
            </w:pPr>
            <w:r/>
            <w:r>
              <w:rPr>
                <w:rFonts w:ascii="Carlito" w:hAnsi="Carlito"/>
                <w:b w:val="0"/>
                <w:i w:val="0"/>
                <w:sz w:val="19"/>
              </w:rPr>
              <w:t>156.4</w:t>
            </w:r>
          </w:p>
        </w:tc>
        <w:tc>
          <w:tcPr>
            <w:tcW w:type="dxa" w:w="1037"/>
          </w:tcPr>
          <w:p>
            <w:pPr>
              <w:spacing w:after="20" w:before="20"/>
              <w:jc w:val="center"/>
            </w:pPr>
            <w:r/>
            <w:r>
              <w:rPr>
                <w:rFonts w:ascii="Carlito" w:hAnsi="Carlito"/>
                <w:b w:val="0"/>
                <w:i w:val="0"/>
                <w:sz w:val="19"/>
              </w:rPr>
              <w:t>128.7</w:t>
            </w:r>
          </w:p>
        </w:tc>
        <w:tc>
          <w:tcPr>
            <w:tcW w:type="dxa" w:w="1037"/>
          </w:tcPr>
          <w:p>
            <w:pPr>
              <w:spacing w:after="20" w:before="20"/>
              <w:jc w:val="center"/>
            </w:pPr>
            <w:r/>
            <w:r>
              <w:rPr>
                <w:rFonts w:ascii="Carlito" w:hAnsi="Carlito"/>
                <w:b w:val="0"/>
                <w:i w:val="0"/>
                <w:sz w:val="19"/>
              </w:rPr>
              <w:t>131</w:t>
            </w:r>
          </w:p>
        </w:tc>
        <w:tc>
          <w:tcPr>
            <w:tcW w:type="dxa" w:w="1037"/>
          </w:tcPr>
          <w:p>
            <w:pPr>
              <w:spacing w:after="20" w:before="20"/>
              <w:jc w:val="center"/>
            </w:pPr>
            <w:r/>
            <w:r>
              <w:rPr>
                <w:rFonts w:ascii="Carlito" w:hAnsi="Carlito"/>
                <w:b w:val="0"/>
                <w:i w:val="0"/>
                <w:sz w:val="19"/>
              </w:rPr>
              <w:t>135</w:t>
            </w:r>
          </w:p>
        </w:tc>
        <w:tc>
          <w:tcPr>
            <w:tcW w:type="dxa" w:w="1037"/>
          </w:tcPr>
          <w:p>
            <w:pPr>
              <w:spacing w:after="20" w:before="20"/>
              <w:jc w:val="center"/>
            </w:pPr>
            <w:r/>
            <w:r>
              <w:rPr>
                <w:rFonts w:ascii="Carlito" w:hAnsi="Carlito"/>
                <w:b w:val="0"/>
                <w:i w:val="0"/>
                <w:sz w:val="19"/>
              </w:rPr>
              <w:t>141</w:t>
            </w:r>
          </w:p>
        </w:tc>
        <w:tc>
          <w:tcPr>
            <w:tcW w:type="dxa" w:w="1037"/>
          </w:tcPr>
          <w:p>
            <w:pPr>
              <w:spacing w:after="20" w:before="20"/>
              <w:jc w:val="center"/>
            </w:pPr>
            <w:r/>
            <w:r>
              <w:rPr>
                <w:rFonts w:ascii="Carlito" w:hAnsi="Carlito"/>
                <w:b w:val="0"/>
                <w:i w:val="0"/>
                <w:sz w:val="19"/>
              </w:rPr>
              <w:t>148</w:t>
            </w:r>
          </w:p>
        </w:tc>
        <w:tc>
          <w:tcPr>
            <w:tcW w:type="dxa" w:w="1037"/>
          </w:tcPr>
          <w:p>
            <w:pPr>
              <w:spacing w:after="20" w:before="20"/>
              <w:jc w:val="center"/>
            </w:pPr>
            <w:r/>
            <w:r>
              <w:rPr>
                <w:rFonts w:ascii="Carlito" w:hAnsi="Carlito"/>
                <w:b w:val="0"/>
                <w:i w:val="0"/>
                <w:sz w:val="19"/>
              </w:rPr>
              <w:t>157</w:t>
            </w:r>
          </w:p>
        </w:tc>
      </w:tr>
    </w:tbl>
    <w:p>
      <w:pPr>
        <w:spacing w:after="40"/>
      </w:pPr>
    </w:p>
    <w:p>
      <w:r>
        <w:rPr>
          <w:rFonts w:ascii="Carlito" w:hAnsi="Carlito"/>
          <w:i/>
          <w:sz w:val="17"/>
        </w:rPr>
        <w:t>Forward cash build assumes dividends ≈ free cash with modest net-cash accumulation as mid-cycle FCF recovers; illustrative, flagged estimate. A+/A1 rated. Source: SABIC FY2023–25.</w:t>
      </w:r>
    </w:p>
    <w:p>
      <w:pPr>
        <w:spacing w:before="200" w:after="60"/>
      </w:pPr>
      <w:r>
        <w:rPr>
          <w:rFonts w:ascii="Carlito" w:hAnsi="Carlito"/>
          <w:b/>
          <w:color w:val="896F36"/>
          <w:sz w:val="23"/>
        </w:rPr>
        <w:t>A.3  Cash flow — 3-year historical + 5-year forecast (SAR bn)</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960"/>
        <w:gridCol w:w="960"/>
        <w:gridCol w:w="960"/>
        <w:gridCol w:w="960"/>
        <w:gridCol w:w="960"/>
        <w:gridCol w:w="960"/>
        <w:gridCol w:w="960"/>
        <w:gridCol w:w="960"/>
        <w:gridCol w:w="960"/>
      </w:tblGrid>
      <w:tr>
        <w:tc>
          <w:tcPr>
            <w:tcW w:type="dxa" w:w="4032"/>
            <w:shd w:val="clear" w:fill="1C3A36"/>
          </w:tcPr>
          <w:p>
            <w:pPr>
              <w:spacing w:after="20" w:before="20"/>
              <w:jc w:val="left"/>
            </w:pPr>
            <w:r/>
            <w:r>
              <w:rPr>
                <w:rFonts w:ascii="Carlito" w:hAnsi="Carlito"/>
                <w:b/>
                <w:i w:val="0"/>
                <w:color w:val="FFFFFF"/>
                <w:sz w:val="19"/>
              </w:rPr>
              <w:t>Line</w:t>
            </w:r>
          </w:p>
        </w:tc>
        <w:tc>
          <w:tcPr>
            <w:tcW w:type="dxa" w:w="1037"/>
            <w:shd w:val="clear" w:fill="1C3A36"/>
          </w:tcPr>
          <w:p>
            <w:pPr>
              <w:spacing w:after="20" w:before="20"/>
              <w:jc w:val="center"/>
            </w:pPr>
            <w:r/>
            <w:r>
              <w:rPr>
                <w:rFonts w:ascii="Carlito" w:hAnsi="Carlito"/>
                <w:b/>
                <w:i w:val="0"/>
                <w:color w:val="FFFFFF"/>
                <w:sz w:val="19"/>
              </w:rPr>
              <w:t>2023A</w:t>
            </w:r>
          </w:p>
        </w:tc>
        <w:tc>
          <w:tcPr>
            <w:tcW w:type="dxa" w:w="1037"/>
            <w:shd w:val="clear" w:fill="1C3A36"/>
          </w:tcPr>
          <w:p>
            <w:pPr>
              <w:spacing w:after="20" w:before="20"/>
              <w:jc w:val="center"/>
            </w:pPr>
            <w:r/>
            <w:r>
              <w:rPr>
                <w:rFonts w:ascii="Carlito" w:hAnsi="Carlito"/>
                <w:b/>
                <w:i w:val="0"/>
                <w:color w:val="FFFFFF"/>
                <w:sz w:val="19"/>
              </w:rPr>
              <w:t>2024A</w:t>
            </w:r>
          </w:p>
        </w:tc>
        <w:tc>
          <w:tcPr>
            <w:tcW w:type="dxa" w:w="1037"/>
            <w:shd w:val="clear" w:fill="1C3A36"/>
          </w:tcPr>
          <w:p>
            <w:pPr>
              <w:spacing w:after="20" w:before="20"/>
              <w:jc w:val="center"/>
            </w:pPr>
            <w:r/>
            <w:r>
              <w:rPr>
                <w:rFonts w:ascii="Carlito" w:hAnsi="Carlito"/>
                <w:b/>
                <w:i w:val="0"/>
                <w:color w:val="FFFFFF"/>
                <w:sz w:val="19"/>
              </w:rPr>
              <w:t>2025A</w:t>
            </w:r>
          </w:p>
        </w:tc>
        <w:tc>
          <w:tcPr>
            <w:tcW w:type="dxa" w:w="1037"/>
            <w:shd w:val="clear" w:fill="1C3A36"/>
          </w:tcPr>
          <w:p>
            <w:pPr>
              <w:spacing w:after="20" w:before="20"/>
              <w:jc w:val="center"/>
            </w:pPr>
            <w:r/>
            <w:r>
              <w:rPr>
                <w:rFonts w:ascii="Carlito" w:hAnsi="Carlito"/>
                <w:b/>
                <w:i w:val="0"/>
                <w:color w:val="FFFFFF"/>
                <w:sz w:val="19"/>
              </w:rPr>
              <w:t>2026E</w:t>
            </w:r>
          </w:p>
        </w:tc>
        <w:tc>
          <w:tcPr>
            <w:tcW w:type="dxa" w:w="1037"/>
            <w:shd w:val="clear" w:fill="1C3A36"/>
          </w:tcPr>
          <w:p>
            <w:pPr>
              <w:spacing w:after="20" w:before="20"/>
              <w:jc w:val="center"/>
            </w:pPr>
            <w:r/>
            <w:r>
              <w:rPr>
                <w:rFonts w:ascii="Carlito" w:hAnsi="Carlito"/>
                <w:b/>
                <w:i w:val="0"/>
                <w:color w:val="FFFFFF"/>
                <w:sz w:val="19"/>
              </w:rPr>
              <w:t>2027E</w:t>
            </w:r>
          </w:p>
        </w:tc>
        <w:tc>
          <w:tcPr>
            <w:tcW w:type="dxa" w:w="1037"/>
            <w:shd w:val="clear" w:fill="1C3A36"/>
          </w:tcPr>
          <w:p>
            <w:pPr>
              <w:spacing w:after="20" w:before="20"/>
              <w:jc w:val="center"/>
            </w:pPr>
            <w:r/>
            <w:r>
              <w:rPr>
                <w:rFonts w:ascii="Carlito" w:hAnsi="Carlito"/>
                <w:b/>
                <w:i w:val="0"/>
                <w:color w:val="FFFFFF"/>
                <w:sz w:val="19"/>
              </w:rPr>
              <w:t>2028E</w:t>
            </w:r>
          </w:p>
        </w:tc>
        <w:tc>
          <w:tcPr>
            <w:tcW w:type="dxa" w:w="1037"/>
            <w:shd w:val="clear" w:fill="1C3A36"/>
          </w:tcPr>
          <w:p>
            <w:pPr>
              <w:spacing w:after="20" w:before="20"/>
              <w:jc w:val="center"/>
            </w:pPr>
            <w:r/>
            <w:r>
              <w:rPr>
                <w:rFonts w:ascii="Carlito" w:hAnsi="Carlito"/>
                <w:b/>
                <w:i w:val="0"/>
                <w:color w:val="FFFFFF"/>
                <w:sz w:val="19"/>
              </w:rPr>
              <w:t>2029E</w:t>
            </w:r>
          </w:p>
        </w:tc>
        <w:tc>
          <w:tcPr>
            <w:tcW w:type="dxa" w:w="1037"/>
            <w:shd w:val="clear" w:fill="1C3A36"/>
          </w:tcPr>
          <w:p>
            <w:pPr>
              <w:spacing w:after="20" w:before="20"/>
              <w:jc w:val="center"/>
            </w:pPr>
            <w:r/>
            <w:r>
              <w:rPr>
                <w:rFonts w:ascii="Carlito" w:hAnsi="Carlito"/>
                <w:b/>
                <w:i w:val="0"/>
                <w:color w:val="FFFFFF"/>
                <w:sz w:val="19"/>
              </w:rPr>
              <w:t>2030E</w:t>
            </w:r>
          </w:p>
        </w:tc>
      </w:tr>
      <w:tr>
        <w:tc>
          <w:tcPr>
            <w:tcW w:type="dxa" w:w="4032"/>
          </w:tcPr>
          <w:p>
            <w:pPr>
              <w:spacing w:after="20" w:before="20"/>
              <w:jc w:val="left"/>
            </w:pPr>
            <w:r/>
            <w:r>
              <w:rPr>
                <w:rFonts w:ascii="Carlito" w:hAnsi="Carlito"/>
                <w:b w:val="0"/>
                <w:i w:val="0"/>
                <w:sz w:val="19"/>
              </w:rPr>
              <w:t>Cash from operations</w:t>
            </w:r>
          </w:p>
        </w:tc>
        <w:tc>
          <w:tcPr>
            <w:tcW w:type="dxa" w:w="1037"/>
          </w:tcPr>
          <w:p>
            <w:pPr>
              <w:spacing w:after="20" w:before="20"/>
              <w:jc w:val="center"/>
            </w:pPr>
            <w:r/>
            <w:r>
              <w:rPr>
                <w:rFonts w:ascii="Carlito" w:hAnsi="Carlito"/>
                <w:b w:val="0"/>
                <w:i w:val="0"/>
                <w:sz w:val="19"/>
              </w:rPr>
              <w:t>24.5</w:t>
            </w:r>
          </w:p>
        </w:tc>
        <w:tc>
          <w:tcPr>
            <w:tcW w:type="dxa" w:w="1037"/>
          </w:tcPr>
          <w:p>
            <w:pPr>
              <w:spacing w:after="20" w:before="20"/>
              <w:jc w:val="center"/>
            </w:pPr>
            <w:r/>
            <w:r>
              <w:rPr>
                <w:rFonts w:ascii="Carlito" w:hAnsi="Carlito"/>
                <w:b w:val="0"/>
                <w:i w:val="0"/>
                <w:sz w:val="19"/>
              </w:rPr>
              <w:t>16.4</w:t>
            </w:r>
          </w:p>
        </w:tc>
        <w:tc>
          <w:tcPr>
            <w:tcW w:type="dxa" w:w="1037"/>
          </w:tcPr>
          <w:p>
            <w:pPr>
              <w:spacing w:after="20" w:before="20"/>
              <w:jc w:val="center"/>
            </w:pPr>
            <w:r/>
            <w:r>
              <w:rPr>
                <w:rFonts w:ascii="Carlito" w:hAnsi="Carlito"/>
                <w:b w:val="0"/>
                <w:i w:val="0"/>
                <w:sz w:val="19"/>
              </w:rPr>
              <w:t>16.0</w:t>
            </w:r>
          </w:p>
        </w:tc>
        <w:tc>
          <w:tcPr>
            <w:tcW w:type="dxa" w:w="1037"/>
          </w:tcPr>
          <w:p>
            <w:pPr>
              <w:spacing w:after="20" w:before="20"/>
              <w:jc w:val="center"/>
            </w:pPr>
            <w:r/>
            <w:r>
              <w:rPr>
                <w:rFonts w:ascii="Carlito" w:hAnsi="Carlito"/>
                <w:b w:val="0"/>
                <w:i w:val="0"/>
                <w:sz w:val="19"/>
              </w:rPr>
              <w:t>17.4</w:t>
            </w:r>
          </w:p>
        </w:tc>
        <w:tc>
          <w:tcPr>
            <w:tcW w:type="dxa" w:w="1037"/>
          </w:tcPr>
          <w:p>
            <w:pPr>
              <w:spacing w:after="20" w:before="20"/>
              <w:jc w:val="center"/>
            </w:pPr>
            <w:r/>
            <w:r>
              <w:rPr>
                <w:rFonts w:ascii="Carlito" w:hAnsi="Carlito"/>
                <w:b w:val="0"/>
                <w:i w:val="0"/>
                <w:sz w:val="19"/>
              </w:rPr>
              <w:t>18.9</w:t>
            </w:r>
          </w:p>
        </w:tc>
        <w:tc>
          <w:tcPr>
            <w:tcW w:type="dxa" w:w="1037"/>
          </w:tcPr>
          <w:p>
            <w:pPr>
              <w:spacing w:after="20" w:before="20"/>
              <w:jc w:val="center"/>
            </w:pPr>
            <w:r/>
            <w:r>
              <w:rPr>
                <w:rFonts w:ascii="Carlito" w:hAnsi="Carlito"/>
                <w:b w:val="0"/>
                <w:i w:val="0"/>
                <w:sz w:val="19"/>
              </w:rPr>
              <w:t>20.2</w:t>
            </w:r>
          </w:p>
        </w:tc>
        <w:tc>
          <w:tcPr>
            <w:tcW w:type="dxa" w:w="1037"/>
          </w:tcPr>
          <w:p>
            <w:pPr>
              <w:spacing w:after="20" w:before="20"/>
              <w:jc w:val="center"/>
            </w:pPr>
            <w:r/>
            <w:r>
              <w:rPr>
                <w:rFonts w:ascii="Carlito" w:hAnsi="Carlito"/>
                <w:b w:val="0"/>
                <w:i w:val="0"/>
                <w:sz w:val="19"/>
              </w:rPr>
              <w:t>21.9</w:t>
            </w:r>
          </w:p>
        </w:tc>
        <w:tc>
          <w:tcPr>
            <w:tcW w:type="dxa" w:w="1037"/>
          </w:tcPr>
          <w:p>
            <w:pPr>
              <w:spacing w:after="20" w:before="20"/>
              <w:jc w:val="center"/>
            </w:pPr>
            <w:r/>
            <w:r>
              <w:rPr>
                <w:rFonts w:ascii="Carlito" w:hAnsi="Carlito"/>
                <w:b w:val="0"/>
                <w:i w:val="0"/>
                <w:sz w:val="19"/>
              </w:rPr>
              <w:t>23.3</w:t>
            </w:r>
          </w:p>
        </w:tc>
      </w:tr>
      <w:tr>
        <w:tc>
          <w:tcPr>
            <w:tcW w:type="dxa" w:w="4032"/>
          </w:tcPr>
          <w:p>
            <w:pPr>
              <w:spacing w:after="20" w:before="20"/>
              <w:jc w:val="left"/>
            </w:pPr>
            <w:r/>
            <w:r>
              <w:rPr>
                <w:rFonts w:ascii="Carlito" w:hAnsi="Carlito"/>
                <w:b w:val="0"/>
                <w:i w:val="0"/>
                <w:sz w:val="19"/>
              </w:rPr>
              <w:t>less: Capex</w:t>
            </w:r>
          </w:p>
        </w:tc>
        <w:tc>
          <w:tcPr>
            <w:tcW w:type="dxa" w:w="1037"/>
          </w:tcPr>
          <w:p>
            <w:pPr>
              <w:spacing w:after="20" w:before="20"/>
              <w:jc w:val="center"/>
            </w:pPr>
            <w:r/>
            <w:r>
              <w:rPr>
                <w:rFonts w:ascii="Carlito" w:hAnsi="Carlito"/>
                <w:b w:val="0"/>
                <w:i w:val="0"/>
                <w:sz w:val="19"/>
              </w:rPr>
              <w:t>(11.8)</w:t>
            </w:r>
          </w:p>
        </w:tc>
        <w:tc>
          <w:tcPr>
            <w:tcW w:type="dxa" w:w="1037"/>
          </w:tcPr>
          <w:p>
            <w:pPr>
              <w:spacing w:after="20" w:before="20"/>
              <w:jc w:val="center"/>
            </w:pPr>
            <w:r/>
            <w:r>
              <w:rPr>
                <w:rFonts w:ascii="Carlito" w:hAnsi="Carlito"/>
                <w:b w:val="0"/>
                <w:i w:val="0"/>
                <w:sz w:val="19"/>
              </w:rPr>
              <w:t>(8.0)</w:t>
            </w:r>
          </w:p>
        </w:tc>
        <w:tc>
          <w:tcPr>
            <w:tcW w:type="dxa" w:w="1037"/>
          </w:tcPr>
          <w:p>
            <w:pPr>
              <w:spacing w:after="20" w:before="20"/>
              <w:jc w:val="center"/>
            </w:pPr>
            <w:r/>
            <w:r>
              <w:rPr>
                <w:rFonts w:ascii="Carlito" w:hAnsi="Carlito"/>
                <w:b w:val="0"/>
                <w:i w:val="0"/>
                <w:sz w:val="19"/>
              </w:rPr>
              <w:t>(7.7)</w:t>
            </w:r>
          </w:p>
        </w:tc>
        <w:tc>
          <w:tcPr>
            <w:tcW w:type="dxa" w:w="1037"/>
          </w:tcPr>
          <w:p>
            <w:pPr>
              <w:spacing w:after="20" w:before="20"/>
              <w:jc w:val="center"/>
            </w:pPr>
            <w:r/>
            <w:r>
              <w:rPr>
                <w:rFonts w:ascii="Carlito" w:hAnsi="Carlito"/>
                <w:b w:val="0"/>
                <w:i w:val="0"/>
                <w:sz w:val="19"/>
              </w:rPr>
              <w:t>(9.0)</w:t>
            </w:r>
          </w:p>
        </w:tc>
        <w:tc>
          <w:tcPr>
            <w:tcW w:type="dxa" w:w="1037"/>
          </w:tcPr>
          <w:p>
            <w:pPr>
              <w:spacing w:after="20" w:before="20"/>
              <w:jc w:val="center"/>
            </w:pPr>
            <w:r/>
            <w:r>
              <w:rPr>
                <w:rFonts w:ascii="Carlito" w:hAnsi="Carlito"/>
                <w:b w:val="0"/>
                <w:i w:val="0"/>
                <w:sz w:val="19"/>
              </w:rPr>
              <w:t>(8.5)</w:t>
            </w:r>
          </w:p>
        </w:tc>
        <w:tc>
          <w:tcPr>
            <w:tcW w:type="dxa" w:w="1037"/>
          </w:tcPr>
          <w:p>
            <w:pPr>
              <w:spacing w:after="20" w:before="20"/>
              <w:jc w:val="center"/>
            </w:pPr>
            <w:r/>
            <w:r>
              <w:rPr>
                <w:rFonts w:ascii="Carlito" w:hAnsi="Carlito"/>
                <w:b w:val="0"/>
                <w:i w:val="0"/>
                <w:sz w:val="19"/>
              </w:rPr>
              <w:t>(8.0)</w:t>
            </w:r>
          </w:p>
        </w:tc>
        <w:tc>
          <w:tcPr>
            <w:tcW w:type="dxa" w:w="1037"/>
          </w:tcPr>
          <w:p>
            <w:pPr>
              <w:spacing w:after="20" w:before="20"/>
              <w:jc w:val="center"/>
            </w:pPr>
            <w:r/>
            <w:r>
              <w:rPr>
                <w:rFonts w:ascii="Carlito" w:hAnsi="Carlito"/>
                <w:b w:val="0"/>
                <w:i w:val="0"/>
                <w:sz w:val="19"/>
              </w:rPr>
              <w:t>(8.0)</w:t>
            </w:r>
          </w:p>
        </w:tc>
        <w:tc>
          <w:tcPr>
            <w:tcW w:type="dxa" w:w="1037"/>
          </w:tcPr>
          <w:p>
            <w:pPr>
              <w:spacing w:after="20" w:before="20"/>
              <w:jc w:val="center"/>
            </w:pPr>
            <w:r/>
            <w:r>
              <w:rPr>
                <w:rFonts w:ascii="Carlito" w:hAnsi="Carlito"/>
                <w:b w:val="0"/>
                <w:i w:val="0"/>
                <w:sz w:val="19"/>
              </w:rPr>
              <w:t>(8.0)</w:t>
            </w:r>
          </w:p>
        </w:tc>
      </w:tr>
      <w:tr>
        <w:tc>
          <w:tcPr>
            <w:tcW w:type="dxa" w:w="4032"/>
          </w:tcPr>
          <w:p>
            <w:pPr>
              <w:spacing w:after="20" w:before="20"/>
              <w:jc w:val="left"/>
            </w:pPr>
            <w:r/>
            <w:r>
              <w:rPr>
                <w:rFonts w:ascii="Carlito" w:hAnsi="Carlito"/>
                <w:b w:val="0"/>
                <w:i w:val="0"/>
                <w:sz w:val="19"/>
              </w:rPr>
              <w:t>Free cash flow</w:t>
            </w:r>
          </w:p>
        </w:tc>
        <w:tc>
          <w:tcPr>
            <w:tcW w:type="dxa" w:w="1037"/>
          </w:tcPr>
          <w:p>
            <w:pPr>
              <w:spacing w:after="20" w:before="20"/>
              <w:jc w:val="center"/>
            </w:pPr>
            <w:r/>
            <w:r>
              <w:rPr>
                <w:rFonts w:ascii="Carlito" w:hAnsi="Carlito"/>
                <w:b w:val="0"/>
                <w:i w:val="0"/>
                <w:sz w:val="19"/>
              </w:rPr>
              <w:t>12.7</w:t>
            </w:r>
          </w:p>
        </w:tc>
        <w:tc>
          <w:tcPr>
            <w:tcW w:type="dxa" w:w="1037"/>
          </w:tcPr>
          <w:p>
            <w:pPr>
              <w:spacing w:after="20" w:before="20"/>
              <w:jc w:val="center"/>
            </w:pPr>
            <w:r/>
            <w:r>
              <w:rPr>
                <w:rFonts w:ascii="Carlito" w:hAnsi="Carlito"/>
                <w:b w:val="0"/>
                <w:i w:val="0"/>
                <w:sz w:val="19"/>
              </w:rPr>
              <w:t>8.4</w:t>
            </w:r>
          </w:p>
        </w:tc>
        <w:tc>
          <w:tcPr>
            <w:tcW w:type="dxa" w:w="1037"/>
          </w:tcPr>
          <w:p>
            <w:pPr>
              <w:spacing w:after="20" w:before="20"/>
              <w:jc w:val="center"/>
            </w:pPr>
            <w:r/>
            <w:r>
              <w:rPr>
                <w:rFonts w:ascii="Carlito" w:hAnsi="Carlito"/>
                <w:b w:val="0"/>
                <w:i w:val="0"/>
                <w:sz w:val="19"/>
              </w:rPr>
              <w:t>8.2</w:t>
            </w:r>
          </w:p>
        </w:tc>
        <w:tc>
          <w:tcPr>
            <w:tcW w:type="dxa" w:w="1037"/>
          </w:tcPr>
          <w:p>
            <w:pPr>
              <w:spacing w:after="20" w:before="20"/>
              <w:jc w:val="center"/>
            </w:pPr>
            <w:r/>
            <w:r>
              <w:rPr>
                <w:rFonts w:ascii="Carlito" w:hAnsi="Carlito"/>
                <w:b w:val="0"/>
                <w:i w:val="0"/>
                <w:sz w:val="19"/>
              </w:rPr>
              <w:t>8.4</w:t>
            </w:r>
          </w:p>
        </w:tc>
        <w:tc>
          <w:tcPr>
            <w:tcW w:type="dxa" w:w="1037"/>
          </w:tcPr>
          <w:p>
            <w:pPr>
              <w:spacing w:after="20" w:before="20"/>
              <w:jc w:val="center"/>
            </w:pPr>
            <w:r/>
            <w:r>
              <w:rPr>
                <w:rFonts w:ascii="Carlito" w:hAnsi="Carlito"/>
                <w:b w:val="0"/>
                <w:i w:val="0"/>
                <w:sz w:val="19"/>
              </w:rPr>
              <w:t>10.4</w:t>
            </w:r>
          </w:p>
        </w:tc>
        <w:tc>
          <w:tcPr>
            <w:tcW w:type="dxa" w:w="1037"/>
          </w:tcPr>
          <w:p>
            <w:pPr>
              <w:spacing w:after="20" w:before="20"/>
              <w:jc w:val="center"/>
            </w:pPr>
            <w:r/>
            <w:r>
              <w:rPr>
                <w:rFonts w:ascii="Carlito" w:hAnsi="Carlito"/>
                <w:b w:val="0"/>
                <w:i w:val="0"/>
                <w:sz w:val="19"/>
              </w:rPr>
              <w:t>12.2</w:t>
            </w:r>
          </w:p>
        </w:tc>
        <w:tc>
          <w:tcPr>
            <w:tcW w:type="dxa" w:w="1037"/>
          </w:tcPr>
          <w:p>
            <w:pPr>
              <w:spacing w:after="20" w:before="20"/>
              <w:jc w:val="center"/>
            </w:pPr>
            <w:r/>
            <w:r>
              <w:rPr>
                <w:rFonts w:ascii="Carlito" w:hAnsi="Carlito"/>
                <w:b w:val="0"/>
                <w:i w:val="0"/>
                <w:sz w:val="19"/>
              </w:rPr>
              <w:t>13.9</w:t>
            </w:r>
          </w:p>
        </w:tc>
        <w:tc>
          <w:tcPr>
            <w:tcW w:type="dxa" w:w="1037"/>
          </w:tcPr>
          <w:p>
            <w:pPr>
              <w:spacing w:after="20" w:before="20"/>
              <w:jc w:val="center"/>
            </w:pPr>
            <w:r/>
            <w:r>
              <w:rPr>
                <w:rFonts w:ascii="Carlito" w:hAnsi="Carlito"/>
                <w:b w:val="0"/>
                <w:i w:val="0"/>
                <w:sz w:val="19"/>
              </w:rPr>
              <w:t>15.3</w:t>
            </w:r>
          </w:p>
        </w:tc>
      </w:tr>
      <w:tr>
        <w:tc>
          <w:tcPr>
            <w:tcW w:type="dxa" w:w="4032"/>
          </w:tcPr>
          <w:p>
            <w:pPr>
              <w:spacing w:after="20" w:before="20"/>
              <w:jc w:val="left"/>
            </w:pPr>
            <w:r/>
            <w:r>
              <w:rPr>
                <w:rFonts w:ascii="Carlito" w:hAnsi="Carlito"/>
                <w:b w:val="0"/>
                <w:i w:val="0"/>
                <w:sz w:val="19"/>
              </w:rPr>
              <w:t>Dividends paid</w:t>
            </w:r>
          </w:p>
        </w:tc>
        <w:tc>
          <w:tcPr>
            <w:tcW w:type="dxa" w:w="1037"/>
          </w:tcPr>
          <w:p>
            <w:pPr>
              <w:spacing w:after="20" w:before="20"/>
              <w:jc w:val="center"/>
            </w:pPr>
            <w:r/>
            <w:r>
              <w:rPr>
                <w:rFonts w:ascii="Carlito" w:hAnsi="Carlito"/>
                <w:b w:val="0"/>
                <w:i w:val="0"/>
                <w:sz w:val="19"/>
              </w:rPr>
              <w:t>(9.6)</w:t>
            </w:r>
          </w:p>
        </w:tc>
        <w:tc>
          <w:tcPr>
            <w:tcW w:type="dxa" w:w="1037"/>
          </w:tcPr>
          <w:p>
            <w:pPr>
              <w:spacing w:after="20" w:before="20"/>
              <w:jc w:val="center"/>
            </w:pPr>
            <w:r/>
            <w:r>
              <w:rPr>
                <w:rFonts w:ascii="Carlito" w:hAnsi="Carlito"/>
                <w:b w:val="0"/>
                <w:i w:val="0"/>
                <w:sz w:val="19"/>
              </w:rPr>
              <w:t>(10.2)</w:t>
            </w:r>
          </w:p>
        </w:tc>
        <w:tc>
          <w:tcPr>
            <w:tcW w:type="dxa" w:w="1037"/>
          </w:tcPr>
          <w:p>
            <w:pPr>
              <w:spacing w:after="20" w:before="20"/>
              <w:jc w:val="center"/>
            </w:pPr>
            <w:r/>
            <w:r>
              <w:rPr>
                <w:rFonts w:ascii="Carlito" w:hAnsi="Carlito"/>
                <w:b w:val="0"/>
                <w:i w:val="0"/>
                <w:sz w:val="19"/>
              </w:rPr>
              <w:t>(9.0)</w:t>
            </w:r>
          </w:p>
        </w:tc>
        <w:tc>
          <w:tcPr>
            <w:tcW w:type="dxa" w:w="1037"/>
          </w:tcPr>
          <w:p>
            <w:pPr>
              <w:spacing w:after="20" w:before="20"/>
              <w:jc w:val="center"/>
            </w:pPr>
            <w:r/>
            <w:r>
              <w:rPr>
                <w:rFonts w:ascii="Carlito" w:hAnsi="Carlito"/>
                <w:b w:val="0"/>
                <w:i w:val="0"/>
                <w:sz w:val="19"/>
              </w:rPr>
              <w:t>(9.3)</w:t>
            </w:r>
          </w:p>
        </w:tc>
        <w:tc>
          <w:tcPr>
            <w:tcW w:type="dxa" w:w="1037"/>
          </w:tcPr>
          <w:p>
            <w:pPr>
              <w:spacing w:after="20" w:before="20"/>
              <w:jc w:val="center"/>
            </w:pPr>
            <w:r/>
            <w:r>
              <w:rPr>
                <w:rFonts w:ascii="Carlito" w:hAnsi="Carlito"/>
                <w:b w:val="0"/>
                <w:i w:val="0"/>
                <w:sz w:val="19"/>
              </w:rPr>
              <w:t>(9.3)</w:t>
            </w:r>
          </w:p>
        </w:tc>
        <w:tc>
          <w:tcPr>
            <w:tcW w:type="dxa" w:w="1037"/>
          </w:tcPr>
          <w:p>
            <w:pPr>
              <w:spacing w:after="20" w:before="20"/>
              <w:jc w:val="center"/>
            </w:pPr>
            <w:r/>
            <w:r>
              <w:rPr>
                <w:rFonts w:ascii="Carlito" w:hAnsi="Carlito"/>
                <w:b w:val="0"/>
                <w:i w:val="0"/>
                <w:sz w:val="19"/>
              </w:rPr>
              <w:t>(9.6)</w:t>
            </w:r>
          </w:p>
        </w:tc>
        <w:tc>
          <w:tcPr>
            <w:tcW w:type="dxa" w:w="1037"/>
          </w:tcPr>
          <w:p>
            <w:pPr>
              <w:spacing w:after="20" w:before="20"/>
              <w:jc w:val="center"/>
            </w:pPr>
            <w:r/>
            <w:r>
              <w:rPr>
                <w:rFonts w:ascii="Carlito" w:hAnsi="Carlito"/>
                <w:b w:val="0"/>
                <w:i w:val="0"/>
                <w:sz w:val="19"/>
              </w:rPr>
              <w:t>(9.9)</w:t>
            </w:r>
          </w:p>
        </w:tc>
        <w:tc>
          <w:tcPr>
            <w:tcW w:type="dxa" w:w="1037"/>
          </w:tcPr>
          <w:p>
            <w:pPr>
              <w:spacing w:after="20" w:before="20"/>
              <w:jc w:val="center"/>
            </w:pPr>
            <w:r/>
            <w:r>
              <w:rPr>
                <w:rFonts w:ascii="Carlito" w:hAnsi="Carlito"/>
                <w:b w:val="0"/>
                <w:i w:val="0"/>
                <w:sz w:val="19"/>
              </w:rPr>
              <w:t>(9.9)</w:t>
            </w:r>
          </w:p>
        </w:tc>
      </w:tr>
    </w:tbl>
    <w:p>
      <w:pPr>
        <w:spacing w:after="40"/>
      </w:pPr>
    </w:p>
    <w:p>
      <w:pPr>
        <w:spacing w:before="200" w:after="60"/>
      </w:pPr>
      <w:r>
        <w:rPr>
          <w:rFonts w:ascii="Carlito" w:hAnsi="Carlito"/>
          <w:b/>
          <w:color w:val="896F36"/>
          <w:sz w:val="23"/>
        </w:rPr>
        <w:t>A.4  Per-share &amp; ratios dashboard (the fixed panel)</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1728"/>
        <w:gridCol w:w="1728"/>
        <w:gridCol w:w="1728"/>
        <w:gridCol w:w="1728"/>
        <w:gridCol w:w="1728"/>
      </w:tblGrid>
      <w:tr>
        <w:tc>
          <w:tcPr>
            <w:tcW w:type="dxa" w:w="3456"/>
            <w:shd w:val="clear" w:fill="1C3A36"/>
          </w:tcPr>
          <w:p>
            <w:pPr>
              <w:spacing w:after="20" w:before="20"/>
              <w:jc w:val="left"/>
            </w:pPr>
            <w:r/>
            <w:r>
              <w:rPr>
                <w:rFonts w:ascii="Carlito" w:hAnsi="Carlito"/>
                <w:b/>
                <w:i w:val="0"/>
                <w:color w:val="FFFFFF"/>
                <w:sz w:val="19"/>
              </w:rPr>
              <w:t>Metric</w:t>
            </w:r>
          </w:p>
        </w:tc>
        <w:tc>
          <w:tcPr>
            <w:tcW w:type="dxa" w:w="1440"/>
            <w:shd w:val="clear" w:fill="1C3A36"/>
          </w:tcPr>
          <w:p>
            <w:pPr>
              <w:spacing w:after="20" w:before="20"/>
              <w:jc w:val="center"/>
            </w:pPr>
            <w:r/>
            <w:r>
              <w:rPr>
                <w:rFonts w:ascii="Carlito" w:hAnsi="Carlito"/>
                <w:b/>
                <w:i w:val="0"/>
                <w:color w:val="FFFFFF"/>
                <w:sz w:val="19"/>
              </w:rPr>
              <w:t>2023A</w:t>
            </w:r>
          </w:p>
        </w:tc>
        <w:tc>
          <w:tcPr>
            <w:tcW w:type="dxa" w:w="1440"/>
            <w:shd w:val="clear" w:fill="1C3A36"/>
          </w:tcPr>
          <w:p>
            <w:pPr>
              <w:spacing w:after="20" w:before="20"/>
              <w:jc w:val="center"/>
            </w:pPr>
            <w:r/>
            <w:r>
              <w:rPr>
                <w:rFonts w:ascii="Carlito" w:hAnsi="Carlito"/>
                <w:b/>
                <w:i w:val="0"/>
                <w:color w:val="FFFFFF"/>
                <w:sz w:val="19"/>
              </w:rPr>
              <w:t>2024A</w:t>
            </w:r>
          </w:p>
        </w:tc>
        <w:tc>
          <w:tcPr>
            <w:tcW w:type="dxa" w:w="1440"/>
            <w:shd w:val="clear" w:fill="1C3A36"/>
          </w:tcPr>
          <w:p>
            <w:pPr>
              <w:spacing w:after="20" w:before="20"/>
              <w:jc w:val="center"/>
            </w:pPr>
            <w:r/>
            <w:r>
              <w:rPr>
                <w:rFonts w:ascii="Carlito" w:hAnsi="Carlito"/>
                <w:b/>
                <w:i w:val="0"/>
                <w:color w:val="FFFFFF"/>
                <w:sz w:val="19"/>
              </w:rPr>
              <w:t>2025A</w:t>
            </w:r>
          </w:p>
        </w:tc>
        <w:tc>
          <w:tcPr>
            <w:tcW w:type="dxa" w:w="1872"/>
            <w:shd w:val="clear" w:fill="1C3A36"/>
          </w:tcPr>
          <w:p>
            <w:pPr>
              <w:spacing w:after="20" w:before="20"/>
              <w:jc w:val="center"/>
            </w:pPr>
            <w:r/>
            <w:r>
              <w:rPr>
                <w:rFonts w:ascii="Carlito" w:hAnsi="Carlito"/>
                <w:b/>
                <w:i w:val="0"/>
                <w:color w:val="FFFFFF"/>
                <w:sz w:val="19"/>
              </w:rPr>
              <w:t>At spot / fwd</w:t>
            </w:r>
          </w:p>
        </w:tc>
      </w:tr>
      <w:tr>
        <w:tc>
          <w:tcPr>
            <w:tcW w:type="dxa" w:w="3456"/>
          </w:tcPr>
          <w:p>
            <w:pPr>
              <w:spacing w:after="20" w:before="20"/>
              <w:jc w:val="left"/>
            </w:pPr>
            <w:r/>
            <w:r>
              <w:rPr>
                <w:rFonts w:ascii="Carlito" w:hAnsi="Carlito"/>
                <w:b w:val="0"/>
                <w:i w:val="0"/>
                <w:sz w:val="19"/>
              </w:rPr>
              <w:t>EPS reported (SAR)</w:t>
            </w:r>
          </w:p>
        </w:tc>
        <w:tc>
          <w:tcPr>
            <w:tcW w:type="dxa" w:w="1440"/>
          </w:tcPr>
          <w:p>
            <w:pPr>
              <w:spacing w:after="20" w:before="20"/>
              <w:jc w:val="center"/>
            </w:pPr>
            <w:r/>
            <w:r>
              <w:rPr>
                <w:rFonts w:ascii="Carlito" w:hAnsi="Carlito"/>
                <w:b w:val="0"/>
                <w:i w:val="0"/>
                <w:sz w:val="19"/>
              </w:rPr>
              <w:t>(0.92)</w:t>
            </w:r>
          </w:p>
        </w:tc>
        <w:tc>
          <w:tcPr>
            <w:tcW w:type="dxa" w:w="1440"/>
          </w:tcPr>
          <w:p>
            <w:pPr>
              <w:spacing w:after="20" w:before="20"/>
              <w:jc w:val="center"/>
            </w:pPr>
            <w:r/>
            <w:r>
              <w:rPr>
                <w:rFonts w:ascii="Carlito" w:hAnsi="Carlito"/>
                <w:b w:val="0"/>
                <w:i w:val="0"/>
                <w:sz w:val="19"/>
              </w:rPr>
              <w:t>0.51</w:t>
            </w:r>
          </w:p>
        </w:tc>
        <w:tc>
          <w:tcPr>
            <w:tcW w:type="dxa" w:w="1440"/>
          </w:tcPr>
          <w:p>
            <w:pPr>
              <w:spacing w:after="20" w:before="20"/>
              <w:jc w:val="center"/>
            </w:pPr>
            <w:r/>
            <w:r>
              <w:rPr>
                <w:rFonts w:ascii="Carlito" w:hAnsi="Carlito"/>
                <w:b w:val="0"/>
                <w:i w:val="0"/>
                <w:sz w:val="19"/>
              </w:rPr>
              <w:t>(8.59)</w:t>
            </w:r>
          </w:p>
        </w:tc>
        <w:tc>
          <w:tcPr>
            <w:tcW w:type="dxa" w:w="1872"/>
          </w:tcPr>
          <w:p>
            <w:pPr>
              <w:spacing w:after="20" w:before="20"/>
              <w:jc w:val="center"/>
            </w:pPr>
            <w:r/>
            <w:r>
              <w:rPr>
                <w:rFonts w:ascii="Carlito" w:hAnsi="Carlito"/>
                <w:b w:val="0"/>
                <w:i w:val="0"/>
                <w:sz w:val="19"/>
              </w:rPr>
              <w:t>—</w:t>
            </w:r>
          </w:p>
        </w:tc>
      </w:tr>
      <w:tr>
        <w:tc>
          <w:tcPr>
            <w:tcW w:type="dxa" w:w="3456"/>
          </w:tcPr>
          <w:p>
            <w:pPr>
              <w:spacing w:after="20" w:before="20"/>
              <w:jc w:val="left"/>
            </w:pPr>
            <w:r/>
            <w:r>
              <w:rPr>
                <w:rFonts w:ascii="Carlito" w:hAnsi="Carlito"/>
                <w:b w:val="0"/>
                <w:i w:val="0"/>
                <w:sz w:val="19"/>
              </w:rPr>
              <w:t>EPS adjusted (SAR)</w:t>
            </w:r>
          </w:p>
        </w:tc>
        <w:tc>
          <w:tcPr>
            <w:tcW w:type="dxa" w:w="1440"/>
          </w:tcPr>
          <w:p>
            <w:pPr>
              <w:spacing w:after="20" w:before="20"/>
              <w:jc w:val="center"/>
            </w:pPr>
            <w:r/>
            <w:r>
              <w:rPr>
                <w:rFonts w:ascii="Carlito" w:hAnsi="Carlito"/>
                <w:b w:val="0"/>
                <w:i w:val="0"/>
                <w:sz w:val="19"/>
              </w:rPr>
              <w:t>—</w:t>
            </w:r>
          </w:p>
        </w:tc>
        <w:tc>
          <w:tcPr>
            <w:tcW w:type="dxa" w:w="1440"/>
          </w:tcPr>
          <w:p>
            <w:pPr>
              <w:spacing w:after="20" w:before="20"/>
              <w:jc w:val="center"/>
            </w:pPr>
            <w:r/>
            <w:r>
              <w:rPr>
                <w:rFonts w:ascii="Carlito" w:hAnsi="Carlito"/>
                <w:b w:val="0"/>
                <w:i w:val="0"/>
                <w:sz w:val="19"/>
              </w:rPr>
              <w:t>1.96</w:t>
            </w:r>
          </w:p>
        </w:tc>
        <w:tc>
          <w:tcPr>
            <w:tcW w:type="dxa" w:w="1440"/>
          </w:tcPr>
          <w:p>
            <w:pPr>
              <w:spacing w:after="20" w:before="20"/>
              <w:jc w:val="center"/>
            </w:pPr>
            <w:r/>
            <w:r>
              <w:rPr>
                <w:rFonts w:ascii="Carlito" w:hAnsi="Carlito"/>
                <w:b w:val="0"/>
                <w:i w:val="0"/>
                <w:sz w:val="19"/>
              </w:rPr>
              <w:t>0.69</w:t>
            </w:r>
          </w:p>
        </w:tc>
        <w:tc>
          <w:tcPr>
            <w:tcW w:type="dxa" w:w="1872"/>
          </w:tcPr>
          <w:p>
            <w:pPr>
              <w:spacing w:after="20" w:before="20"/>
              <w:jc w:val="center"/>
            </w:pPr>
            <w:r/>
            <w:r>
              <w:rPr>
                <w:rFonts w:ascii="Carlito" w:hAnsi="Carlito"/>
                <w:b w:val="0"/>
                <w:i w:val="0"/>
                <w:sz w:val="19"/>
              </w:rPr>
              <w:t>—</w:t>
            </w:r>
          </w:p>
        </w:tc>
      </w:tr>
      <w:tr>
        <w:tc>
          <w:tcPr>
            <w:tcW w:type="dxa" w:w="3456"/>
          </w:tcPr>
          <w:p>
            <w:pPr>
              <w:spacing w:after="20" w:before="20"/>
              <w:jc w:val="left"/>
            </w:pPr>
            <w:r/>
            <w:r>
              <w:rPr>
                <w:rFonts w:ascii="Carlito" w:hAnsi="Carlito"/>
                <w:b w:val="0"/>
                <w:i w:val="0"/>
                <w:sz w:val="19"/>
              </w:rPr>
              <w:t>DPS (SAR)</w:t>
            </w:r>
          </w:p>
        </w:tc>
        <w:tc>
          <w:tcPr>
            <w:tcW w:type="dxa" w:w="1440"/>
          </w:tcPr>
          <w:p>
            <w:pPr>
              <w:spacing w:after="20" w:before="20"/>
              <w:jc w:val="center"/>
            </w:pPr>
            <w:r/>
            <w:r>
              <w:rPr>
                <w:rFonts w:ascii="Carlito" w:hAnsi="Carlito"/>
                <w:b w:val="0"/>
                <w:i w:val="0"/>
                <w:sz w:val="19"/>
              </w:rPr>
              <w:t>3.20</w:t>
            </w:r>
          </w:p>
        </w:tc>
        <w:tc>
          <w:tcPr>
            <w:tcW w:type="dxa" w:w="1440"/>
          </w:tcPr>
          <w:p>
            <w:pPr>
              <w:spacing w:after="20" w:before="20"/>
              <w:jc w:val="center"/>
            </w:pPr>
            <w:r/>
            <w:r>
              <w:rPr>
                <w:rFonts w:ascii="Carlito" w:hAnsi="Carlito"/>
                <w:b w:val="0"/>
                <w:i w:val="0"/>
                <w:sz w:val="19"/>
              </w:rPr>
              <w:t>3.40</w:t>
            </w:r>
          </w:p>
        </w:tc>
        <w:tc>
          <w:tcPr>
            <w:tcW w:type="dxa" w:w="1440"/>
          </w:tcPr>
          <w:p>
            <w:pPr>
              <w:spacing w:after="20" w:before="20"/>
              <w:jc w:val="center"/>
            </w:pPr>
            <w:r/>
            <w:r>
              <w:rPr>
                <w:rFonts w:ascii="Carlito" w:hAnsi="Carlito"/>
                <w:b w:val="0"/>
                <w:i w:val="0"/>
                <w:sz w:val="19"/>
              </w:rPr>
              <w:t>3.00</w:t>
            </w:r>
          </w:p>
        </w:tc>
        <w:tc>
          <w:tcPr>
            <w:tcW w:type="dxa" w:w="1872"/>
          </w:tcPr>
          <w:p>
            <w:pPr>
              <w:spacing w:after="20" w:before="20"/>
              <w:jc w:val="center"/>
            </w:pPr>
            <w:r/>
            <w:r>
              <w:rPr>
                <w:rFonts w:ascii="Carlito" w:hAnsi="Carlito"/>
                <w:b w:val="0"/>
                <w:i w:val="0"/>
                <w:sz w:val="19"/>
              </w:rPr>
              <w:t>norm. 3.10</w:t>
            </w:r>
          </w:p>
        </w:tc>
      </w:tr>
      <w:tr>
        <w:tc>
          <w:tcPr>
            <w:tcW w:type="dxa" w:w="3456"/>
          </w:tcPr>
          <w:p>
            <w:pPr>
              <w:spacing w:after="20" w:before="20"/>
              <w:jc w:val="left"/>
            </w:pPr>
            <w:r/>
            <w:r>
              <w:rPr>
                <w:rFonts w:ascii="Carlito" w:hAnsi="Carlito"/>
                <w:b w:val="0"/>
                <w:i w:val="0"/>
                <w:sz w:val="19"/>
              </w:rPr>
              <w:t>BVPS (SAR)</w:t>
            </w:r>
          </w:p>
        </w:tc>
        <w:tc>
          <w:tcPr>
            <w:tcW w:type="dxa" w:w="1440"/>
          </w:tcPr>
          <w:p>
            <w:pPr>
              <w:spacing w:after="20" w:before="20"/>
              <w:jc w:val="center"/>
            </w:pPr>
            <w:r/>
            <w:r>
              <w:rPr>
                <w:rFonts w:ascii="Carlito" w:hAnsi="Carlito"/>
                <w:b w:val="0"/>
                <w:i w:val="0"/>
                <w:sz w:val="19"/>
              </w:rPr>
              <w:t>55.8</w:t>
            </w:r>
          </w:p>
        </w:tc>
        <w:tc>
          <w:tcPr>
            <w:tcW w:type="dxa" w:w="1440"/>
          </w:tcPr>
          <w:p>
            <w:pPr>
              <w:spacing w:after="20" w:before="20"/>
              <w:jc w:val="center"/>
            </w:pPr>
            <w:r/>
            <w:r>
              <w:rPr>
                <w:rFonts w:ascii="Carlito" w:hAnsi="Carlito"/>
                <w:b w:val="0"/>
                <w:i w:val="0"/>
                <w:sz w:val="19"/>
              </w:rPr>
              <w:t>52.1</w:t>
            </w:r>
          </w:p>
        </w:tc>
        <w:tc>
          <w:tcPr>
            <w:tcW w:type="dxa" w:w="1440"/>
          </w:tcPr>
          <w:p>
            <w:pPr>
              <w:spacing w:after="20" w:before="20"/>
              <w:jc w:val="center"/>
            </w:pPr>
            <w:r/>
            <w:r>
              <w:rPr>
                <w:rFonts w:ascii="Carlito" w:hAnsi="Carlito"/>
                <w:b w:val="0"/>
                <w:i w:val="0"/>
                <w:sz w:val="19"/>
              </w:rPr>
              <w:t>42.9</w:t>
            </w:r>
          </w:p>
        </w:tc>
        <w:tc>
          <w:tcPr>
            <w:tcW w:type="dxa" w:w="1872"/>
          </w:tcPr>
          <w:p>
            <w:pPr>
              <w:spacing w:after="20" w:before="20"/>
              <w:jc w:val="center"/>
            </w:pPr>
            <w:r/>
            <w:r>
              <w:rPr>
                <w:rFonts w:ascii="Carlito" w:hAnsi="Carlito"/>
                <w:b w:val="0"/>
                <w:i w:val="0"/>
                <w:sz w:val="19"/>
              </w:rPr>
              <w:t>—</w:t>
            </w:r>
          </w:p>
        </w:tc>
      </w:tr>
      <w:tr>
        <w:tc>
          <w:tcPr>
            <w:tcW w:type="dxa" w:w="3456"/>
          </w:tcPr>
          <w:p>
            <w:pPr>
              <w:spacing w:after="20" w:before="20"/>
              <w:jc w:val="left"/>
            </w:pPr>
            <w:r/>
            <w:r>
              <w:rPr>
                <w:rFonts w:ascii="Carlito" w:hAnsi="Carlito"/>
                <w:b w:val="0"/>
                <w:i w:val="0"/>
                <w:sz w:val="19"/>
              </w:rPr>
              <w:t>Dividend yield</w:t>
            </w:r>
          </w:p>
        </w:tc>
        <w:tc>
          <w:tcPr>
            <w:tcW w:type="dxa" w:w="1440"/>
          </w:tcPr>
          <w:p>
            <w:pPr>
              <w:spacing w:after="20" w:before="20"/>
              <w:jc w:val="center"/>
            </w:pPr>
            <w:r/>
            <w:r>
              <w:rPr>
                <w:rFonts w:ascii="Carlito" w:hAnsi="Carlito"/>
                <w:b w:val="0"/>
                <w:i w:val="0"/>
                <w:sz w:val="19"/>
              </w:rPr>
              <w:t>—</w:t>
            </w:r>
          </w:p>
        </w:tc>
        <w:tc>
          <w:tcPr>
            <w:tcW w:type="dxa" w:w="1440"/>
          </w:tcPr>
          <w:p>
            <w:pPr>
              <w:spacing w:after="20" w:before="20"/>
              <w:jc w:val="center"/>
            </w:pPr>
            <w:r/>
            <w:r>
              <w:rPr>
                <w:rFonts w:ascii="Carlito" w:hAnsi="Carlito"/>
                <w:b w:val="0"/>
                <w:i w:val="0"/>
                <w:sz w:val="19"/>
              </w:rPr>
              <w:t>—</w:t>
            </w:r>
          </w:p>
        </w:tc>
        <w:tc>
          <w:tcPr>
            <w:tcW w:type="dxa" w:w="1440"/>
          </w:tcPr>
          <w:p>
            <w:pPr>
              <w:spacing w:after="20" w:before="20"/>
              <w:jc w:val="center"/>
            </w:pPr>
            <w:r/>
            <w:r>
              <w:rPr>
                <w:rFonts w:ascii="Carlito" w:hAnsi="Carlito"/>
                <w:b w:val="0"/>
                <w:i w:val="0"/>
                <w:sz w:val="19"/>
              </w:rPr>
              <w:t>—</w:t>
            </w:r>
          </w:p>
        </w:tc>
        <w:tc>
          <w:tcPr>
            <w:tcW w:type="dxa" w:w="1872"/>
          </w:tcPr>
          <w:p>
            <w:pPr>
              <w:spacing w:after="20" w:before="20"/>
              <w:jc w:val="center"/>
            </w:pPr>
            <w:r/>
            <w:r>
              <w:rPr>
                <w:rFonts w:ascii="Carlito" w:hAnsi="Carlito"/>
                <w:b w:val="0"/>
                <w:i w:val="0"/>
                <w:sz w:val="19"/>
              </w:rPr>
              <w:t>5.8% @ spot</w:t>
            </w:r>
          </w:p>
        </w:tc>
      </w:tr>
      <w:tr>
        <w:tc>
          <w:tcPr>
            <w:tcW w:type="dxa" w:w="3456"/>
          </w:tcPr>
          <w:p>
            <w:pPr>
              <w:spacing w:after="20" w:before="20"/>
              <w:jc w:val="left"/>
            </w:pPr>
            <w:r/>
            <w:r>
              <w:rPr>
                <w:rFonts w:ascii="Carlito" w:hAnsi="Carlito"/>
                <w:b w:val="0"/>
                <w:i w:val="0"/>
                <w:sz w:val="19"/>
              </w:rPr>
              <w:t>P/B</w:t>
            </w:r>
          </w:p>
        </w:tc>
        <w:tc>
          <w:tcPr>
            <w:tcW w:type="dxa" w:w="1440"/>
          </w:tcPr>
          <w:p>
            <w:pPr>
              <w:spacing w:after="20" w:before="20"/>
              <w:jc w:val="center"/>
            </w:pPr>
            <w:r/>
            <w:r>
              <w:rPr>
                <w:rFonts w:ascii="Carlito" w:hAnsi="Carlito"/>
                <w:b w:val="0"/>
                <w:i w:val="0"/>
                <w:sz w:val="19"/>
              </w:rPr>
              <w:t>—</w:t>
            </w:r>
          </w:p>
        </w:tc>
        <w:tc>
          <w:tcPr>
            <w:tcW w:type="dxa" w:w="1440"/>
          </w:tcPr>
          <w:p>
            <w:pPr>
              <w:spacing w:after="20" w:before="20"/>
              <w:jc w:val="center"/>
            </w:pPr>
            <w:r/>
            <w:r>
              <w:rPr>
                <w:rFonts w:ascii="Carlito" w:hAnsi="Carlito"/>
                <w:b w:val="0"/>
                <w:i w:val="0"/>
                <w:sz w:val="19"/>
              </w:rPr>
              <w:t>—</w:t>
            </w:r>
          </w:p>
        </w:tc>
        <w:tc>
          <w:tcPr>
            <w:tcW w:type="dxa" w:w="1440"/>
          </w:tcPr>
          <w:p>
            <w:pPr>
              <w:spacing w:after="20" w:before="20"/>
              <w:jc w:val="center"/>
            </w:pPr>
            <w:r/>
            <w:r>
              <w:rPr>
                <w:rFonts w:ascii="Carlito" w:hAnsi="Carlito"/>
                <w:b w:val="0"/>
                <w:i w:val="0"/>
                <w:sz w:val="19"/>
              </w:rPr>
              <w:t>1.21×</w:t>
            </w:r>
          </w:p>
        </w:tc>
        <w:tc>
          <w:tcPr>
            <w:tcW w:type="dxa" w:w="1872"/>
          </w:tcPr>
          <w:p>
            <w:pPr>
              <w:spacing w:after="20" w:before="20"/>
              <w:jc w:val="center"/>
            </w:pPr>
            <w:r/>
            <w:r>
              <w:rPr>
                <w:rFonts w:ascii="Carlito" w:hAnsi="Carlito"/>
                <w:b w:val="0"/>
                <w:i w:val="0"/>
                <w:sz w:val="19"/>
              </w:rPr>
              <w:t>@ spot</w:t>
            </w:r>
          </w:p>
        </w:tc>
      </w:tr>
      <w:tr>
        <w:tc>
          <w:tcPr>
            <w:tcW w:type="dxa" w:w="3456"/>
          </w:tcPr>
          <w:p>
            <w:pPr>
              <w:spacing w:after="20" w:before="20"/>
              <w:jc w:val="left"/>
            </w:pPr>
            <w:r/>
            <w:r>
              <w:rPr>
                <w:rFonts w:ascii="Carlito" w:hAnsi="Carlito"/>
                <w:b w:val="0"/>
                <w:i w:val="0"/>
                <w:sz w:val="19"/>
              </w:rPr>
              <w:t>EV/EBITDA (adjusted)</w:t>
            </w:r>
          </w:p>
        </w:tc>
        <w:tc>
          <w:tcPr>
            <w:tcW w:type="dxa" w:w="1440"/>
          </w:tcPr>
          <w:p>
            <w:pPr>
              <w:spacing w:after="20" w:before="20"/>
              <w:jc w:val="center"/>
            </w:pPr>
            <w:r/>
            <w:r>
              <w:rPr>
                <w:rFonts w:ascii="Carlito" w:hAnsi="Carlito"/>
                <w:b w:val="0"/>
                <w:i w:val="0"/>
                <w:sz w:val="19"/>
              </w:rPr>
              <w:t>8.9×</w:t>
            </w:r>
          </w:p>
        </w:tc>
        <w:tc>
          <w:tcPr>
            <w:tcW w:type="dxa" w:w="1440"/>
          </w:tcPr>
          <w:p>
            <w:pPr>
              <w:spacing w:after="20" w:before="20"/>
              <w:jc w:val="center"/>
            </w:pPr>
            <w:r/>
            <w:r>
              <w:rPr>
                <w:rFonts w:ascii="Carlito" w:hAnsi="Carlito"/>
                <w:b w:val="0"/>
                <w:i w:val="0"/>
                <w:sz w:val="19"/>
              </w:rPr>
              <w:t>7.4×</w:t>
            </w:r>
          </w:p>
        </w:tc>
        <w:tc>
          <w:tcPr>
            <w:tcW w:type="dxa" w:w="1440"/>
          </w:tcPr>
          <w:p>
            <w:pPr>
              <w:spacing w:after="20" w:before="20"/>
              <w:jc w:val="center"/>
            </w:pPr>
            <w:r/>
            <w:r>
              <w:rPr>
                <w:rFonts w:ascii="Carlito" w:hAnsi="Carlito"/>
                <w:b w:val="0"/>
                <w:i w:val="0"/>
                <w:sz w:val="19"/>
              </w:rPr>
              <w:t>8.7×</w:t>
            </w:r>
          </w:p>
        </w:tc>
        <w:tc>
          <w:tcPr>
            <w:tcW w:type="dxa" w:w="1872"/>
          </w:tcPr>
          <w:p>
            <w:pPr>
              <w:spacing w:after="20" w:before="20"/>
              <w:jc w:val="center"/>
            </w:pPr>
            <w:r/>
            <w:r>
              <w:rPr>
                <w:rFonts w:ascii="Carlito" w:hAnsi="Carlito"/>
                <w:b w:val="0"/>
                <w:i w:val="0"/>
                <w:sz w:val="19"/>
              </w:rPr>
              <w:t>7.0× mid-cycle</w:t>
            </w:r>
          </w:p>
        </w:tc>
      </w:tr>
      <w:tr>
        <w:tc>
          <w:tcPr>
            <w:tcW w:type="dxa" w:w="3456"/>
          </w:tcPr>
          <w:p>
            <w:pPr>
              <w:spacing w:after="20" w:before="20"/>
              <w:jc w:val="left"/>
            </w:pPr>
            <w:r/>
            <w:r>
              <w:rPr>
                <w:rFonts w:ascii="Carlito" w:hAnsi="Carlito"/>
                <w:b w:val="0"/>
                <w:i w:val="0"/>
                <w:sz w:val="19"/>
              </w:rPr>
              <w:t>EBITDA margin</w:t>
            </w:r>
          </w:p>
        </w:tc>
        <w:tc>
          <w:tcPr>
            <w:tcW w:type="dxa" w:w="1440"/>
          </w:tcPr>
          <w:p>
            <w:pPr>
              <w:spacing w:after="20" w:before="20"/>
              <w:jc w:val="center"/>
            </w:pPr>
            <w:r/>
            <w:r>
              <w:rPr>
                <w:rFonts w:ascii="Carlito" w:hAnsi="Carlito"/>
                <w:b w:val="0"/>
                <w:i w:val="0"/>
                <w:sz w:val="19"/>
              </w:rPr>
              <w:t>12.3%</w:t>
            </w:r>
          </w:p>
        </w:tc>
        <w:tc>
          <w:tcPr>
            <w:tcW w:type="dxa" w:w="1440"/>
          </w:tcPr>
          <w:p>
            <w:pPr>
              <w:spacing w:after="20" w:before="20"/>
              <w:jc w:val="center"/>
            </w:pPr>
            <w:r/>
            <w:r>
              <w:rPr>
                <w:rFonts w:ascii="Carlito" w:hAnsi="Carlito"/>
                <w:b w:val="0"/>
                <w:i w:val="0"/>
                <w:sz w:val="19"/>
              </w:rPr>
              <w:t>17.8%</w:t>
            </w:r>
          </w:p>
        </w:tc>
        <w:tc>
          <w:tcPr>
            <w:tcW w:type="dxa" w:w="1440"/>
          </w:tcPr>
          <w:p>
            <w:pPr>
              <w:spacing w:after="20" w:before="20"/>
              <w:jc w:val="center"/>
            </w:pPr>
            <w:r/>
            <w:r>
              <w:rPr>
                <w:rFonts w:ascii="Carlito" w:hAnsi="Carlito"/>
                <w:b w:val="0"/>
                <w:i w:val="0"/>
                <w:sz w:val="19"/>
              </w:rPr>
              <w:t>15.3%</w:t>
            </w:r>
          </w:p>
        </w:tc>
        <w:tc>
          <w:tcPr>
            <w:tcW w:type="dxa" w:w="1872"/>
          </w:tcPr>
          <w:p>
            <w:pPr>
              <w:spacing w:after="20" w:before="20"/>
              <w:jc w:val="center"/>
            </w:pPr>
            <w:r/>
            <w:r>
              <w:rPr>
                <w:rFonts w:ascii="Carlito" w:hAnsi="Carlito"/>
                <w:b w:val="0"/>
                <w:i w:val="0"/>
                <w:sz w:val="19"/>
              </w:rPr>
              <w:t>19.0% mid-cycle</w:t>
            </w:r>
          </w:p>
        </w:tc>
      </w:tr>
      <w:tr>
        <w:tc>
          <w:tcPr>
            <w:tcW w:type="dxa" w:w="3456"/>
          </w:tcPr>
          <w:p>
            <w:pPr>
              <w:spacing w:after="20" w:before="20"/>
              <w:jc w:val="left"/>
            </w:pPr>
            <w:r/>
            <w:r>
              <w:rPr>
                <w:rFonts w:ascii="Carlito" w:hAnsi="Carlito"/>
                <w:b w:val="0"/>
                <w:i w:val="0"/>
                <w:sz w:val="19"/>
              </w:rPr>
              <w:t>FCF (SAR bn)</w:t>
            </w:r>
          </w:p>
        </w:tc>
        <w:tc>
          <w:tcPr>
            <w:tcW w:type="dxa" w:w="1440"/>
          </w:tcPr>
          <w:p>
            <w:pPr>
              <w:spacing w:after="20" w:before="20"/>
              <w:jc w:val="center"/>
            </w:pPr>
            <w:r/>
            <w:r>
              <w:rPr>
                <w:rFonts w:ascii="Carlito" w:hAnsi="Carlito"/>
                <w:b w:val="0"/>
                <w:i w:val="0"/>
                <w:sz w:val="19"/>
              </w:rPr>
              <w:t>12.7</w:t>
            </w:r>
          </w:p>
        </w:tc>
        <w:tc>
          <w:tcPr>
            <w:tcW w:type="dxa" w:w="1440"/>
          </w:tcPr>
          <w:p>
            <w:pPr>
              <w:spacing w:after="20" w:before="20"/>
              <w:jc w:val="center"/>
            </w:pPr>
            <w:r/>
            <w:r>
              <w:rPr>
                <w:rFonts w:ascii="Carlito" w:hAnsi="Carlito"/>
                <w:b w:val="0"/>
                <w:i w:val="0"/>
                <w:sz w:val="19"/>
              </w:rPr>
              <w:t>6.2</w:t>
            </w:r>
          </w:p>
        </w:tc>
        <w:tc>
          <w:tcPr>
            <w:tcW w:type="dxa" w:w="1440"/>
          </w:tcPr>
          <w:p>
            <w:pPr>
              <w:spacing w:after="20" w:before="20"/>
              <w:jc w:val="center"/>
            </w:pPr>
            <w:r/>
            <w:r>
              <w:rPr>
                <w:rFonts w:ascii="Carlito" w:hAnsi="Carlito"/>
                <w:b w:val="0"/>
                <w:i w:val="0"/>
                <w:sz w:val="19"/>
              </w:rPr>
              <w:t>7.2</w:t>
            </w:r>
          </w:p>
        </w:tc>
        <w:tc>
          <w:tcPr>
            <w:tcW w:type="dxa" w:w="1872"/>
          </w:tcPr>
          <w:p>
            <w:pPr>
              <w:spacing w:after="20" w:before="20"/>
              <w:jc w:val="center"/>
            </w:pPr>
            <w:r/>
            <w:r>
              <w:rPr>
                <w:rFonts w:ascii="Carlito" w:hAnsi="Carlito"/>
                <w:b w:val="0"/>
                <w:i w:val="0"/>
                <w:sz w:val="19"/>
              </w:rPr>
              <w:t>—</w:t>
            </w:r>
          </w:p>
        </w:tc>
      </w:tr>
      <w:tr>
        <w:tc>
          <w:tcPr>
            <w:tcW w:type="dxa" w:w="3456"/>
          </w:tcPr>
          <w:p>
            <w:pPr>
              <w:spacing w:after="20" w:before="20"/>
              <w:jc w:val="left"/>
            </w:pPr>
            <w:r/>
            <w:r>
              <w:rPr>
                <w:rFonts w:ascii="Carlito" w:hAnsi="Carlito"/>
                <w:b w:val="0"/>
                <w:i w:val="0"/>
                <w:sz w:val="19"/>
              </w:rPr>
              <w:t>Net debt / EBITDA</w:t>
            </w:r>
          </w:p>
        </w:tc>
        <w:tc>
          <w:tcPr>
            <w:tcW w:type="dxa" w:w="1440"/>
          </w:tcPr>
          <w:p>
            <w:pPr>
              <w:spacing w:after="20" w:before="20"/>
              <w:jc w:val="center"/>
            </w:pPr>
            <w:r/>
            <w:r>
              <w:rPr>
                <w:rFonts w:ascii="Carlito" w:hAnsi="Carlito"/>
                <w:b w:val="0"/>
                <w:i w:val="0"/>
                <w:sz w:val="19"/>
              </w:rPr>
              <w:t>−0.5×</w:t>
            </w:r>
          </w:p>
        </w:tc>
        <w:tc>
          <w:tcPr>
            <w:tcW w:type="dxa" w:w="1440"/>
          </w:tcPr>
          <w:p>
            <w:pPr>
              <w:spacing w:after="20" w:before="20"/>
              <w:jc w:val="center"/>
            </w:pPr>
            <w:r/>
            <w:r>
              <w:rPr>
                <w:rFonts w:ascii="Carlito" w:hAnsi="Carlito"/>
                <w:b w:val="0"/>
                <w:i w:val="0"/>
                <w:sz w:val="19"/>
              </w:rPr>
              <w:t>−0.3×</w:t>
            </w:r>
          </w:p>
        </w:tc>
        <w:tc>
          <w:tcPr>
            <w:tcW w:type="dxa" w:w="1440"/>
          </w:tcPr>
          <w:p>
            <w:pPr>
              <w:spacing w:after="20" w:before="20"/>
              <w:jc w:val="center"/>
            </w:pPr>
            <w:r/>
            <w:r>
              <w:rPr>
                <w:rFonts w:ascii="Carlito" w:hAnsi="Carlito"/>
                <w:b w:val="0"/>
                <w:i w:val="0"/>
                <w:sz w:val="19"/>
              </w:rPr>
              <w:t>0.0×</w:t>
            </w:r>
          </w:p>
        </w:tc>
        <w:tc>
          <w:tcPr>
            <w:tcW w:type="dxa" w:w="1872"/>
          </w:tcPr>
          <w:p>
            <w:pPr>
              <w:spacing w:after="20" w:before="20"/>
              <w:jc w:val="center"/>
            </w:pPr>
            <w:r/>
            <w:r>
              <w:rPr>
                <w:rFonts w:ascii="Carlito" w:hAnsi="Carlito"/>
                <w:b w:val="0"/>
                <w:i w:val="0"/>
                <w:sz w:val="19"/>
              </w:rPr>
              <w:t>—</w:t>
            </w:r>
          </w:p>
        </w:tc>
      </w:tr>
    </w:tbl>
    <w:p>
      <w:pPr>
        <w:spacing w:after="40"/>
      </w:pPr>
    </w:p>
    <w:p>
      <w:pPr>
        <w:spacing w:before="280" w:after="80"/>
        <w:pBdr>
          <w:bottom w:val="single" w:sz="8" w:space="2" w:color="C0A45F"/>
        </w:pBdr>
      </w:pPr>
      <w:r>
        <w:rPr>
          <w:rFonts w:ascii="Carlito" w:hAnsi="Carlito"/>
          <w:b/>
          <w:color w:val="1C3A36"/>
          <w:sz w:val="30"/>
        </w:rPr>
        <w:t>Appendix B  Peer set, sector structure, and risks</w:t>
      </w:r>
    </w:p>
    <w:p>
      <w:r>
        <w:rPr>
          <w:rFonts w:ascii="Carlito" w:hAnsi="Carlito"/>
          <w:i w:val="0"/>
          <w:sz w:val="21"/>
        </w:rPr>
        <w:t>SABIC's closest comparables are the global integrated commodity-petrochemical producers; the listed agri-nutrients sub trades on its own.</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2160"/>
        <w:gridCol w:w="2160"/>
        <w:gridCol w:w="2160"/>
        <w:gridCol w:w="2160"/>
      </w:tblGrid>
      <w:tr>
        <w:tc>
          <w:tcPr>
            <w:tcW w:type="dxa" w:w="2880"/>
            <w:shd w:val="clear" w:fill="1C3A36"/>
          </w:tcPr>
          <w:p>
            <w:pPr>
              <w:spacing w:after="20" w:before="20"/>
              <w:jc w:val="left"/>
            </w:pPr>
            <w:r/>
            <w:r>
              <w:rPr>
                <w:rFonts w:ascii="Carlito" w:hAnsi="Carlito"/>
                <w:b/>
                <w:i w:val="0"/>
                <w:color w:val="FFFFFF"/>
                <w:sz w:val="19"/>
              </w:rPr>
              <w:t>Peer</w:t>
            </w:r>
          </w:p>
        </w:tc>
        <w:tc>
          <w:tcPr>
            <w:tcW w:type="dxa" w:w="1728"/>
            <w:shd w:val="clear" w:fill="1C3A36"/>
          </w:tcPr>
          <w:p>
            <w:pPr>
              <w:spacing w:after="20" w:before="20"/>
              <w:jc w:val="center"/>
            </w:pPr>
            <w:r/>
            <w:r>
              <w:rPr>
                <w:rFonts w:ascii="Carlito" w:hAnsi="Carlito"/>
                <w:b/>
                <w:i w:val="0"/>
                <w:color w:val="FFFFFF"/>
                <w:sz w:val="19"/>
              </w:rPr>
              <w:t>Market</w:t>
            </w:r>
          </w:p>
        </w:tc>
        <w:tc>
          <w:tcPr>
            <w:tcW w:type="dxa" w:w="2592"/>
            <w:shd w:val="clear" w:fill="1C3A36"/>
          </w:tcPr>
          <w:p>
            <w:pPr>
              <w:spacing w:after="20" w:before="20"/>
              <w:jc w:val="center"/>
            </w:pPr>
            <w:r/>
            <w:r>
              <w:rPr>
                <w:rFonts w:ascii="Carlito" w:hAnsi="Carlito"/>
                <w:b/>
                <w:i w:val="0"/>
                <w:color w:val="FFFFFF"/>
                <w:sz w:val="19"/>
              </w:rPr>
              <w:t>EV/EBITDA (indicative)</w:t>
            </w:r>
          </w:p>
        </w:tc>
        <w:tc>
          <w:tcPr>
            <w:tcW w:type="dxa" w:w="2880"/>
            <w:shd w:val="clear" w:fill="1C3A36"/>
          </w:tcPr>
          <w:p>
            <w:pPr>
              <w:spacing w:after="20" w:before="20"/>
              <w:jc w:val="center"/>
            </w:pPr>
            <w:r/>
            <w:r>
              <w:rPr>
                <w:rFonts w:ascii="Carlito" w:hAnsi="Carlito"/>
                <w:b/>
                <w:i w:val="0"/>
                <w:color w:val="FFFFFF"/>
                <w:sz w:val="19"/>
              </w:rPr>
              <w:t>Note</w:t>
            </w:r>
          </w:p>
        </w:tc>
      </w:tr>
      <w:tr>
        <w:tc>
          <w:tcPr>
            <w:tcW w:type="dxa" w:w="2880"/>
          </w:tcPr>
          <w:p>
            <w:pPr>
              <w:spacing w:after="20" w:before="20"/>
              <w:jc w:val="left"/>
            </w:pPr>
            <w:r/>
            <w:r>
              <w:rPr>
                <w:rFonts w:ascii="Carlito" w:hAnsi="Carlito"/>
                <w:b w:val="0"/>
                <w:i w:val="0"/>
                <w:sz w:val="19"/>
              </w:rPr>
              <w:t>SABIC</w:t>
            </w:r>
          </w:p>
        </w:tc>
        <w:tc>
          <w:tcPr>
            <w:tcW w:type="dxa" w:w="1728"/>
          </w:tcPr>
          <w:p>
            <w:pPr>
              <w:spacing w:after="20" w:before="20"/>
              <w:jc w:val="center"/>
            </w:pPr>
            <w:r/>
            <w:r>
              <w:rPr>
                <w:rFonts w:ascii="Carlito" w:hAnsi="Carlito"/>
                <w:b w:val="0"/>
                <w:i w:val="0"/>
                <w:sz w:val="19"/>
              </w:rPr>
              <w:t>Tadawul</w:t>
            </w:r>
          </w:p>
        </w:tc>
        <w:tc>
          <w:tcPr>
            <w:tcW w:type="dxa" w:w="2592"/>
          </w:tcPr>
          <w:p>
            <w:pPr>
              <w:spacing w:after="20" w:before="20"/>
              <w:jc w:val="center"/>
            </w:pPr>
            <w:r/>
            <w:r>
              <w:rPr>
                <w:rFonts w:ascii="Carlito" w:hAnsi="Carlito"/>
                <w:b w:val="0"/>
                <w:i w:val="0"/>
                <w:sz w:val="19"/>
              </w:rPr>
              <w:t>~8.7× (2025A adj)</w:t>
            </w:r>
          </w:p>
        </w:tc>
        <w:tc>
          <w:tcPr>
            <w:tcW w:type="dxa" w:w="2880"/>
          </w:tcPr>
          <w:p>
            <w:pPr>
              <w:spacing w:after="20" w:before="20"/>
              <w:jc w:val="center"/>
            </w:pPr>
            <w:r/>
            <w:r>
              <w:rPr>
                <w:rFonts w:ascii="Carlito" w:hAnsi="Carlito"/>
                <w:b w:val="0"/>
                <w:i w:val="0"/>
                <w:sz w:val="19"/>
              </w:rPr>
              <w:t>Aramco-owned 70%; ~net cash; A+/A1</w:t>
            </w:r>
          </w:p>
        </w:tc>
      </w:tr>
      <w:tr>
        <w:tc>
          <w:tcPr>
            <w:tcW w:type="dxa" w:w="2880"/>
          </w:tcPr>
          <w:p>
            <w:pPr>
              <w:spacing w:after="20" w:before="20"/>
              <w:jc w:val="left"/>
            </w:pPr>
            <w:r/>
            <w:r>
              <w:rPr>
                <w:rFonts w:ascii="Carlito" w:hAnsi="Carlito"/>
                <w:b w:val="0"/>
                <w:i w:val="0"/>
                <w:sz w:val="19"/>
              </w:rPr>
              <w:t>Dow</w:t>
            </w:r>
          </w:p>
        </w:tc>
        <w:tc>
          <w:tcPr>
            <w:tcW w:type="dxa" w:w="1728"/>
          </w:tcPr>
          <w:p>
            <w:pPr>
              <w:spacing w:after="20" w:before="20"/>
              <w:jc w:val="center"/>
            </w:pPr>
            <w:r/>
            <w:r>
              <w:rPr>
                <w:rFonts w:ascii="Carlito" w:hAnsi="Carlito"/>
                <w:b w:val="0"/>
                <w:i w:val="0"/>
                <w:sz w:val="19"/>
              </w:rPr>
              <w:t>NYSE</w:t>
            </w:r>
          </w:p>
        </w:tc>
        <w:tc>
          <w:tcPr>
            <w:tcW w:type="dxa" w:w="2592"/>
          </w:tcPr>
          <w:p>
            <w:pPr>
              <w:spacing w:after="20" w:before="20"/>
              <w:jc w:val="center"/>
            </w:pPr>
            <w:r/>
            <w:r>
              <w:rPr>
                <w:rFonts w:ascii="Carlito" w:hAnsi="Carlito"/>
                <w:b w:val="0"/>
                <w:i w:val="0"/>
                <w:sz w:val="19"/>
              </w:rPr>
              <w:t>~7–8×</w:t>
            </w:r>
          </w:p>
        </w:tc>
        <w:tc>
          <w:tcPr>
            <w:tcW w:type="dxa" w:w="2880"/>
          </w:tcPr>
          <w:p>
            <w:pPr>
              <w:spacing w:after="20" w:before="20"/>
              <w:jc w:val="center"/>
            </w:pPr>
            <w:r/>
            <w:r>
              <w:rPr>
                <w:rFonts w:ascii="Carlito" w:hAnsi="Carlito"/>
                <w:b w:val="0"/>
                <w:i w:val="0"/>
                <w:sz w:val="19"/>
              </w:rPr>
              <w:t>US integrated</w:t>
            </w:r>
          </w:p>
        </w:tc>
      </w:tr>
      <w:tr>
        <w:tc>
          <w:tcPr>
            <w:tcW w:type="dxa" w:w="2880"/>
          </w:tcPr>
          <w:p>
            <w:pPr>
              <w:spacing w:after="20" w:before="20"/>
              <w:jc w:val="left"/>
            </w:pPr>
            <w:r/>
            <w:r>
              <w:rPr>
                <w:rFonts w:ascii="Carlito" w:hAnsi="Carlito"/>
                <w:b w:val="0"/>
                <w:i w:val="0"/>
                <w:sz w:val="19"/>
              </w:rPr>
              <w:t>LyondellBasell</w:t>
            </w:r>
          </w:p>
        </w:tc>
        <w:tc>
          <w:tcPr>
            <w:tcW w:type="dxa" w:w="1728"/>
          </w:tcPr>
          <w:p>
            <w:pPr>
              <w:spacing w:after="20" w:before="20"/>
              <w:jc w:val="center"/>
            </w:pPr>
            <w:r/>
            <w:r>
              <w:rPr>
                <w:rFonts w:ascii="Carlito" w:hAnsi="Carlito"/>
                <w:b w:val="0"/>
                <w:i w:val="0"/>
                <w:sz w:val="19"/>
              </w:rPr>
              <w:t>NYSE</w:t>
            </w:r>
          </w:p>
        </w:tc>
        <w:tc>
          <w:tcPr>
            <w:tcW w:type="dxa" w:w="2592"/>
          </w:tcPr>
          <w:p>
            <w:pPr>
              <w:spacing w:after="20" w:before="20"/>
              <w:jc w:val="center"/>
            </w:pPr>
            <w:r/>
            <w:r>
              <w:rPr>
                <w:rFonts w:ascii="Carlito" w:hAnsi="Carlito"/>
                <w:b w:val="0"/>
                <w:i w:val="0"/>
                <w:sz w:val="19"/>
              </w:rPr>
              <w:t>~6–7×</w:t>
            </w:r>
          </w:p>
        </w:tc>
        <w:tc>
          <w:tcPr>
            <w:tcW w:type="dxa" w:w="2880"/>
          </w:tcPr>
          <w:p>
            <w:pPr>
              <w:spacing w:after="20" w:before="20"/>
              <w:jc w:val="center"/>
            </w:pPr>
            <w:r/>
            <w:r>
              <w:rPr>
                <w:rFonts w:ascii="Carlito" w:hAnsi="Carlito"/>
                <w:b w:val="0"/>
                <w:i w:val="0"/>
                <w:sz w:val="19"/>
              </w:rPr>
              <w:t>PO/PE</w:t>
            </w:r>
          </w:p>
        </w:tc>
      </w:tr>
      <w:tr>
        <w:tc>
          <w:tcPr>
            <w:tcW w:type="dxa" w:w="2880"/>
          </w:tcPr>
          <w:p>
            <w:pPr>
              <w:spacing w:after="20" w:before="20"/>
              <w:jc w:val="left"/>
            </w:pPr>
            <w:r/>
            <w:r>
              <w:rPr>
                <w:rFonts w:ascii="Carlito" w:hAnsi="Carlito"/>
                <w:b w:val="0"/>
                <w:i w:val="0"/>
                <w:sz w:val="19"/>
              </w:rPr>
              <w:t>Westlake</w:t>
            </w:r>
          </w:p>
        </w:tc>
        <w:tc>
          <w:tcPr>
            <w:tcW w:type="dxa" w:w="1728"/>
          </w:tcPr>
          <w:p>
            <w:pPr>
              <w:spacing w:after="20" w:before="20"/>
              <w:jc w:val="center"/>
            </w:pPr>
            <w:r/>
            <w:r>
              <w:rPr>
                <w:rFonts w:ascii="Carlito" w:hAnsi="Carlito"/>
                <w:b w:val="0"/>
                <w:i w:val="0"/>
                <w:sz w:val="19"/>
              </w:rPr>
              <w:t>NYSE</w:t>
            </w:r>
          </w:p>
        </w:tc>
        <w:tc>
          <w:tcPr>
            <w:tcW w:type="dxa" w:w="2592"/>
          </w:tcPr>
          <w:p>
            <w:pPr>
              <w:spacing w:after="20" w:before="20"/>
              <w:jc w:val="center"/>
            </w:pPr>
            <w:r/>
            <w:r>
              <w:rPr>
                <w:rFonts w:ascii="Carlito" w:hAnsi="Carlito"/>
                <w:b w:val="0"/>
                <w:i w:val="0"/>
                <w:sz w:val="19"/>
              </w:rPr>
              <w:t>~6–7×</w:t>
            </w:r>
          </w:p>
        </w:tc>
        <w:tc>
          <w:tcPr>
            <w:tcW w:type="dxa" w:w="2880"/>
          </w:tcPr>
          <w:p>
            <w:pPr>
              <w:spacing w:after="20" w:before="20"/>
              <w:jc w:val="center"/>
            </w:pPr>
            <w:r/>
            <w:r>
              <w:rPr>
                <w:rFonts w:ascii="Carlito" w:hAnsi="Carlito"/>
                <w:b w:val="0"/>
                <w:i w:val="0"/>
                <w:sz w:val="19"/>
              </w:rPr>
              <w:t>PVC/PE</w:t>
            </w:r>
          </w:p>
        </w:tc>
      </w:tr>
      <w:tr>
        <w:tc>
          <w:tcPr>
            <w:tcW w:type="dxa" w:w="2880"/>
          </w:tcPr>
          <w:p>
            <w:pPr>
              <w:spacing w:after="20" w:before="20"/>
              <w:jc w:val="left"/>
            </w:pPr>
            <w:r/>
            <w:r>
              <w:rPr>
                <w:rFonts w:ascii="Carlito" w:hAnsi="Carlito"/>
                <w:b w:val="0"/>
                <w:i w:val="0"/>
                <w:sz w:val="19"/>
              </w:rPr>
              <w:t>Formosa Plastics</w:t>
            </w:r>
          </w:p>
        </w:tc>
        <w:tc>
          <w:tcPr>
            <w:tcW w:type="dxa" w:w="1728"/>
          </w:tcPr>
          <w:p>
            <w:pPr>
              <w:spacing w:after="20" w:before="20"/>
              <w:jc w:val="center"/>
            </w:pPr>
            <w:r/>
            <w:r>
              <w:rPr>
                <w:rFonts w:ascii="Carlito" w:hAnsi="Carlito"/>
                <w:b w:val="0"/>
                <w:i w:val="0"/>
                <w:sz w:val="19"/>
              </w:rPr>
              <w:t>TWSE</w:t>
            </w:r>
          </w:p>
        </w:tc>
        <w:tc>
          <w:tcPr>
            <w:tcW w:type="dxa" w:w="2592"/>
          </w:tcPr>
          <w:p>
            <w:pPr>
              <w:spacing w:after="20" w:before="20"/>
              <w:jc w:val="center"/>
            </w:pPr>
            <w:r/>
            <w:r>
              <w:rPr>
                <w:rFonts w:ascii="Carlito" w:hAnsi="Carlito"/>
                <w:b w:val="0"/>
                <w:i w:val="0"/>
                <w:sz w:val="19"/>
              </w:rPr>
              <w:t>~7–9×</w:t>
            </w:r>
          </w:p>
        </w:tc>
        <w:tc>
          <w:tcPr>
            <w:tcW w:type="dxa" w:w="2880"/>
          </w:tcPr>
          <w:p>
            <w:pPr>
              <w:spacing w:after="20" w:before="20"/>
              <w:jc w:val="center"/>
            </w:pPr>
            <w:r/>
            <w:r>
              <w:rPr>
                <w:rFonts w:ascii="Carlito" w:hAnsi="Carlito"/>
                <w:b w:val="0"/>
                <w:i w:val="0"/>
                <w:sz w:val="19"/>
              </w:rPr>
              <w:t>Asia integrated</w:t>
            </w:r>
          </w:p>
        </w:tc>
      </w:tr>
      <w:tr>
        <w:tc>
          <w:tcPr>
            <w:tcW w:type="dxa" w:w="2880"/>
          </w:tcPr>
          <w:p>
            <w:pPr>
              <w:spacing w:after="20" w:before="20"/>
              <w:jc w:val="left"/>
            </w:pPr>
            <w:r/>
            <w:r>
              <w:rPr>
                <w:rFonts w:ascii="Carlito" w:hAnsi="Carlito"/>
                <w:b w:val="0"/>
                <w:i w:val="0"/>
                <w:sz w:val="19"/>
              </w:rPr>
              <w:t>SABIC Agri-Nutrients</w:t>
            </w:r>
          </w:p>
        </w:tc>
        <w:tc>
          <w:tcPr>
            <w:tcW w:type="dxa" w:w="1728"/>
          </w:tcPr>
          <w:p>
            <w:pPr>
              <w:spacing w:after="20" w:before="20"/>
              <w:jc w:val="center"/>
            </w:pPr>
            <w:r/>
            <w:r>
              <w:rPr>
                <w:rFonts w:ascii="Carlito" w:hAnsi="Carlito"/>
                <w:b w:val="0"/>
                <w:i w:val="0"/>
                <w:sz w:val="19"/>
              </w:rPr>
              <w:t>Tadawul</w:t>
            </w:r>
          </w:p>
        </w:tc>
        <w:tc>
          <w:tcPr>
            <w:tcW w:type="dxa" w:w="2592"/>
          </w:tcPr>
          <w:p>
            <w:pPr>
              <w:spacing w:after="20" w:before="20"/>
              <w:jc w:val="center"/>
            </w:pPr>
            <w:r/>
            <w:r>
              <w:rPr>
                <w:rFonts w:ascii="Carlito" w:hAnsi="Carlito"/>
                <w:b w:val="0"/>
                <w:i w:val="0"/>
                <w:sz w:val="19"/>
              </w:rPr>
              <w:t>listed sub</w:t>
            </w:r>
          </w:p>
        </w:tc>
        <w:tc>
          <w:tcPr>
            <w:tcW w:type="dxa" w:w="2880"/>
          </w:tcPr>
          <w:p>
            <w:pPr>
              <w:spacing w:after="20" w:before="20"/>
              <w:jc w:val="center"/>
            </w:pPr>
            <w:r/>
            <w:r>
              <w:rPr>
                <w:rFonts w:ascii="Carlito" w:hAnsi="Carlito"/>
                <w:b w:val="0"/>
                <w:i w:val="0"/>
                <w:sz w:val="19"/>
              </w:rPr>
              <w:t>urea / ammonia</w:t>
            </w:r>
          </w:p>
        </w:tc>
      </w:tr>
    </w:tbl>
    <w:p>
      <w:pPr>
        <w:spacing w:after="40"/>
      </w:pPr>
    </w:p>
    <w:p>
      <w:r>
        <w:rPr>
          <w:rFonts w:ascii="Carlito" w:hAnsi="Carlito"/>
          <w:i w:val="0"/>
          <w:sz w:val="21"/>
        </w:rPr>
        <w:t xml:space="preserve">Sector structure. </w:t>
      </w:r>
    </w:p>
    <w:p>
      <w:r>
        <w:rPr>
          <w:rFonts w:ascii="Carlito" w:hAnsi="Carlito"/>
          <w:i w:val="0"/>
          <w:sz w:val="21"/>
        </w:rPr>
        <w:t>Global commodity petrochemicals is deeply cyclical and is working through the 2022–25 Chinese capacity wave that compressed spreads; demand recovery and capacity rationalisation are the swing variables, and a low-cost feedstock position (SABIC's advantaged Saudi gas) is the durable competitive edge. Principal risks: a structurally lower product–feedstock spread (a permanent Chinese-oversupply regime); an administered feedstock-price increase; slow or value-destructive completion of the European divestitures; minority-governance risk under a 70% strategic parent; and the cyclicality that makes any single mid-cycle-margin normalization uncertain.</w:t>
      </w:r>
    </w:p>
    <w:p>
      <w:pPr>
        <w:spacing w:before="280" w:after="80"/>
        <w:pBdr>
          <w:bottom w:val="single" w:sz="8" w:space="2" w:color="C0A45F"/>
        </w:pBdr>
      </w:pPr>
      <w:r>
        <w:rPr>
          <w:rFonts w:ascii="Carlito" w:hAnsi="Carlito"/>
          <w:b/>
          <w:color w:val="1C3A36"/>
          <w:sz w:val="30"/>
        </w:rPr>
        <w:t>Appendix C  The expert valuation panel</w:t>
      </w:r>
    </w:p>
    <w:p>
      <w:r>
        <w:rPr>
          <w:rFonts w:ascii="Carlito" w:hAnsi="Carlito"/>
          <w:i w:val="0"/>
          <w:sz w:val="21"/>
        </w:rPr>
        <w:t>Every Testahil study closes with a panel of standing expert personas — drawn from the house Expert Persona Library, not invented for the occasion, so that each accumulates a track record across studies and a quarterly update is a re-run, not a re-training. SABIC is a capital-heavy industrial, so we cast the four whose methods both fit an integrated commodity-petrochemical producer and genuinely disagree: Expert 1 (earnings power — mid-cycle EBITDA and a peer multiple), Expert 2 (the accountant — replacement/RNAV value and earnings quality), Expert 3 (cash returns — DCF and return on capital versus its cost, plus dividend sustainability, the capital-heavy addition), and Expert 4 (macro and policy — oil, China, feedstock and the Aramco relationship). Each runs a different method, derives its fair value from shown workings, and states a falsification condition.</w:t>
      </w:r>
    </w:p>
    <w:p>
      <w:pPr>
        <w:spacing w:before="200" w:after="60"/>
      </w:pPr>
      <w:r>
        <w:rPr>
          <w:rFonts w:ascii="Carlito" w:hAnsi="Carlito"/>
          <w:b/>
          <w:color w:val="896F36"/>
          <w:sz w:val="23"/>
        </w:rPr>
        <w:t>C.1  Expert 1 — earnings power and the peer multiple</w:t>
      </w:r>
    </w:p>
    <w:p>
      <w:r>
        <w:rPr>
          <w:rFonts w:ascii="Carlito" w:hAnsi="Carlito"/>
          <w:b/>
          <w:sz w:val="21"/>
        </w:rPr>
        <w:t xml:space="preserve">Worldview.  </w:t>
      </w:r>
      <w:r>
        <w:rPr>
          <w:rFonts w:ascii="Carlito" w:hAnsi="Carlito"/>
          <w:i w:val="0"/>
          <w:sz w:val="21"/>
        </w:rPr>
        <w:t>A commodity producer is worth a fair multiple of its sustainable mid-cycle EBITDA; the trough and the peak are noise to be normalized out.</w:t>
      </w:r>
    </w:p>
    <w:p>
      <w:r>
        <w:rPr>
          <w:rFonts w:ascii="Carlito" w:hAnsi="Carlito"/>
          <w:b/>
          <w:sz w:val="21"/>
        </w:rPr>
        <w:t xml:space="preserve">When it works / fails.  </w:t>
      </w:r>
      <w:r>
        <w:rPr>
          <w:rFonts w:ascii="Carlito" w:hAnsi="Carlito"/>
          <w:i w:val="0"/>
          <w:sz w:val="21"/>
        </w:rPr>
        <w:t>Best where a through-cycle EBITDA is estimable and peer multiples are observable; it fails at structural breaks — if the spread is permanently lower, the normalization is simply wrong.</w:t>
      </w:r>
    </w:p>
    <w:p>
      <w:r>
        <w:rPr>
          <w:rFonts w:ascii="Carlito" w:hAnsi="Carlito"/>
          <w:b/>
          <w:sz w:val="21"/>
        </w:rPr>
        <w:t xml:space="preserve">Standard workings &amp; worked example.  </w:t>
      </w:r>
      <w:r>
        <w:rPr>
          <w:rFonts w:ascii="Carlito" w:hAnsi="Carlito"/>
          <w:i w:val="0"/>
          <w:sz w:val="21"/>
        </w:rPr>
        <w:t>Normalize EBITDA to mid-cycle, apply a global-integrated-petchem EV/EBITDA, deduct net debt, divide by shares.</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4320"/>
        <w:gridCol w:w="4320"/>
      </w:tblGrid>
      <w:tr>
        <w:tc>
          <w:tcPr>
            <w:tcW w:type="dxa" w:w="6336"/>
            <w:shd w:val="clear" w:fill="1C3A36"/>
          </w:tcPr>
          <w:p>
            <w:pPr>
              <w:spacing w:after="20" w:before="20"/>
              <w:jc w:val="left"/>
            </w:pPr>
            <w:r/>
            <w:r>
              <w:rPr>
                <w:rFonts w:ascii="Carlito" w:hAnsi="Carlito"/>
                <w:b/>
                <w:i w:val="0"/>
                <w:color w:val="FFFFFF"/>
                <w:sz w:val="19"/>
              </w:rPr>
              <w:t>Expert 1's workings</w:t>
            </w:r>
          </w:p>
        </w:tc>
        <w:tc>
          <w:tcPr>
            <w:tcW w:type="dxa" w:w="2016"/>
            <w:shd w:val="clear" w:fill="1C3A36"/>
          </w:tcPr>
          <w:p>
            <w:pPr>
              <w:spacing w:after="20" w:before="20"/>
              <w:jc w:val="center"/>
            </w:pPr>
            <w:r/>
            <w:r>
              <w:rPr>
                <w:rFonts w:ascii="Carlito" w:hAnsi="Carlito"/>
                <w:b/>
                <w:i w:val="0"/>
                <w:color w:val="FFFFFF"/>
                <w:sz w:val="19"/>
              </w:rPr>
              <w:t>Value</w:t>
            </w:r>
          </w:p>
        </w:tc>
      </w:tr>
      <w:tr>
        <w:tc>
          <w:tcPr>
            <w:tcW w:type="dxa" w:w="6336"/>
          </w:tcPr>
          <w:p>
            <w:pPr>
              <w:spacing w:after="20" w:before="20"/>
              <w:jc w:val="left"/>
            </w:pPr>
            <w:r/>
            <w:r>
              <w:rPr>
                <w:rFonts w:ascii="Carlito" w:hAnsi="Carlito"/>
                <w:b w:val="0"/>
                <w:i w:val="0"/>
                <w:sz w:val="19"/>
              </w:rPr>
              <w:t>Mid-cycle EBITDA (SAR bn)</w:t>
            </w:r>
          </w:p>
        </w:tc>
        <w:tc>
          <w:tcPr>
            <w:tcW w:type="dxa" w:w="2016"/>
          </w:tcPr>
          <w:p>
            <w:pPr>
              <w:spacing w:after="20" w:before="20"/>
              <w:jc w:val="center"/>
            </w:pPr>
            <w:r/>
            <w:r>
              <w:rPr>
                <w:rFonts w:ascii="Carlito" w:hAnsi="Carlito"/>
                <w:b w:val="0"/>
                <w:i w:val="0"/>
                <w:sz w:val="19"/>
              </w:rPr>
              <w:t>22.0</w:t>
            </w:r>
          </w:p>
        </w:tc>
      </w:tr>
      <w:tr>
        <w:tc>
          <w:tcPr>
            <w:tcW w:type="dxa" w:w="6336"/>
          </w:tcPr>
          <w:p>
            <w:pPr>
              <w:spacing w:after="20" w:before="20"/>
              <w:jc w:val="left"/>
            </w:pPr>
            <w:r/>
            <w:r>
              <w:rPr>
                <w:rFonts w:ascii="Carlito" w:hAnsi="Carlito"/>
                <w:b w:val="0"/>
                <w:i w:val="0"/>
                <w:sz w:val="19"/>
              </w:rPr>
              <w:t>EV/EBITDA multiple (peer, mid-cycle)</w:t>
            </w:r>
          </w:p>
        </w:tc>
        <w:tc>
          <w:tcPr>
            <w:tcW w:type="dxa" w:w="2016"/>
          </w:tcPr>
          <w:p>
            <w:pPr>
              <w:spacing w:after="20" w:before="20"/>
              <w:jc w:val="center"/>
            </w:pPr>
            <w:r/>
            <w:r>
              <w:rPr>
                <w:rFonts w:ascii="Carlito" w:hAnsi="Carlito"/>
                <w:b w:val="0"/>
                <w:i w:val="0"/>
                <w:sz w:val="19"/>
              </w:rPr>
              <w:t>7.0×</w:t>
            </w:r>
          </w:p>
        </w:tc>
      </w:tr>
      <w:tr>
        <w:tc>
          <w:tcPr>
            <w:tcW w:type="dxa" w:w="6336"/>
          </w:tcPr>
          <w:p>
            <w:pPr>
              <w:spacing w:after="20" w:before="20"/>
              <w:jc w:val="left"/>
            </w:pPr>
            <w:r/>
            <w:r>
              <w:rPr>
                <w:rFonts w:ascii="Carlito" w:hAnsi="Carlito"/>
                <w:b w:val="0"/>
                <w:i w:val="0"/>
                <w:sz w:val="19"/>
              </w:rPr>
              <w:t>Enterprise value (SAR bn)</w:t>
            </w:r>
          </w:p>
        </w:tc>
        <w:tc>
          <w:tcPr>
            <w:tcW w:type="dxa" w:w="2016"/>
          </w:tcPr>
          <w:p>
            <w:pPr>
              <w:spacing w:after="20" w:before="20"/>
              <w:jc w:val="center"/>
            </w:pPr>
            <w:r/>
            <w:r>
              <w:rPr>
                <w:rFonts w:ascii="Carlito" w:hAnsi="Carlito"/>
                <w:b w:val="0"/>
                <w:i w:val="0"/>
                <w:sz w:val="19"/>
              </w:rPr>
              <w:t>154.0</w:t>
            </w:r>
          </w:p>
        </w:tc>
      </w:tr>
      <w:tr>
        <w:tc>
          <w:tcPr>
            <w:tcW w:type="dxa" w:w="6336"/>
          </w:tcPr>
          <w:p>
            <w:pPr>
              <w:spacing w:after="20" w:before="20"/>
              <w:jc w:val="left"/>
            </w:pPr>
            <w:r/>
            <w:r>
              <w:rPr>
                <w:rFonts w:ascii="Carlito" w:hAnsi="Carlito"/>
                <w:b w:val="0"/>
                <w:i w:val="0"/>
                <w:sz w:val="19"/>
              </w:rPr>
              <w:t>less: net debt</w:t>
            </w:r>
          </w:p>
        </w:tc>
        <w:tc>
          <w:tcPr>
            <w:tcW w:type="dxa" w:w="2016"/>
          </w:tcPr>
          <w:p>
            <w:pPr>
              <w:spacing w:after="20" w:before="20"/>
              <w:jc w:val="center"/>
            </w:pPr>
            <w:r/>
            <w:r>
              <w:rPr>
                <w:rFonts w:ascii="Carlito" w:hAnsi="Carlito"/>
                <w:b w:val="0"/>
                <w:i w:val="0"/>
                <w:sz w:val="19"/>
              </w:rPr>
              <w:t>0.0</w:t>
            </w:r>
          </w:p>
        </w:tc>
      </w:tr>
      <w:tr>
        <w:tc>
          <w:tcPr>
            <w:tcW w:type="dxa" w:w="6336"/>
          </w:tcPr>
          <w:p>
            <w:pPr>
              <w:spacing w:after="20" w:before="20"/>
              <w:jc w:val="left"/>
            </w:pPr>
            <w:r/>
            <w:r>
              <w:rPr>
                <w:rFonts w:ascii="Carlito" w:hAnsi="Carlito"/>
                <w:b w:val="0"/>
                <w:i w:val="0"/>
                <w:sz w:val="19"/>
              </w:rPr>
              <w:t>Equity value (SAR bn) → ÷ 3,000 mn sh</w:t>
            </w:r>
          </w:p>
        </w:tc>
        <w:tc>
          <w:tcPr>
            <w:tcW w:type="dxa" w:w="2016"/>
          </w:tcPr>
          <w:p>
            <w:pPr>
              <w:spacing w:after="20" w:before="20"/>
              <w:jc w:val="center"/>
            </w:pPr>
            <w:r/>
            <w:r>
              <w:rPr>
                <w:rFonts w:ascii="Carlito" w:hAnsi="Carlito"/>
                <w:b w:val="0"/>
                <w:i w:val="0"/>
                <w:sz w:val="19"/>
              </w:rPr>
              <w:t>154.0</w:t>
            </w:r>
          </w:p>
        </w:tc>
      </w:tr>
      <w:tr>
        <w:tc>
          <w:tcPr>
            <w:tcW w:type="dxa" w:w="6336"/>
          </w:tcPr>
          <w:p>
            <w:pPr>
              <w:spacing w:after="20" w:before="20"/>
              <w:jc w:val="left"/>
            </w:pPr>
            <w:r/>
            <w:r>
              <w:rPr>
                <w:rFonts w:ascii="Carlito" w:hAnsi="Carlito"/>
                <w:b w:val="0"/>
                <w:i w:val="0"/>
                <w:sz w:val="19"/>
              </w:rPr>
              <w:t>Fair value</w:t>
            </w:r>
          </w:p>
        </w:tc>
        <w:tc>
          <w:tcPr>
            <w:tcW w:type="dxa" w:w="2016"/>
          </w:tcPr>
          <w:p>
            <w:pPr>
              <w:spacing w:after="20" w:before="20"/>
              <w:jc w:val="center"/>
            </w:pPr>
            <w:r/>
            <w:r>
              <w:rPr>
                <w:rFonts w:ascii="Carlito" w:hAnsi="Carlito"/>
                <w:b w:val="0"/>
                <w:i w:val="0"/>
                <w:sz w:val="19"/>
              </w:rPr>
              <w:t>→ SAR 51/sh</w:t>
            </w:r>
          </w:p>
        </w:tc>
      </w:tr>
    </w:tbl>
    <w:p>
      <w:pPr>
        <w:spacing w:after="40"/>
      </w:pPr>
    </w:p>
    <w:p>
      <w:r>
        <w:rPr>
          <w:rFonts w:ascii="Carlito" w:hAnsi="Carlito"/>
          <w:b/>
          <w:sz w:val="21"/>
        </w:rPr>
        <w:t xml:space="preserve">Sensitivity (swing = the multiple).  </w:t>
      </w:r>
      <w:r>
        <w:rPr>
          <w:rFonts w:ascii="Carlito" w:hAnsi="Carlito"/>
          <w:i w:val="0"/>
          <w:sz w:val="21"/>
        </w:rPr>
        <w:t xml:space="preserve">At 6.0× SAR 44; at 8.0× SAR 59. </w:t>
      </w:r>
    </w:p>
    <w:p>
      <w:r>
        <w:rPr>
          <w:rFonts w:ascii="Carlito" w:hAnsi="Carlito"/>
          <w:b/>
          <w:sz w:val="21"/>
        </w:rPr>
        <w:t xml:space="preserve">Cross-examination.  </w:t>
      </w:r>
      <w:r>
        <w:rPr>
          <w:rFonts w:ascii="Carlito" w:hAnsi="Carlito"/>
          <w:i w:val="0"/>
          <w:sz w:val="21"/>
        </w:rPr>
        <w:t>He tells Expert 3 that a DCF on a normalizing margin is 75% terminal value — a multiple bet dressed up; he tells Expert 2 that book was cut by non-cash writedowns and understates nothing an EBITDA multiple doesn't already capture.</w:t>
      </w:r>
    </w:p>
    <w:p>
      <w:r>
        <w:rPr>
          <w:rFonts w:ascii="Carlito" w:hAnsi="Carlito"/>
          <w:b/>
          <w:sz w:val="21"/>
        </w:rPr>
        <w:t xml:space="preserve">Verdict, falsification, market-implied.  </w:t>
      </w:r>
      <w:r>
        <w:rPr>
          <w:rFonts w:ascii="Carlito" w:hAnsi="Carlito"/>
          <w:i w:val="0"/>
          <w:sz w:val="21"/>
        </w:rPr>
        <w:t xml:space="preserve">Fair SAR 51 (range 44–59). </w:t>
      </w:r>
    </w:p>
    <w:p>
      <w:r>
        <w:rPr>
          <w:rFonts w:ascii="Carlito" w:hAnsi="Carlito"/>
          <w:i w:val="0"/>
          <w:sz w:val="21"/>
        </w:rPr>
        <w:t>Falsified if the mid-cycle EBITDA proves unattainable — the spread stuck at the trough through a cycle. The market price implies ~7.0× on the trough EBITDA, i.e. a mid-cycle number the market does not yet fully credit.</w:t>
      </w:r>
    </w:p>
    <w:p>
      <w:pPr>
        <w:spacing w:before="200" w:after="60"/>
      </w:pPr>
      <w:r>
        <w:rPr>
          <w:rFonts w:ascii="Carlito" w:hAnsi="Carlito"/>
          <w:b/>
          <w:color w:val="896F36"/>
          <w:sz w:val="23"/>
        </w:rPr>
        <w:t>C.2  Expert 2 — the accountant: replacement value and earnings quality</w:t>
      </w:r>
    </w:p>
    <w:p>
      <w:r>
        <w:rPr>
          <w:rFonts w:ascii="Carlito" w:hAnsi="Carlito"/>
          <w:b/>
          <w:sz w:val="21"/>
        </w:rPr>
        <w:t xml:space="preserve">Worldview.  </w:t>
      </w:r>
      <w:r>
        <w:rPr>
          <w:rFonts w:ascii="Carlito" w:hAnsi="Carlito"/>
          <w:i w:val="0"/>
          <w:sz w:val="21"/>
        </w:rPr>
        <w:t>An asset-heavy producer is worth what its asset base would cost to replace, adjusted for the quality and durability of its earnings; the balance sheet, not a projection, is the anchor.</w:t>
      </w:r>
    </w:p>
    <w:p>
      <w:r>
        <w:rPr>
          <w:rFonts w:ascii="Carlito" w:hAnsi="Carlito"/>
          <w:b/>
          <w:sz w:val="21"/>
        </w:rPr>
        <w:t xml:space="preserve">When it works / fails.  </w:t>
      </w:r>
      <w:r>
        <w:rPr>
          <w:rFonts w:ascii="Carlito" w:hAnsi="Carlito"/>
          <w:i w:val="0"/>
          <w:sz w:val="21"/>
        </w:rPr>
        <w:t>Best where the asset base is tangible and replacement cost is meaningful; it fails when assets are impaired for real (not just accounting) reasons, or when book is stale.</w:t>
      </w:r>
    </w:p>
    <w:p>
      <w:r>
        <w:rPr>
          <w:rFonts w:ascii="Carlito" w:hAnsi="Carlito"/>
          <w:b/>
          <w:sz w:val="21"/>
        </w:rPr>
        <w:t xml:space="preserve">Standard workings &amp; worked example.  </w:t>
      </w:r>
      <w:r>
        <w:rPr>
          <w:rFonts w:ascii="Carlito" w:hAnsi="Carlito"/>
          <w:i w:val="0"/>
          <w:sz w:val="21"/>
        </w:rPr>
        <w:t>Start from reported book, add back the non-cash 2025 writedowns to gauge replacement value, and apply a justified P/B reflecting mid-cycle ROE against cost of equity.</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4320"/>
        <w:gridCol w:w="4320"/>
      </w:tblGrid>
      <w:tr>
        <w:tc>
          <w:tcPr>
            <w:tcW w:type="dxa" w:w="6336"/>
            <w:shd w:val="clear" w:fill="1C3A36"/>
          </w:tcPr>
          <w:p>
            <w:pPr>
              <w:spacing w:after="20" w:before="20"/>
              <w:jc w:val="left"/>
            </w:pPr>
            <w:r/>
            <w:r>
              <w:rPr>
                <w:rFonts w:ascii="Carlito" w:hAnsi="Carlito"/>
                <w:b/>
                <w:i w:val="0"/>
                <w:color w:val="FFFFFF"/>
                <w:sz w:val="19"/>
              </w:rPr>
              <w:t>Expert 2's workings</w:t>
            </w:r>
          </w:p>
        </w:tc>
        <w:tc>
          <w:tcPr>
            <w:tcW w:type="dxa" w:w="2016"/>
            <w:shd w:val="clear" w:fill="1C3A36"/>
          </w:tcPr>
          <w:p>
            <w:pPr>
              <w:spacing w:after="20" w:before="20"/>
              <w:jc w:val="center"/>
            </w:pPr>
            <w:r/>
            <w:r>
              <w:rPr>
                <w:rFonts w:ascii="Carlito" w:hAnsi="Carlito"/>
                <w:b/>
                <w:i w:val="0"/>
                <w:color w:val="FFFFFF"/>
                <w:sz w:val="19"/>
              </w:rPr>
              <w:t>Value</w:t>
            </w:r>
          </w:p>
        </w:tc>
      </w:tr>
      <w:tr>
        <w:tc>
          <w:tcPr>
            <w:tcW w:type="dxa" w:w="6336"/>
          </w:tcPr>
          <w:p>
            <w:pPr>
              <w:spacing w:after="20" w:before="20"/>
              <w:jc w:val="left"/>
            </w:pPr>
            <w:r/>
            <w:r>
              <w:rPr>
                <w:rFonts w:ascii="Carlito" w:hAnsi="Carlito"/>
                <w:b w:val="0"/>
                <w:i w:val="0"/>
                <w:sz w:val="19"/>
              </w:rPr>
              <w:t>2025A book value / share (SAR)</w:t>
            </w:r>
          </w:p>
        </w:tc>
        <w:tc>
          <w:tcPr>
            <w:tcW w:type="dxa" w:w="2016"/>
          </w:tcPr>
          <w:p>
            <w:pPr>
              <w:spacing w:after="20" w:before="20"/>
              <w:jc w:val="center"/>
            </w:pPr>
            <w:r/>
            <w:r>
              <w:rPr>
                <w:rFonts w:ascii="Carlito" w:hAnsi="Carlito"/>
                <w:b w:val="0"/>
                <w:i w:val="0"/>
                <w:sz w:val="19"/>
              </w:rPr>
              <w:t>42.9</w:t>
            </w:r>
          </w:p>
        </w:tc>
      </w:tr>
      <w:tr>
        <w:tc>
          <w:tcPr>
            <w:tcW w:type="dxa" w:w="6336"/>
          </w:tcPr>
          <w:p>
            <w:pPr>
              <w:spacing w:after="20" w:before="20"/>
              <w:jc w:val="left"/>
            </w:pPr>
            <w:r/>
            <w:r>
              <w:rPr>
                <w:rFonts w:ascii="Carlito" w:hAnsi="Carlito"/>
                <w:b w:val="0"/>
                <w:i w:val="0"/>
                <w:sz w:val="19"/>
              </w:rPr>
              <w:t>Adjustment: 2025 writedowns were non-cash / European exit</w:t>
            </w:r>
          </w:p>
        </w:tc>
        <w:tc>
          <w:tcPr>
            <w:tcW w:type="dxa" w:w="2016"/>
          </w:tcPr>
          <w:p>
            <w:pPr>
              <w:spacing w:after="20" w:before="20"/>
              <w:jc w:val="center"/>
            </w:pPr>
            <w:r/>
            <w:r>
              <w:rPr>
                <w:rFonts w:ascii="Carlito" w:hAnsi="Carlito"/>
                <w:b w:val="0"/>
                <w:i w:val="0"/>
                <w:sz w:val="19"/>
              </w:rPr>
              <w:t>replacement &gt; book</w:t>
            </w:r>
          </w:p>
        </w:tc>
      </w:tr>
      <w:tr>
        <w:tc>
          <w:tcPr>
            <w:tcW w:type="dxa" w:w="6336"/>
          </w:tcPr>
          <w:p>
            <w:pPr>
              <w:spacing w:after="20" w:before="20"/>
              <w:jc w:val="left"/>
            </w:pPr>
            <w:r/>
            <w:r>
              <w:rPr>
                <w:rFonts w:ascii="Carlito" w:hAnsi="Carlito"/>
                <w:b w:val="0"/>
                <w:i w:val="0"/>
                <w:sz w:val="19"/>
              </w:rPr>
              <w:t>Justified P/B (mid-cycle ROE &gt; cost of equity)</w:t>
            </w:r>
          </w:p>
        </w:tc>
        <w:tc>
          <w:tcPr>
            <w:tcW w:type="dxa" w:w="2016"/>
          </w:tcPr>
          <w:p>
            <w:pPr>
              <w:spacing w:after="20" w:before="20"/>
              <w:jc w:val="center"/>
            </w:pPr>
            <w:r/>
            <w:r>
              <w:rPr>
                <w:rFonts w:ascii="Carlito" w:hAnsi="Carlito"/>
                <w:b w:val="0"/>
                <w:i w:val="0"/>
                <w:sz w:val="19"/>
              </w:rPr>
              <w:t>1.2×</w:t>
            </w:r>
          </w:p>
        </w:tc>
      </w:tr>
      <w:tr>
        <w:tc>
          <w:tcPr>
            <w:tcW w:type="dxa" w:w="6336"/>
          </w:tcPr>
          <w:p>
            <w:pPr>
              <w:spacing w:after="20" w:before="20"/>
              <w:jc w:val="left"/>
            </w:pPr>
            <w:r/>
            <w:r>
              <w:rPr>
                <w:rFonts w:ascii="Carlito" w:hAnsi="Carlito"/>
                <w:b w:val="0"/>
                <w:i w:val="0"/>
                <w:sz w:val="19"/>
              </w:rPr>
              <w:t>Fair value</w:t>
            </w:r>
          </w:p>
        </w:tc>
        <w:tc>
          <w:tcPr>
            <w:tcW w:type="dxa" w:w="2016"/>
          </w:tcPr>
          <w:p>
            <w:pPr>
              <w:spacing w:after="20" w:before="20"/>
              <w:jc w:val="center"/>
            </w:pPr>
            <w:r/>
            <w:r>
              <w:rPr>
                <w:rFonts w:ascii="Carlito" w:hAnsi="Carlito"/>
                <w:b w:val="0"/>
                <w:i w:val="0"/>
                <w:sz w:val="19"/>
              </w:rPr>
              <w:t>→ SAR 52/sh</w:t>
            </w:r>
          </w:p>
        </w:tc>
      </w:tr>
      <w:tr>
        <w:tc>
          <w:tcPr>
            <w:tcW w:type="dxa" w:w="6336"/>
          </w:tcPr>
          <w:p>
            <w:pPr>
              <w:spacing w:after="20" w:before="20"/>
              <w:jc w:val="left"/>
            </w:pPr>
            <w:r/>
            <w:r>
              <w:rPr>
                <w:rFonts w:ascii="Carlito" w:hAnsi="Carlito"/>
                <w:b w:val="0"/>
                <w:i w:val="0"/>
                <w:sz w:val="19"/>
              </w:rPr>
              <w:t>Earnings-quality check: strip 2025 one-off (SAR 25.8 bn)</w:t>
            </w:r>
          </w:p>
        </w:tc>
        <w:tc>
          <w:tcPr>
            <w:tcW w:type="dxa" w:w="2016"/>
          </w:tcPr>
          <w:p>
            <w:pPr>
              <w:spacing w:after="20" w:before="20"/>
              <w:jc w:val="center"/>
            </w:pPr>
            <w:r/>
            <w:r>
              <w:rPr>
                <w:rFonts w:ascii="Carlito" w:hAnsi="Carlito"/>
                <w:b w:val="0"/>
                <w:i w:val="0"/>
                <w:sz w:val="19"/>
              </w:rPr>
              <w:t>adj. NI +2.07 bn, not a loss</w:t>
            </w:r>
          </w:p>
        </w:tc>
      </w:tr>
    </w:tbl>
    <w:p>
      <w:pPr>
        <w:spacing w:after="40"/>
      </w:pPr>
    </w:p>
    <w:p>
      <w:r>
        <w:rPr>
          <w:rFonts w:ascii="Carlito" w:hAnsi="Carlito"/>
          <w:b/>
          <w:sz w:val="21"/>
        </w:rPr>
        <w:t xml:space="preserve">Sensitivity (swing = P/B).  </w:t>
      </w:r>
      <w:r>
        <w:rPr>
          <w:rFonts w:ascii="Carlito" w:hAnsi="Carlito"/>
          <w:i w:val="0"/>
          <w:sz w:val="21"/>
        </w:rPr>
        <w:t xml:space="preserve">At 1.0× SAR 43 (bare book); at 1.35× SAR 58 (replacement premium). </w:t>
      </w:r>
    </w:p>
    <w:p>
      <w:r>
        <w:rPr>
          <w:rFonts w:ascii="Carlito" w:hAnsi="Carlito"/>
          <w:b/>
          <w:sz w:val="21"/>
        </w:rPr>
        <w:t xml:space="preserve">Cross-examination.  </w:t>
      </w:r>
      <w:r>
        <w:rPr>
          <w:rFonts w:ascii="Carlito" w:hAnsi="Carlito"/>
          <w:i w:val="0"/>
          <w:sz w:val="21"/>
        </w:rPr>
        <w:t>He tells Expert 1 that an EBITDA multiple on a trough number is circular; he tells Expert 4 that macro scenarios don't change what the plants would cost to rebuild.</w:t>
      </w:r>
    </w:p>
    <w:p>
      <w:r>
        <w:rPr>
          <w:rFonts w:ascii="Carlito" w:hAnsi="Carlito"/>
          <w:b/>
          <w:sz w:val="21"/>
        </w:rPr>
        <w:t xml:space="preserve">Verdict, falsification, market-implied.  </w:t>
      </w:r>
      <w:r>
        <w:rPr>
          <w:rFonts w:ascii="Carlito" w:hAnsi="Carlito"/>
          <w:i w:val="0"/>
          <w:sz w:val="21"/>
        </w:rPr>
        <w:t xml:space="preserve">Fair SAR 52 (range 43–58). </w:t>
      </w:r>
    </w:p>
    <w:p>
      <w:r>
        <w:rPr>
          <w:rFonts w:ascii="Carlito" w:hAnsi="Carlito"/>
          <w:i w:val="0"/>
          <w:sz w:val="21"/>
        </w:rPr>
        <w:t>Falsified if the asset base is genuinely worth less than book — a permanent demand loss that strands capacity. The market pays ~1.21× book, almost exactly his justified multiple: on an asset basis, the price is about right.</w:t>
      </w:r>
    </w:p>
    <w:p>
      <w:pPr>
        <w:spacing w:before="200" w:after="60"/>
      </w:pPr>
      <w:r>
        <w:rPr>
          <w:rFonts w:ascii="Carlito" w:hAnsi="Carlito"/>
          <w:b/>
          <w:color w:val="896F36"/>
          <w:sz w:val="23"/>
        </w:rPr>
        <w:t>C.3  Expert 3 — cash returns: DCF, ROIC and dividend cover</w:t>
      </w:r>
    </w:p>
    <w:p>
      <w:r>
        <w:rPr>
          <w:rFonts w:ascii="Carlito" w:hAnsi="Carlito"/>
          <w:b/>
          <w:sz w:val="21"/>
        </w:rPr>
        <w:t xml:space="preserve">Worldview.  </w:t>
      </w:r>
      <w:r>
        <w:rPr>
          <w:rFonts w:ascii="Carlito" w:hAnsi="Carlito"/>
          <w:i w:val="0"/>
          <w:sz w:val="21"/>
        </w:rPr>
        <w:t>A business creates value only when each unit of capital earns above its cost, and only cash — not booked profit — counts. He looks past the income statement to the economic-profit spread and the dividend's coverage.</w:t>
      </w:r>
    </w:p>
    <w:p>
      <w:r>
        <w:rPr>
          <w:rFonts w:ascii="Carlito" w:hAnsi="Carlito"/>
          <w:b/>
          <w:sz w:val="21"/>
        </w:rPr>
        <w:t xml:space="preserve">When it works / fails.  </w:t>
      </w:r>
      <w:r>
        <w:rPr>
          <w:rFonts w:ascii="Carlito" w:hAnsi="Carlito"/>
          <w:i w:val="0"/>
          <w:sz w:val="21"/>
        </w:rPr>
        <w:t>Best for capital-intensive businesses where returns on capital are the crux; it fails where reinvestment economics are about to change sharply — a feedstock-policy shift here.</w:t>
      </w:r>
    </w:p>
    <w:p>
      <w:r>
        <w:rPr>
          <w:rFonts w:ascii="Carlito" w:hAnsi="Carlito"/>
          <w:b/>
          <w:sz w:val="21"/>
        </w:rPr>
        <w:t xml:space="preserve">Standard workings &amp; worked example.  </w:t>
      </w:r>
      <w:r>
        <w:rPr>
          <w:rFonts w:ascii="Carlito" w:hAnsi="Carlito"/>
          <w:i w:val="0"/>
          <w:sz w:val="21"/>
        </w:rPr>
        <w:t>Build FCFF, compute ROIC against WACC, value on the DCF, and stress the dividend against mid-cycle cash.</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4320"/>
        <w:gridCol w:w="4320"/>
      </w:tblGrid>
      <w:tr>
        <w:tc>
          <w:tcPr>
            <w:tcW w:type="dxa" w:w="6336"/>
            <w:shd w:val="clear" w:fill="1C3A36"/>
          </w:tcPr>
          <w:p>
            <w:pPr>
              <w:spacing w:after="20" w:before="20"/>
              <w:jc w:val="left"/>
            </w:pPr>
            <w:r/>
            <w:r>
              <w:rPr>
                <w:rFonts w:ascii="Carlito" w:hAnsi="Carlito"/>
                <w:b/>
                <w:i w:val="0"/>
                <w:color w:val="FFFFFF"/>
                <w:sz w:val="19"/>
              </w:rPr>
              <w:t>Expert 3's workings</w:t>
            </w:r>
          </w:p>
        </w:tc>
        <w:tc>
          <w:tcPr>
            <w:tcW w:type="dxa" w:w="2016"/>
            <w:shd w:val="clear" w:fill="1C3A36"/>
          </w:tcPr>
          <w:p>
            <w:pPr>
              <w:spacing w:after="20" w:before="20"/>
              <w:jc w:val="center"/>
            </w:pPr>
            <w:r/>
            <w:r>
              <w:rPr>
                <w:rFonts w:ascii="Carlito" w:hAnsi="Carlito"/>
                <w:b/>
                <w:i w:val="0"/>
                <w:color w:val="FFFFFF"/>
                <w:sz w:val="19"/>
              </w:rPr>
              <w:t>Value</w:t>
            </w:r>
          </w:p>
        </w:tc>
      </w:tr>
      <w:tr>
        <w:tc>
          <w:tcPr>
            <w:tcW w:type="dxa" w:w="6336"/>
          </w:tcPr>
          <w:p>
            <w:pPr>
              <w:spacing w:after="20" w:before="20"/>
              <w:jc w:val="left"/>
            </w:pPr>
            <w:r/>
            <w:r>
              <w:rPr>
                <w:rFonts w:ascii="Carlito" w:hAnsi="Carlito"/>
                <w:b w:val="0"/>
                <w:i w:val="0"/>
                <w:sz w:val="19"/>
              </w:rPr>
              <w:t>DCF fair value (mid-cycle, from §1.1)</w:t>
            </w:r>
          </w:p>
        </w:tc>
        <w:tc>
          <w:tcPr>
            <w:tcW w:type="dxa" w:w="2016"/>
          </w:tcPr>
          <w:p>
            <w:pPr>
              <w:spacing w:after="20" w:before="20"/>
              <w:jc w:val="center"/>
            </w:pPr>
            <w:r/>
            <w:r>
              <w:rPr>
                <w:rFonts w:ascii="Carlito" w:hAnsi="Carlito"/>
                <w:b w:val="0"/>
                <w:i w:val="0"/>
                <w:sz w:val="19"/>
              </w:rPr>
              <w:t>SAR 60.3</w:t>
            </w:r>
          </w:p>
        </w:tc>
      </w:tr>
      <w:tr>
        <w:tc>
          <w:tcPr>
            <w:tcW w:type="dxa" w:w="6336"/>
          </w:tcPr>
          <w:p>
            <w:pPr>
              <w:spacing w:after="20" w:before="20"/>
              <w:jc w:val="left"/>
            </w:pPr>
            <w:r/>
            <w:r>
              <w:rPr>
                <w:rFonts w:ascii="Carlito" w:hAnsi="Carlito"/>
                <w:b w:val="0"/>
                <w:i w:val="0"/>
                <w:sz w:val="19"/>
              </w:rPr>
              <w:t>ROIC at trough vs WACC</w:t>
            </w:r>
          </w:p>
        </w:tc>
        <w:tc>
          <w:tcPr>
            <w:tcW w:type="dxa" w:w="2016"/>
          </w:tcPr>
          <w:p>
            <w:pPr>
              <w:spacing w:after="20" w:before="20"/>
              <w:jc w:val="center"/>
            </w:pPr>
            <w:r/>
            <w:r>
              <w:rPr>
                <w:rFonts w:ascii="Carlito" w:hAnsi="Carlito"/>
                <w:b w:val="0"/>
                <w:i w:val="0"/>
                <w:sz w:val="19"/>
              </w:rPr>
              <w:t>below WACC → haircut applied</w:t>
            </w:r>
          </w:p>
        </w:tc>
      </w:tr>
      <w:tr>
        <w:tc>
          <w:tcPr>
            <w:tcW w:type="dxa" w:w="6336"/>
          </w:tcPr>
          <w:p>
            <w:pPr>
              <w:spacing w:after="20" w:before="20"/>
              <w:jc w:val="left"/>
            </w:pPr>
            <w:r/>
            <w:r>
              <w:rPr>
                <w:rFonts w:ascii="Carlito" w:hAnsi="Carlito"/>
                <w:b w:val="0"/>
                <w:i w:val="0"/>
                <w:sz w:val="19"/>
              </w:rPr>
              <w:t>Dividend cover: DPS 3.0 vs mid-cycle FCF/sh ~4.5</w:t>
            </w:r>
          </w:p>
        </w:tc>
        <w:tc>
          <w:tcPr>
            <w:tcW w:type="dxa" w:w="2016"/>
          </w:tcPr>
          <w:p>
            <w:pPr>
              <w:spacing w:after="20" w:before="20"/>
              <w:jc w:val="center"/>
            </w:pPr>
            <w:r/>
            <w:r>
              <w:rPr>
                <w:rFonts w:ascii="Carlito" w:hAnsi="Carlito"/>
                <w:b w:val="0"/>
                <w:i w:val="0"/>
                <w:sz w:val="19"/>
              </w:rPr>
              <w:t>covered mid-cycle</w:t>
            </w:r>
          </w:p>
        </w:tc>
      </w:tr>
      <w:tr>
        <w:tc>
          <w:tcPr>
            <w:tcW w:type="dxa" w:w="6336"/>
          </w:tcPr>
          <w:p>
            <w:pPr>
              <w:spacing w:after="20" w:before="20"/>
              <w:jc w:val="left"/>
            </w:pPr>
            <w:r/>
            <w:r>
              <w:rPr>
                <w:rFonts w:ascii="Carlito" w:hAnsi="Carlito"/>
                <w:b w:val="0"/>
                <w:i w:val="0"/>
                <w:sz w:val="19"/>
              </w:rPr>
              <w:t>Cash-returns fair value (DCF haircut for trough ROIC)</w:t>
            </w:r>
          </w:p>
        </w:tc>
        <w:tc>
          <w:tcPr>
            <w:tcW w:type="dxa" w:w="2016"/>
          </w:tcPr>
          <w:p>
            <w:pPr>
              <w:spacing w:after="20" w:before="20"/>
              <w:jc w:val="center"/>
            </w:pPr>
            <w:r/>
            <w:r>
              <w:rPr>
                <w:rFonts w:ascii="Carlito" w:hAnsi="Carlito"/>
                <w:b w:val="0"/>
                <w:i w:val="0"/>
                <w:sz w:val="19"/>
              </w:rPr>
              <w:t>→ SAR 58/sh</w:t>
            </w:r>
          </w:p>
        </w:tc>
      </w:tr>
    </w:tbl>
    <w:p>
      <w:pPr>
        <w:spacing w:after="40"/>
      </w:pPr>
    </w:p>
    <w:p>
      <w:r>
        <w:rPr>
          <w:rFonts w:ascii="Carlito" w:hAnsi="Carlito"/>
          <w:b/>
          <w:sz w:val="21"/>
        </w:rPr>
        <w:t xml:space="preserve">Sensitivity (swing = WACC / ROIC recovery).  </w:t>
      </w:r>
      <w:r>
        <w:rPr>
          <w:rFonts w:ascii="Carlito" w:hAnsi="Carlito"/>
          <w:i w:val="0"/>
          <w:sz w:val="21"/>
        </w:rPr>
        <w:t xml:space="preserve">At a 12% WACC SAR 70; at 10.75% SAR 53. </w:t>
      </w:r>
    </w:p>
    <w:p>
      <w:r>
        <w:rPr>
          <w:rFonts w:ascii="Carlito" w:hAnsi="Carlito"/>
          <w:b/>
          <w:sz w:val="21"/>
        </w:rPr>
        <w:t xml:space="preserve">Cross-examination.  </w:t>
      </w:r>
      <w:r>
        <w:rPr>
          <w:rFonts w:ascii="Carlito" w:hAnsi="Carlito"/>
          <w:i w:val="0"/>
          <w:sz w:val="21"/>
        </w:rPr>
        <w:t>He tells Expert 1 that a static EBITDA multiple ignores the capex the spread recovery requires; he tells Expert 2 that replacement value is irrelevant if the assets can't earn their cost of capital through the cycle.</w:t>
      </w:r>
    </w:p>
    <w:p>
      <w:r>
        <w:rPr>
          <w:rFonts w:ascii="Carlito" w:hAnsi="Carlito"/>
          <w:b/>
          <w:sz w:val="21"/>
        </w:rPr>
        <w:t xml:space="preserve">Verdict, falsification, market-implied.  </w:t>
      </w:r>
      <w:r>
        <w:rPr>
          <w:rFonts w:ascii="Carlito" w:hAnsi="Carlito"/>
          <w:i w:val="0"/>
          <w:sz w:val="21"/>
        </w:rPr>
        <w:t xml:space="preserve">Fair SAR 58 (range 53–70) — the most bullish, because it credits the mid-cycle cash recovery and a covered dividend. </w:t>
      </w:r>
    </w:p>
    <w:p>
      <w:r>
        <w:rPr>
          <w:rFonts w:ascii="Carlito" w:hAnsi="Carlito"/>
          <w:i w:val="0"/>
          <w:sz w:val="21"/>
        </w:rPr>
        <w:t>Falsified by a durable ROIC below WACC — the spread never recovering. The market price sits ~11% below his number: on a cash-returns basis, the recovery is not yet priced.</w:t>
      </w:r>
    </w:p>
    <w:p>
      <w:pPr>
        <w:spacing w:before="200" w:after="60"/>
      </w:pPr>
      <w:r>
        <w:rPr>
          <w:rFonts w:ascii="Carlito" w:hAnsi="Carlito"/>
          <w:b/>
          <w:color w:val="896F36"/>
          <w:sz w:val="23"/>
        </w:rPr>
        <w:t>C.4  Expert 4 — macro and policy: oil, China, feedstock and Aramco</w:t>
      </w:r>
    </w:p>
    <w:p>
      <w:r>
        <w:rPr>
          <w:rFonts w:ascii="Carlito" w:hAnsi="Carlito"/>
          <w:b/>
          <w:sz w:val="21"/>
        </w:rPr>
        <w:t xml:space="preserve">Worldview.  </w:t>
      </w:r>
      <w:r>
        <w:rPr>
          <w:rFonts w:ascii="Carlito" w:hAnsi="Carlito"/>
          <w:i w:val="0"/>
          <w:sz w:val="21"/>
        </w:rPr>
        <w:t>A commodity producer's value is set by the macro cycle it sits in — the oil complex, Chinese demand and supply, and the policy terms of its feedstock — more than by any single-company projection.</w:t>
      </w:r>
    </w:p>
    <w:p>
      <w:r>
        <w:rPr>
          <w:rFonts w:ascii="Carlito" w:hAnsi="Carlito"/>
          <w:b/>
          <w:sz w:val="21"/>
        </w:rPr>
        <w:t xml:space="preserve">When it works / fails.  </w:t>
      </w:r>
      <w:r>
        <w:rPr>
          <w:rFonts w:ascii="Carlito" w:hAnsi="Carlito"/>
          <w:i w:val="0"/>
          <w:sz w:val="21"/>
        </w:rPr>
        <w:t>Best at cyclical turning points where the macro dominates; it fails when company-specific factors (a divestiture, a cost programme) matter more than the cycle.</w:t>
      </w:r>
    </w:p>
    <w:p>
      <w:r>
        <w:rPr>
          <w:rFonts w:ascii="Carlito" w:hAnsi="Carlito"/>
          <w:b/>
          <w:sz w:val="21"/>
        </w:rPr>
        <w:t xml:space="preserve">Standard workings &amp; worked example.  </w:t>
      </w:r>
      <w:r>
        <w:rPr>
          <w:rFonts w:ascii="Carlito" w:hAnsi="Carlito"/>
          <w:i w:val="0"/>
          <w:sz w:val="21"/>
        </w:rPr>
        <w:t>Probability-weight the spread across macro scenarios (Chinese oversupply persisting vs rationalising; oil high vs low; feedstock policy stable vs tightening).</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2880"/>
        <w:gridCol w:w="2880"/>
        <w:gridCol w:w="2880"/>
      </w:tblGrid>
      <w:tr>
        <w:tc>
          <w:tcPr>
            <w:tcW w:type="dxa" w:w="5184"/>
            <w:shd w:val="clear" w:fill="1C3A36"/>
          </w:tcPr>
          <w:p>
            <w:pPr>
              <w:spacing w:after="20" w:before="20"/>
              <w:jc w:val="left"/>
            </w:pPr>
            <w:r/>
            <w:r>
              <w:rPr>
                <w:rFonts w:ascii="Carlito" w:hAnsi="Carlito"/>
                <w:b/>
                <w:i w:val="0"/>
                <w:color w:val="FFFFFF"/>
                <w:sz w:val="19"/>
              </w:rPr>
              <w:t>Expert 4's scenario weighting</w:t>
            </w:r>
          </w:p>
        </w:tc>
        <w:tc>
          <w:tcPr>
            <w:tcW w:type="dxa" w:w="1440"/>
            <w:shd w:val="clear" w:fill="1C3A36"/>
          </w:tcPr>
          <w:p>
            <w:pPr>
              <w:spacing w:after="20" w:before="20"/>
              <w:jc w:val="center"/>
            </w:pPr>
            <w:r/>
            <w:r>
              <w:rPr>
                <w:rFonts w:ascii="Carlito" w:hAnsi="Carlito"/>
                <w:b/>
                <w:i w:val="0"/>
                <w:color w:val="FFFFFF"/>
                <w:sz w:val="19"/>
              </w:rPr>
              <w:t>Prob.</w:t>
            </w:r>
          </w:p>
        </w:tc>
        <w:tc>
          <w:tcPr>
            <w:tcW w:type="dxa" w:w="2304"/>
            <w:shd w:val="clear" w:fill="1C3A36"/>
          </w:tcPr>
          <w:p>
            <w:pPr>
              <w:spacing w:after="20" w:before="20"/>
              <w:jc w:val="center"/>
            </w:pPr>
            <w:r/>
            <w:r>
              <w:rPr>
                <w:rFonts w:ascii="Carlito" w:hAnsi="Carlito"/>
                <w:b/>
                <w:i w:val="0"/>
                <w:color w:val="FFFFFF"/>
                <w:sz w:val="19"/>
              </w:rPr>
              <w:t>Fair value (SAR)</w:t>
            </w:r>
          </w:p>
        </w:tc>
      </w:tr>
      <w:tr>
        <w:tc>
          <w:tcPr>
            <w:tcW w:type="dxa" w:w="5184"/>
          </w:tcPr>
          <w:p>
            <w:pPr>
              <w:spacing w:after="20" w:before="20"/>
              <w:jc w:val="left"/>
            </w:pPr>
            <w:r/>
            <w:r>
              <w:rPr>
                <w:rFonts w:ascii="Carlito" w:hAnsi="Carlito"/>
                <w:b w:val="0"/>
                <w:i w:val="0"/>
                <w:sz w:val="19"/>
              </w:rPr>
              <w:t>Bear — oversupply persists, weak oil, feedstock tightens</w:t>
            </w:r>
          </w:p>
        </w:tc>
        <w:tc>
          <w:tcPr>
            <w:tcW w:type="dxa" w:w="1440"/>
          </w:tcPr>
          <w:p>
            <w:pPr>
              <w:spacing w:after="20" w:before="20"/>
              <w:jc w:val="center"/>
            </w:pPr>
            <w:r/>
            <w:r>
              <w:rPr>
                <w:rFonts w:ascii="Carlito" w:hAnsi="Carlito"/>
                <w:b w:val="0"/>
                <w:i w:val="0"/>
                <w:sz w:val="19"/>
              </w:rPr>
              <w:t>35%</w:t>
            </w:r>
          </w:p>
        </w:tc>
        <w:tc>
          <w:tcPr>
            <w:tcW w:type="dxa" w:w="2304"/>
          </w:tcPr>
          <w:p>
            <w:pPr>
              <w:spacing w:after="20" w:before="20"/>
              <w:jc w:val="center"/>
            </w:pPr>
            <w:r/>
            <w:r>
              <w:rPr>
                <w:rFonts w:ascii="Carlito" w:hAnsi="Carlito"/>
                <w:b w:val="0"/>
                <w:i w:val="0"/>
                <w:sz w:val="19"/>
              </w:rPr>
              <w:t>42</w:t>
            </w:r>
          </w:p>
        </w:tc>
      </w:tr>
      <w:tr>
        <w:tc>
          <w:tcPr>
            <w:tcW w:type="dxa" w:w="5184"/>
          </w:tcPr>
          <w:p>
            <w:pPr>
              <w:spacing w:after="20" w:before="20"/>
              <w:jc w:val="left"/>
            </w:pPr>
            <w:r/>
            <w:r>
              <w:rPr>
                <w:rFonts w:ascii="Carlito" w:hAnsi="Carlito"/>
                <w:b w:val="0"/>
                <w:i w:val="0"/>
                <w:sz w:val="19"/>
              </w:rPr>
              <w:t>Base — partial recovery, stable oil &amp; feedstock</w:t>
            </w:r>
          </w:p>
        </w:tc>
        <w:tc>
          <w:tcPr>
            <w:tcW w:type="dxa" w:w="1440"/>
          </w:tcPr>
          <w:p>
            <w:pPr>
              <w:spacing w:after="20" w:before="20"/>
              <w:jc w:val="center"/>
            </w:pPr>
            <w:r/>
            <w:r>
              <w:rPr>
                <w:rFonts w:ascii="Carlito" w:hAnsi="Carlito"/>
                <w:b w:val="0"/>
                <w:i w:val="0"/>
                <w:sz w:val="19"/>
              </w:rPr>
              <w:t>45%</w:t>
            </w:r>
          </w:p>
        </w:tc>
        <w:tc>
          <w:tcPr>
            <w:tcW w:type="dxa" w:w="2304"/>
          </w:tcPr>
          <w:p>
            <w:pPr>
              <w:spacing w:after="20" w:before="20"/>
              <w:jc w:val="center"/>
            </w:pPr>
            <w:r/>
            <w:r>
              <w:rPr>
                <w:rFonts w:ascii="Carlito" w:hAnsi="Carlito"/>
                <w:b w:val="0"/>
                <w:i w:val="0"/>
                <w:sz w:val="19"/>
              </w:rPr>
              <w:t>50</w:t>
            </w:r>
          </w:p>
        </w:tc>
      </w:tr>
      <w:tr>
        <w:tc>
          <w:tcPr>
            <w:tcW w:type="dxa" w:w="5184"/>
          </w:tcPr>
          <w:p>
            <w:pPr>
              <w:spacing w:after="20" w:before="20"/>
              <w:jc w:val="left"/>
            </w:pPr>
            <w:r/>
            <w:r>
              <w:rPr>
                <w:rFonts w:ascii="Carlito" w:hAnsi="Carlito"/>
                <w:b w:val="0"/>
                <w:i w:val="0"/>
                <w:sz w:val="19"/>
              </w:rPr>
              <w:t>Bull — Chinese rationalisation/stimulus, wide spread</w:t>
            </w:r>
          </w:p>
        </w:tc>
        <w:tc>
          <w:tcPr>
            <w:tcW w:type="dxa" w:w="1440"/>
          </w:tcPr>
          <w:p>
            <w:pPr>
              <w:spacing w:after="20" w:before="20"/>
              <w:jc w:val="center"/>
            </w:pPr>
            <w:r/>
            <w:r>
              <w:rPr>
                <w:rFonts w:ascii="Carlito" w:hAnsi="Carlito"/>
                <w:b w:val="0"/>
                <w:i w:val="0"/>
                <w:sz w:val="19"/>
              </w:rPr>
              <w:t>20%</w:t>
            </w:r>
          </w:p>
        </w:tc>
        <w:tc>
          <w:tcPr>
            <w:tcW w:type="dxa" w:w="2304"/>
          </w:tcPr>
          <w:p>
            <w:pPr>
              <w:spacing w:after="20" w:before="20"/>
              <w:jc w:val="center"/>
            </w:pPr>
            <w:r/>
            <w:r>
              <w:rPr>
                <w:rFonts w:ascii="Carlito" w:hAnsi="Carlito"/>
                <w:b w:val="0"/>
                <w:i w:val="0"/>
                <w:sz w:val="19"/>
              </w:rPr>
              <w:t>62</w:t>
            </w:r>
          </w:p>
        </w:tc>
      </w:tr>
      <w:tr>
        <w:tc>
          <w:tcPr>
            <w:tcW w:type="dxa" w:w="5184"/>
          </w:tcPr>
          <w:p>
            <w:pPr>
              <w:spacing w:after="20" w:before="20"/>
              <w:jc w:val="left"/>
            </w:pPr>
            <w:r/>
            <w:r>
              <w:rPr>
                <w:rFonts w:ascii="Carlito" w:hAnsi="Carlito"/>
                <w:b w:val="0"/>
                <w:i w:val="0"/>
                <w:sz w:val="19"/>
              </w:rPr>
              <w:t>Probability-weighted fair value</w:t>
            </w:r>
          </w:p>
        </w:tc>
        <w:tc>
          <w:tcPr>
            <w:tcW w:type="dxa" w:w="1440"/>
          </w:tcPr>
          <w:p>
            <w:pPr>
              <w:spacing w:after="20" w:before="20"/>
              <w:jc w:val="center"/>
            </w:pPr>
            <w:r/>
            <w:r>
              <w:rPr>
                <w:rFonts w:ascii="Carlito" w:hAnsi="Carlito"/>
                <w:b w:val="0"/>
                <w:i w:val="0"/>
                <w:sz w:val="19"/>
              </w:rPr>
            </w:r>
          </w:p>
        </w:tc>
        <w:tc>
          <w:tcPr>
            <w:tcW w:type="dxa" w:w="2304"/>
          </w:tcPr>
          <w:p>
            <w:pPr>
              <w:spacing w:after="20" w:before="20"/>
              <w:jc w:val="center"/>
            </w:pPr>
            <w:r/>
            <w:r>
              <w:rPr>
                <w:rFonts w:ascii="Carlito" w:hAnsi="Carlito"/>
                <w:b w:val="0"/>
                <w:i w:val="0"/>
                <w:sz w:val="19"/>
              </w:rPr>
              <w:t>→ SAR 49/sh</w:t>
            </w:r>
          </w:p>
        </w:tc>
      </w:tr>
    </w:tbl>
    <w:p>
      <w:pPr>
        <w:spacing w:after="40"/>
      </w:pPr>
    </w:p>
    <w:p>
      <w:r>
        <w:rPr>
          <w:rFonts w:ascii="Carlito" w:hAnsi="Carlito"/>
          <w:b/>
          <w:sz w:val="21"/>
        </w:rPr>
        <w:t xml:space="preserve">Sensitivity (swing = the scenario weights).  </w:t>
      </w:r>
      <w:r>
        <w:rPr>
          <w:rFonts w:ascii="Carlito" w:hAnsi="Carlito"/>
          <w:i w:val="0"/>
          <w:sz w:val="21"/>
        </w:rPr>
        <w:t xml:space="preserve">Shift 15 points of probability from base to bull and the value rises to ~SAR 53; to bear, ~SAR 46. </w:t>
      </w:r>
    </w:p>
    <w:p>
      <w:r>
        <w:rPr>
          <w:rFonts w:ascii="Carlito" w:hAnsi="Carlito"/>
          <w:b/>
          <w:sz w:val="21"/>
        </w:rPr>
        <w:t xml:space="preserve">Cross-examination.  </w:t>
      </w:r>
      <w:r>
        <w:rPr>
          <w:rFonts w:ascii="Carlito" w:hAnsi="Carlito"/>
          <w:i w:val="0"/>
          <w:sz w:val="21"/>
        </w:rPr>
        <w:t>He tells the other three that every one of their single-point numbers is really a bet on a macro state they haven't named; he tells Expert 3 that the WACC he discounts at is itself a macro variable.</w:t>
      </w:r>
    </w:p>
    <w:p>
      <w:r>
        <w:rPr>
          <w:rFonts w:ascii="Carlito" w:hAnsi="Carlito"/>
          <w:b/>
          <w:sz w:val="21"/>
        </w:rPr>
        <w:t xml:space="preserve">Verdict, falsification, market-implied.  </w:t>
      </w:r>
      <w:r>
        <w:rPr>
          <w:rFonts w:ascii="Carlito" w:hAnsi="Carlito"/>
          <w:i w:val="0"/>
          <w:sz w:val="21"/>
        </w:rPr>
        <w:t xml:space="preserve">Fair SAR 49 (range 42–62) — the most conservative, because the base case weights a China that only partially recovers. </w:t>
      </w:r>
    </w:p>
    <w:p>
      <w:r>
        <w:rPr>
          <w:rFonts w:ascii="Carlito" w:hAnsi="Carlito"/>
          <w:i w:val="0"/>
          <w:sz w:val="21"/>
        </w:rPr>
        <w:t>Falsified by a decisive, sustained Chinese capacity rationalisation that resets spreads structurally higher. The market price sits within his base scenario — the tape agrees the recovery is only partial.</w:t>
      </w:r>
    </w:p>
    <w:p>
      <w:pPr>
        <w:spacing w:before="200" w:after="60"/>
      </w:pPr>
      <w:r>
        <w:rPr>
          <w:rFonts w:ascii="Carlito" w:hAnsi="Carlito"/>
          <w:b/>
          <w:color w:val="896F36"/>
          <w:sz w:val="23"/>
        </w:rPr>
        <w:t>C.5  The four in one room</w:t>
      </w:r>
    </w:p>
    <w:p>
      <w:r>
        <w:rPr>
          <w:rFonts w:ascii="Carlito" w:hAnsi="Carlito"/>
          <w:i w:val="0"/>
          <w:sz w:val="21"/>
        </w:rPr>
        <w:t>The single variable they most disagree on is the product–feedstock spread — specifically, whether it recovers far enough, and durably enough, to justify a premium to SABIC's asset base.</w:t>
      </w:r>
    </w:p>
    <w:p>
      <w:r>
        <w:rPr>
          <w:rFonts w:ascii="Carlito" w:hAnsi="Carlito"/>
          <w:b/>
          <w:sz w:val="21"/>
        </w:rPr>
        <w:t xml:space="preserve">Expert 1:  </w:t>
      </w:r>
      <w:r>
        <w:rPr>
          <w:rFonts w:ascii="Carlito" w:hAnsi="Carlito"/>
          <w:i w:val="0"/>
          <w:sz w:val="21"/>
        </w:rPr>
        <w:t>“FY2025 was a trough. Normalize EBITDA to SAR 22 bn and put a peer 7× on it — the business is worth about 51 a share, and the market is capitalising a number the cycle will beat.”</w:t>
      </w:r>
    </w:p>
    <w:p>
      <w:r>
        <w:rPr>
          <w:rFonts w:ascii="Carlito" w:hAnsi="Carlito"/>
          <w:b/>
          <w:sz w:val="21"/>
        </w:rPr>
        <w:t xml:space="preserve">Expert 2:  </w:t>
      </w:r>
      <w:r>
        <w:rPr>
          <w:rFonts w:ascii="Carlito" w:hAnsi="Carlito"/>
          <w:i w:val="0"/>
          <w:sz w:val="21"/>
        </w:rPr>
        <w:t>“Before you multiply anything, remember the plants themselves. Book was cut by non-cash writedowns on assets being sold, not by the core Saudi complex. Replacement value sits above book; 1.2× gets you 52 without forecasting a single quarter.”</w:t>
      </w:r>
    </w:p>
    <w:p>
      <w:r>
        <w:rPr>
          <w:rFonts w:ascii="Carlito" w:hAnsi="Carlito"/>
          <w:b/>
          <w:sz w:val="21"/>
        </w:rPr>
        <w:t xml:space="preserve">Expert 3:  </w:t>
      </w:r>
      <w:r>
        <w:rPr>
          <w:rFonts w:ascii="Carlito" w:hAnsi="Carlito"/>
          <w:i w:val="0"/>
          <w:sz w:val="21"/>
        </w:rPr>
        <w:t>“Both of you are capitalising earnings without the cash to make them. The spread recovery needs capex, and at the trough SABIC's return on capital barely clears its cost. Credit the recovery — I get to 58 — but only because the dividend is covered mid-cycle, not because book says so.”</w:t>
      </w:r>
    </w:p>
    <w:p>
      <w:r>
        <w:rPr>
          <w:rFonts w:ascii="Carlito" w:hAnsi="Carlito"/>
          <w:b/>
          <w:sz w:val="21"/>
        </w:rPr>
        <w:t xml:space="preserve">Expert 4:  </w:t>
      </w:r>
      <w:r>
        <w:rPr>
          <w:rFonts w:ascii="Carlito" w:hAnsi="Carlito"/>
          <w:i w:val="0"/>
          <w:sz w:val="21"/>
        </w:rPr>
        <w:t>“You are all three arguing about a spread you haven't priced. It is a China question and a feedstock-policy question. Weight the scenarios honestly and you land at 49 — the market's number — because a partial recovery is the base case, not a full one.”</w:t>
      </w:r>
    </w:p>
    <w:p>
      <w:pPr>
        <w:spacing w:before="200" w:after="60"/>
      </w:pPr>
      <w:r>
        <w:rPr>
          <w:rFonts w:ascii="Carlito" w:hAnsi="Carlito"/>
          <w:b/>
          <w:color w:val="896F36"/>
          <w:sz w:val="23"/>
        </w:rPr>
        <w:t>C.6  Reading the divergence</w:t>
      </w:r>
    </w:p>
    <w:p>
      <w:pPr>
        <w:spacing w:before="120" w:after="40"/>
        <w:jc w:val="center"/>
      </w:pPr>
      <w:r>
        <w:drawing>
          <wp:inline xmlns:a="http://schemas.openxmlformats.org/drawingml/2006/main" xmlns:pic="http://schemas.openxmlformats.org/drawingml/2006/picture">
            <wp:extent cx="5760720" cy="2432304"/>
            <wp:docPr id="8" name="Picture 8"/>
            <wp:cNvGraphicFramePr>
              <a:graphicFrameLocks noChangeAspect="1"/>
            </wp:cNvGraphicFramePr>
            <a:graphic>
              <a:graphicData uri="http://schemas.openxmlformats.org/drawingml/2006/picture">
                <pic:pic>
                  <pic:nvPicPr>
                    <pic:cNvPr id="0" name="sabic_expert_field.png"/>
                    <pic:cNvPicPr/>
                  </pic:nvPicPr>
                  <pic:blipFill>
                    <a:blip r:embed="rId16"/>
                    <a:stretch>
                      <a:fillRect/>
                    </a:stretch>
                  </pic:blipFill>
                  <pic:spPr>
                    <a:xfrm>
                      <a:off x="0" y="0"/>
                      <a:ext cx="5760720" cy="2432304"/>
                    </a:xfrm>
                    <a:prstGeom prst="rect"/>
                  </pic:spPr>
                </pic:pic>
              </a:graphicData>
            </a:graphic>
          </wp:inline>
        </w:drawing>
      </w:r>
    </w:p>
    <w:p>
      <w:pPr>
        <w:jc w:val="center"/>
      </w:pPr>
      <w:r>
        <w:rPr>
          <w:i/>
          <w:color w:val="555555"/>
          <w:sz w:val="17"/>
        </w:rPr>
        <w:t>Figure C-1 — The four experts' fair-value ranges. Brass ticks are base cases; the gold band is the central, the dark line is spot. The spread is almost entirely a product–feedstock-spread disagreement.</w:t>
      </w:r>
    </w:p>
    <w:tbl>
      <w:tblPr>
        <w:tblW w:type="auto" w:w="0"/>
        <w:jc w:val="center"/>
        <w:tblLayout w:type="autofit"/>
        <w:tblLook w:firstColumn="1" w:firstRow="1" w:lastColumn="0" w:lastRow="0" w:noHBand="0" w:noVBand="1" w:val="04A0"/>
        <w:tblBorders>
          <w:top w:val="single" w:sz="4" w:space="0" w:color="B9AE86"/>
          <w:left w:val="single" w:sz="4" w:space="0" w:color="B9AE86"/>
          <w:bottom w:val="single" w:sz="4" w:space="0" w:color="B9AE86"/>
          <w:right w:val="single" w:sz="4" w:space="0" w:color="B9AE86"/>
          <w:insideH w:val="single" w:sz="4" w:space="0" w:color="B9AE86"/>
          <w:insideV w:val="single" w:sz="4" w:space="0" w:color="B9AE86"/>
        </w:tblBorders>
      </w:tblPr>
      <w:tblGrid>
        <w:gridCol w:w="2160"/>
        <w:gridCol w:w="2160"/>
        <w:gridCol w:w="2160"/>
        <w:gridCol w:w="2160"/>
      </w:tblGrid>
      <w:tr>
        <w:tc>
          <w:tcPr>
            <w:tcW w:type="dxa" w:w="1728"/>
            <w:shd w:val="clear" w:fill="1C3A36"/>
          </w:tcPr>
          <w:p>
            <w:pPr>
              <w:spacing w:after="20" w:before="20"/>
              <w:jc w:val="left"/>
            </w:pPr>
            <w:r/>
            <w:r>
              <w:rPr>
                <w:rFonts w:ascii="Carlito" w:hAnsi="Carlito"/>
                <w:b/>
                <w:i w:val="0"/>
                <w:color w:val="FFFFFF"/>
                <w:sz w:val="19"/>
              </w:rPr>
              <w:t>Expert</w:t>
            </w:r>
          </w:p>
        </w:tc>
        <w:tc>
          <w:tcPr>
            <w:tcW w:type="dxa" w:w="3456"/>
            <w:shd w:val="clear" w:fill="1C3A36"/>
          </w:tcPr>
          <w:p>
            <w:pPr>
              <w:spacing w:after="20" w:before="20"/>
              <w:jc w:val="center"/>
            </w:pPr>
            <w:r/>
            <w:r>
              <w:rPr>
                <w:rFonts w:ascii="Carlito" w:hAnsi="Carlito"/>
                <w:b/>
                <w:i w:val="0"/>
                <w:color w:val="FFFFFF"/>
                <w:sz w:val="19"/>
              </w:rPr>
              <w:t>Method</w:t>
            </w:r>
          </w:p>
        </w:tc>
        <w:tc>
          <w:tcPr>
            <w:tcW w:type="dxa" w:w="2880"/>
            <w:shd w:val="clear" w:fill="1C3A36"/>
          </w:tcPr>
          <w:p>
            <w:pPr>
              <w:spacing w:after="20" w:before="20"/>
              <w:jc w:val="center"/>
            </w:pPr>
            <w:r/>
            <w:r>
              <w:rPr>
                <w:rFonts w:ascii="Carlito" w:hAnsi="Carlito"/>
                <w:b/>
                <w:i w:val="0"/>
                <w:color w:val="FFFFFF"/>
                <w:sz w:val="19"/>
              </w:rPr>
              <w:t>Single swing assumption</w:t>
            </w:r>
          </w:p>
        </w:tc>
        <w:tc>
          <w:tcPr>
            <w:tcW w:type="dxa" w:w="1728"/>
            <w:shd w:val="clear" w:fill="1C3A36"/>
          </w:tcPr>
          <w:p>
            <w:pPr>
              <w:spacing w:after="20" w:before="20"/>
              <w:jc w:val="center"/>
            </w:pPr>
            <w:r/>
            <w:r>
              <w:rPr>
                <w:rFonts w:ascii="Carlito" w:hAnsi="Carlito"/>
                <w:b/>
                <w:i w:val="0"/>
                <w:color w:val="FFFFFF"/>
                <w:sz w:val="19"/>
              </w:rPr>
              <w:t>Base fair value</w:t>
            </w:r>
          </w:p>
        </w:tc>
      </w:tr>
      <w:tr>
        <w:tc>
          <w:tcPr>
            <w:tcW w:type="dxa" w:w="1728"/>
          </w:tcPr>
          <w:p>
            <w:pPr>
              <w:spacing w:after="20" w:before="20"/>
              <w:jc w:val="left"/>
            </w:pPr>
            <w:r/>
            <w:r>
              <w:rPr>
                <w:rFonts w:ascii="Carlito" w:hAnsi="Carlito"/>
                <w:b w:val="0"/>
                <w:i w:val="0"/>
                <w:sz w:val="19"/>
              </w:rPr>
              <w:t>Expert 1</w:t>
            </w:r>
          </w:p>
        </w:tc>
        <w:tc>
          <w:tcPr>
            <w:tcW w:type="dxa" w:w="3456"/>
          </w:tcPr>
          <w:p>
            <w:pPr>
              <w:spacing w:after="20" w:before="20"/>
              <w:jc w:val="center"/>
            </w:pPr>
            <w:r/>
            <w:r>
              <w:rPr>
                <w:rFonts w:ascii="Carlito" w:hAnsi="Carlito"/>
                <w:b w:val="0"/>
                <w:i w:val="0"/>
                <w:sz w:val="19"/>
              </w:rPr>
              <w:t>Earnings power / peer multiple</w:t>
            </w:r>
          </w:p>
        </w:tc>
        <w:tc>
          <w:tcPr>
            <w:tcW w:type="dxa" w:w="2880"/>
          </w:tcPr>
          <w:p>
            <w:pPr>
              <w:spacing w:after="20" w:before="20"/>
              <w:jc w:val="center"/>
            </w:pPr>
            <w:r/>
            <w:r>
              <w:rPr>
                <w:rFonts w:ascii="Carlito" w:hAnsi="Carlito"/>
                <w:b w:val="0"/>
                <w:i w:val="0"/>
                <w:sz w:val="19"/>
              </w:rPr>
              <w:t>Mid-cycle EBITDA × 7.0×</w:t>
            </w:r>
          </w:p>
        </w:tc>
        <w:tc>
          <w:tcPr>
            <w:tcW w:type="dxa" w:w="1728"/>
          </w:tcPr>
          <w:p>
            <w:pPr>
              <w:spacing w:after="20" w:before="20"/>
              <w:jc w:val="center"/>
            </w:pPr>
            <w:r/>
            <w:r>
              <w:rPr>
                <w:rFonts w:ascii="Carlito" w:hAnsi="Carlito"/>
                <w:b w:val="0"/>
                <w:i w:val="0"/>
                <w:sz w:val="19"/>
              </w:rPr>
              <w:t>SAR 51</w:t>
            </w:r>
          </w:p>
        </w:tc>
      </w:tr>
      <w:tr>
        <w:tc>
          <w:tcPr>
            <w:tcW w:type="dxa" w:w="1728"/>
          </w:tcPr>
          <w:p>
            <w:pPr>
              <w:spacing w:after="20" w:before="20"/>
              <w:jc w:val="left"/>
            </w:pPr>
            <w:r/>
            <w:r>
              <w:rPr>
                <w:rFonts w:ascii="Carlito" w:hAnsi="Carlito"/>
                <w:b w:val="0"/>
                <w:i w:val="0"/>
                <w:sz w:val="19"/>
              </w:rPr>
              <w:t>Expert 2</w:t>
            </w:r>
          </w:p>
        </w:tc>
        <w:tc>
          <w:tcPr>
            <w:tcW w:type="dxa" w:w="3456"/>
          </w:tcPr>
          <w:p>
            <w:pPr>
              <w:spacing w:after="20" w:before="20"/>
              <w:jc w:val="center"/>
            </w:pPr>
            <w:r/>
            <w:r>
              <w:rPr>
                <w:rFonts w:ascii="Carlito" w:hAnsi="Carlito"/>
                <w:b w:val="0"/>
                <w:i w:val="0"/>
                <w:sz w:val="19"/>
              </w:rPr>
              <w:t>Accountant / replacement value</w:t>
            </w:r>
          </w:p>
        </w:tc>
        <w:tc>
          <w:tcPr>
            <w:tcW w:type="dxa" w:w="2880"/>
          </w:tcPr>
          <w:p>
            <w:pPr>
              <w:spacing w:after="20" w:before="20"/>
              <w:jc w:val="center"/>
            </w:pPr>
            <w:r/>
            <w:r>
              <w:rPr>
                <w:rFonts w:ascii="Carlito" w:hAnsi="Carlito"/>
                <w:b w:val="0"/>
                <w:i w:val="0"/>
                <w:sz w:val="19"/>
              </w:rPr>
              <w:t>Justified P/B (1.2×)</w:t>
            </w:r>
          </w:p>
        </w:tc>
        <w:tc>
          <w:tcPr>
            <w:tcW w:type="dxa" w:w="1728"/>
          </w:tcPr>
          <w:p>
            <w:pPr>
              <w:spacing w:after="20" w:before="20"/>
              <w:jc w:val="center"/>
            </w:pPr>
            <w:r/>
            <w:r>
              <w:rPr>
                <w:rFonts w:ascii="Carlito" w:hAnsi="Carlito"/>
                <w:b w:val="0"/>
                <w:i w:val="0"/>
                <w:sz w:val="19"/>
              </w:rPr>
              <w:t>SAR 52</w:t>
            </w:r>
          </w:p>
        </w:tc>
      </w:tr>
      <w:tr>
        <w:tc>
          <w:tcPr>
            <w:tcW w:type="dxa" w:w="1728"/>
          </w:tcPr>
          <w:p>
            <w:pPr>
              <w:spacing w:after="20" w:before="20"/>
              <w:jc w:val="left"/>
            </w:pPr>
            <w:r/>
            <w:r>
              <w:rPr>
                <w:rFonts w:ascii="Carlito" w:hAnsi="Carlito"/>
                <w:b w:val="0"/>
                <w:i w:val="0"/>
                <w:sz w:val="19"/>
              </w:rPr>
              <w:t>Expert 3</w:t>
            </w:r>
          </w:p>
        </w:tc>
        <w:tc>
          <w:tcPr>
            <w:tcW w:type="dxa" w:w="3456"/>
          </w:tcPr>
          <w:p>
            <w:pPr>
              <w:spacing w:after="20" w:before="20"/>
              <w:jc w:val="center"/>
            </w:pPr>
            <w:r/>
            <w:r>
              <w:rPr>
                <w:rFonts w:ascii="Carlito" w:hAnsi="Carlito"/>
                <w:b w:val="0"/>
                <w:i w:val="0"/>
                <w:sz w:val="19"/>
              </w:rPr>
              <w:t>Cash returns / ROIC + dividend</w:t>
            </w:r>
          </w:p>
        </w:tc>
        <w:tc>
          <w:tcPr>
            <w:tcW w:type="dxa" w:w="2880"/>
          </w:tcPr>
          <w:p>
            <w:pPr>
              <w:spacing w:after="20" w:before="20"/>
              <w:jc w:val="center"/>
            </w:pPr>
            <w:r/>
            <w:r>
              <w:rPr>
                <w:rFonts w:ascii="Carlito" w:hAnsi="Carlito"/>
                <w:b w:val="0"/>
                <w:i w:val="0"/>
                <w:sz w:val="19"/>
              </w:rPr>
              <w:t>ROIC recovery vs ~10% WACC</w:t>
            </w:r>
          </w:p>
        </w:tc>
        <w:tc>
          <w:tcPr>
            <w:tcW w:type="dxa" w:w="1728"/>
          </w:tcPr>
          <w:p>
            <w:pPr>
              <w:spacing w:after="20" w:before="20"/>
              <w:jc w:val="center"/>
            </w:pPr>
            <w:r/>
            <w:r>
              <w:rPr>
                <w:rFonts w:ascii="Carlito" w:hAnsi="Carlito"/>
                <w:b w:val="0"/>
                <w:i w:val="0"/>
                <w:sz w:val="19"/>
              </w:rPr>
              <w:t>SAR 58</w:t>
            </w:r>
          </w:p>
        </w:tc>
      </w:tr>
      <w:tr>
        <w:tc>
          <w:tcPr>
            <w:tcW w:type="dxa" w:w="1728"/>
          </w:tcPr>
          <w:p>
            <w:pPr>
              <w:spacing w:after="20" w:before="20"/>
              <w:jc w:val="left"/>
            </w:pPr>
            <w:r/>
            <w:r>
              <w:rPr>
                <w:rFonts w:ascii="Carlito" w:hAnsi="Carlito"/>
                <w:b w:val="0"/>
                <w:i w:val="0"/>
                <w:sz w:val="19"/>
              </w:rPr>
              <w:t>Expert 4</w:t>
            </w:r>
          </w:p>
        </w:tc>
        <w:tc>
          <w:tcPr>
            <w:tcW w:type="dxa" w:w="3456"/>
          </w:tcPr>
          <w:p>
            <w:pPr>
              <w:spacing w:after="20" w:before="20"/>
              <w:jc w:val="center"/>
            </w:pPr>
            <w:r/>
            <w:r>
              <w:rPr>
                <w:rFonts w:ascii="Carlito" w:hAnsi="Carlito"/>
                <w:b w:val="0"/>
                <w:i w:val="0"/>
                <w:sz w:val="19"/>
              </w:rPr>
              <w:t>Macro &amp; policy</w:t>
            </w:r>
          </w:p>
        </w:tc>
        <w:tc>
          <w:tcPr>
            <w:tcW w:type="dxa" w:w="2880"/>
          </w:tcPr>
          <w:p>
            <w:pPr>
              <w:spacing w:after="20" w:before="20"/>
              <w:jc w:val="center"/>
            </w:pPr>
            <w:r/>
            <w:r>
              <w:rPr>
                <w:rFonts w:ascii="Carlito" w:hAnsi="Carlito"/>
                <w:b w:val="0"/>
                <w:i w:val="0"/>
                <w:sz w:val="19"/>
              </w:rPr>
              <w:t>Spread scenario weights</w:t>
            </w:r>
          </w:p>
        </w:tc>
        <w:tc>
          <w:tcPr>
            <w:tcW w:type="dxa" w:w="1728"/>
          </w:tcPr>
          <w:p>
            <w:pPr>
              <w:spacing w:after="20" w:before="20"/>
              <w:jc w:val="center"/>
            </w:pPr>
            <w:r/>
            <w:r>
              <w:rPr>
                <w:rFonts w:ascii="Carlito" w:hAnsi="Carlito"/>
                <w:b w:val="0"/>
                <w:i w:val="0"/>
                <w:sz w:val="19"/>
              </w:rPr>
              <w:t>SAR 49</w:t>
            </w:r>
          </w:p>
        </w:tc>
      </w:tr>
    </w:tbl>
    <w:p>
      <w:pPr>
        <w:spacing w:after="40"/>
      </w:pPr>
    </w:p>
    <w:p>
      <w:r>
        <w:rPr>
          <w:rFonts w:ascii="Carlito" w:hAnsi="Carlito"/>
          <w:i w:val="0"/>
          <w:sz w:val="21"/>
        </w:rPr>
        <w:t>The spread — SAR 49 to 58 at base — is narrow for a cyclical, and it is almost entirely a product–feedstock-spread disagreement: none of the four contests the balance sheet, the Aramco feedstock advantage, or the agri-nutrients franchise. What separates them is whether the spread recovers far enough to justify a premium to the asset base. Expert 3 says yes (mid-cycle cash and a covered dividend); Expert 4 says only partly (a China question); Experts 1 and 2 land in between, one on a normalized multiple and one on replacement value. The SAR 9 spread is therefore a clean measure of one uncertainty — how far the petrochemical spread normalises. Resolve that, and the four converge.</w:t>
      </w:r>
    </w:p>
    <w:p>
      <w:r>
        <w:rPr>
          <w:rFonts w:ascii="Carlito" w:hAnsi="Carlito"/>
          <w:i/>
          <w:sz w:val="17"/>
        </w:rPr>
        <w:t>Each expert's point fair value (and bull/base/bear) is logged with the study date (7 Jul 2026) and spot (SAR 51.80) as an internal per-expert track record, kept separate from the core Calibration Ledger.</w:t>
      </w:r>
    </w:p>
    <w:p>
      <w:pPr>
        <w:spacing w:before="280" w:after="80"/>
        <w:pBdr>
          <w:bottom w:val="single" w:sz="8" w:space="2" w:color="C0A45F"/>
        </w:pBdr>
      </w:pPr>
      <w:r>
        <w:rPr>
          <w:rFonts w:ascii="Carlito" w:hAnsi="Carlito"/>
          <w:b/>
          <w:color w:val="1C3A36"/>
          <w:sz w:val="30"/>
        </w:rPr>
        <w:t>About this series</w:t>
      </w:r>
    </w:p>
    <w:p>
      <w:r>
        <w:rPr>
          <w:rFonts w:ascii="Carlito" w:hAnsi="Carlito"/>
          <w:i w:val="0"/>
          <w:sz w:val="21"/>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before="280" w:after="80"/>
        <w:pBdr>
          <w:bottom w:val="single" w:sz="8" w:space="2" w:color="C0A45F"/>
        </w:pBdr>
      </w:pPr>
      <w:r>
        <w:rPr>
          <w:rFonts w:ascii="Carlito" w:hAnsi="Carlito"/>
          <w:b/>
          <w:color w:val="1C3A36"/>
          <w:sz w:val="30"/>
        </w:rPr>
        <w:t>Disclosure &amp; Disclaimer</w:t>
      </w:r>
    </w:p>
    <w:p>
      <w:r>
        <w:rPr>
          <w:b/>
          <w:i/>
          <w:sz w:val="19"/>
        </w:rPr>
        <w:t xml:space="preserve">Not investment advice.  </w:t>
      </w:r>
      <w:r>
        <w:rPr>
          <w:i/>
          <w:sz w:val="19"/>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r>
        <w:rPr>
          <w:b/>
          <w:i/>
          <w:sz w:val="19"/>
        </w:rPr>
        <w:t xml:space="preserve">No licence; no advisory relationship.  </w:t>
      </w:r>
      <w:r>
        <w:rPr>
          <w:i/>
          <w:sz w:val="19"/>
        </w:rPr>
        <w:t>The preparer is not registered or licensed with any securities or financial regulator in any jurisdiction, holds no brokerage or investment-advisory authorisation, and is not acting as your adviser or fiduciary. Nothing here is personalised to your circumstances.</w:t>
      </w:r>
    </w:p>
    <w:p>
      <w:r>
        <w:rPr>
          <w:b/>
          <w:i/>
          <w:sz w:val="19"/>
        </w:rPr>
        <w:t xml:space="preserve">Holdings disclosure.  </w:t>
      </w:r>
      <w:r>
        <w:rPr>
          <w:i/>
          <w:sz w:val="19"/>
        </w:rPr>
        <w:t>The preparer may hold, and may in the future take or dispose of, a position in the security discussed in this report, and may transact at any time without notice. This is a potential conflict of interest you should weigh.</w:t>
      </w:r>
    </w:p>
    <w:p>
      <w:r>
        <w:rPr>
          <w:b/>
          <w:i/>
          <w:sz w:val="19"/>
        </w:rPr>
        <w:t xml:space="preserve">Sources &amp; accuracy.  </w:t>
      </w:r>
      <w:r>
        <w:rPr>
          <w:i/>
          <w:sz w:val="19"/>
        </w:rPr>
        <w:t>Reported financial and operating figures are drawn from the company's public disclosure and other public sources believed reliable but not independently verified; they may contain errors or be superseded. Forward-looking inputs — the mid-cycle margin, the multiples, the DCF and Monte-Carlo factor probabilities — are the preparer's own judgments and are inherently uncertain.</w:t>
      </w:r>
    </w:p>
    <w:p>
      <w:r>
        <w:rPr>
          <w:b/>
          <w:i/>
          <w:sz w:val="19"/>
        </w:rPr>
        <w:t xml:space="preserve">Forward-looking statements.  </w:t>
      </w:r>
      <w:r>
        <w:rPr>
          <w:i/>
          <w:sz w:val="19"/>
        </w:rPr>
        <w:t>Any statements about the future are estimates subject to risks and uncertainties; actual results may differ materially. The Monte Carlo models price, not value, and encodes subjective probabilities for events that have not occurred.</w:t>
      </w:r>
    </w:p>
    <w:p>
      <w:r>
        <w:rPr>
          <w:b/>
          <w:i/>
          <w:sz w:val="19"/>
        </w:rPr>
        <w:t xml:space="preserve">No reliance; your responsibility.  </w:t>
      </w:r>
      <w:r>
        <w:rPr>
          <w:i/>
          <w:sz w:val="19"/>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r>
        <w:rPr>
          <w:b/>
          <w:i/>
          <w:sz w:val="19"/>
        </w:rPr>
        <w:t xml:space="preserve">Currency &amp; figures.  </w:t>
      </w:r>
      <w:r>
        <w:rPr>
          <w:i/>
          <w:sz w:val="19"/>
        </w:rPr>
        <w:t>Figures are in Saudi riyals (SAR) billion unless noted; per-share in SAR. The SAR is pegged at 3.75/USD. Rounding may cause totals to differ slightly. Spot price and market data are as of 7 July 2026 and change continuously.</w:t>
      </w:r>
    </w:p>
    <w:p/>
    <w:p>
      <w:pPr>
        <w:jc w:val="center"/>
      </w:pPr>
      <w:r>
        <w:rPr>
          <w:i/>
          <w:color w:val="896F36"/>
          <w:sz w:val="17"/>
        </w:rPr>
        <w:t>TESTAHIL · Independent Valuation Study · Educational Analysis · Saudi Basic Industries Corporation (Tadawul: 2010) · edition 07-07-2026 · reporting currency SAR</w:t>
      </w:r>
    </w:p>
    <w:sectPr w:rsidR="00FC693F" w:rsidRPr="0006063C" w:rsidSect="00034616">
      <w:footerReference w:type="default" r:id="rId1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testahil.com   ·   Educational analysis · Not investment advice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