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Mobily FY2025 and H1-2026 results announcements (Saudi Exchange issuer filings) and FY2025 earnings release</w:t>
            </w:r>
          </w:p>
        </w:tc>
        <w:tc>
          <w:tcPr>
            <w:tcW w:type="dxa" w:w="4248"/>
          </w:tcPr>
          <w:p>
            <w:pPr>
              <w:spacing w:after="20"/>
            </w:pPr>
            <w:r>
              <w:rPr>
                <w:color w:val="1C3A36"/>
                <w:sz w:val="16"/>
              </w:rPr>
              <w:t>the justified price/earnings multiple and the peer dividend-yield anchor, both re-derived from filed earnings after the first edition used a stale aggregator figure: trailing EPS SAR 4.76 = FY2025 4.51 + H1-2026 2.32 - H1-2025 2.07, giving 12.9x on the 06-Aug-2026 close of SAR 61.30 (the market-cap route ties independently)</w:t>
            </w:r>
          </w:p>
        </w:tc>
        <w:tc>
          <w:tcPr>
            <w:tcW w:type="dxa" w:w="1224"/>
          </w:tcPr>
          <w:p>
            <w:pPr>
              <w:spacing w:after="20"/>
            </w:pPr>
            <w:r>
              <w:rPr>
                <w:color w:val="1C3A36"/>
                <w:sz w:val="16"/>
              </w:rPr>
              <w:t>06-Aug-2026</w:t>
            </w:r>
          </w:p>
        </w:tc>
        <w:tc>
          <w:tcPr>
            <w:tcW w:type="dxa" w:w="1296"/>
          </w:tcPr>
          <w:p>
            <w:pPr>
              <w:spacing w:after="20"/>
            </w:pPr>
            <w:r>
              <w:rPr>
                <w:color w:val="1C3A36"/>
                <w:sz w:val="16"/>
              </w:rPr>
              <w:t>saudiexchange.sa / mobily.com.sa</w:t>
            </w:r>
          </w:p>
        </w:tc>
      </w:tr>
      <w:tr>
        <w:tc>
          <w:tcPr>
            <w:tcW w:type="dxa" w:w="3312"/>
          </w:tcPr>
          <w:p>
            <w:pPr>
              <w:spacing w:after="20"/>
            </w:pPr>
            <w:r>
              <w:rPr>
                <w:color w:val="1C3A36"/>
                <w:sz w:val="16"/>
              </w:rPr>
              <w:t>e&amp; FY2025, H1-2025 and H1-2026 results releases</w:t>
            </w:r>
          </w:p>
        </w:tc>
        <w:tc>
          <w:tcPr>
            <w:tcW w:type="dxa" w:w="4248"/>
          </w:tcPr>
          <w:p>
            <w:pPr>
              <w:spacing w:after="20"/>
            </w:pPr>
            <w:r>
              <w:rPr>
                <w:color w:val="1C3A36"/>
                <w:sz w:val="16"/>
              </w:rPr>
              <w:t>the second filing-derived peer multiple: trailing EPS AED 1.33 reported-attributable, 15.7x on the 06-Aug-2026 close of AED 20.98. NOTE the basis trap: e&amp;'s own H1-2026 release quotes the H1-2025 comparative on an ADJUSTED basis, which if used fabricates a 12.6x</w:t>
            </w:r>
          </w:p>
        </w:tc>
        <w:tc>
          <w:tcPr>
            <w:tcW w:type="dxa" w:w="1224"/>
          </w:tcPr>
          <w:p>
            <w:pPr>
              <w:spacing w:after="20"/>
            </w:pPr>
            <w:r>
              <w:rPr>
                <w:color w:val="1C3A36"/>
                <w:sz w:val="16"/>
              </w:rPr>
              <w:t>06-Aug-2026</w:t>
            </w:r>
          </w:p>
        </w:tc>
        <w:tc>
          <w:tcPr>
            <w:tcW w:type="dxa" w:w="1296"/>
          </w:tcPr>
          <w:p>
            <w:pPr>
              <w:spacing w:after="20"/>
            </w:pPr>
            <w:r>
              <w:rPr>
                <w:color w:val="1C3A36"/>
                <w:sz w:val="16"/>
              </w:rPr>
              <w:t>eand.com</w:t>
            </w:r>
          </w:p>
        </w:tc>
      </w:tr>
      <w:tr>
        <w:tc>
          <w:tcPr>
            <w:tcW w:type="dxa" w:w="3312"/>
          </w:tcPr>
          <w:p>
            <w:pPr>
              <w:spacing w:after="20"/>
            </w:pPr>
            <w:r>
              <w:rPr>
                <w:color w:val="1C3A36"/>
                <w:sz w:val="16"/>
              </w:rPr>
              <w:t>du dividend-distribution disclosure to DFM, Ref RME/14/2026</w:t>
            </w:r>
          </w:p>
        </w:tc>
        <w:tc>
          <w:tcPr>
            <w:tcW w:type="dxa" w:w="4248"/>
          </w:tcPr>
          <w:p>
            <w:pPr>
              <w:spacing w:after="20"/>
            </w:pPr>
            <w:r>
              <w:rPr>
                <w:color w:val="1C3A36"/>
                <w:sz w:val="16"/>
              </w:rPr>
              <w:t>the interim dividend timetable that determines which dividends are still in the anchor price: ex-date 31-Jul-2026, record 03-Aug-2026, payment 21-Aug-2026</w:t>
            </w:r>
          </w:p>
        </w:tc>
        <w:tc>
          <w:tcPr>
            <w:tcW w:type="dxa" w:w="1224"/>
          </w:tcPr>
          <w:p>
            <w:pPr>
              <w:spacing w:after="20"/>
            </w:pPr>
            <w:r>
              <w:rPr>
                <w:color w:val="1C3A36"/>
                <w:sz w:val="16"/>
              </w:rPr>
              <w:t>2026-07-31</w:t>
            </w:r>
          </w:p>
        </w:tc>
        <w:tc>
          <w:tcPr>
            <w:tcW w:type="dxa" w:w="1296"/>
          </w:tcPr>
          <w:p>
            <w:pPr>
              <w:spacing w:after="20"/>
            </w:pPr>
            <w:r>
              <w:rPr>
                <w:color w:val="1C3A36"/>
                <w:sz w:val="16"/>
              </w:rPr>
              <w:t>du filing via DFM</w:t>
            </w:r>
          </w:p>
        </w:tc>
      </w:tr>
      <w:tr>
        <w:tc>
          <w:tcPr>
            <w:tcW w:type="dxa" w:w="3312"/>
          </w:tcPr>
          <w:p>
            <w:pPr>
              <w:spacing w:after="20"/>
            </w:pPr>
            <w:r>
              <w:rPr>
                <w:color w:val="1C3A36"/>
                <w:sz w:val="16"/>
              </w:rPr>
              <w:t>du disclosure announcement, "Extension of Federal Royalty Scheme for the Period 2027-2029"</w:t>
            </w:r>
          </w:p>
        </w:tc>
        <w:tc>
          <w:tcPr>
            <w:tcW w:type="dxa" w:w="4248"/>
          </w:tcPr>
          <w:p>
            <w:pPr>
              <w:spacing w:after="20"/>
            </w:pPr>
            <w:r>
              <w:rPr>
                <w:color w:val="1C3A36"/>
                <w:sz w:val="16"/>
              </w:rPr>
              <w:t>the settled 2027-2029 fiscal regime, including the express retention of the AED 1.8bn combined annual floor</w:t>
            </w:r>
          </w:p>
        </w:tc>
        <w:tc>
          <w:tcPr>
            <w:tcW w:type="dxa" w:w="1224"/>
          </w:tcPr>
          <w:p>
            <w:pPr>
              <w:spacing w:after="20"/>
            </w:pPr>
            <w:r>
              <w:rPr>
                <w:color w:val="1C3A36"/>
                <w:sz w:val="16"/>
              </w:rPr>
              <w:t>2026-07-24</w:t>
            </w:r>
          </w:p>
        </w:tc>
        <w:tc>
          <w:tcPr>
            <w:tcW w:type="dxa" w:w="1296"/>
          </w:tcPr>
          <w:p>
            <w:pPr>
              <w:spacing w:after="20"/>
            </w:pPr>
            <w:r>
              <w:rPr>
                <w:color w:val="1C3A36"/>
                <w:sz w:val="16"/>
              </w:rPr>
              <w:t>du company disclosure</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12.3</w:t>
            </w:r>
          </w:p>
        </w:tc>
        <w:tc>
          <w:tcPr>
            <w:tcW w:type="dxa" w:w="5904"/>
          </w:tcPr>
          <w:p>
            <w:pPr>
              <w:spacing w:after="20"/>
            </w:pPr>
            <w:r>
              <w:rPr>
                <w:color w:val="1C3A36"/>
                <w:sz w:val="14"/>
              </w:rPr>
              <w:t>Uploaded DFM daily price history for DU, last close 07-Aug-2026</w:t>
            </w:r>
          </w:p>
        </w:tc>
        <w:tc>
          <w:tcPr>
            <w:tcW w:type="dxa" w:w="1080"/>
          </w:tcPr>
          <w:p>
            <w:pPr>
              <w:spacing w:after="20"/>
            </w:pPr>
            <w:r>
              <w:rPr>
                <w:color w:val="1C3A36"/>
                <w:sz w:val="14"/>
              </w:rPr>
              <w:t>2026-08-07</w:t>
            </w:r>
          </w:p>
        </w:tc>
      </w:tr>
      <w:tr>
        <w:tc>
          <w:tcPr>
            <w:tcW w:type="dxa" w:w="1512"/>
          </w:tcPr>
          <w:p>
            <w:pPr>
              <w:spacing w:after="20"/>
            </w:pPr>
            <w:r>
              <w:rPr>
                <w:color w:val="1C3A36"/>
                <w:sz w:val="14"/>
              </w:rPr>
              <w:t>beta</w:t>
            </w:r>
          </w:p>
        </w:tc>
        <w:tc>
          <w:tcPr>
            <w:tcW w:type="dxa" w:w="1656"/>
          </w:tcPr>
          <w:p>
            <w:pPr>
              <w:spacing w:after="20"/>
            </w:pPr>
            <w:r>
              <w:rPr>
                <w:color w:val="1C3A36"/>
                <w:sz w:val="14"/>
              </w:rPr>
              <w:t>0.488</w:t>
            </w:r>
          </w:p>
        </w:tc>
        <w:tc>
          <w:tcPr>
            <w:tcW w:type="dxa" w:w="5904"/>
          </w:tcPr>
          <w:p>
            <w:pPr>
              <w:spacing w:after="20"/>
            </w:pPr>
            <w:r>
              <w:rPr>
                <w:color w:val="1C3A36"/>
                <w:sz w:val="14"/>
              </w:rPr>
              <w:t>Own-stock regression vs the FTSE ADX GENERAL INDEX, adopted per explicit user instruction (10-Aug-2026) as the UAE base market index: DU weekly log-returns, 5-year window, last-common-session weekly sampling on the user-supplied index export (2011..24-Jul-2026): beta 0.488, R2 0.120, n 256, SE 0.083, CI90 [0.35, 0.62] - passes the usability gate (n&gt;=24, R2&gt;=5%, SE&lt;|beta|). Published alternatives: DFM General (DU's own listing venue, the house default) 0.472 (R2 0.202, SE 0.058); equal-weight AE-library composite 0.400. A defensive, negative-net-debt telecom regressing below 0.5 on either UAE index is economically coherent; betas at the CI ends and 0.65/0.80 priors are PRICED in the sensitivity grid</w:t>
            </w:r>
          </w:p>
        </w:tc>
        <w:tc>
          <w:tcPr>
            <w:tcW w:type="dxa" w:w="1080"/>
          </w:tcPr>
          <w:p>
            <w:pPr>
              <w:spacing w:after="20"/>
            </w:pPr>
            <w:r>
              <w:rPr>
                <w:color w:val="1C3A36"/>
                <w:sz w:val="14"/>
              </w:rPr>
              <w:t>2026-08-10</w:t>
            </w:r>
          </w:p>
        </w:tc>
      </w:tr>
    </w:tbl>
    <w:p>
      <w:pPr>
        <w:spacing w:after="40"/>
      </w:pPr>
    </w:p>
    <w:p>
      <w:pPr>
        <w:spacing w:after="60" w:before="160"/>
      </w:pPr>
      <w:r>
        <w:rPr>
          <w:b/>
          <w:i w:val="0"/>
          <w:color w:val="1C3A36"/>
          <w:sz w:val="22"/>
        </w:rPr>
        <w:t>Company layer — 143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0.66</w:t>
            </w:r>
          </w:p>
        </w:tc>
        <w:tc>
          <w:tcPr>
            <w:tcW w:type="dxa" w:w="5904"/>
          </w:tcPr>
          <w:p>
            <w:pPr>
              <w:spacing w:after="20"/>
            </w:pPr>
            <w:r>
              <w:rPr>
                <w:color w:val="1C3A36"/>
                <w:sz w:val="14"/>
              </w:rPr>
              <w:t>Dividends whose EX-DATE falls between the 31-Dec-2025 valuation date and the 07-Aug-2026 anchor, and which are therefore no longer in the share price: the final FY2025 AED 0.40 (AGM 30-Mar-2026, paid 28-Apr-2026) PLUS the H1-2026 interim AED 0.26 — Board-approved 22-Jul-2026, EX-DATE 31-JULY-2026, record 03-Aug-2026, paid 21-Aug-2026, per du's own dividend disclosure to DFM (Ref RME/14/2026). CORRECTED 17-Aug-2026: the prior edition carried only 0.40, on the reasoning that the interim was declared but unpaid at the anchor so it 'stays in the share'. That applied the PAYMENT date; the correct test is the EX-date, which had passed six trading sessions before the anchor. The anchor spot of AED 12.30 is ex the 0.26, so every lens rolled to that anchor must be ex it too</w:t>
            </w:r>
          </w:p>
        </w:tc>
        <w:tc>
          <w:tcPr>
            <w:tcW w:type="dxa" w:w="1080"/>
          </w:tcPr>
          <w:p>
            <w:pPr>
              <w:spacing w:after="20"/>
            </w:pPr>
            <w:r>
              <w:rPr>
                <w:color w:val="1C3A36"/>
                <w:sz w:val="14"/>
              </w:rPr>
              <w:t>2026-07-31</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investees_bv</w:t>
            </w:r>
          </w:p>
        </w:tc>
        <w:tc>
          <w:tcPr>
            <w:tcW w:type="dxa" w:w="1656"/>
          </w:tcPr>
          <w:p>
            <w:pPr>
              <w:spacing w:after="20"/>
            </w:pPr>
            <w:r>
              <w:rPr>
                <w:color w:val="1C3A36"/>
                <w:sz w:val="14"/>
              </w:rPr>
              <w:t>0.511</w:t>
            </w:r>
          </w:p>
        </w:tc>
        <w:tc>
          <w:tcPr>
            <w:tcW w:type="dxa" w:w="5904"/>
          </w:tcPr>
          <w:p>
            <w:pPr>
              <w:spacing w:after="20"/>
            </w:pPr>
            <w:r>
              <w:rPr>
                <w:color w:val="1C3A36"/>
                <w:sz w:val="14"/>
              </w:rPr>
              <w:t>Audited consolidated FS, Integrated Annual Report 2025, investors.du.ae (KPMG Lower Gulf, unmodified opinion 09-Feb-2026), Note 10: investments accounted for using the equity method, carrying value AED 0.511mn at 31-Dec-2025 (FY2024: 2.716mn). REGISTERED 17-Aug-2026 — this figure was previously typed directly into the bridge, so it was an input with no four-field record and the completeness assertion passed over it</w:t>
            </w:r>
          </w:p>
        </w:tc>
        <w:tc>
          <w:tcPr>
            <w:tcW w:type="dxa" w:w="1080"/>
          </w:tcPr>
          <w:p>
            <w:pPr>
              <w:spacing w:after="20"/>
            </w:pPr>
            <w:r>
              <w:rPr>
                <w:color w:val="1C3A36"/>
                <w:sz w:val="14"/>
              </w:rPr>
              <w:t>2026-02-09</w:t>
            </w:r>
          </w:p>
        </w:tc>
      </w:tr>
      <w:tr>
        <w:tc>
          <w:tcPr>
            <w:tcW w:type="dxa" w:w="1512"/>
          </w:tcPr>
          <w:p>
            <w:pPr>
              <w:spacing w:after="20"/>
            </w:pPr>
            <w:r>
              <w:rPr>
                <w:color w:val="1C3A36"/>
                <w:sz w:val="14"/>
              </w:rPr>
              <w:t>direct_costs_hist</w:t>
            </w:r>
          </w:p>
        </w:tc>
        <w:tc>
          <w:tcPr>
            <w:tcW w:type="dxa" w:w="1656"/>
          </w:tcPr>
          <w:p>
            <w:pPr>
              <w:spacing w:after="20"/>
            </w:pPr>
            <w:r>
              <w:rPr>
                <w:color w:val="1C3A36"/>
                <w:sz w:val="14"/>
              </w:rPr>
              <w:t>FY24: -4,818.4; FY25: -5,259.4</w:t>
            </w:r>
          </w:p>
        </w:tc>
        <w:tc>
          <w:tcPr>
            <w:tcW w:type="dxa" w:w="5904"/>
          </w:tcPr>
          <w:p>
            <w:pPr>
              <w:spacing w:after="20"/>
            </w:pPr>
            <w:r>
              <w:rPr>
                <w:color w:val="1C3A36"/>
                <w:sz w:val="14"/>
              </w:rPr>
              <w:t>Audited consolidated FS, Integrated Annual Report 2025, investors.du.ae (KPMG Lower Gulf, unmodified opinion 09-Feb-2026), face of the income statement: interconnect + commission + devices and other direct services cost</w:t>
            </w:r>
          </w:p>
        </w:tc>
        <w:tc>
          <w:tcPr>
            <w:tcW w:type="dxa" w:w="1080"/>
          </w:tcPr>
          <w:p>
            <w:pPr>
              <w:spacing w:after="20"/>
            </w:pPr>
            <w:r>
              <w:rPr>
                <w:color w:val="1C3A36"/>
                <w:sz w:val="14"/>
              </w:rPr>
              <w:t>2026-02-09</w:t>
            </w:r>
          </w:p>
        </w:tc>
      </w:tr>
      <w:tr>
        <w:tc>
          <w:tcPr>
            <w:tcW w:type="dxa" w:w="1512"/>
          </w:tcPr>
          <w:p>
            <w:pPr>
              <w:spacing w:after="20"/>
            </w:pPr>
            <w:r>
              <w:rPr>
                <w:color w:val="1C3A36"/>
                <w:sz w:val="14"/>
              </w:rPr>
              <w:t>opex_before_dna_hist</w:t>
            </w:r>
          </w:p>
        </w:tc>
        <w:tc>
          <w:tcPr>
            <w:tcW w:type="dxa" w:w="1656"/>
          </w:tcPr>
          <w:p>
            <w:pPr>
              <w:spacing w:after="20"/>
            </w:pPr>
            <w:r>
              <w:rPr>
                <w:color w:val="1C3A36"/>
                <w:sz w:val="14"/>
              </w:rPr>
              <w:t>FY24: -3,347.6; FY25: -3,307.6</w:t>
            </w:r>
          </w:p>
        </w:tc>
        <w:tc>
          <w:tcPr>
            <w:tcW w:type="dxa" w:w="5904"/>
          </w:tcPr>
          <w:p>
            <w:pPr>
              <w:spacing w:after="20"/>
            </w:pPr>
            <w:r>
              <w:rPr>
                <w:color w:val="1C3A36"/>
                <w:sz w:val="14"/>
              </w:rPr>
              <w:t>Audited consolidated FS, Integrated Annual Report 2025, investors.du.ae (KPMG Lower Gulf, unmodified opinion 09-Feb-2026), total net operating expenses before depreciation and amortization</w:t>
            </w:r>
          </w:p>
        </w:tc>
        <w:tc>
          <w:tcPr>
            <w:tcW w:type="dxa" w:w="1080"/>
          </w:tcPr>
          <w:p>
            <w:pPr>
              <w:spacing w:after="20"/>
            </w:pPr>
            <w:r>
              <w:rPr>
                <w:color w:val="1C3A36"/>
                <w:sz w:val="14"/>
              </w:rPr>
              <w:t>2026-02-09</w:t>
            </w:r>
          </w:p>
        </w:tc>
      </w:tr>
      <w:tr>
        <w:tc>
          <w:tcPr>
            <w:tcW w:type="dxa" w:w="1512"/>
          </w:tcPr>
          <w:p>
            <w:pPr>
              <w:spacing w:after="20"/>
            </w:pPr>
            <w:r>
              <w:rPr>
                <w:color w:val="1C3A36"/>
                <w:sz w:val="14"/>
              </w:rPr>
              <w:t>int_inc_fy23</w:t>
            </w:r>
          </w:p>
        </w:tc>
        <w:tc>
          <w:tcPr>
            <w:tcW w:type="dxa" w:w="1656"/>
          </w:tcPr>
          <w:p>
            <w:pPr>
              <w:spacing w:after="20"/>
            </w:pPr>
            <w:r>
              <w:rPr>
                <w:color w:val="1C3A36"/>
                <w:sz w:val="14"/>
              </w:rPr>
              <w:t>61.327</w:t>
            </w:r>
          </w:p>
        </w:tc>
        <w:tc>
          <w:tcPr>
            <w:tcW w:type="dxa" w:w="5904"/>
          </w:tcPr>
          <w:p>
            <w:pPr>
              <w:spacing w:after="20"/>
            </w:pPr>
            <w:r>
              <w:rPr>
                <w:color w:val="1C3A36"/>
                <w:sz w:val="14"/>
              </w:rPr>
              <w:t>Audited consolidated FS, Annual Report 2023, investors.du.ae (PwC, unqualified opinion 13-Feb-2024), finance income</w:t>
            </w:r>
          </w:p>
        </w:tc>
        <w:tc>
          <w:tcPr>
            <w:tcW w:type="dxa" w:w="1080"/>
          </w:tcPr>
          <w:p>
            <w:pPr>
              <w:spacing w:after="20"/>
            </w:pPr>
            <w:r>
              <w:rPr>
                <w:color w:val="1C3A36"/>
                <w:sz w:val="14"/>
              </w:rPr>
              <w:t>2024-02-13</w:t>
            </w:r>
          </w:p>
        </w:tc>
      </w:tr>
      <w:tr>
        <w:tc>
          <w:tcPr>
            <w:tcW w:type="dxa" w:w="1512"/>
          </w:tcPr>
          <w:p>
            <w:pPr>
              <w:spacing w:after="20"/>
            </w:pPr>
            <w:r>
              <w:rPr>
                <w:color w:val="1C3A36"/>
                <w:sz w:val="14"/>
              </w:rPr>
              <w:t>int_exp_fy23</w:t>
            </w:r>
          </w:p>
        </w:tc>
        <w:tc>
          <w:tcPr>
            <w:tcW w:type="dxa" w:w="1656"/>
          </w:tcPr>
          <w:p>
            <w:pPr>
              <w:spacing w:after="20"/>
            </w:pPr>
            <w:r>
              <w:rPr>
                <w:color w:val="1C3A36"/>
                <w:sz w:val="14"/>
              </w:rPr>
              <w:t>101.4</w:t>
            </w:r>
          </w:p>
        </w:tc>
        <w:tc>
          <w:tcPr>
            <w:tcW w:type="dxa" w:w="5904"/>
          </w:tcPr>
          <w:p>
            <w:pPr>
              <w:spacing w:after="20"/>
            </w:pPr>
            <w:r>
              <w:rPr>
                <w:color w:val="1C3A36"/>
                <w:sz w:val="14"/>
              </w:rPr>
              <w:t>Audited consolidated FS, Annual Report 2023, investors.du.ae (PwC, unqualified opinion 13-Feb-2024), finance costs</w:t>
            </w:r>
          </w:p>
        </w:tc>
        <w:tc>
          <w:tcPr>
            <w:tcW w:type="dxa" w:w="1080"/>
          </w:tcPr>
          <w:p>
            <w:pPr>
              <w:spacing w:after="20"/>
            </w:pPr>
            <w:r>
              <w:rPr>
                <w:color w:val="1C3A36"/>
                <w:sz w:val="14"/>
              </w:rPr>
              <w:t>2024-02-13</w:t>
            </w:r>
          </w:p>
        </w:tc>
      </w:tr>
      <w:tr>
        <w:tc>
          <w:tcPr>
            <w:tcW w:type="dxa" w:w="1512"/>
          </w:tcPr>
          <w:p>
            <w:pPr>
              <w:spacing w:after="20"/>
            </w:pPr>
            <w:r>
              <w:rPr>
                <w:color w:val="1C3A36"/>
                <w:sz w:val="14"/>
              </w:rPr>
              <w:t>assoc_hist</w:t>
            </w:r>
          </w:p>
        </w:tc>
        <w:tc>
          <w:tcPr>
            <w:tcW w:type="dxa" w:w="1656"/>
          </w:tcPr>
          <w:p>
            <w:pPr>
              <w:spacing w:after="20"/>
            </w:pPr>
            <w:r>
              <w:rPr>
                <w:color w:val="1C3A36"/>
                <w:sz w:val="14"/>
              </w:rPr>
              <w:t>FY23: -2.72; FY24: -2.427; FY25: -0.894</w:t>
            </w:r>
          </w:p>
        </w:tc>
        <w:tc>
          <w:tcPr>
            <w:tcW w:type="dxa" w:w="5904"/>
          </w:tcPr>
          <w:p>
            <w:pPr>
              <w:spacing w:after="20"/>
            </w:pPr>
            <w:r>
              <w:rPr>
                <w:color w:val="1C3A36"/>
                <w:sz w:val="14"/>
              </w:rPr>
              <w:t>Share of loss of associate and joint venture: Audited consolidated FS, Annual Report 2023, investors.du.ae (PwC, unqualified opinion 13-Feb-2024) (FY2023); Audited consolidated FS, Integrated Annual Report 2025, investors.du.ae (KPMG Lower Gulf, unmodified opinion 09-Feb-2026)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dep_ppe_hist</w:t>
            </w:r>
          </w:p>
        </w:tc>
        <w:tc>
          <w:tcPr>
            <w:tcW w:type="dxa" w:w="1656"/>
          </w:tcPr>
          <w:p>
            <w:pPr>
              <w:spacing w:after="20"/>
            </w:pPr>
            <w:r>
              <w:rPr>
                <w:color w:val="1C3A36"/>
                <w:sz w:val="14"/>
              </w:rPr>
              <w:t>FY23: 1,544.2; FY24: 1,569.2; FY25: 1,558.0</w:t>
            </w:r>
          </w:p>
        </w:tc>
        <w:tc>
          <w:tcPr>
            <w:tcW w:type="dxa" w:w="5904"/>
          </w:tcPr>
          <w:p>
            <w:pPr>
              <w:spacing w:after="20"/>
            </w:pPr>
            <w:r>
              <w:rPr>
                <w:color w:val="1C3A36"/>
                <w:sz w:val="14"/>
              </w:rPr>
              <w:t>Depreciation and impairment of property, plant and equipment: Audited consolidated FS, Annual Report 2023, investors.du.ae (PwC, unqualified opinion 13-Feb-2024) Note 26 (FY2023); Audited consolidated FS, Integrated Annual Report 2025, investors.du.ae (KPMG Lower Gulf, unmodified opinion 09-Feb-2026) Note 31 (FY2024-25)</w:t>
            </w:r>
          </w:p>
        </w:tc>
        <w:tc>
          <w:tcPr>
            <w:tcW w:type="dxa" w:w="1080"/>
          </w:tcPr>
          <w:p>
            <w:pPr>
              <w:spacing w:after="20"/>
            </w:pPr>
            <w:r>
              <w:rPr>
                <w:color w:val="1C3A36"/>
                <w:sz w:val="14"/>
              </w:rPr>
              <w:t>2026-02-09</w:t>
            </w:r>
          </w:p>
        </w:tc>
      </w:tr>
      <w:tr>
        <w:tc>
          <w:tcPr>
            <w:tcW w:type="dxa" w:w="1512"/>
          </w:tcPr>
          <w:p>
            <w:pPr>
              <w:spacing w:after="20"/>
            </w:pPr>
            <w:r>
              <w:rPr>
                <w:color w:val="1C3A36"/>
                <w:sz w:val="14"/>
              </w:rPr>
              <w:t>amort_hist</w:t>
            </w:r>
          </w:p>
        </w:tc>
        <w:tc>
          <w:tcPr>
            <w:tcW w:type="dxa" w:w="1656"/>
          </w:tcPr>
          <w:p>
            <w:pPr>
              <w:spacing w:after="20"/>
            </w:pPr>
            <w:r>
              <w:rPr>
                <w:color w:val="1C3A36"/>
                <w:sz w:val="14"/>
              </w:rPr>
              <w:t>FY23: 209.1; FY24: 209.9; FY25: 245.9</w:t>
            </w:r>
          </w:p>
        </w:tc>
        <w:tc>
          <w:tcPr>
            <w:tcW w:type="dxa" w:w="5904"/>
          </w:tcPr>
          <w:p>
            <w:pPr>
              <w:spacing w:after="20"/>
            </w:pPr>
            <w:r>
              <w:rPr>
                <w:color w:val="1C3A36"/>
                <w:sz w:val="14"/>
              </w:rPr>
              <w:t>Amortisation and impairment of intangible assets, same notes as above</w:t>
            </w:r>
          </w:p>
        </w:tc>
        <w:tc>
          <w:tcPr>
            <w:tcW w:type="dxa" w:w="1080"/>
          </w:tcPr>
          <w:p>
            <w:pPr>
              <w:spacing w:after="20"/>
            </w:pPr>
            <w:r>
              <w:rPr>
                <w:color w:val="1C3A36"/>
                <w:sz w:val="14"/>
              </w:rPr>
              <w:t>2026-02-09</w:t>
            </w:r>
          </w:p>
        </w:tc>
      </w:tr>
      <w:tr>
        <w:tc>
          <w:tcPr>
            <w:tcW w:type="dxa" w:w="1512"/>
          </w:tcPr>
          <w:p>
            <w:pPr>
              <w:spacing w:after="20"/>
            </w:pPr>
            <w:r>
              <w:rPr>
                <w:color w:val="1C3A36"/>
                <w:sz w:val="14"/>
              </w:rPr>
              <w:t>capex_cash_hist</w:t>
            </w:r>
          </w:p>
        </w:tc>
        <w:tc>
          <w:tcPr>
            <w:tcW w:type="dxa" w:w="1656"/>
          </w:tcPr>
          <w:p>
            <w:pPr>
              <w:spacing w:after="20"/>
            </w:pPr>
            <w:r>
              <w:rPr>
                <w:color w:val="1C3A36"/>
                <w:sz w:val="14"/>
              </w:rPr>
              <w:t>FY23: 2,227.6; FY24: 1,920.5; FY25: 2,353.2</w:t>
            </w:r>
          </w:p>
        </w:tc>
        <w:tc>
          <w:tcPr>
            <w:tcW w:type="dxa" w:w="5904"/>
          </w:tcPr>
          <w:p>
            <w:pPr>
              <w:spacing w:after="20"/>
            </w:pPr>
            <w:r>
              <w:rPr>
                <w:color w:val="1C3A36"/>
                <w:sz w:val="14"/>
              </w:rPr>
              <w:t>Cash capital expenditure = purchase of PP&amp;E + purchase of intangible assets, audited consolidated statements of cash flows (AR2023 for FY2023; AR2025 for the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tax_paid_hist</w:t>
            </w:r>
          </w:p>
        </w:tc>
        <w:tc>
          <w:tcPr>
            <w:tcW w:type="dxa" w:w="1656"/>
          </w:tcPr>
          <w:p>
            <w:pPr>
              <w:spacing w:after="20"/>
            </w:pPr>
            <w:r>
              <w:rPr>
                <w:color w:val="1C3A36"/>
                <w:sz w:val="14"/>
              </w:rPr>
              <w:t>FY24: -1,928.9; FY25: -1,883.4</w:t>
            </w:r>
          </w:p>
        </w:tc>
        <w:tc>
          <w:tcPr>
            <w:tcW w:type="dxa" w:w="5904"/>
          </w:tcPr>
          <w:p>
            <w:pPr>
              <w:spacing w:after="20"/>
            </w:pPr>
            <w:r>
              <w:rPr>
                <w:color w:val="1C3A36"/>
                <w:sz w:val="14"/>
              </w:rPr>
              <w:t>Federal royalty paid + income tax paid, audited consolidated statements of cash flows (Audited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ocf_hist</w:t>
            </w:r>
          </w:p>
        </w:tc>
        <w:tc>
          <w:tcPr>
            <w:tcW w:type="dxa" w:w="1656"/>
          </w:tcPr>
          <w:p>
            <w:pPr>
              <w:spacing w:after="20"/>
            </w:pPr>
            <w:r>
              <w:rPr>
                <w:color w:val="1C3A36"/>
                <w:sz w:val="14"/>
              </w:rPr>
              <w:t>FY24: 4,636.5; FY25: 5,229.8</w:t>
            </w:r>
          </w:p>
        </w:tc>
        <w:tc>
          <w:tcPr>
            <w:tcW w:type="dxa" w:w="5904"/>
          </w:tcPr>
          <w:p>
            <w:pPr>
              <w:spacing w:after="20"/>
            </w:pPr>
            <w:r>
              <w:rPr>
                <w:color w:val="1C3A36"/>
                <w:sz w:val="14"/>
              </w:rPr>
              <w:t>Audited consolidated FS, Integrated Annual Report 2025, investors.du.ae (KPMG Lower Gulf, unmodified opinion 09-Feb-2026), net cash generated from operating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div_paid_hist</w:t>
            </w:r>
          </w:p>
        </w:tc>
        <w:tc>
          <w:tcPr>
            <w:tcW w:type="dxa" w:w="1656"/>
          </w:tcPr>
          <w:p>
            <w:pPr>
              <w:spacing w:after="20"/>
            </w:pPr>
            <w:r>
              <w:rPr>
                <w:color w:val="1C3A36"/>
                <w:sz w:val="14"/>
              </w:rPr>
              <w:t>FY24: -1,858.5; FY25: -2,629.1</w:t>
            </w:r>
          </w:p>
        </w:tc>
        <w:tc>
          <w:tcPr>
            <w:tcW w:type="dxa" w:w="5904"/>
          </w:tcPr>
          <w:p>
            <w:pPr>
              <w:spacing w:after="20"/>
            </w:pPr>
            <w:r>
              <w:rPr>
                <w:color w:val="1C3A36"/>
                <w:sz w:val="14"/>
              </w:rPr>
              <w:t>Audited consolidated FS, Integrated Annual Report 2025, investors.du.ae (KPMG Lower Gulf, unmodified opinion 09-Feb-2026), dividends paid (financing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subs_mobile_hist_display</w:t>
            </w:r>
          </w:p>
        </w:tc>
        <w:tc>
          <w:tcPr>
            <w:tcW w:type="dxa" w:w="1656"/>
          </w:tcPr>
          <w:p>
            <w:pPr>
              <w:spacing w:after="20"/>
            </w:pPr>
            <w:r>
              <w:rPr>
                <w:color w:val="1C3A36"/>
                <w:sz w:val="14"/>
              </w:rPr>
              <w:t>FY24: 8,916.0; FY25: 9,704.0</w:t>
            </w:r>
          </w:p>
        </w:tc>
        <w:tc>
          <w:tcPr>
            <w:tcW w:type="dxa" w:w="5904"/>
          </w:tcPr>
          <w:p>
            <w:pPr>
              <w:spacing w:after="20"/>
            </w:pPr>
            <w:r>
              <w:rPr>
                <w:color w:val="1C3A36"/>
                <w:sz w:val="14"/>
              </w:rPr>
              <w:t>Company Q2-2026 earnings release + analyst presentation, investors.du.ae (COMPANY_IR) and the Q4/FY2025 deck: mobile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subs_fixed_hist_display</w:t>
            </w:r>
          </w:p>
        </w:tc>
        <w:tc>
          <w:tcPr>
            <w:tcW w:type="dxa" w:w="1656"/>
          </w:tcPr>
          <w:p>
            <w:pPr>
              <w:spacing w:after="20"/>
            </w:pPr>
            <w:r>
              <w:rPr>
                <w:color w:val="1C3A36"/>
                <w:sz w:val="14"/>
              </w:rPr>
              <w:t>FY24: 682.0; FY25: 735.0</w:t>
            </w:r>
          </w:p>
        </w:tc>
        <w:tc>
          <w:tcPr>
            <w:tcW w:type="dxa" w:w="5904"/>
          </w:tcPr>
          <w:p>
            <w:pPr>
              <w:spacing w:after="20"/>
            </w:pPr>
            <w:r>
              <w:rPr>
                <w:color w:val="1C3A36"/>
                <w:sz w:val="14"/>
              </w:rPr>
              <w:t>Company Q2-2026 earnings release + analyst presentation, investors.du.ae (COMPANY_IR) and the Q4/FY2025 deck: fixed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arpu_hist_display</w:t>
            </w:r>
          </w:p>
        </w:tc>
        <w:tc>
          <w:tcPr>
            <w:tcW w:type="dxa" w:w="1656"/>
          </w:tcPr>
          <w:p>
            <w:pPr>
              <w:spacing w:after="20"/>
            </w:pPr>
            <w:r>
              <w:rPr>
                <w:color w:val="1C3A36"/>
                <w:sz w:val="14"/>
              </w:rPr>
              <w:t>FY24: 65.8; FY25: 63.3</w:t>
            </w:r>
          </w:p>
        </w:tc>
        <w:tc>
          <w:tcPr>
            <w:tcW w:type="dxa" w:w="5904"/>
          </w:tcPr>
          <w:p>
            <w:pPr>
              <w:spacing w:after="20"/>
            </w:pPr>
            <w:r>
              <w:rPr>
                <w:color w:val="1C3A36"/>
                <w:sz w:val="14"/>
              </w:rPr>
              <w:t>Blended mobile ARPU (AED/month): Q4-2024 print 65.8 and the FY2025 average 63.3, both from the company's quarterly analyst decks</w:t>
            </w:r>
          </w:p>
        </w:tc>
        <w:tc>
          <w:tcPr>
            <w:tcW w:type="dxa" w:w="1080"/>
          </w:tcPr>
          <w:p>
            <w:pPr>
              <w:spacing w:after="20"/>
            </w:pPr>
            <w:r>
              <w:rPr>
                <w:color w:val="1C3A36"/>
                <w:sz w:val="14"/>
              </w:rPr>
              <w:t>2026-02-10</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staff_fy26</w:t>
            </w:r>
          </w:p>
        </w:tc>
        <w:tc>
          <w:tcPr>
            <w:tcW w:type="dxa" w:w="1656"/>
          </w:tcPr>
          <w:p>
            <w:pPr>
              <w:spacing w:after="20"/>
            </w:pPr>
            <w:r>
              <w:rPr>
                <w:color w:val="1C3A36"/>
                <w:sz w:val="14"/>
              </w:rPr>
              <w:t>1,035.2</w:t>
            </w:r>
          </w:p>
        </w:tc>
        <w:tc>
          <w:tcPr>
            <w:tcW w:type="dxa" w:w="5904"/>
          </w:tcPr>
          <w:p>
            <w:pPr>
              <w:spacing w:after="20"/>
            </w:pPr>
            <w:r>
              <w:rPr>
                <w:color w:val="1C3A36"/>
                <w:sz w:val="14"/>
              </w:rPr>
              <w:t>FY2026E staff cost: H1-2026 reviewed actual 471.360 grossed up by the company's OWN disclosed H2/H1 seasonality of 1.1961 (H2-2025 602.018 / H1-2025 503.310, from the audited FY2025 and reviewed H1-2025 statements) = 471.360 + 563.80 = 1,035.16 — which is −6.35% on the audited FY2025 1,105.328, exactly the −6.35% y/y the company printed at the half. CORRECTED 17-Aug-2026: the prior 985.0 applied a ratio of 1.09 while its own note described it as 'the H2-2025 seasonal ratio'; the true ratio is 1.1961, so staff cost was understated by AED 50.2mn and total FY2026E operating expenses fell BELOW the audited FY2025 actual even as revenue rose 4.3% — impossible in a stack where every class escalates, and correctly identified by external audit as falsifying the margin-as-an-output claim</w:t>
            </w:r>
          </w:p>
        </w:tc>
        <w:tc>
          <w:tcPr>
            <w:tcW w:type="dxa" w:w="1080"/>
          </w:tcPr>
          <w:p>
            <w:pPr>
              <w:spacing w:after="20"/>
            </w:pPr>
            <w:r>
              <w:rPr>
                <w:color w:val="1C3A36"/>
                <w:sz w:val="14"/>
              </w:rPr>
              <w:t>2026-08-17</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21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219.0</w:t>
            </w:r>
          </w:p>
        </w:tc>
        <w:tc>
          <w:tcPr>
            <w:tcW w:type="dxa" w:w="5904"/>
          </w:tcPr>
          <w:p>
            <w:pPr>
              <w:spacing w:after="20"/>
            </w:pPr>
            <w:r>
              <w:rPr>
                <w:color w:val="1C3A36"/>
                <w:sz w:val="14"/>
              </w:rPr>
              <w:t>31-Dec-2025 valuation date to the 07-Aug-2026 price anchor</w:t>
            </w:r>
          </w:p>
        </w:tc>
        <w:tc>
          <w:tcPr>
            <w:tcW w:type="dxa" w:w="1080"/>
          </w:tcPr>
          <w:p>
            <w:pPr>
              <w:spacing w:after="20"/>
            </w:pPr>
            <w:r>
              <w:rPr>
                <w:color w:val="1C3A36"/>
                <w:sz w:val="14"/>
              </w:rPr>
              <w:t>2026-08-07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company printed 63.3-63.4 across FY2025-Q2-2026</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contrib_margin_path</w:t>
            </w:r>
          </w:p>
        </w:tc>
        <w:tc>
          <w:tcPr>
            <w:tcW w:type="dxa" w:w="1656"/>
          </w:tcPr>
          <w:p>
            <w:pPr>
              <w:spacing w:after="20"/>
            </w:pPr>
            <w:r>
              <w:rPr>
                <w:color w:val="1C3A36"/>
                <w:sz w:val="14"/>
              </w:rPr>
              <w:t>mobile: 0.608, 0.608, 0.608, 0.608, 0.608; fixed: 0.858, 0.858, 0.858, 0.858, 0.858; wholesale: 0.864, 0.864, 0.864, 0.864, 0.864; ict: 0.194, 0.2, 0.205, 0.21, 0.215</w:t>
            </w:r>
          </w:p>
        </w:tc>
        <w:tc>
          <w:tcPr>
            <w:tcW w:type="dxa" w:w="5904"/>
          </w:tcPr>
          <w:p>
            <w:pPr>
              <w:spacing w:after="20"/>
            </w:pPr>
            <w:r>
              <w:rPr>
                <w:color w:val="1C3A36"/>
                <w:sz w:val="14"/>
              </w:rPr>
              <w:t>Segment contribution margins: mobile/fixed/wholesale held at the audited FY2025 rates (60.8% / 85.8% / 86.4% — FY2024: 60.9% / 84.6% / 88.0%); ICT lifted 19.4% -&gt; 21.5% over five years on data-centre scale (still the thinnest-margin segment)</w:t>
            </w:r>
          </w:p>
        </w:tc>
        <w:tc>
          <w:tcPr>
            <w:tcW w:type="dxa" w:w="1080"/>
          </w:tcPr>
          <w:p>
            <w:pPr>
              <w:spacing w:after="20"/>
            </w:pPr>
            <w:r>
              <w:rPr>
                <w:color w:val="1C3A36"/>
                <w:sz w:val="14"/>
              </w:rPr>
              <w:t>2026-08-09</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House synthesis weights, operating-company pattern (SWDY reference study)</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T-bond, January-2031 tranche, auction yield 4.48% (July-2026 auction; cited to the MoF/WAM results release of 30-Jul-2026 rather than an inferred auction weekday, after review noted 22-Jul-2026 was a Wednesday and the published auction calendar runs on Tuesdays; +4bp over matched UST) - the longest LIQUID recent AED government primary print. There is no liquid 10-year AED point (longest AED primary ever is the Feb-2033 tranche at 4.13%, Apr-2026, now stale);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2026-07-30</w:t>
            </w:r>
          </w:p>
        </w:tc>
      </w:tr>
      <w:tr>
        <w:tc>
          <w:tcPr>
            <w:tcW w:type="dxa" w:w="1512"/>
          </w:tcPr>
          <w:p>
            <w:pPr>
              <w:spacing w:after="20"/>
            </w:pPr>
            <w:r>
              <w:rPr>
                <w:color w:val="1C3A36"/>
                <w:sz w:val="14"/>
              </w:rPr>
              <w:t>g_term</w:t>
            </w:r>
          </w:p>
        </w:tc>
        <w:tc>
          <w:tcPr>
            <w:tcW w:type="dxa" w:w="1656"/>
          </w:tcPr>
          <w:p>
            <w:pPr>
              <w:spacing w:after="20"/>
            </w:pPr>
            <w:r>
              <w:rPr>
                <w:color w:val="1C3A36"/>
                <w:sz w:val="14"/>
              </w:rPr>
              <w:t>0.025</w:t>
            </w:r>
          </w:p>
        </w:tc>
        <w:tc>
          <w:tcPr>
            <w:tcW w:type="dxa" w:w="5904"/>
          </w:tcPr>
          <w:p>
            <w:pPr>
              <w:spacing w:after="20"/>
            </w:pPr>
            <w:r>
              <w:rPr>
                <w:color w:val="1C3A36"/>
                <w:sz w:val="14"/>
              </w:rPr>
              <w:t>Terminal nominal AED growth 2.5%: below the IMF's UAE long-run nominal GDP growth (~4%: real ~4% + CPI ~2% per WEO Apr-2026) and consistent with a mature duopoly telecom growing at population-plus-inflation minus price erosion</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sov_spread_rating</w:t>
            </w:r>
          </w:p>
        </w:tc>
        <w:tc>
          <w:tcPr>
            <w:tcW w:type="dxa" w:w="1656"/>
          </w:tcPr>
          <w:p>
            <w:pPr>
              <w:spacing w:after="20"/>
            </w:pPr>
            <w:r>
              <w:rPr>
                <w:color w:val="1C3A36"/>
                <w:sz w:val="14"/>
              </w:rPr>
              <w:t>0.0004</w:t>
            </w:r>
          </w:p>
        </w:tc>
        <w:tc>
          <w:tcPr>
            <w:tcW w:type="dxa" w:w="5904"/>
          </w:tcPr>
          <w:p>
            <w:pPr>
              <w:spacing w:after="20"/>
            </w:pPr>
            <w:r>
              <w:rPr>
                <w:color w:val="1C3A36"/>
                <w:sz w:val="14"/>
              </w:rPr>
              <w:t>PRIMARY BASIS (changed 17-Aug-2026): UAE sovereign default spread 4bp, MARKET-OBSERVED on the very instrument this model uses as its risk-free rate. The UAE MoF/WAM auction release states the January-2031 AED T-Bond priced at 4.48%, 'a spread of ... 4 basis points ... ABOVE comparable US Treasuries'. The prior edition netted Damodaran's RATING-based 42bp instead, which drove rf* to 4.06% - roughly 26bp BELOW the matched-tenor US Treasury. A synthetic default-free dirham rate cannot sit below the default-free dollar rate under a hard peg, and that no-arbitrage test is now asserted in code. The rating basis (42bp with the 4.87% ERP, Ke 6.44%) is retained and published as the alternative construction per the both-bases rule; it is NOT averaged in. Note a floor applied to the rating basis was considered and REJECTED as incoherent: it would net a market spread while adding back a rating-based country premium, the exact same-basis violation the method exists to prevent</w:t>
            </w:r>
          </w:p>
        </w:tc>
        <w:tc>
          <w:tcPr>
            <w:tcW w:type="dxa" w:w="1080"/>
          </w:tcPr>
          <w:p>
            <w:pPr>
              <w:spacing w:after="20"/>
            </w:pPr>
            <w:r>
              <w:rPr>
                <w:color w:val="1C3A36"/>
                <w:sz w:val="14"/>
              </w:rPr>
              <w:t>2026-07-30</w:t>
            </w:r>
          </w:p>
        </w:tc>
      </w:tr>
      <w:tr>
        <w:tc>
          <w:tcPr>
            <w:tcW w:type="dxa" w:w="1512"/>
          </w:tcPr>
          <w:p>
            <w:pPr>
              <w:spacing w:after="20"/>
            </w:pPr>
            <w:r>
              <w:rPr>
                <w:color w:val="1C3A36"/>
                <w:sz w:val="14"/>
              </w:rPr>
              <w:t>erp_rating</w:t>
            </w:r>
          </w:p>
        </w:tc>
        <w:tc>
          <w:tcPr>
            <w:tcW w:type="dxa" w:w="1656"/>
          </w:tcPr>
          <w:p>
            <w:pPr>
              <w:spacing w:after="20"/>
            </w:pPr>
            <w:r>
              <w:rPr>
                <w:color w:val="1C3A36"/>
                <w:sz w:val="14"/>
              </w:rPr>
              <w:t>0.0429</w:t>
            </w:r>
          </w:p>
        </w:tc>
        <w:tc>
          <w:tcPr>
            <w:tcW w:type="dxa" w:w="5904"/>
          </w:tcPr>
          <w:p>
            <w:pPr>
              <w:spacing w:after="20"/>
            </w:pPr>
            <w:r>
              <w:rPr>
                <w:color w:val="1C3A36"/>
                <w:sz w:val="14"/>
              </w:rPr>
              <w:t>PRIMARY BASIS (changed 17-Aug-2026): UAE total equity risk premium 4.29% on the MARKET-spread basis = Damodaran's 4.23% mature-market base (Jan-2026) + a country risk premium of 6bp, scaled off the 4bp market default spread using Damodaran's own CRP/spread multiple (0.64/0.42 = 1.524). Paired with the 4bp netting above so the same basis is stripped as is added back. ALTERNATIVE PUBLISHED: the rating basis, 4.87% = 4.23% + 0.64% CRP (Aa2), paired with the 42bp netting -&gt; Ke 6.44%. A third variant using the live implied US premium (4.28% + 0.06% = 4.34%) is disclosed for completeness. All three sit within 10bp of one another on Ke, which is what the same-basis rule is for</w:t>
            </w:r>
          </w:p>
        </w:tc>
        <w:tc>
          <w:tcPr>
            <w:tcW w:type="dxa" w:w="1080"/>
          </w:tcPr>
          <w:p>
            <w:pPr>
              <w:spacing w:after="20"/>
            </w:pPr>
            <w:r>
              <w:rPr>
                <w:color w:val="1C3A36"/>
                <w:sz w:val="14"/>
              </w:rPr>
              <w:t>2026-08-01</w:t>
            </w:r>
          </w:p>
        </w:tc>
      </w:tr>
      <w:tr>
        <w:tc>
          <w:tcPr>
            <w:tcW w:type="dxa" w:w="1512"/>
          </w:tcPr>
          <w:p>
            <w:pPr>
              <w:spacing w:after="20"/>
            </w:pPr>
            <w:r>
              <w:rPr>
                <w:color w:val="1C3A36"/>
                <w:sz w:val="14"/>
              </w:rPr>
              <w:t>sov_spread_mkt</w:t>
            </w:r>
          </w:p>
        </w:tc>
        <w:tc>
          <w:tcPr>
            <w:tcW w:type="dxa" w:w="1656"/>
          </w:tcPr>
          <w:p>
            <w:pPr>
              <w:spacing w:after="20"/>
            </w:pPr>
            <w:r>
              <w:rPr>
                <w:color w:val="1C3A36"/>
                <w:sz w:val="14"/>
              </w:rPr>
              <w:t>0.0042</w:t>
            </w:r>
          </w:p>
        </w:tc>
        <w:tc>
          <w:tcPr>
            <w:tcW w:type="dxa" w:w="5904"/>
          </w:tcPr>
          <w:p>
            <w:pPr>
              <w:spacing w:after="20"/>
            </w:pPr>
            <w:r>
              <w:rPr>
                <w:color w:val="1C3A36"/>
                <w:sz w:val="14"/>
              </w:rPr>
              <w:t>The RATING-basis default spread, now carried as the ALTERNATIVE construction (it was primary before 17-Aug-2026): Damodaran ctryprem (05-Jan-2026), UAE row, Moody's Aa2, rating-based adjusted default spread 0.42%, paired with the 4.87% rating ERP</w:t>
            </w:r>
          </w:p>
        </w:tc>
        <w:tc>
          <w:tcPr>
            <w:tcW w:type="dxa" w:w="1080"/>
          </w:tcPr>
          <w:p>
            <w:pPr>
              <w:spacing w:after="20"/>
            </w:pPr>
            <w:r>
              <w:rPr>
                <w:color w:val="1C3A36"/>
                <w:sz w:val="14"/>
              </w:rPr>
              <w:t>2026-01-05</w:t>
            </w:r>
          </w:p>
        </w:tc>
      </w:tr>
      <w:tr>
        <w:tc>
          <w:tcPr>
            <w:tcW w:type="dxa" w:w="1512"/>
          </w:tcPr>
          <w:p>
            <w:pPr>
              <w:spacing w:after="20"/>
            </w:pPr>
            <w:r>
              <w:rPr>
                <w:color w:val="1C3A36"/>
                <w:sz w:val="14"/>
              </w:rPr>
              <w:t>erp_mkt</w:t>
            </w:r>
          </w:p>
        </w:tc>
        <w:tc>
          <w:tcPr>
            <w:tcW w:type="dxa" w:w="1656"/>
          </w:tcPr>
          <w:p>
            <w:pPr>
              <w:spacing w:after="20"/>
            </w:pPr>
            <w:r>
              <w:rPr>
                <w:color w:val="1C3A36"/>
                <w:sz w:val="14"/>
              </w:rPr>
              <w:t>0.0487</w:t>
            </w:r>
          </w:p>
        </w:tc>
        <w:tc>
          <w:tcPr>
            <w:tcW w:type="dxa" w:w="5904"/>
          </w:tcPr>
          <w:p>
            <w:pPr>
              <w:spacing w:after="20"/>
            </w:pPr>
            <w:r>
              <w:rPr>
                <w:color w:val="1C3A36"/>
                <w:sz w:val="14"/>
              </w:rPr>
              <w:t>The RATING-basis total ERP, now the ALTERNATIVE: 4.87% = 4.23% mature + 0.64% CRP (Aa2), Damodaran 05-Jan-2026. Same-basis pair with the 0.42% rating spread</w:t>
            </w:r>
          </w:p>
        </w:tc>
        <w:tc>
          <w:tcPr>
            <w:tcW w:type="dxa" w:w="1080"/>
          </w:tcPr>
          <w:p>
            <w:pPr>
              <w:spacing w:after="20"/>
            </w:pPr>
            <w:r>
              <w:rPr>
                <w:color w:val="1C3A36"/>
                <w:sz w:val="14"/>
              </w:rPr>
              <w:t>2026-01-05</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0.0429</w:t>
            </w:r>
          </w:p>
        </w:tc>
        <w:tc>
          <w:tcPr>
            <w:tcW w:type="dxa" w:w="5904"/>
          </w:tcPr>
          <w:p>
            <w:pPr>
              <w:spacing w:after="20"/>
            </w:pPr>
            <w:r>
              <w:rPr>
                <w:color w:val="1C3A36"/>
                <w:sz w:val="14"/>
              </w:rPr>
              <w:t>Terminal ERP held at the primary market-basis UAE ERP 4.29% (no structural convergence assumed for an Aa2 sovereign already priced at 4bp over US Treasuries)</w:t>
            </w:r>
          </w:p>
        </w:tc>
        <w:tc>
          <w:tcPr>
            <w:tcW w:type="dxa" w:w="1080"/>
          </w:tcPr>
          <w:p>
            <w:pPr>
              <w:spacing w:after="20"/>
            </w:pPr>
            <w:r>
              <w:rPr>
                <w:color w:val="1C3A36"/>
                <w:sz w:val="14"/>
              </w:rPr>
              <w:t>2026-08-01</w:t>
            </w:r>
          </w:p>
        </w:tc>
      </w:tr>
      <w:tr>
        <w:tc>
          <w:tcPr>
            <w:tcW w:type="dxa" w:w="1512"/>
          </w:tcPr>
          <w:p>
            <w:pPr>
              <w:spacing w:after="20"/>
            </w:pPr>
            <w:r>
              <w:rPr>
                <w:color w:val="1C3A36"/>
                <w:sz w:val="14"/>
              </w:rPr>
              <w:t>ust_matched</w:t>
            </w:r>
          </w:p>
        </w:tc>
        <w:tc>
          <w:tcPr>
            <w:tcW w:type="dxa" w:w="1656"/>
          </w:tcPr>
          <w:p>
            <w:pPr>
              <w:spacing w:after="20"/>
            </w:pPr>
            <w:r>
              <w:rPr>
                <w:color w:val="1C3A36"/>
                <w:sz w:val="14"/>
              </w:rPr>
              <w:t>0.0432</w:t>
            </w:r>
          </w:p>
        </w:tc>
        <w:tc>
          <w:tcPr>
            <w:tcW w:type="dxa" w:w="5904"/>
          </w:tcPr>
          <w:p>
            <w:pPr>
              <w:spacing w:after="20"/>
            </w:pPr>
            <w:r>
              <w:rPr>
                <w:color w:val="1C3A36"/>
                <w:sz w:val="14"/>
              </w:rPr>
              <w:t>Matched-tenor US Treasury yield ~4.32% at the anchor (3y 4.25% / 5y 4.35% on 07-Aug-2026, treasury.gov, interpolated to the Jan-2031 tranche's ~4.4-year point). Used ONLY as the no-arbitrage floor test on rf*: under a hard peg a default-free AED rate may not sit below the default-free USD rate at matched tenor. Never used as the risk-free rate itself - the protocol requires the local government bond even for a pegged currency</w:t>
            </w:r>
          </w:p>
        </w:tc>
        <w:tc>
          <w:tcPr>
            <w:tcW w:type="dxa" w:w="1080"/>
          </w:tcPr>
          <w:p>
            <w:pPr>
              <w:spacing w:after="20"/>
            </w:pPr>
            <w:r>
              <w:rPr>
                <w:color w:val="1C3A36"/>
                <w:sz w:val="14"/>
              </w:rPr>
              <w:t>2026-08-07</w:t>
            </w:r>
          </w:p>
        </w:tc>
      </w:tr>
    </w:tbl>
    <w:p>
      <w:pPr>
        <w:spacing w:after="40"/>
      </w:pPr>
    </w:p>
    <w:p>
      <w:pPr>
        <w:spacing w:after="60" w:before="160"/>
      </w:pPr>
      <w:r>
        <w:rPr>
          <w:b/>
          <w:i w:val="0"/>
          <w:color w:val="1C3A36"/>
          <w:sz w:val="22"/>
        </w:rPr>
        <w:t>Industry layer — 3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12.9</w:t>
            </w:r>
          </w:p>
        </w:tc>
        <w:tc>
          <w:tcPr>
            <w:tcW w:type="dxa" w:w="5904"/>
          </w:tcPr>
          <w:p>
            <w:pPr>
              <w:spacing w:after="20"/>
            </w:pPr>
            <w:r>
              <w:rPr>
                <w:color w:val="1C3A36"/>
                <w:sz w:val="14"/>
              </w:rPr>
              <w:t>Justified P/E 12.9x, RE-DERIVED FROM ISSUER FILINGS at the 06-Aug-2026 anchor after an external audit showed the prior 15.5x did not exist on any earnings base at that date. Mobily (Etihad Etisalat, Tadawul 7020) - the closest structural analogue, a #2 operator in a GCC duopoly-like market: TTM EPS SAR 4.76 (FY2025 4.51 + H1-2026 2.32 - H1-2025 2.07, each from Mobily's own Saudi Exchange issuer announcements) on a 06-Aug-2026 close of SAR 61.30 = 12.88x; the market-cap route (SAR 47,048mn / TTM net income SAR 3,650mn) independently ties at 12.89x. e&amp; is the only other peer whose multiple derives end-to-end from issuer filings: 15.7x (TTM EPS AED 1.33 reported-attributable, close AED 20.98). NO PEER MEDIAN IS CLAIMED - only two of six peers survive as clean observations, so a median is not supportable: Zain's provider returned a corrupt 11365x and was refused, Omantel's provider P/E and yield are mutually contradictory, and Omantel holds ~21.9% of Zain so they are not independent. (For the record the 5-name median also lands on 12.89x, which is coincidence, not corroboration.) SUPERSEDES 15.5x, which was a January-2026 aggregator read on FY2024 earnings mis-dated as an August-2026 read</w:t>
            </w:r>
          </w:p>
        </w:tc>
        <w:tc>
          <w:tcPr>
            <w:tcW w:type="dxa" w:w="1080"/>
          </w:tcPr>
          <w:p>
            <w:pPr>
              <w:spacing w:after="20"/>
            </w:pPr>
            <w:r>
              <w:rPr>
                <w:color w:val="1C3A36"/>
                <w:sz w:val="14"/>
              </w:rPr>
              <w:t>2026-08-06</w:t>
            </w:r>
          </w:p>
        </w:tc>
      </w:tr>
      <w:tr>
        <w:tc>
          <w:tcPr>
            <w:tcW w:type="dxa" w:w="1512"/>
          </w:tcPr>
          <w:p>
            <w:pPr>
              <w:spacing w:after="20"/>
            </w:pPr>
            <w:r>
              <w:rPr>
                <w:color w:val="1C3A36"/>
                <w:sz w:val="14"/>
              </w:rPr>
              <w:t>div_yield_peer</w:t>
            </w:r>
          </w:p>
        </w:tc>
        <w:tc>
          <w:tcPr>
            <w:tcW w:type="dxa" w:w="1656"/>
          </w:tcPr>
          <w:p>
            <w:pPr>
              <w:spacing w:after="20"/>
            </w:pPr>
            <w:r>
              <w:rPr>
                <w:color w:val="1C3A36"/>
                <w:sz w:val="14"/>
              </w:rPr>
              <w:t>0.0489</w:t>
            </w:r>
          </w:p>
        </w:tc>
        <w:tc>
          <w:tcPr>
            <w:tcW w:type="dxa" w:w="5904"/>
          </w:tcPr>
          <w:p>
            <w:pPr>
              <w:spacing w:after="20"/>
            </w:pPr>
            <w:r>
              <w:rPr>
                <w:color w:val="1C3A36"/>
                <w:sz w:val="14"/>
              </w:rPr>
              <w:t>Peer dividend-yield anchor 4.89% = Mobily's trailing yield at the 06-Aug-2026 close, derived from its own declared distributions - the same name and the same date as the justified P/E, so the two market anchors are consistent. SUPERSEDES 5.2% (stc, aggregator). The published Mobily yield of 2.9% in the prior edition matched neither the issuer data (4.89%) nor this study's own sweep record (3.7%) - a typed numeral that escaped the register, now corrected. Sourceable bracket at the anchor: e&amp; 4.50%, stc 5.07%, Ooredoo 5.70%, Omantel ~6.7% (aggregator, internally inconsistent)</w:t>
            </w:r>
          </w:p>
        </w:tc>
        <w:tc>
          <w:tcPr>
            <w:tcW w:type="dxa" w:w="1080"/>
          </w:tcPr>
          <w:p>
            <w:pPr>
              <w:spacing w:after="20"/>
            </w:pPr>
            <w:r>
              <w:rPr>
                <w:color w:val="1C3A36"/>
                <w:sz w:val="14"/>
              </w:rPr>
              <w:t>2026-08-06</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CENTRAL JUDGEMENT — what required return the business deserves. Framing 1 uses du's own measured beta; Framing 2 declines the terminal re-rating that implies and holds du's current trailing EV/EBITDA in perpetuity</w:t>
            </w:r>
          </w:p>
        </w:tc>
        <w:tc>
          <w:tcPr>
            <w:tcW w:type="dxa" w:w="3744"/>
          </w:tcPr>
          <w:p>
            <w:pPr>
              <w:spacing w:after="20"/>
            </w:pPr>
            <w:r>
              <w:rPr>
                <w:color w:val="1C3A36"/>
                <w:sz w:val="15"/>
              </w:rPr>
              <w:t>the beta is du's own 5-year weekly regression, gate-passed; the market multiple is du's own audited figures at the anchor</w:t>
            </w:r>
          </w:p>
        </w:tc>
        <w:tc>
          <w:tcPr>
            <w:tcW w:type="dxa" w:w="3744"/>
          </w:tcPr>
          <w:p>
            <w:pPr>
              <w:spacing w:after="20"/>
            </w:pPr>
            <w:r>
              <w:rPr>
                <w:color w:val="1C3A36"/>
                <w:sz w:val="15"/>
              </w:rPr>
              <w:t>Both are published side by side and never averaged. Either is overturned by the other being right: a sustained re-rating toward the implied exit multiple, or a beta that behaves like the sector's ~0.80 rather than the measured figure</w:t>
            </w:r>
          </w:p>
        </w:tc>
      </w:tr>
      <w:tr>
        <w:tc>
          <w:tcPr>
            <w:tcW w:type="dxa" w:w="2664"/>
          </w:tcPr>
          <w:p>
            <w:pPr>
              <w:spacing w:after="20"/>
            </w:pPr>
            <w:r>
              <w:rPr>
                <w:color w:val="1C3A36"/>
                <w:sz w:val="15"/>
              </w:rPr>
              <w:t>The 2027-2029 fiscal regime is settled at the current take (base case rests on disclosed fact)</w:t>
            </w:r>
          </w:p>
        </w:tc>
        <w:tc>
          <w:tcPr>
            <w:tcW w:type="dxa" w:w="3744"/>
          </w:tcPr>
          <w:p>
            <w:pPr>
              <w:spacing w:after="20"/>
            </w:pPr>
            <w:r>
              <w:rPr>
                <w:color w:val="1C3A36"/>
                <w:sz w:val="15"/>
              </w:rPr>
              <w:t>du's own disclosure of 24-Jul-2026 extending the 38% royalty + 9% corporate tax and retaining the AED 1.8bn combined floor</w:t>
            </w:r>
          </w:p>
        </w:tc>
        <w:tc>
          <w:tcPr>
            <w:tcW w:type="dxa" w:w="3744"/>
          </w:tcPr>
          <w:p>
            <w:pPr>
              <w:spacing w:after="20"/>
            </w:pPr>
            <w:r>
              <w:rPr>
                <w:color w:val="1C3A36"/>
                <w:sz w:val="15"/>
              </w:rPr>
              <w:t>nothing — this is disclosed, not assumed. What IS assumed is the period after 2029, priced as a tail</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essentially flat</w:t>
            </w:r>
          </w:p>
        </w:tc>
        <w:tc>
          <w:tcPr>
            <w:tcW w:type="dxa" w:w="3744"/>
          </w:tcPr>
          <w:p>
            <w:pPr>
              <w:spacing w:after="20"/>
            </w:pPr>
            <w:r>
              <w:rPr>
                <w:color w:val="1C3A36"/>
                <w:sz w:val="15"/>
              </w:rPr>
              <w:t>four quarters printed within 63.3-63.4; postpaid mix offsetting prepaid dilution; no price war in the record</w:t>
            </w:r>
          </w:p>
        </w:tc>
        <w:tc>
          <w:tcPr>
            <w:tcW w:type="dxa" w:w="3744"/>
          </w:tcPr>
          <w:p>
            <w:pPr>
              <w:spacing w:after="20"/>
            </w:pPr>
            <w:r>
              <w:rPr>
                <w:color w:val="1C3A36"/>
                <w:sz w:val="15"/>
              </w:rPr>
              <w:t>ARPU below AED 60 without a disclosed mix explanation</w:t>
            </w:r>
          </w:p>
        </w:tc>
      </w:tr>
      <w:tr>
        <w:tc>
          <w:tcPr>
            <w:tcW w:type="dxa" w:w="2664"/>
          </w:tcPr>
          <w:p>
            <w:pPr>
              <w:spacing w:after="20"/>
            </w:pPr>
            <w:r>
              <w:rPr>
                <w:color w:val="1C3A36"/>
                <w:sz w:val="15"/>
              </w:rPr>
              <w:t>Contribution margins hold at audited FY2025 rates (ICT lifts on scale)</w:t>
            </w:r>
          </w:p>
        </w:tc>
        <w:tc>
          <w:tcPr>
            <w:tcW w:type="dxa" w:w="3744"/>
          </w:tcPr>
          <w:p>
            <w:pPr>
              <w:spacing w:after="20"/>
            </w:pPr>
            <w:r>
              <w:rPr>
                <w:color w:val="1C3A36"/>
                <w:sz w:val="15"/>
              </w:rPr>
              <w:t>two consistent disclosed years within ~1pp per segment</w:t>
            </w:r>
          </w:p>
        </w:tc>
        <w:tc>
          <w:tcPr>
            <w:tcW w:type="dxa" w:w="3744"/>
          </w:tcPr>
          <w:p>
            <w:pPr>
              <w:spacing w:after="20"/>
            </w:pPr>
            <w:r>
              <w:rPr>
                <w:color w:val="1C3A36"/>
                <w:sz w:val="15"/>
              </w:rPr>
              <w:t>a disclosed margin reset — e.g. wholesale repricing or ICT mix collapse</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Post-2029 royalty/corporate-tax regime</w:t>
            </w:r>
          </w:p>
        </w:tc>
        <w:tc>
          <w:tcPr>
            <w:tcW w:type="dxa" w:w="3312"/>
          </w:tcPr>
          <w:p>
            <w:pPr>
              <w:spacing w:after="20"/>
            </w:pPr>
            <w:r>
              <w:rPr>
                <w:color w:val="1C3A36"/>
                <w:sz w:val="15"/>
              </w:rPr>
              <w:t>du filings, e&amp; filings, MoF releases, Cabinet decisions</w:t>
            </w:r>
          </w:p>
        </w:tc>
        <w:tc>
          <w:tcPr>
            <w:tcW w:type="dxa" w:w="3672"/>
          </w:tcPr>
          <w:p>
            <w:pPr>
              <w:spacing w:after="20"/>
            </w:pPr>
            <w:r>
              <w:rPr>
                <w:color w:val="1C3A36"/>
                <w:sz w:val="15"/>
              </w:rPr>
              <w:t>NOT DISCLOSED by anyone — so a reversion after 2029 is carried as a priced tail, not forecast. NOTE: the FIRST EDITION of this study recorded the post-2026 regime as undisclosed by du. That was WRONG — du published its own "Extension of Federal Royalty Scheme for the Period 2027-2029" on 24-Jul-2026, sixteen days before the sweep date, retaining the AED 1.8bn floor. The negative search was stale, not the disclosure absent</w:t>
            </w:r>
          </w:p>
        </w:tc>
      </w:tr>
      <w:tr>
        <w:tc>
          <w:tcPr>
            <w:tcW w:type="dxa" w:w="3168"/>
          </w:tcPr>
          <w:p>
            <w:pPr>
              <w:spacing w:after="20"/>
            </w:pPr>
            <w:r>
              <w:rPr>
                <w:color w:val="1C3A36"/>
                <w:sz w:val="15"/>
              </w:rPr>
              <w:t>Licence FEE / revenue-share terms on the renewed licence</w:t>
            </w:r>
          </w:p>
        </w:tc>
        <w:tc>
          <w:tcPr>
            <w:tcW w:type="dxa" w:w="3312"/>
          </w:tcPr>
          <w:p>
            <w:pPr>
              <w:spacing w:after="20"/>
            </w:pPr>
            <w:r>
              <w:rPr>
                <w:color w:val="1C3A36"/>
                <w:sz w:val="15"/>
              </w:rPr>
              <w:t>TDRA announcement of 12-Aug-2026, du filings</w:t>
            </w:r>
          </w:p>
        </w:tc>
        <w:tc>
          <w:tcPr>
            <w:tcW w:type="dxa" w:w="3672"/>
          </w:tcPr>
          <w:p>
            <w:pPr>
              <w:spacing w:after="20"/>
            </w:pPr>
            <w:r>
              <w:rPr>
                <w:color w:val="1C3A36"/>
                <w:sz w:val="15"/>
              </w:rPr>
              <w:t>NOT DISCLOSED — the 20-year renewal (effective 09-Aug-2026) publishes obligations only, no economics. The study holds the fee ratio at its historical level and flags that as an assumption</w:t>
            </w:r>
          </w:p>
        </w:tc>
      </w:tr>
      <w:tr>
        <w:tc>
          <w:tcPr>
            <w:tcW w:type="dxa" w:w="3168"/>
          </w:tcPr>
          <w:p>
            <w:pPr>
              <w:spacing w:after="20"/>
            </w:pPr>
            <w:r>
              <w:rPr>
                <w:color w:val="1C3A36"/>
                <w:sz w:val="15"/>
              </w:rPr>
              <w:t>Peer EV/EBITDA from issuer filings</w:t>
            </w:r>
          </w:p>
        </w:tc>
        <w:tc>
          <w:tcPr>
            <w:tcW w:type="dxa" w:w="3312"/>
          </w:tcPr>
          <w:p>
            <w:pPr>
              <w:spacing w:after="20"/>
            </w:pPr>
            <w:r>
              <w:rPr>
                <w:color w:val="1C3A36"/>
                <w:sz w:val="15"/>
              </w:rPr>
              <w:t>peer annual reports and results releases</w:t>
            </w:r>
          </w:p>
        </w:tc>
        <w:tc>
          <w:tcPr>
            <w:tcW w:type="dxa" w:w="3672"/>
          </w:tcPr>
          <w:p>
            <w:pPr>
              <w:spacing w:after="20"/>
            </w:pPr>
            <w:r>
              <w:rPr>
                <w:color w:val="1C3A36"/>
                <w:sz w:val="15"/>
              </w:rPr>
              <w:t>net-debt detail per peer not retrieved within scope — the relative lens runs on earnings and dividend yield only, both sourced, rather than on an estimated multiple</w:t>
            </w:r>
          </w:p>
        </w:tc>
      </w:tr>
      <w:tr>
        <w:tc>
          <w:tcPr>
            <w:tcW w:type="dxa" w:w="3168"/>
          </w:tcPr>
          <w:p>
            <w:pPr>
              <w:spacing w:after="20"/>
            </w:pPr>
            <w:r>
              <w:rPr>
                <w:color w:val="1C3A36"/>
                <w:sz w:val="15"/>
              </w:rPr>
              <w:t>Trailing P/E for Zain and a priced multiple for Omantel</w:t>
            </w:r>
          </w:p>
        </w:tc>
        <w:tc>
          <w:tcPr>
            <w:tcW w:type="dxa" w:w="3312"/>
          </w:tcPr>
          <w:p>
            <w:pPr>
              <w:spacing w:after="20"/>
            </w:pPr>
            <w:r>
              <w:rPr>
                <w:color w:val="1C3A36"/>
                <w:sz w:val="15"/>
              </w:rPr>
              <w:t>aggregators and issuer filings</w:t>
            </w:r>
          </w:p>
        </w:tc>
        <w:tc>
          <w:tcPr>
            <w:tcW w:type="dxa" w:w="3672"/>
          </w:tcPr>
          <w:p>
            <w:pPr>
              <w:spacing w:after="20"/>
            </w:pPr>
            <w:r>
              <w:rPr>
                <w:color w:val="1C3A36"/>
                <w:sz w:val="15"/>
              </w:rPr>
              <w:t>REFUSED rather than passed through: the provider returned 11,365x for Zain, and Omantel's quoted multiple and yield are mutually inconsistent. Neither enters the peer frame as a number</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Corrections made after external review</w:t>
      </w:r>
    </w:p>
    <w:p>
      <w:pPr>
        <w:spacing w:after="100" w:before="0"/>
      </w:pPr>
      <w:r>
        <w:rPr>
          <w:b w:val="0"/>
          <w:i w:val="0"/>
          <w:color w:val="1C3A36"/>
          <w:sz w:val="20"/>
        </w:rPr>
        <w:t>Four input errors were found by external audit and by re-audit, and are corrected in this edition rather than left standing. First, the justified price/earnings multiple: the first edition used 15.5x, described as a peer median. It was neither a median of the stated peer set nor a current figure — it was a January-2026 aggregator reading built on FY2024 earnings, published with an August-2026 date. Re-derived from the peers' own filings it is 12.9x, and no median is claimed because only two of six peers survive as clean observations. Second, the dividend roll: the first edition netted only the final dividend PAID before the anchor, on the reasoning that the interim was declared but unpaid. The correct test is the EX-date, which had passed six sessions earlier, so AED 0.66 is now netted, not 0.40. Third, the staff-cost input: its own source note said it applied the prior year's second-half seasonal ratio, but the figure used implied 1.09 against a true 1.196 — which pushed total forecast operating expenses BELOW the audited prior-year actual while revenue grew, and made the margin expansion an artefact of one input. Fourth, and most consequential for how this study reads: du had disclosed the 2027-2029 royalty extension itself, before the first edition's sweep date, so the "contested judgement" that edition was built around was not contested. It is recast here as the required return.</w:t>
      </w: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